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Default Extension="png" ContentType="image/png"/>
  <Override PartName="/word/header12.xml" ContentType="application/vnd.openxmlformats-officedocument.wordprocessingml.head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6.xml" ContentType="application/vnd.openxmlformats-officedocument.wordprocessingml.header+xml"/>
  <Override PartName="/word/footer39.xml" ContentType="application/vnd.openxmlformats-officedocument.wordprocessingml.footer+xml"/>
  <Override PartName="/word/header17.xml" ContentType="application/vnd.openxmlformats-officedocument.wordprocessingml.header+xml"/>
  <Override PartName="/word/footer40.xml" ContentType="application/vnd.openxmlformats-officedocument.wordprocessingml.footer+xml"/>
  <Override PartName="/word/header18.xml" ContentType="application/vnd.openxmlformats-officedocument.wordprocessingml.header+xml"/>
  <Override PartName="/word/footer41.xml" ContentType="application/vnd.openxmlformats-officedocument.wordprocessingml.footer+xml"/>
  <Override PartName="/word/header19.xml" ContentType="application/vnd.openxmlformats-officedocument.wordprocessingml.header+xml"/>
  <Override PartName="/word/footer42.xml" ContentType="application/vnd.openxmlformats-officedocument.wordprocessingml.footer+xml"/>
  <Override PartName="/word/header20.xml" ContentType="application/vnd.openxmlformats-officedocument.wordprocessingml.header+xml"/>
  <Override PartName="/word/footer43.xml" ContentType="application/vnd.openxmlformats-officedocument.wordprocessingml.footer+xml"/>
  <Override PartName="/word/header21.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22.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23.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24.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25.xml" ContentType="application/vnd.openxmlformats-officedocument.wordprocessingml.header+xml"/>
  <Override PartName="/word/footer59.xml" ContentType="application/vnd.openxmlformats-officedocument.wordprocessingml.footer+xml"/>
  <Override PartName="/word/header26.xml" ContentType="application/vnd.openxmlformats-officedocument.wordprocessingml.header+xml"/>
  <Override PartName="/word/footer6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7035" w:val="left" w:leader="none"/>
        </w:tabs>
        <w:spacing w:line="240" w:lineRule="auto" w:before="36"/>
        <w:ind w:left="0" w:right="109"/>
        <w:jc w:val="center"/>
      </w:pPr>
      <w:r>
        <w:rPr>
          <w:spacing w:val="-1"/>
        </w:rPr>
        <w:t>公司代码：</w:t>
      </w:r>
      <w:r>
        <w:rPr>
          <w:rFonts w:ascii="宋体" w:hAnsi="宋体" w:cs="宋体" w:eastAsia="宋体" w:hint="default"/>
          <w:spacing w:val="-1"/>
        </w:rPr>
        <w:t>603888</w:t>
        <w:tab/>
      </w:r>
      <w:r>
        <w:rPr>
          <w:spacing w:val="-2"/>
        </w:rPr>
        <w:t>公司简称：新华网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647" w:right="264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新华网股份有限公司</w:t>
      </w:r>
      <w:r>
        <w:rPr>
          <w:rFonts w:ascii="黑体" w:hAnsi="黑体" w:cs="黑体" w:eastAsia="黑体" w:hint="default"/>
          <w:b/>
          <w:bCs/>
          <w:color w:val="FF0000"/>
          <w:spacing w:val="-22"/>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12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3"/>
        <w:spacing w:line="240" w:lineRule="auto" w:before="0"/>
        <w:ind w:left="138" w:right="125"/>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5"/>
        <w:ind w:left="138" w:right="125"/>
        <w:jc w:val="left"/>
        <w:rPr>
          <w:b w:val="0"/>
          <w:bCs w:val="0"/>
        </w:rPr>
      </w:pPr>
      <w:r>
        <w:rPr/>
        <w:t>三、</w:t>
      </w:r>
      <w:r>
        <w:rPr>
          <w:spacing w:val="-14"/>
        </w:rPr>
        <w:t> </w:t>
      </w:r>
      <w:r>
        <w:rPr/>
        <w:t>瑞华会计师事务所（特殊普通合伙）为本公司出具了标准无保留意见的审计报告。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spacing w:line="355" w:lineRule="auto" w:before="145"/>
        <w:ind w:left="505" w:right="125" w:hanging="368"/>
        <w:jc w:val="left"/>
        <w:rPr>
          <w:b w:val="0"/>
          <w:bCs w:val="0"/>
        </w:rPr>
      </w:pPr>
      <w:r>
        <w:rPr>
          <w:spacing w:val="-6"/>
          <w:w w:val="100"/>
        </w:rPr>
        <w:t>四、公司负责人田舒斌、主管会计工作负责人任劼及会计机构负责人（会计主管人员）张燕声明：</w:t>
      </w:r>
      <w:r>
        <w:rPr>
          <w:spacing w:val="-102"/>
          <w:w w:val="100"/>
        </w:rPr>
        <w:t> </w:t>
      </w:r>
      <w:r>
        <w:rPr>
          <w:spacing w:val="-102"/>
          <w:w w:val="100"/>
        </w:rPr>
      </w:r>
      <w:r>
        <w:rPr/>
        <w:t>保证年度报告中财务报告的真实、准确、完整。</w:t>
      </w:r>
      <w:r>
        <w:rPr>
          <w:b w:val="0"/>
          <w:bCs w:val="0"/>
        </w:rPr>
      </w:r>
    </w:p>
    <w:p>
      <w:pPr>
        <w:spacing w:line="450" w:lineRule="atLeast" w:before="131"/>
        <w:ind w:left="558" w:right="125"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1"/>
          <w:sz w:val="21"/>
          <w:szCs w:val="21"/>
        </w:rPr>
        <w:t>经瑞华会计师事务所（特殊普通合伙）审计，</w:t>
      </w:r>
      <w:r>
        <w:rPr>
          <w:rFonts w:ascii="宋体" w:hAnsi="宋体" w:cs="宋体" w:eastAsia="宋体" w:hint="default"/>
          <w:spacing w:val="-1"/>
          <w:sz w:val="21"/>
          <w:szCs w:val="21"/>
        </w:rPr>
        <w:t>2017</w:t>
      </w:r>
      <w:r>
        <w:rPr>
          <w:rFonts w:ascii="宋体" w:hAnsi="宋体" w:cs="宋体" w:eastAsia="宋体" w:hint="default"/>
          <w:spacing w:val="-1"/>
          <w:sz w:val="21"/>
          <w:szCs w:val="21"/>
        </w:rPr>
        <w:t>年度合并报表中归属于上市公司股东的净</w:t>
      </w:r>
    </w:p>
    <w:p>
      <w:pPr>
        <w:pStyle w:val="BodyText"/>
        <w:spacing w:line="280" w:lineRule="auto" w:before="44"/>
        <w:ind w:right="130"/>
        <w:jc w:val="both"/>
      </w:pPr>
      <w:r>
        <w:rPr>
          <w:spacing w:val="15"/>
        </w:rPr>
        <w:t>利润为</w:t>
      </w:r>
      <w:r>
        <w:rPr>
          <w:spacing w:val="-74"/>
        </w:rPr>
        <w:t> </w:t>
      </w:r>
      <w:r>
        <w:rPr>
          <w:rFonts w:ascii="宋体" w:hAnsi="宋体" w:cs="宋体" w:eastAsia="宋体" w:hint="default"/>
        </w:rPr>
        <w:t>283,961,280.93</w:t>
      </w:r>
      <w:r>
        <w:rPr>
          <w:rFonts w:ascii="宋体" w:hAnsi="宋体" w:cs="宋体" w:eastAsia="宋体" w:hint="default"/>
          <w:spacing w:val="-73"/>
        </w:rPr>
        <w:t> </w:t>
      </w:r>
      <w:r>
        <w:rPr>
          <w:spacing w:val="10"/>
        </w:rPr>
        <w:t>元，</w:t>
      </w:r>
      <w:r>
        <w:rPr>
          <w:spacing w:val="-74"/>
        </w:rPr>
        <w:t> </w:t>
      </w:r>
      <w:r>
        <w:rPr>
          <w:spacing w:val="19"/>
        </w:rPr>
        <w:t>其中母公司实现净利润</w:t>
      </w:r>
      <w:r>
        <w:rPr>
          <w:spacing w:val="-70"/>
        </w:rPr>
        <w:t> </w:t>
      </w:r>
      <w:r>
        <w:rPr>
          <w:rFonts w:ascii="宋体" w:hAnsi="宋体" w:cs="宋体" w:eastAsia="宋体" w:hint="default"/>
        </w:rPr>
        <w:t>286,654,586.24</w:t>
      </w:r>
      <w:r>
        <w:rPr>
          <w:rFonts w:ascii="宋体" w:hAnsi="宋体" w:cs="宋体" w:eastAsia="宋体" w:hint="default"/>
          <w:spacing w:val="-77"/>
        </w:rPr>
        <w:t> </w:t>
      </w:r>
      <w:r>
        <w:rPr>
          <w:spacing w:val="11"/>
        </w:rPr>
        <w:t>元，</w:t>
      </w:r>
      <w:r>
        <w:rPr>
          <w:spacing w:val="-74"/>
        </w:rPr>
        <w:t> </w:t>
      </w:r>
      <w:r>
        <w:rPr>
          <w:spacing w:val="18"/>
        </w:rPr>
        <w:t>提取法定盈余公积</w:t>
      </w:r>
      <w:r>
        <w:rPr>
          <w:spacing w:val="-95"/>
        </w:rPr>
        <w:t> </w:t>
      </w:r>
      <w:r>
        <w:rPr>
          <w:spacing w:val="-95"/>
        </w:rPr>
      </w:r>
      <w:r>
        <w:rPr>
          <w:rFonts w:ascii="宋体" w:hAnsi="宋体" w:cs="宋体" w:eastAsia="宋体" w:hint="default"/>
        </w:rPr>
        <w:t>28,665,458.62</w:t>
      </w:r>
      <w:r>
        <w:rPr/>
        <w:t>元后，加年初未分配利润</w:t>
      </w:r>
      <w:r>
        <w:rPr>
          <w:rFonts w:ascii="宋体" w:hAnsi="宋体" w:cs="宋体" w:eastAsia="宋体" w:hint="default"/>
        </w:rPr>
        <w:t>447,713,040.49</w:t>
      </w:r>
      <w:r>
        <w:rPr/>
        <w:t>元，减当年已分配利润</w:t>
      </w:r>
      <w:r>
        <w:rPr>
          <w:rFonts w:ascii="宋体" w:hAnsi="宋体" w:cs="宋体" w:eastAsia="宋体" w:hint="default"/>
        </w:rPr>
        <w:t>207,611,744.00</w:t>
      </w:r>
      <w:r>
        <w:rPr>
          <w:rFonts w:ascii="宋体" w:hAnsi="宋体" w:cs="宋体" w:eastAsia="宋体" w:hint="default"/>
          <w:spacing w:val="-1"/>
        </w:rPr>
        <w:t> </w:t>
      </w:r>
      <w:r>
        <w:rPr>
          <w:rFonts w:ascii="宋体" w:hAnsi="宋体" w:cs="宋体" w:eastAsia="宋体" w:hint="default"/>
          <w:spacing w:val="-1"/>
        </w:rPr>
      </w:r>
      <w:r>
        <w:rPr/>
        <w:t>元，</w:t>
      </w:r>
      <w:r>
        <w:rPr>
          <w:rFonts w:ascii="宋体" w:hAnsi="宋体" w:cs="宋体" w:eastAsia="宋体" w:hint="default"/>
        </w:rPr>
        <w:t>2017</w:t>
      </w:r>
      <w:r>
        <w:rPr/>
        <w:t>年当年实际可供股东分配利润为</w:t>
      </w:r>
      <w:r>
        <w:rPr>
          <w:rFonts w:ascii="宋体" w:hAnsi="宋体" w:cs="宋体" w:eastAsia="宋体" w:hint="default"/>
        </w:rPr>
        <w:t>495,397,118.80</w:t>
      </w:r>
      <w:r>
        <w:rPr/>
        <w:t>元。</w:t>
      </w:r>
    </w:p>
    <w:p>
      <w:pPr>
        <w:pStyle w:val="BodyText"/>
        <w:spacing w:line="280" w:lineRule="auto" w:before="9"/>
        <w:ind w:right="128" w:firstLine="419"/>
        <w:jc w:val="both"/>
      </w:pPr>
      <w:r>
        <w:rPr>
          <w:spacing w:val="-1"/>
        </w:rPr>
        <w:t>公司以本次利润分配方案实施前的公司总股本为基数，向全体股东每</w:t>
      </w:r>
      <w:r>
        <w:rPr>
          <w:rFonts w:ascii="宋体" w:hAnsi="宋体" w:cs="宋体" w:eastAsia="宋体" w:hint="default"/>
          <w:spacing w:val="-1"/>
        </w:rPr>
        <w:t>10</w:t>
      </w:r>
      <w:r>
        <w:rPr>
          <w:spacing w:val="-1"/>
        </w:rPr>
        <w:t>股拟派发现金股利人</w:t>
      </w:r>
      <w:r>
        <w:rPr>
          <w:w w:val="100"/>
        </w:rPr>
        <w:t> </w:t>
      </w:r>
      <w:r>
        <w:rPr>
          <w:spacing w:val="-4"/>
        </w:rPr>
        <w:t>民币</w:t>
      </w:r>
      <w:r>
        <w:rPr>
          <w:rFonts w:ascii="宋体" w:hAnsi="宋体" w:cs="宋体" w:eastAsia="宋体" w:hint="default"/>
          <w:spacing w:val="-4"/>
        </w:rPr>
        <w:t>2</w:t>
      </w:r>
      <w:r>
        <w:rPr>
          <w:spacing w:val="-4"/>
        </w:rPr>
        <w:t>元（含税），共派发红利总额</w:t>
      </w:r>
      <w:r>
        <w:rPr>
          <w:rFonts w:ascii="宋体" w:hAnsi="宋体" w:cs="宋体" w:eastAsia="宋体" w:hint="default"/>
          <w:spacing w:val="-4"/>
        </w:rPr>
        <w:t>103,805,872.00</w:t>
      </w:r>
      <w:r>
        <w:rPr>
          <w:spacing w:val="-4"/>
        </w:rPr>
        <w:t>元（含税），剩余未分配利润将结转入下一年</w:t>
      </w:r>
      <w:r>
        <w:rPr>
          <w:spacing w:val="-7"/>
        </w:rPr>
        <w:t> </w:t>
      </w:r>
      <w:r>
        <w:rPr>
          <w:spacing w:val="-7"/>
        </w:rPr>
      </w:r>
      <w:r>
        <w:rPr/>
        <w:t>度。</w:t>
      </w:r>
    </w:p>
    <w:p>
      <w:pPr>
        <w:spacing w:line="240" w:lineRule="auto" w:before="3"/>
        <w:rPr>
          <w:rFonts w:ascii="宋体" w:hAnsi="宋体" w:cs="宋体" w:eastAsia="宋体" w:hint="default"/>
          <w:sz w:val="23"/>
          <w:szCs w:val="23"/>
        </w:rPr>
      </w:pPr>
    </w:p>
    <w:p>
      <w:pPr>
        <w:pStyle w:val="Heading3"/>
        <w:spacing w:line="240" w:lineRule="auto" w:before="0"/>
        <w:ind w:left="138" w:right="125"/>
        <w:jc w:val="left"/>
        <w:rPr>
          <w:b w:val="0"/>
          <w:bCs w:val="0"/>
        </w:rPr>
      </w:pPr>
      <w:r>
        <w:rPr/>
        <w:t>六、</w:t>
      </w:r>
      <w:r>
        <w:rPr>
          <w:spacing w:val="-24"/>
        </w:rPr>
        <w:t> </w:t>
      </w:r>
      <w:r>
        <w:rPr/>
        <w:t>前瞻性陈述的风险声明</w:t>
      </w:r>
      <w:r>
        <w:rPr>
          <w:b w:val="0"/>
          <w:bCs w:val="0"/>
        </w:rPr>
      </w:r>
    </w:p>
    <w:p>
      <w:pPr>
        <w:pStyle w:val="BodyText"/>
        <w:spacing w:line="307" w:lineRule="auto" w:before="133"/>
        <w:ind w:left="558" w:right="125" w:hanging="420"/>
        <w:jc w:val="left"/>
      </w:pPr>
      <w:r>
        <w:rPr/>
        <w:t>√适用</w:t>
      </w:r>
      <w:r>
        <w:rPr>
          <w:spacing w:val="-2"/>
        </w:rPr>
        <w:t> </w:t>
      </w:r>
      <w:r>
        <w:rPr/>
        <w:t>□不适用</w:t>
      </w:r>
      <w:r>
        <w:rPr>
          <w:w w:val="100"/>
        </w:rPr>
        <w:t> </w:t>
      </w:r>
      <w:r>
        <w:rPr>
          <w:spacing w:val="-2"/>
        </w:rPr>
        <w:t>本报告所涉及的公司发展战略及未来经营计划等前瞻性描述不构成公司对投资者的实质性承</w:t>
      </w:r>
    </w:p>
    <w:p>
      <w:pPr>
        <w:pStyle w:val="BodyText"/>
        <w:spacing w:line="240" w:lineRule="auto" w:before="26"/>
        <w:ind w:right="125"/>
        <w:jc w:val="left"/>
      </w:pPr>
      <w:r>
        <w:rPr/>
        <w:t>诺，敬请投资者注意投资风险。</w:t>
      </w:r>
    </w:p>
    <w:p>
      <w:pPr>
        <w:spacing w:line="240" w:lineRule="auto" w:before="2"/>
        <w:rPr>
          <w:rFonts w:ascii="宋体" w:hAnsi="宋体" w:cs="宋体" w:eastAsia="宋体" w:hint="default"/>
          <w:sz w:val="28"/>
          <w:szCs w:val="28"/>
        </w:rPr>
      </w:pPr>
    </w:p>
    <w:p>
      <w:pPr>
        <w:pStyle w:val="Heading3"/>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4"/>
        <w:rPr>
          <w:rFonts w:ascii="宋体" w:hAnsi="宋体" w:cs="宋体" w:eastAsia="宋体" w:hint="default"/>
          <w:sz w:val="14"/>
          <w:szCs w:val="14"/>
        </w:rPr>
      </w:pPr>
    </w:p>
    <w:p>
      <w:pPr>
        <w:pStyle w:val="Heading3"/>
        <w:tabs>
          <w:tab w:pos="781" w:val="left" w:leader="none"/>
        </w:tabs>
        <w:spacing w:line="355"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84" w:lineRule="exact" w:before="27"/>
        <w:ind w:left="558" w:right="133"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公司已在本报告中详细描述可能存在的相关风险，敬请查阅第四节“经营情况讨论与分析”</w:t>
      </w:r>
    </w:p>
    <w:p>
      <w:pPr>
        <w:pStyle w:val="BodyText"/>
        <w:spacing w:line="240" w:lineRule="auto" w:before="18"/>
        <w:ind w:right="125"/>
        <w:jc w:val="left"/>
      </w:pPr>
      <w:r>
        <w:rPr/>
        <w:t>中可能面对的风险等内容。</w:t>
      </w:r>
    </w:p>
    <w:p>
      <w:pPr>
        <w:spacing w:line="240" w:lineRule="auto" w:before="3"/>
        <w:rPr>
          <w:rFonts w:ascii="宋体" w:hAnsi="宋体" w:cs="宋体" w:eastAsia="宋体" w:hint="default"/>
          <w:sz w:val="26"/>
          <w:szCs w:val="26"/>
        </w:rPr>
      </w:pPr>
    </w:p>
    <w:p>
      <w:pPr>
        <w:spacing w:before="0"/>
        <w:ind w:left="138" w:right="125"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111" w:right="10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85"/>
        <w:gridCol w:w="710"/>
        <w:gridCol w:w="5255"/>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本公司、公司、发行人、新华网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控股股东、实际控制人、新华社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文产基金（有限合伙）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中国文化产业投资基金（有限合伙）</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新闻发展深圳公司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中国新闻发展深圳有限公司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南方报业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广东南方报业传媒集团有限公司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江苏广电</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江苏省广播电视集团有限公司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中信信托</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中信信托有限责任公司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皖新传媒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新华网广东有限公司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新华网四川有限公司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新华网江苏有限公司</w:t>
            </w:r>
          </w:p>
        </w:tc>
      </w:tr>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新华网股份有限公司欧洲公司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（英文名称为：</w:t>
            </w:r>
            <w:r>
              <w:rPr>
                <w:rFonts w:ascii="宋体" w:hAnsi="宋体" w:cs="宋体" w:eastAsia="宋体" w:hint="default"/>
                <w:sz w:val="21"/>
                <w:szCs w:val="21"/>
              </w:rPr>
              <w:t>XINHUANETEUROPEB.V.</w:t>
            </w:r>
            <w:r>
              <w:rPr>
                <w:rFonts w:ascii="宋体" w:hAnsi="宋体" w:cs="宋体" w:eastAsia="宋体" w:hint="default"/>
                <w:sz w:val="21"/>
                <w:szCs w:val="21"/>
              </w:rPr>
              <w:t>）</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新华网欧洲传播与运营中心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（英文名称为：</w:t>
            </w:r>
            <w:r>
              <w:rPr>
                <w:rFonts w:ascii="宋体" w:hAnsi="宋体" w:cs="宋体" w:eastAsia="宋体" w:hint="default"/>
                <w:sz w:val="21"/>
                <w:szCs w:val="21"/>
              </w:rPr>
              <w:t>XINHUANET(EU)CENTER</w:t>
            </w:r>
            <w:r>
              <w:rPr>
                <w:rFonts w:ascii="宋体" w:hAnsi="宋体" w:cs="宋体" w:eastAsia="宋体" w:hint="default"/>
                <w:sz w:val="21"/>
                <w:szCs w:val="21"/>
              </w:rPr>
              <w:t>）</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新华网北美公司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（英文名称为：</w:t>
            </w:r>
            <w:r>
              <w:rPr>
                <w:rFonts w:ascii="宋体" w:hAnsi="宋体" w:cs="宋体" w:eastAsia="宋体" w:hint="default"/>
                <w:sz w:val="21"/>
                <w:szCs w:val="21"/>
              </w:rPr>
              <w:t>XINHUANETNORTHAMERICACORPORATION</w:t>
            </w:r>
            <w:r>
              <w:rPr>
                <w:rFonts w:ascii="宋体" w:hAnsi="宋体" w:cs="宋体" w:eastAsia="宋体" w:hint="default"/>
                <w:sz w:val="21"/>
                <w:szCs w:val="21"/>
              </w:rPr>
              <w:t>）</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新 华 网 亚 太 有 限 公 司 （ 英 文 名 称 为</w:t>
            </w:r>
            <w:r>
              <w:rPr>
                <w:rFonts w:ascii="宋体" w:hAnsi="宋体" w:cs="宋体" w:eastAsia="宋体" w:hint="default"/>
                <w:spacing w:val="100"/>
                <w:sz w:val="21"/>
                <w:szCs w:val="21"/>
              </w:rPr>
              <w:t> </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XINHUANETASIAPACIFICCOMPANYLIMITED</w:t>
            </w:r>
            <w:r>
              <w:rPr>
                <w:rFonts w:ascii="宋体" w:hAnsi="宋体" w:cs="宋体" w:eastAsia="宋体" w:hint="default"/>
                <w:sz w:val="21"/>
                <w:szCs w:val="21"/>
              </w:rPr>
              <w:t>）</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新华网络有限公司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文创合伙</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新华网文投创新（天津）投资合伙企业（有限合伙）</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新华网创业投资有限公司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炫彩公司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北京炫彩融通网络科技有限公司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点滴云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北京点滴云教育科技有限公司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中证金牛（北京）投资咨询有限公司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天翼阅读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天翼阅读文化传播有限公司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银橙传媒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上海银橙文化传媒股份有限公司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新华康美健康智库股份有限公司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华强方特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深圳华强方特文化科技集团股份有限公司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道有道</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道有道（北京）科技股份有限公司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号百控股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号百控股股份有限公司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江苏瑞德信息产业有限公司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新华智云科技有限公司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亿连科技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新华网亿连（北京）科技有限责任公司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杭州阿里创业投资有限公司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数问云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杭州数问云投资合伙企业（有限合伙）</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海南亿连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海南亿连数据科技有限公司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睿至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北京睿至大数据有限公司</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5"/>
        <w:gridCol w:w="710"/>
        <w:gridCol w:w="5255"/>
      </w:tblGrid>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道易</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深圳道易互联网股权投资基金（有限合伙）</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通普泰克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通普泰克（北京）网络科技有限公司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盘古文化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盘古文化传播有限公司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快报传媒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江苏现代快报传媒有限公司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《现代金报》公司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浙江《现代金报》有限公司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新华多媒体</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北京新华多媒体数据有限公司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新媒文化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新华新媒文化传播有限公司</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中广联</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中国广告联合有限责任公司，原中国广告联合总公司</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《新华网股份有限公司章程》</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5"/>
        <w:rPr>
          <w:rFonts w:ascii="黑体" w:hAnsi="黑体" w:cs="黑体" w:eastAsia="黑体" w:hint="default"/>
          <w:b/>
          <w:bCs/>
          <w:sz w:val="16"/>
          <w:szCs w:val="16"/>
        </w:rPr>
      </w:pPr>
    </w:p>
    <w:p>
      <w:pPr>
        <w:pStyle w:val="Heading3"/>
        <w:spacing w:line="240" w:lineRule="auto"/>
        <w:ind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新华网股份有限公司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新华网</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XINHUANETCO.,LTD.</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XHW</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田舒斌</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300"/>
        <w:gridCol w:w="3260"/>
        <w:gridCol w:w="3337"/>
      </w:tblGrid>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杨庆兵</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宋波</w:t>
            </w: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北京市西城区宣武门西大街</w:t>
            </w:r>
            <w:r>
              <w:rPr>
                <w:rFonts w:ascii="宋体" w:hAnsi="宋体" w:cs="宋体" w:eastAsia="宋体" w:hint="default"/>
                <w:spacing w:val="7"/>
                <w:sz w:val="21"/>
                <w:szCs w:val="21"/>
              </w:rPr>
              <w:t>129</w:t>
            </w:r>
            <w:r>
              <w:rPr>
                <w:rFonts w:ascii="宋体" w:hAnsi="宋体" w:cs="宋体" w:eastAsia="宋体" w:hint="default"/>
                <w:spacing w:val="7"/>
                <w:sz w:val="21"/>
                <w:szCs w:val="21"/>
              </w:rPr>
              <w:t>号</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金隅大厦</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北京市西城区宣武门西大街</w:t>
            </w:r>
            <w:r>
              <w:rPr>
                <w:rFonts w:ascii="宋体" w:hAnsi="宋体" w:cs="宋体" w:eastAsia="宋体" w:hint="default"/>
                <w:sz w:val="21"/>
                <w:szCs w:val="21"/>
              </w:rPr>
              <w:t>129</w:t>
            </w:r>
            <w:r>
              <w:rPr>
                <w:rFonts w:ascii="宋体" w:hAnsi="宋体" w:cs="宋体" w:eastAsia="宋体" w:hint="default"/>
                <w:sz w:val="21"/>
                <w:szCs w:val="21"/>
              </w:rPr>
              <w:t>号金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隅大厦</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010-88050888</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010-88050888</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010-88050888</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010-88050888</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xxpl@xinhuanet.com</w:t>
              </w:r>
            </w:hyperlink>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7">
              <w:r>
                <w:rPr>
                  <w:rFonts w:ascii="宋体"/>
                  <w:sz w:val="21"/>
                </w:rPr>
                <w:t>xxpl@xinhuanet.com</w:t>
              </w:r>
            </w:hyperlink>
          </w:p>
        </w:tc>
      </w:tr>
    </w:tbl>
    <w:p>
      <w:pPr>
        <w:spacing w:line="240" w:lineRule="auto" w:before="13"/>
        <w:rPr>
          <w:rFonts w:ascii="宋体" w:hAnsi="宋体" w:cs="宋体" w:eastAsia="宋体" w:hint="default"/>
          <w:b/>
          <w:bCs/>
          <w:sz w:val="19"/>
          <w:szCs w:val="19"/>
        </w:rPr>
      </w:pPr>
    </w:p>
    <w:p>
      <w:pPr>
        <w:pStyle w:val="Heading3"/>
        <w:spacing w:line="240" w:lineRule="auto"/>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北京市大兴区北兴路（东段）</w:t>
            </w:r>
            <w:r>
              <w:rPr>
                <w:rFonts w:ascii="宋体" w:hAnsi="宋体" w:cs="宋体" w:eastAsia="宋体" w:hint="default"/>
                <w:sz w:val="21"/>
                <w:szCs w:val="21"/>
              </w:rPr>
              <w:t>2</w:t>
            </w:r>
            <w:r>
              <w:rPr>
                <w:rFonts w:ascii="宋体" w:hAnsi="宋体" w:cs="宋体" w:eastAsia="宋体" w:hint="default"/>
                <w:sz w:val="21"/>
                <w:szCs w:val="21"/>
              </w:rPr>
              <w:t>号院</w:t>
            </w:r>
            <w:r>
              <w:rPr>
                <w:rFonts w:ascii="宋体" w:hAnsi="宋体" w:cs="宋体" w:eastAsia="宋体" w:hint="default"/>
                <w:sz w:val="21"/>
                <w:szCs w:val="21"/>
              </w:rPr>
              <w:t>12</w:t>
            </w:r>
            <w:r>
              <w:rPr>
                <w:rFonts w:ascii="宋体" w:hAnsi="宋体" w:cs="宋体" w:eastAsia="宋体" w:hint="default"/>
                <w:sz w:val="21"/>
                <w:szCs w:val="21"/>
              </w:rPr>
              <w:t>号楼</w:t>
            </w:r>
            <w:r>
              <w:rPr>
                <w:rFonts w:ascii="宋体" w:hAnsi="宋体" w:cs="宋体" w:eastAsia="宋体" w:hint="default"/>
                <w:sz w:val="21"/>
                <w:szCs w:val="21"/>
              </w:rPr>
              <w:t>1-5</w:t>
            </w:r>
            <w:r>
              <w:rPr>
                <w:rFonts w:ascii="宋体" w:hAnsi="宋体" w:cs="宋体" w:eastAsia="宋体" w:hint="default"/>
                <w:sz w:val="21"/>
                <w:szCs w:val="21"/>
              </w:rPr>
              <w:t>层</w:t>
            </w:r>
            <w:r>
              <w:rPr>
                <w:rFonts w:ascii="宋体" w:hAnsi="宋体" w:cs="宋体" w:eastAsia="宋体" w:hint="default"/>
                <w:sz w:val="21"/>
                <w:szCs w:val="21"/>
              </w:rPr>
              <w:t>101</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100162</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北京市西城区宣武门西大街</w:t>
            </w:r>
            <w:r>
              <w:rPr>
                <w:rFonts w:ascii="宋体" w:hAnsi="宋体" w:cs="宋体" w:eastAsia="宋体" w:hint="default"/>
                <w:sz w:val="21"/>
                <w:szCs w:val="21"/>
              </w:rPr>
              <w:t>129</w:t>
            </w:r>
            <w:r>
              <w:rPr>
                <w:rFonts w:ascii="宋体" w:hAnsi="宋体" w:cs="宋体" w:eastAsia="宋体" w:hint="default"/>
                <w:sz w:val="21"/>
                <w:szCs w:val="21"/>
              </w:rPr>
              <w:t>号金隅大厦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sz w:val="21"/>
              </w:rPr>
              <w:t>100031</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hyperlink r:id="rId8">
              <w:r>
                <w:rPr>
                  <w:rFonts w:ascii="宋体" w:hAnsi="宋体" w:cs="宋体" w:eastAsia="宋体" w:hint="default"/>
                  <w:sz w:val="21"/>
                  <w:szCs w:val="21"/>
                </w:rPr>
                <w:t>www.xinhuanet.com</w:t>
              </w:r>
            </w:hyperlink>
            <w:r>
              <w:rPr>
                <w:rFonts w:ascii="宋体" w:hAnsi="宋体" w:cs="宋体" w:eastAsia="宋体" w:hint="default"/>
                <w:sz w:val="21"/>
                <w:szCs w:val="21"/>
              </w:rPr>
              <w:t>；</w:t>
            </w:r>
            <w:hyperlink r:id="rId9">
              <w:r>
                <w:rPr>
                  <w:rFonts w:ascii="宋体" w:hAnsi="宋体" w:cs="宋体" w:eastAsia="宋体" w:hint="default"/>
                  <w:sz w:val="21"/>
                  <w:szCs w:val="21"/>
                </w:rPr>
                <w:t>www.news.cn</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hyperlink r:id="rId7">
              <w:r>
                <w:rPr>
                  <w:rFonts w:ascii="宋体"/>
                  <w:sz w:val="21"/>
                </w:rPr>
                <w:t>xxpl@xinhuanet.com</w:t>
              </w:r>
            </w:hyperlink>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50"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77"/>
        <w:ind w:right="2465"/>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新华网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603888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b/>
          <w:bCs/>
          <w:sz w:val="20"/>
          <w:szCs w:val="20"/>
        </w:rPr>
      </w:pPr>
    </w:p>
    <w:p>
      <w:pPr>
        <w:pStyle w:val="Heading3"/>
        <w:spacing w:line="240" w:lineRule="auto"/>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093"/>
        <w:gridCol w:w="2410"/>
        <w:gridCol w:w="4547"/>
      </w:tblGrid>
      <w:tr>
        <w:trPr>
          <w:trHeight w:val="283"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聘</w:t>
            </w:r>
            <w:r>
              <w:rPr>
                <w:rFonts w:ascii="宋体" w:hAnsi="宋体" w:cs="宋体" w:eastAsia="宋体" w:hint="default"/>
                <w:spacing w:val="-78"/>
                <w:sz w:val="21"/>
                <w:szCs w:val="21"/>
              </w:rPr>
              <w:t> </w:t>
            </w:r>
            <w:r>
              <w:rPr>
                <w:rFonts w:ascii="宋体" w:hAnsi="宋体" w:cs="宋体" w:eastAsia="宋体" w:hint="default"/>
                <w:sz w:val="21"/>
                <w:szCs w:val="21"/>
              </w:rPr>
              <w:t>请</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会</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师</w:t>
            </w:r>
            <w:r>
              <w:rPr>
                <w:rFonts w:ascii="宋体" w:hAnsi="宋体" w:cs="宋体" w:eastAsia="宋体" w:hint="default"/>
                <w:w w:val="100"/>
                <w:sz w:val="21"/>
                <w:szCs w:val="21"/>
              </w:rPr>
              <w:t> </w:t>
            </w:r>
            <w:r>
              <w:rPr>
                <w:rFonts w:ascii="宋体" w:hAnsi="宋体" w:cs="宋体" w:eastAsia="宋体" w:hint="default"/>
                <w:sz w:val="21"/>
                <w:szCs w:val="21"/>
              </w:rPr>
              <w:t>事务所（境内）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2093"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4"/>
                <w:sz w:val="21"/>
                <w:szCs w:val="21"/>
              </w:rPr>
              <w:t> </w:t>
            </w:r>
            <w:r>
              <w:rPr>
                <w:rFonts w:ascii="宋体" w:hAnsi="宋体" w:cs="宋体" w:eastAsia="宋体" w:hint="default"/>
                <w:sz w:val="21"/>
                <w:szCs w:val="21"/>
              </w:rPr>
              <w:t>号院</w:t>
            </w:r>
            <w:r>
              <w:rPr>
                <w:rFonts w:ascii="宋体" w:hAnsi="宋体" w:cs="宋体" w:eastAsia="宋体" w:hint="default"/>
                <w:spacing w:val="-72"/>
                <w:sz w:val="21"/>
                <w:szCs w:val="21"/>
              </w:rPr>
              <w:t> </w:t>
            </w:r>
            <w:r>
              <w:rPr>
                <w:rFonts w:ascii="宋体" w:hAnsi="宋体" w:cs="宋体" w:eastAsia="宋体" w:hint="default"/>
                <w:sz w:val="21"/>
                <w:szCs w:val="21"/>
              </w:rPr>
              <w:t>7</w:t>
            </w:r>
            <w:r>
              <w:rPr>
                <w:rFonts w:ascii="宋体" w:hAnsi="宋体" w:cs="宋体" w:eastAsia="宋体" w:hint="default"/>
                <w:spacing w:val="-74"/>
                <w:sz w:val="21"/>
                <w:szCs w:val="21"/>
              </w:rPr>
              <w:t> </w:t>
            </w:r>
            <w:r>
              <w:rPr>
                <w:rFonts w:ascii="宋体" w:hAnsi="宋体" w:cs="宋体" w:eastAsia="宋体" w:hint="default"/>
                <w:sz w:val="21"/>
                <w:szCs w:val="21"/>
              </w:rPr>
              <w:t>号楼中海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地产广场西塔</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284" w:hRule="exact"/>
        </w:trPr>
        <w:tc>
          <w:tcPr>
            <w:tcW w:w="2093"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刘国源、潘守卫</w:t>
            </w:r>
          </w:p>
        </w:tc>
      </w:tr>
      <w:tr>
        <w:trPr>
          <w:trHeight w:val="281"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72" w:lineRule="exact"/>
              <w:ind w:left="103" w:right="100"/>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78"/>
                <w:sz w:val="21"/>
                <w:szCs w:val="21"/>
              </w:rPr>
              <w:t> </w:t>
            </w:r>
            <w:r>
              <w:rPr>
                <w:rFonts w:ascii="宋体" w:hAnsi="宋体" w:cs="宋体" w:eastAsia="宋体" w:hint="default"/>
                <w:sz w:val="21"/>
                <w:szCs w:val="21"/>
              </w:rPr>
              <w:t>告</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履</w:t>
            </w:r>
            <w:r>
              <w:rPr>
                <w:rFonts w:ascii="宋体" w:hAnsi="宋体" w:cs="宋体" w:eastAsia="宋体" w:hint="default"/>
                <w:spacing w:val="-78"/>
                <w:sz w:val="21"/>
                <w:szCs w:val="21"/>
              </w:rPr>
              <w:t> </w:t>
            </w:r>
            <w:r>
              <w:rPr>
                <w:rFonts w:ascii="宋体" w:hAnsi="宋体" w:cs="宋体" w:eastAsia="宋体" w:hint="default"/>
                <w:sz w:val="21"/>
                <w:szCs w:val="21"/>
              </w:rPr>
              <w:t>行</w:t>
            </w:r>
            <w:r>
              <w:rPr>
                <w:rFonts w:ascii="宋体" w:hAnsi="宋体" w:cs="宋体" w:eastAsia="宋体" w:hint="default"/>
                <w:spacing w:val="-78"/>
                <w:sz w:val="21"/>
                <w:szCs w:val="21"/>
              </w:rPr>
              <w:t> </w:t>
            </w:r>
            <w:r>
              <w:rPr>
                <w:rFonts w:ascii="宋体" w:hAnsi="宋体" w:cs="宋体" w:eastAsia="宋体" w:hint="default"/>
                <w:sz w:val="21"/>
                <w:szCs w:val="21"/>
              </w:rPr>
              <w:t>持</w:t>
            </w:r>
            <w:r>
              <w:rPr>
                <w:rFonts w:ascii="宋体" w:hAnsi="宋体" w:cs="宋体" w:eastAsia="宋体" w:hint="default"/>
                <w:spacing w:val="-76"/>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督</w:t>
            </w:r>
            <w:r>
              <w:rPr>
                <w:rFonts w:ascii="宋体" w:hAnsi="宋体" w:cs="宋体" w:eastAsia="宋体" w:hint="default"/>
                <w:spacing w:val="-78"/>
                <w:sz w:val="21"/>
                <w:szCs w:val="21"/>
              </w:rPr>
              <w:t> </w:t>
            </w:r>
            <w:r>
              <w:rPr>
                <w:rFonts w:ascii="宋体" w:hAnsi="宋体" w:cs="宋体" w:eastAsia="宋体" w:hint="default"/>
                <w:sz w:val="21"/>
                <w:szCs w:val="21"/>
              </w:rPr>
              <w:t>导</w:t>
            </w:r>
            <w:r>
              <w:rPr>
                <w:rFonts w:ascii="宋体" w:hAnsi="宋体" w:cs="宋体" w:eastAsia="宋体" w:hint="default"/>
                <w:spacing w:val="-76"/>
                <w:sz w:val="21"/>
                <w:szCs w:val="21"/>
              </w:rPr>
              <w:t> </w:t>
            </w:r>
            <w:r>
              <w:rPr>
                <w:rFonts w:ascii="宋体" w:hAnsi="宋体" w:cs="宋体" w:eastAsia="宋体" w:hint="default"/>
                <w:sz w:val="21"/>
                <w:szCs w:val="21"/>
              </w:rPr>
              <w:t>职</w:t>
            </w:r>
            <w:r>
              <w:rPr>
                <w:rFonts w:ascii="宋体" w:hAnsi="宋体" w:cs="宋体" w:eastAsia="宋体" w:hint="default"/>
                <w:spacing w:val="-78"/>
                <w:sz w:val="21"/>
                <w:szCs w:val="21"/>
              </w:rPr>
              <w:t> </w:t>
            </w:r>
            <w:r>
              <w:rPr>
                <w:rFonts w:ascii="宋体" w:hAnsi="宋体" w:cs="宋体" w:eastAsia="宋体" w:hint="default"/>
                <w:sz w:val="21"/>
                <w:szCs w:val="21"/>
              </w:rPr>
              <w:t>责</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荐</w:t>
            </w:r>
            <w:r>
              <w:rPr>
                <w:rFonts w:ascii="宋体" w:hAnsi="宋体" w:cs="宋体" w:eastAsia="宋体" w:hint="default"/>
                <w:spacing w:val="-76"/>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p>
        </w:tc>
      </w:tr>
      <w:tr>
        <w:trPr>
          <w:trHeight w:val="554" w:hRule="exact"/>
        </w:trPr>
        <w:tc>
          <w:tcPr>
            <w:tcW w:w="2093"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20"/>
                <w:sz w:val="21"/>
                <w:szCs w:val="21"/>
              </w:rPr>
              <w:t> </w:t>
            </w:r>
            <w:r>
              <w:rPr>
                <w:rFonts w:ascii="宋体" w:hAnsi="宋体" w:cs="宋体" w:eastAsia="宋体" w:hint="default"/>
                <w:sz w:val="21"/>
                <w:szCs w:val="21"/>
              </w:rPr>
              <w:t>1</w:t>
            </w:r>
            <w:r>
              <w:rPr>
                <w:rFonts w:ascii="宋体" w:hAnsi="宋体" w:cs="宋体" w:eastAsia="宋体" w:hint="default"/>
                <w:spacing w:val="-20"/>
                <w:sz w:val="21"/>
                <w:szCs w:val="21"/>
              </w:rPr>
              <w:t> </w:t>
            </w:r>
            <w:r>
              <w:rPr>
                <w:rFonts w:ascii="宋体" w:hAnsi="宋体" w:cs="宋体" w:eastAsia="宋体" w:hint="default"/>
                <w:sz w:val="21"/>
                <w:szCs w:val="21"/>
              </w:rPr>
              <w:t>号国贸大厦</w:t>
            </w:r>
            <w:r>
              <w:rPr>
                <w:rFonts w:ascii="宋体" w:hAnsi="宋体" w:cs="宋体" w:eastAsia="宋体" w:hint="default"/>
                <w:spacing w:val="-21"/>
                <w:sz w:val="21"/>
                <w:szCs w:val="21"/>
              </w:rPr>
              <w:t> </w:t>
            </w:r>
            <w:r>
              <w:rPr>
                <w:rFonts w:ascii="宋体" w:hAnsi="宋体" w:cs="宋体" w:eastAsia="宋体" w:hint="default"/>
                <w:sz w:val="21"/>
                <w:szCs w:val="21"/>
              </w:rPr>
              <w:t>2</w:t>
            </w:r>
            <w:r>
              <w:rPr>
                <w:rFonts w:ascii="宋体" w:hAnsi="宋体" w:cs="宋体" w:eastAsia="宋体" w:hint="default"/>
                <w:spacing w:val="-20"/>
                <w:sz w:val="21"/>
                <w:szCs w:val="21"/>
              </w:rPr>
              <w:t> </w:t>
            </w:r>
            <w:r>
              <w:rPr>
                <w:rFonts w:ascii="宋体" w:hAnsi="宋体" w:cs="宋体" w:eastAsia="宋体" w:hint="default"/>
                <w:sz w:val="21"/>
                <w:szCs w:val="21"/>
              </w:rPr>
              <w:t>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z w:val="21"/>
                <w:szCs w:val="21"/>
              </w:rPr>
              <w:t>层及</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3" w:hRule="exact"/>
        </w:trPr>
        <w:tc>
          <w:tcPr>
            <w:tcW w:w="2093" w:type="dxa"/>
            <w:vMerge/>
            <w:tcBorders>
              <w:left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姚旭东、赵沛霖</w:t>
            </w:r>
          </w:p>
        </w:tc>
      </w:tr>
      <w:tr>
        <w:trPr>
          <w:trHeight w:val="283" w:hRule="exact"/>
        </w:trPr>
        <w:tc>
          <w:tcPr>
            <w:tcW w:w="2093"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3"/>
        <w:spacing w:line="240" w:lineRule="auto"/>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75"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751"/>
            <w:col w:w="2872"/>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951"/>
        <w:gridCol w:w="1983"/>
        <w:gridCol w:w="2038"/>
        <w:gridCol w:w="1181"/>
        <w:gridCol w:w="1897"/>
      </w:tblGrid>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321" w:right="163" w:hanging="159"/>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1,502,417,012.25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1,361,356,934.31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10.36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997,533,568.00</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283,961,280.93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280,136,840.40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1.37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262,338,152.54</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166,269,682.42</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274,057,845.33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-39.33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254,416,244.06</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213,138,551.46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306,479,308.67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-30.46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274,762,420.89</w:t>
            </w:r>
          </w:p>
        </w:tc>
      </w:tr>
      <w:tr>
        <w:trPr>
          <w:trHeight w:val="1100"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9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163" w:right="163"/>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2,729,190,530.59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2,358,058,085.21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15.74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1,065,210,257.28</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3,760,046,635.79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3,282,871,188.53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14.54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1,762,830,019.39</w:t>
            </w:r>
          </w:p>
        </w:tc>
      </w:tr>
    </w:tbl>
    <w:p>
      <w:pPr>
        <w:spacing w:line="240" w:lineRule="auto" w:before="12"/>
        <w:rPr>
          <w:rFonts w:ascii="宋体" w:hAnsi="宋体" w:cs="宋体" w:eastAsia="宋体" w:hint="default"/>
          <w:sz w:val="19"/>
          <w:szCs w:val="19"/>
        </w:rPr>
      </w:pPr>
    </w:p>
    <w:p>
      <w:pPr>
        <w:pStyle w:val="Heading3"/>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0.55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0.68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sz w:val="21"/>
              </w:rPr>
              <w:t>-19.12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0.67</w:t>
            </w:r>
          </w:p>
        </w:tc>
      </w:tr>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0.68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-19.12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0.67</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0.67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-52.24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0.64</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11.10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19.78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8.68</w:t>
            </w:r>
            <w:r>
              <w:rPr>
                <w:rFonts w:ascii="宋体" w:hAnsi="宋体" w:cs="宋体" w:eastAsia="宋体" w:hint="default"/>
                <w:sz w:val="21"/>
                <w:szCs w:val="21"/>
              </w:rPr>
              <w:t>个百</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z w:val="21"/>
              </w:rPr>
              <w:t>28.11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19.45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12.95</w:t>
            </w:r>
            <w:r>
              <w:rPr>
                <w:rFonts w:ascii="宋体" w:hAnsi="宋体" w:cs="宋体" w:eastAsia="宋体" w:hint="default"/>
                <w:sz w:val="21"/>
                <w:szCs w:val="21"/>
              </w:rPr>
              <w:t>个</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1"/>
              <w:jc w:val="right"/>
              <w:rPr>
                <w:rFonts w:ascii="宋体" w:hAnsi="宋体" w:cs="宋体" w:eastAsia="宋体" w:hint="default"/>
                <w:sz w:val="21"/>
                <w:szCs w:val="21"/>
              </w:rPr>
            </w:pPr>
            <w:r>
              <w:rPr>
                <w:rFonts w:ascii="宋体"/>
                <w:sz w:val="21"/>
              </w:rPr>
              <w:t>26.8</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2465"/>
        <w:jc w:val="left"/>
      </w:pPr>
      <w:r>
        <w:rPr/>
        <w:t>报告期末公司前三年主要会计数据和财务指标的说明</w:t>
      </w:r>
    </w:p>
    <w:p>
      <w:pPr>
        <w:pStyle w:val="BodyText"/>
        <w:spacing w:line="272" w:lineRule="exact"/>
        <w:ind w:left="218" w:right="2465"/>
        <w:jc w:val="left"/>
      </w:pPr>
      <w:r>
        <w:rPr/>
        <w:t>√适用</w:t>
      </w:r>
      <w:r>
        <w:rPr>
          <w:spacing w:val="-1"/>
        </w:rPr>
        <w:t> </w:t>
      </w:r>
      <w:r>
        <w:rPr/>
        <w:t>□不适用</w:t>
      </w:r>
    </w:p>
    <w:p>
      <w:pPr>
        <w:pStyle w:val="BodyText"/>
        <w:spacing w:line="357" w:lineRule="auto"/>
        <w:ind w:left="218" w:right="237" w:firstLine="419"/>
        <w:jc w:val="both"/>
      </w:pPr>
      <w:r>
        <w:rPr>
          <w:rFonts w:ascii="宋体" w:hAnsi="宋体" w:cs="宋体" w:eastAsia="宋体" w:hint="default"/>
        </w:rPr>
        <w:t>1</w:t>
      </w:r>
      <w:r>
        <w:rPr/>
        <w:t>、归属于上市公司股东的扣除非经常性损益的净利润较上年同期下降</w:t>
      </w:r>
      <w:r>
        <w:rPr>
          <w:spacing w:val="-57"/>
        </w:rPr>
        <w:t> </w:t>
      </w:r>
      <w:r>
        <w:rPr>
          <w:rFonts w:ascii="宋体" w:hAnsi="宋体" w:cs="宋体" w:eastAsia="宋体" w:hint="default"/>
        </w:rPr>
        <w:t>39.33%</w:t>
      </w:r>
      <w:r>
        <w:rPr/>
        <w:t>，系公司为提</w:t>
      </w:r>
      <w:r>
        <w:rPr>
          <w:w w:val="100"/>
        </w:rPr>
        <w:t> </w:t>
      </w:r>
      <w:r>
        <w:rPr>
          <w:spacing w:val="-2"/>
        </w:rPr>
        <w:t>升科技竞争力、经营升级和可持续发展，本年度加大了高端人才引进以及科技研发投入力度导致</w:t>
      </w:r>
      <w:r>
        <w:rPr>
          <w:spacing w:val="-25"/>
        </w:rPr>
        <w:t> </w:t>
      </w:r>
      <w:r>
        <w:rPr>
          <w:spacing w:val="-25"/>
        </w:rPr>
      </w:r>
      <w:r>
        <w:rPr>
          <w:spacing w:val="-2"/>
        </w:rPr>
        <w:t>这方面成本较大增长，本期非经常性损益“取得合营企业股权投资成本低于享有被投资单位可辨</w:t>
      </w:r>
      <w:r>
        <w:rPr>
          <w:spacing w:val="-25"/>
        </w:rPr>
        <w:t> </w:t>
      </w:r>
      <w:r>
        <w:rPr>
          <w:spacing w:val="-25"/>
        </w:rPr>
      </w:r>
      <w:r>
        <w:rPr>
          <w:spacing w:val="-2"/>
        </w:rPr>
        <w:t>认净资产公允价值的收益”较去年同比大幅增加所致，详见本报告第十一节、七、</w:t>
      </w:r>
      <w:r>
        <w:rPr>
          <w:rFonts w:ascii="宋体" w:hAnsi="宋体" w:cs="宋体" w:eastAsia="宋体" w:hint="default"/>
          <w:spacing w:val="-2"/>
        </w:rPr>
        <w:t>17</w:t>
      </w:r>
      <w:r>
        <w:rPr>
          <w:spacing w:val="-2"/>
        </w:rPr>
        <w:t>、长期股权</w:t>
      </w:r>
      <w:r>
        <w:rPr>
          <w:spacing w:val="-23"/>
        </w:rPr>
        <w:t> </w:t>
      </w:r>
      <w:r>
        <w:rPr>
          <w:spacing w:val="-23"/>
        </w:rPr>
      </w:r>
      <w:r>
        <w:rPr/>
        <w:t>投资；</w:t>
      </w:r>
    </w:p>
    <w:p>
      <w:pPr>
        <w:pStyle w:val="BodyText"/>
        <w:spacing w:line="355" w:lineRule="auto" w:before="30"/>
        <w:ind w:left="218" w:right="228" w:firstLine="419"/>
        <w:jc w:val="both"/>
      </w:pPr>
      <w:r>
        <w:rPr>
          <w:rFonts w:ascii="宋体" w:hAnsi="宋体" w:cs="宋体" w:eastAsia="宋体" w:hint="default"/>
          <w:spacing w:val="-4"/>
        </w:rPr>
        <w:t>2</w:t>
      </w:r>
      <w:r>
        <w:rPr>
          <w:spacing w:val="-4"/>
        </w:rPr>
        <w:t>、报告期公司经营活动产生的现金流量净额较上年同期下降</w:t>
      </w:r>
      <w:r>
        <w:rPr>
          <w:spacing w:val="-13"/>
        </w:rPr>
        <w:t> </w:t>
      </w:r>
      <w:r>
        <w:rPr>
          <w:rFonts w:ascii="宋体" w:hAnsi="宋体" w:cs="宋体" w:eastAsia="宋体" w:hint="default"/>
          <w:spacing w:val="-6"/>
        </w:rPr>
        <w:t>30.46%</w:t>
      </w:r>
      <w:r>
        <w:rPr>
          <w:spacing w:val="-6"/>
        </w:rPr>
        <w:t>，主要系业务规模扩张，</w:t>
      </w:r>
      <w:r>
        <w:rPr>
          <w:w w:val="100"/>
        </w:rPr>
        <w:t> </w:t>
      </w:r>
      <w:r>
        <w:rPr/>
        <w:t>支付业务成本、人工费、房租费、研发费用大幅增加所致；</w:t>
      </w:r>
    </w:p>
    <w:p>
      <w:pPr>
        <w:pStyle w:val="BodyText"/>
        <w:spacing w:line="357" w:lineRule="auto" w:before="32"/>
        <w:ind w:left="218" w:right="228" w:firstLine="419"/>
        <w:jc w:val="both"/>
      </w:pPr>
      <w:r>
        <w:rPr>
          <w:rFonts w:ascii="宋体" w:hAnsi="宋体" w:cs="宋体" w:eastAsia="宋体" w:hint="default"/>
        </w:rPr>
        <w:t>3</w:t>
      </w:r>
      <w:r>
        <w:rPr/>
        <w:t>、扣除非经常性损益后的基本每股收益较上年同期下降</w:t>
      </w:r>
      <w:r>
        <w:rPr>
          <w:spacing w:val="-57"/>
        </w:rPr>
        <w:t> </w:t>
      </w:r>
      <w:r>
        <w:rPr>
          <w:rFonts w:ascii="宋体" w:hAnsi="宋体" w:cs="宋体" w:eastAsia="宋体" w:hint="default"/>
        </w:rPr>
        <w:t>52.24%</w:t>
      </w:r>
      <w:r>
        <w:rPr/>
        <w:t>，主要系本期公司非经常性</w:t>
      </w:r>
      <w:r>
        <w:rPr>
          <w:w w:val="100"/>
        </w:rPr>
        <w:t> </w:t>
      </w:r>
      <w:r>
        <w:rPr>
          <w:spacing w:val="-6"/>
          <w:w w:val="100"/>
        </w:rPr>
        <w:t>损益金额较上年同期上涨幅度较大，以及业务规模扩张，相关业务成本支出及费用大幅增加所致，</w:t>
      </w:r>
      <w:r>
        <w:rPr>
          <w:w w:val="100"/>
        </w:rPr>
        <w:t> </w:t>
      </w:r>
      <w:r>
        <w:rPr/>
        <w:t>详见本报告第十一节、十八、</w:t>
      </w:r>
      <w:r>
        <w:rPr>
          <w:rFonts w:ascii="宋体" w:hAnsi="宋体" w:cs="宋体" w:eastAsia="宋体" w:hint="default"/>
        </w:rPr>
        <w:t>1</w:t>
      </w:r>
      <w:r>
        <w:rPr/>
        <w:t>、当期非经常性损益明细表；</w:t>
      </w:r>
    </w:p>
    <w:p>
      <w:pPr>
        <w:pStyle w:val="BodyText"/>
        <w:spacing w:line="357" w:lineRule="auto" w:before="30"/>
        <w:ind w:left="218" w:right="227" w:firstLine="419"/>
        <w:jc w:val="both"/>
      </w:pPr>
      <w:r>
        <w:rPr>
          <w:rFonts w:ascii="宋体" w:hAnsi="宋体" w:cs="宋体" w:eastAsia="宋体" w:hint="default"/>
          <w:spacing w:val="-5"/>
        </w:rPr>
        <w:t>4</w:t>
      </w:r>
      <w:r>
        <w:rPr>
          <w:spacing w:val="-5"/>
        </w:rPr>
        <w:t>、归属于上市公司股东的净资产、总资产增加原因：主要是由于</w:t>
      </w:r>
      <w:r>
        <w:rPr>
          <w:spacing w:val="-42"/>
        </w:rPr>
        <w:t> </w:t>
      </w:r>
      <w:r>
        <w:rPr>
          <w:rFonts w:ascii="宋体" w:hAnsi="宋体" w:cs="宋体" w:eastAsia="宋体" w:hint="default"/>
        </w:rPr>
        <w:t>2016</w:t>
      </w:r>
      <w:r>
        <w:rPr>
          <w:rFonts w:ascii="宋体" w:hAnsi="宋体" w:cs="宋体" w:eastAsia="宋体" w:hint="default"/>
          <w:spacing w:val="-45"/>
        </w:rPr>
        <w:t> </w:t>
      </w:r>
      <w:r>
        <w:rPr/>
        <w:t>年</w:t>
      </w:r>
      <w:r>
        <w:rPr>
          <w:spacing w:val="-41"/>
        </w:rPr>
        <w:t> </w:t>
      </w:r>
      <w:r>
        <w:rPr>
          <w:rFonts w:ascii="宋体" w:hAnsi="宋体" w:cs="宋体" w:eastAsia="宋体" w:hint="default"/>
        </w:rPr>
        <w:t>10</w:t>
      </w:r>
      <w:r>
        <w:rPr>
          <w:rFonts w:ascii="宋体" w:hAnsi="宋体" w:cs="宋体" w:eastAsia="宋体" w:hint="default"/>
          <w:spacing w:val="-45"/>
        </w:rPr>
        <w:t> </w:t>
      </w:r>
      <w:r>
        <w:rPr/>
        <w:t>月公司上市募集</w:t>
      </w:r>
      <w:r>
        <w:rPr>
          <w:w w:val="100"/>
        </w:rPr>
        <w:t> </w:t>
      </w:r>
      <w:r>
        <w:rPr/>
        <w:t>资金增加，以及经营业务积累，导致总资产、净资产增加所致。</w:t>
      </w:r>
    </w:p>
    <w:p>
      <w:pPr>
        <w:spacing w:line="240" w:lineRule="auto" w:before="11"/>
        <w:rPr>
          <w:rFonts w:ascii="宋体" w:hAnsi="宋体" w:cs="宋体" w:eastAsia="宋体" w:hint="default"/>
          <w:sz w:val="27"/>
          <w:szCs w:val="27"/>
        </w:rPr>
      </w:pPr>
    </w:p>
    <w:p>
      <w:pPr>
        <w:pStyle w:val="Heading3"/>
        <w:spacing w:line="240" w:lineRule="auto" w:before="0"/>
        <w:ind w:right="2465"/>
        <w:jc w:val="left"/>
        <w:rPr>
          <w:b w:val="0"/>
          <w:bCs w:val="0"/>
        </w:rPr>
      </w:pPr>
      <w:r>
        <w:rPr/>
        <w:t>八、</w:t>
      </w:r>
      <w:r>
        <w:rPr>
          <w:spacing w:val="-32"/>
        </w:rPr>
        <w:t> </w:t>
      </w:r>
      <w:r>
        <w:rPr/>
        <w:t>境内外会计准则下会计数据差异</w:t>
      </w:r>
      <w:r>
        <w:rPr>
          <w:b w:val="0"/>
          <w:bCs w:val="0"/>
        </w:rPr>
      </w:r>
    </w:p>
    <w:p>
      <w:pPr>
        <w:pStyle w:val="Heading3"/>
        <w:spacing w:line="274" w:lineRule="exact" w:before="82"/>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218" w:right="2465"/>
        <w:jc w:val="left"/>
      </w:pPr>
      <w:r>
        <w:rPr/>
        <w:t>□适用</w:t>
      </w:r>
      <w:r>
        <w:rPr>
          <w:spacing w:val="-1"/>
        </w:rPr>
        <w:t> </w:t>
      </w:r>
      <w:r>
        <w:rPr/>
        <w:t>√不适用</w:t>
      </w:r>
    </w:p>
    <w:p>
      <w:pPr>
        <w:pStyle w:val="Heading3"/>
        <w:spacing w:line="272" w:lineRule="exact" w:before="86"/>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left="218" w:right="2465"/>
        <w:jc w:val="left"/>
      </w:pPr>
      <w:r>
        <w:rPr/>
        <w:t>□适用</w:t>
      </w:r>
      <w:r>
        <w:rPr>
          <w:spacing w:val="-1"/>
        </w:rPr>
        <w:t> </w:t>
      </w:r>
      <w:r>
        <w:rPr/>
        <w:t>√不适用</w:t>
      </w:r>
    </w:p>
    <w:p>
      <w:pPr>
        <w:pStyle w:val="Heading3"/>
        <w:spacing w:line="240" w:lineRule="auto" w:before="57"/>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right="2465"/>
        <w:jc w:val="left"/>
        <w:rPr>
          <w:b w:val="0"/>
          <w:bCs w:val="0"/>
        </w:rPr>
      </w:pPr>
      <w:r>
        <w:rPr/>
        <w:t>九、 </w:t>
      </w:r>
      <w:r>
        <w:rPr>
          <w:rFonts w:ascii="宋体" w:hAnsi="宋体" w:cs="宋体" w:eastAsia="宋体" w:hint="default"/>
        </w:rPr>
        <w:t>2017</w:t>
      </w:r>
      <w:r>
        <w:rPr>
          <w:rFonts w:ascii="宋体" w:hAnsi="宋体" w:cs="宋体" w:eastAsia="宋体" w:hint="default"/>
          <w:spacing w:val="-86"/>
        </w:rPr>
        <w:t> </w:t>
      </w:r>
      <w:r>
        <w:rPr/>
        <w:t>年分季度主要财务数据</w:t>
      </w:r>
      <w:r>
        <w:rPr>
          <w:b w:val="0"/>
          <w:bCs w:val="0"/>
        </w:rPr>
      </w:r>
    </w:p>
    <w:p>
      <w:pPr>
        <w:pStyle w:val="BodyText"/>
        <w:tabs>
          <w:tab w:pos="1157"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206,560,034.19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356,285,125.52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339,004,848.17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600,567,004.37</w:t>
            </w:r>
          </w:p>
        </w:tc>
      </w:tr>
      <w:tr>
        <w:trPr>
          <w:trHeight w:val="557"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20,942,803.00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86,113,802.82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63,777,174.89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113,127,500.22</w:t>
            </w:r>
          </w:p>
        </w:tc>
      </w:tr>
      <w:tr>
        <w:trPr>
          <w:trHeight w:val="82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18,370,753.41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56,446,395.86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18,959,518.18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72,493,014.97</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-46,531,067.98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71,525,585.26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-17,812,136.21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205,956,170.39</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80" w:right="1040"/>
        </w:sectPr>
      </w:pPr>
    </w:p>
    <w:p>
      <w:pPr>
        <w:pStyle w:val="BodyText"/>
        <w:spacing w:line="240" w:lineRule="exact"/>
        <w:ind w:left="218" w:right="0"/>
        <w:jc w:val="left"/>
      </w:pPr>
      <w:r>
        <w:rPr>
          <w:spacing w:val="-2"/>
        </w:rPr>
        <w:t>季度数据与已披露定期报告数据差异说明</w:t>
      </w:r>
    </w:p>
    <w:p>
      <w:pPr>
        <w:pStyle w:val="BodyText"/>
        <w:tabs>
          <w:tab w:pos="1060" w:val="left" w:leader="none"/>
        </w:tabs>
        <w:spacing w:line="274" w:lineRule="exact"/>
        <w:ind w:left="218" w:right="0"/>
        <w:jc w:val="left"/>
      </w:pPr>
      <w:r>
        <w:rPr>
          <w:spacing w:val="-1"/>
        </w:rPr>
        <w:t>□适用</w:t>
        <w:tab/>
      </w:r>
      <w:r>
        <w:rPr>
          <w:spacing w:val="-2"/>
        </w:rPr>
        <w:t>√不适用</w:t>
      </w:r>
    </w:p>
    <w:p>
      <w:pPr>
        <w:pStyle w:val="Heading3"/>
        <w:spacing w:line="240" w:lineRule="auto" w:before="56"/>
        <w:ind w:right="0"/>
        <w:jc w:val="left"/>
        <w:rPr>
          <w:b w:val="0"/>
          <w:bCs w:val="0"/>
        </w:rPr>
      </w:pPr>
      <w:r>
        <w:rPr/>
        <w:t>十、</w:t>
      </w:r>
      <w:r>
        <w:rPr>
          <w:spacing w:val="-31"/>
        </w:rPr>
        <w:t> </w:t>
      </w:r>
      <w:r>
        <w:rPr/>
        <w:t>非经常性损益项目和金额</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004" w:space="2623"/>
            <w:col w:w="266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5"/>
        <w:gridCol w:w="1688"/>
        <w:gridCol w:w="1154"/>
        <w:gridCol w:w="1477"/>
        <w:gridCol w:w="1476"/>
      </w:tblGrid>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2"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42,177,325.52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34,912.91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-609,618.23</w:t>
            </w: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10,858,883.29</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6,202,000.00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7,633,486.76</w:t>
            </w: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before="2"/>
              <w:ind w:left="103" w:right="194"/>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37,118,039.94</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194"/>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26,187,941.49</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7"/>
              <w:ind w:left="103" w:right="194"/>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5"/>
        <w:gridCol w:w="1688"/>
        <w:gridCol w:w="1154"/>
        <w:gridCol w:w="1477"/>
        <w:gridCol w:w="1476"/>
      </w:tblGrid>
      <w:tr>
        <w:trPr>
          <w:trHeight w:val="557"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要求对当期损益进行一次性调整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对当期损益的影响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-143,199.42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-157,917.84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898,039.95</w:t>
            </w: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2,352,198.77</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-761,273.16</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-98,317.92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117,691,598.51</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6,078,995.07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7,921,908.48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1040"/>
        </w:sectPr>
      </w:pPr>
    </w:p>
    <w:p>
      <w:pPr>
        <w:pStyle w:val="Heading3"/>
        <w:tabs>
          <w:tab w:pos="1057" w:val="left" w:leader="none"/>
        </w:tabs>
        <w:spacing w:line="240" w:lineRule="auto"/>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7"/>
        <w:ind w:left="218"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9" w:space="3039"/>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223,736,415.88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193,020,296.14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-30,716,119.74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-14,144,629.61</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223,736,415.88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193,020,296.14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-30,716,119.74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-14,144,629.61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tabs>
          <w:tab w:pos="1057" w:val="left" w:leader="none"/>
        </w:tabs>
        <w:spacing w:line="240" w:lineRule="auto"/>
        <w:ind w:right="-18"/>
        <w:jc w:val="left"/>
        <w:rPr>
          <w:b w:val="0"/>
          <w:bCs w:val="0"/>
        </w:rPr>
      </w:pPr>
      <w:r>
        <w:rPr/>
        <w:t>十二、</w:t>
        <w:tab/>
        <w:t>其他</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478" w:val="left" w:leader="none"/>
        </w:tabs>
        <w:spacing w:line="240" w:lineRule="auto" w:before="0"/>
        <w:ind w:left="21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580" w:right="1040"/>
          <w:cols w:num="2" w:equalWidth="0">
            <w:col w:w="1795" w:space="1148"/>
            <w:col w:w="6347"/>
          </w:cols>
        </w:sectPr>
      </w:pPr>
    </w:p>
    <w:p>
      <w:pPr>
        <w:spacing w:line="240" w:lineRule="auto" w:before="8"/>
        <w:rPr>
          <w:rFonts w:ascii="黑体" w:hAnsi="黑体" w:cs="黑体" w:eastAsia="黑体" w:hint="default"/>
          <w:b/>
          <w:bCs/>
          <w:sz w:val="16"/>
          <w:szCs w:val="16"/>
        </w:rPr>
      </w:pPr>
    </w:p>
    <w:p>
      <w:pPr>
        <w:pStyle w:val="Heading3"/>
        <w:spacing w:line="240" w:lineRule="auto"/>
        <w:ind w:right="0"/>
        <w:jc w:val="both"/>
        <w:rPr>
          <w:b w:val="0"/>
          <w:bCs w:val="0"/>
        </w:rPr>
      </w:pPr>
      <w:r>
        <w:rPr/>
        <w:t>一、报告期内公司所从事的主要业务、经营模式及行业情况说明</w:t>
      </w:r>
      <w:r>
        <w:rPr>
          <w:b w:val="0"/>
          <w:bCs w:val="0"/>
        </w:rPr>
      </w:r>
    </w:p>
    <w:p>
      <w:pPr>
        <w:pStyle w:val="BodyText"/>
        <w:spacing w:line="350" w:lineRule="auto" w:before="166"/>
        <w:ind w:left="638" w:right="227"/>
        <w:jc w:val="left"/>
      </w:pPr>
      <w:r>
        <w:rPr/>
        <w:t>（一）公司主要业务及经营模式说明</w:t>
      </w:r>
      <w:r>
        <w:rPr>
          <w:w w:val="100"/>
        </w:rPr>
        <w:t> </w:t>
      </w:r>
      <w:r>
        <w:rPr>
          <w:spacing w:val="-2"/>
        </w:rPr>
        <w:t>公司是由新华社控股的传媒文化上市公司，是新华社构建“网上通讯社”的重要组成部分和</w:t>
      </w:r>
    </w:p>
    <w:p>
      <w:pPr>
        <w:pStyle w:val="BodyText"/>
        <w:spacing w:line="350" w:lineRule="auto" w:before="27"/>
        <w:ind w:left="218" w:right="228"/>
        <w:jc w:val="both"/>
      </w:pPr>
      <w:r>
        <w:rPr>
          <w:spacing w:val="-1"/>
        </w:rPr>
        <w:t>构建内外并重工作格局的重要实施单元，充分发挥网络平台优势，代表中国网络媒体在全球媒体</w:t>
      </w:r>
      <w:r>
        <w:rPr>
          <w:spacing w:val="-55"/>
        </w:rPr>
        <w:t> </w:t>
      </w:r>
      <w:r>
        <w:rPr>
          <w:spacing w:val="-55"/>
        </w:rPr>
      </w:r>
      <w:r>
        <w:rPr>
          <w:spacing w:val="-1"/>
        </w:rPr>
        <w:t>竞争中积极争夺国际话语权。依托新华社作为国家通讯社的权威地位和作为世界性通讯社的全球</w:t>
      </w:r>
      <w:r>
        <w:rPr>
          <w:spacing w:val="-55"/>
        </w:rPr>
        <w:t> </w:t>
      </w:r>
      <w:r>
        <w:rPr>
          <w:spacing w:val="-55"/>
        </w:rPr>
      </w:r>
      <w:r>
        <w:rPr>
          <w:spacing w:val="-6"/>
        </w:rPr>
        <w:t>信息网络，新华网拥有权威的内容资源、广泛的用户基础、优质的客户资源和强大的品牌影响力，</w:t>
      </w:r>
      <w:r>
        <w:rPr>
          <w:spacing w:val="-54"/>
        </w:rPr>
        <w:t> </w:t>
      </w:r>
      <w:r>
        <w:rPr>
          <w:spacing w:val="-54"/>
        </w:rPr>
      </w:r>
      <w:r>
        <w:rPr>
          <w:spacing w:val="-1"/>
        </w:rPr>
        <w:t>并以此为基础开展网络广告、信息服务、网站建设及技术服务和移动互联网等主营业务。报告期</w:t>
      </w:r>
      <w:r>
        <w:rPr>
          <w:spacing w:val="-55"/>
        </w:rPr>
        <w:t> </w:t>
      </w:r>
      <w:r>
        <w:rPr>
          <w:spacing w:val="-55"/>
        </w:rPr>
      </w:r>
      <w:r>
        <w:rPr/>
        <w:t>内，公司从事的主要业务及经营模式包括以下几类：</w:t>
      </w:r>
    </w:p>
    <w:p>
      <w:pPr>
        <w:pStyle w:val="BodyText"/>
        <w:spacing w:line="348" w:lineRule="auto" w:before="30"/>
        <w:ind w:left="218" w:right="227" w:firstLine="419"/>
        <w:jc w:val="both"/>
      </w:pPr>
      <w:r>
        <w:rPr>
          <w:rFonts w:ascii="宋体" w:hAnsi="宋体" w:cs="宋体" w:eastAsia="宋体" w:hint="default"/>
          <w:spacing w:val="-4"/>
        </w:rPr>
        <w:t>1</w:t>
      </w:r>
      <w:r>
        <w:rPr>
          <w:spacing w:val="-4"/>
        </w:rPr>
        <w:t>、网络广告业务：网络广告业务是本公司的重要收入来源，目前已形成全系列的广告发布形</w:t>
      </w:r>
      <w:r>
        <w:rPr>
          <w:w w:val="100"/>
        </w:rPr>
        <w:t> </w:t>
      </w:r>
      <w:r>
        <w:rPr/>
        <w:t>态，以包括文字、图片、视频、</w:t>
      </w:r>
      <w:r>
        <w:rPr>
          <w:rFonts w:ascii="宋体" w:hAnsi="宋体" w:cs="宋体" w:eastAsia="宋体" w:hint="default"/>
        </w:rPr>
        <w:t>Flash</w:t>
      </w:r>
      <w:r>
        <w:rPr/>
        <w:t>、网络广告专题等多种方式，广告覆盖新华网</w:t>
      </w:r>
      <w:r>
        <w:rPr>
          <w:spacing w:val="-50"/>
        </w:rPr>
        <w:t> </w:t>
      </w:r>
      <w:r>
        <w:rPr>
          <w:rFonts w:ascii="宋体" w:hAnsi="宋体" w:cs="宋体" w:eastAsia="宋体" w:hint="default"/>
        </w:rPr>
        <w:t>PC</w:t>
      </w:r>
      <w:r>
        <w:rPr>
          <w:rFonts w:ascii="宋体" w:hAnsi="宋体" w:cs="宋体" w:eastAsia="宋体" w:hint="default"/>
          <w:spacing w:val="-50"/>
        </w:rPr>
        <w:t> </w:t>
      </w:r>
      <w:r>
        <w:rPr/>
        <w:t>端、新华</w:t>
      </w:r>
      <w:r>
        <w:rPr>
          <w:w w:val="100"/>
        </w:rPr>
        <w:t> </w:t>
      </w:r>
      <w:r>
        <w:rPr/>
        <w:t>炫闻</w:t>
      </w:r>
      <w:r>
        <w:rPr>
          <w:spacing w:val="-51"/>
        </w:rPr>
        <w:t> </w:t>
      </w:r>
      <w:r>
        <w:rPr>
          <w:rFonts w:ascii="宋体" w:hAnsi="宋体" w:cs="宋体" w:eastAsia="宋体" w:hint="default"/>
        </w:rPr>
        <w:t>APP</w:t>
      </w:r>
      <w:r>
        <w:rPr>
          <w:rFonts w:ascii="宋体" w:hAnsi="宋体" w:cs="宋体" w:eastAsia="宋体" w:hint="default"/>
          <w:spacing w:val="-49"/>
        </w:rPr>
        <w:t> </w:t>
      </w:r>
      <w:r>
        <w:rPr/>
        <w:t>和手机新华网等移动端以及官方法人微信、微博。广告发布形式有旗帜、按钮、通栏、</w:t>
      </w:r>
      <w:r>
        <w:rPr>
          <w:w w:val="100"/>
        </w:rPr>
        <w:t> </w:t>
      </w:r>
      <w:r>
        <w:rPr>
          <w:spacing w:val="-1"/>
        </w:rPr>
        <w:t>矩形、文字链、全屏收缩、对联、背投、流媒体、画中画、视频贴片等多种形式进行广告发布，</w:t>
      </w:r>
      <w:r>
        <w:rPr>
          <w:spacing w:val="-55"/>
        </w:rPr>
        <w:t> </w:t>
      </w:r>
      <w:r>
        <w:rPr>
          <w:spacing w:val="-55"/>
        </w:rPr>
      </w:r>
      <w:r>
        <w:rPr>
          <w:spacing w:val="-1"/>
        </w:rPr>
        <w:t>为客户提供全方位、全媒体的优质网络广告服务。公司广告业务领域涉及快消、金融、汽车、科</w:t>
      </w:r>
      <w:r>
        <w:rPr>
          <w:spacing w:val="-55"/>
        </w:rPr>
        <w:t> </w:t>
      </w:r>
      <w:r>
        <w:rPr>
          <w:spacing w:val="-55"/>
        </w:rPr>
      </w:r>
      <w:r>
        <w:rPr/>
        <w:t>技、能源、健康、旅游、时尚等主要行业。</w:t>
      </w:r>
    </w:p>
    <w:p>
      <w:pPr>
        <w:pStyle w:val="BodyText"/>
        <w:spacing w:line="331" w:lineRule="auto" w:before="17"/>
        <w:ind w:left="218" w:right="228" w:firstLine="419"/>
        <w:jc w:val="both"/>
      </w:pPr>
      <w:r>
        <w:rPr>
          <w:rFonts w:ascii="宋体" w:hAnsi="宋体" w:cs="宋体" w:eastAsia="宋体" w:hint="default"/>
          <w:spacing w:val="-4"/>
        </w:rPr>
        <w:t>2</w:t>
      </w:r>
      <w:r>
        <w:rPr>
          <w:spacing w:val="-4"/>
        </w:rPr>
        <w:t>、信息服务业务：公司的信息服务包括多媒体信息服务、大数据智能分析服务，以及举办大</w:t>
      </w:r>
      <w:r>
        <w:rPr>
          <w:w w:val="100"/>
        </w:rPr>
        <w:t> </w:t>
      </w:r>
      <w:r>
        <w:rPr>
          <w:spacing w:val="-1"/>
        </w:rPr>
        <w:t>型论坛、会议活动等。公司经常性地为政府部门及企事业单位提供多媒体信息服务。作为国内最</w:t>
      </w:r>
      <w:r>
        <w:rPr>
          <w:spacing w:val="-55"/>
        </w:rPr>
        <w:t> </w:t>
      </w:r>
      <w:r>
        <w:rPr>
          <w:spacing w:val="-55"/>
        </w:rPr>
      </w:r>
      <w:r>
        <w:rPr>
          <w:spacing w:val="-1"/>
        </w:rPr>
        <w:t>早从事数据智能分析服务的专业机构之一，本公司推出在大数据智能分析基础上的系列服务和产</w:t>
      </w:r>
      <w:r>
        <w:rPr>
          <w:spacing w:val="-55"/>
        </w:rPr>
        <w:t> </w:t>
      </w:r>
      <w:r>
        <w:rPr>
          <w:spacing w:val="-55"/>
        </w:rPr>
      </w:r>
      <w:r>
        <w:rPr>
          <w:spacing w:val="-1"/>
        </w:rPr>
        <w:t>品，依托权威媒体平台、先进技术手段和阵容庞大的专家队伍，搭建开放平台、整合社会资源，</w:t>
      </w:r>
    </w:p>
    <w:p>
      <w:pPr>
        <w:spacing w:after="0" w:line="331"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31" w:lineRule="auto"/>
        <w:ind w:right="128"/>
        <w:jc w:val="both"/>
      </w:pPr>
      <w:r>
        <w:rPr>
          <w:spacing w:val="-1"/>
        </w:rPr>
        <w:t>成立专门研究机构，以网络大数据采集、智能分析和研判为基础，为客户提供智库类高端产品和</w:t>
      </w:r>
      <w:r>
        <w:rPr>
          <w:spacing w:val="-55"/>
        </w:rPr>
        <w:t> </w:t>
      </w:r>
      <w:r>
        <w:rPr>
          <w:spacing w:val="-55"/>
        </w:rPr>
      </w:r>
      <w:r>
        <w:rPr>
          <w:spacing w:val="-1"/>
        </w:rPr>
        <w:t>服务，为客户决策提供优质高效的智力产品。与此同时，本公司向企事业机构数据分析人员提供</w:t>
      </w:r>
      <w:r>
        <w:rPr>
          <w:spacing w:val="-55"/>
        </w:rPr>
        <w:t> </w:t>
      </w:r>
      <w:r>
        <w:rPr>
          <w:spacing w:val="-55"/>
        </w:rPr>
      </w:r>
      <w:r>
        <w:rPr/>
        <w:t>专业的培训服务。</w:t>
      </w:r>
    </w:p>
    <w:p>
      <w:pPr>
        <w:pStyle w:val="BodyText"/>
        <w:spacing w:line="331" w:lineRule="auto" w:before="24"/>
        <w:ind w:right="128" w:firstLine="419"/>
        <w:jc w:val="both"/>
      </w:pPr>
      <w:r>
        <w:rPr>
          <w:rFonts w:ascii="宋体" w:hAnsi="宋体" w:cs="宋体" w:eastAsia="宋体" w:hint="default"/>
          <w:spacing w:val="-4"/>
        </w:rPr>
        <w:t>3</w:t>
      </w:r>
      <w:r>
        <w:rPr>
          <w:spacing w:val="-4"/>
        </w:rPr>
        <w:t>、网站建设及技术服务业务：本公司凭借中央重点新闻网站的强大公信力、丰富的采编内容</w:t>
      </w:r>
      <w:r>
        <w:rPr>
          <w:w w:val="100"/>
        </w:rPr>
        <w:t> </w:t>
      </w:r>
      <w:r>
        <w:rPr>
          <w:spacing w:val="-1"/>
        </w:rPr>
        <w:t>资源以及先进的网站建设技术，为各级政府、企事业单位提供专业的网站建设、内容管理、运行</w:t>
      </w:r>
      <w:r>
        <w:rPr>
          <w:spacing w:val="-55"/>
        </w:rPr>
        <w:t> </w:t>
      </w:r>
      <w:r>
        <w:rPr>
          <w:spacing w:val="-55"/>
        </w:rPr>
      </w:r>
      <w:r>
        <w:rPr>
          <w:spacing w:val="-1"/>
        </w:rPr>
        <w:t>维护、技术保障等服务，建立起国内规模最大的政府网站集群之一。公司根据客户需求，制定具</w:t>
      </w:r>
      <w:r>
        <w:rPr>
          <w:spacing w:val="-55"/>
        </w:rPr>
        <w:t> </w:t>
      </w:r>
      <w:r>
        <w:rPr>
          <w:spacing w:val="-55"/>
        </w:rPr>
      </w:r>
      <w:r>
        <w:rPr>
          <w:spacing w:val="-1"/>
        </w:rPr>
        <w:t>体的网站建设项目策划方案。与目标客户进行商谈，按照客户要求进一步修改完善，最终达成合</w:t>
      </w:r>
      <w:r>
        <w:rPr>
          <w:spacing w:val="-55"/>
        </w:rPr>
        <w:t> </w:t>
      </w:r>
      <w:r>
        <w:rPr>
          <w:spacing w:val="-55"/>
        </w:rPr>
      </w:r>
      <w:r>
        <w:rPr/>
        <w:t>作意向。正式签订合同后，本公司开始提供网站建设、内容管理、运营维护等服务。</w:t>
      </w:r>
    </w:p>
    <w:p>
      <w:pPr>
        <w:pStyle w:val="BodyText"/>
        <w:spacing w:line="331" w:lineRule="auto" w:before="24"/>
        <w:ind w:right="128" w:firstLine="419"/>
        <w:jc w:val="both"/>
      </w:pPr>
      <w:r>
        <w:rPr>
          <w:rFonts w:ascii="宋体" w:hAnsi="宋体" w:cs="宋体" w:eastAsia="宋体" w:hint="default"/>
          <w:spacing w:val="-4"/>
        </w:rPr>
        <w:t>4</w:t>
      </w:r>
      <w:r>
        <w:rPr>
          <w:spacing w:val="-4"/>
        </w:rPr>
        <w:t>、移动互联网业务：公司拥有“新华炫闻”客户端、手机新华网、新华网微博、微信和“新</w:t>
      </w:r>
      <w:r>
        <w:rPr>
          <w:w w:val="100"/>
        </w:rPr>
        <w:t> </w:t>
      </w:r>
      <w:r>
        <w:rPr>
          <w:spacing w:val="-3"/>
        </w:rPr>
        <w:t>华视频”产品；拥有“4G</w:t>
      </w:r>
      <w:r>
        <w:rPr>
          <w:spacing w:val="-31"/>
        </w:rPr>
        <w:t> </w:t>
      </w:r>
      <w:r>
        <w:rPr>
          <w:spacing w:val="-3"/>
        </w:rPr>
        <w:t>入口”、“5G</w:t>
      </w:r>
      <w:r>
        <w:rPr>
          <w:spacing w:val="-31"/>
        </w:rPr>
        <w:t> </w:t>
      </w:r>
      <w:r>
        <w:rPr>
          <w:spacing w:val="-4"/>
        </w:rPr>
        <w:t>入口”、手机阅读、移动语音、手机视频、动漫游戏等移</w:t>
      </w:r>
      <w:r>
        <w:rPr>
          <w:spacing w:val="-95"/>
        </w:rPr>
        <w:t> </w:t>
      </w:r>
      <w:r>
        <w:rPr>
          <w:spacing w:val="-95"/>
        </w:rPr>
      </w:r>
      <w:r>
        <w:rPr>
          <w:spacing w:val="-1"/>
        </w:rPr>
        <w:t>动增值业务，通过文字、图片、语音、视频等多种形式向客户提供移动互联网内容信息服务；拥</w:t>
      </w:r>
      <w:r>
        <w:rPr>
          <w:spacing w:val="-55"/>
        </w:rPr>
        <w:t> </w:t>
      </w:r>
      <w:r>
        <w:rPr>
          <w:spacing w:val="-55"/>
        </w:rPr>
      </w:r>
      <w:r>
        <w:rPr>
          <w:spacing w:val="-2"/>
        </w:rPr>
        <w:t>有“互联网小镇”、“特色小镇”、“溯源中国”（含食品溯源、医保药品鉴证核查、物联网）</w:t>
      </w:r>
      <w:r>
        <w:rPr>
          <w:spacing w:val="-16"/>
        </w:rPr>
        <w:t> </w:t>
      </w:r>
      <w:r>
        <w:rPr>
          <w:spacing w:val="-16"/>
        </w:rPr>
      </w:r>
      <w:r>
        <w:rPr>
          <w:spacing w:val="-1"/>
        </w:rPr>
        <w:t>食品溯源、医保药品鉴证核查、生物传感智能终端等移动信息化和物联网、人工智能业务等移动</w:t>
      </w:r>
      <w:r>
        <w:rPr>
          <w:spacing w:val="-55"/>
        </w:rPr>
        <w:t> </w:t>
      </w:r>
      <w:r>
        <w:rPr>
          <w:spacing w:val="-55"/>
        </w:rPr>
      </w:r>
      <w:r>
        <w:rPr>
          <w:spacing w:val="-1"/>
        </w:rPr>
        <w:t>信息化业务，并开展创新创业服务；拥有数字影视、数字创意、无人机及其他移动融媒体业务；</w:t>
      </w:r>
      <w:r>
        <w:rPr>
          <w:spacing w:val="-55"/>
        </w:rPr>
        <w:t> </w:t>
      </w:r>
      <w:r>
        <w:rPr>
          <w:spacing w:val="-55"/>
        </w:rPr>
      </w:r>
      <w:r>
        <w:rPr>
          <w:spacing w:val="-1"/>
        </w:rPr>
        <w:t>同时，公司提供教育平台技术服务和在线教育服务，为互联网教育的个性化和定制化创造条件，</w:t>
      </w:r>
      <w:r>
        <w:rPr>
          <w:spacing w:val="-56"/>
        </w:rPr>
        <w:t> </w:t>
      </w:r>
      <w:r>
        <w:rPr>
          <w:spacing w:val="-56"/>
        </w:rPr>
      </w:r>
      <w:r>
        <w:rPr/>
        <w:t>并开展科普科幻业务。</w:t>
      </w:r>
    </w:p>
    <w:p>
      <w:pPr>
        <w:pStyle w:val="BodyText"/>
        <w:spacing w:line="331" w:lineRule="auto" w:before="27"/>
        <w:ind w:left="558" w:right="133"/>
        <w:jc w:val="left"/>
      </w:pPr>
      <w:r>
        <w:rPr/>
        <w:t>（二）行业情况说明</w:t>
      </w:r>
      <w:r>
        <w:rPr>
          <w:w w:val="100"/>
        </w:rPr>
        <w:t> </w:t>
      </w:r>
      <w:r>
        <w:rPr>
          <w:spacing w:val="-2"/>
        </w:rPr>
        <w:t>随着我国经济的快速增长，我国互联网行业也呈现出高速发展的良好态势。</w:t>
      </w:r>
      <w:r>
        <w:rPr>
          <w:spacing w:val="-42"/>
        </w:rPr>
        <w:t> </w:t>
      </w:r>
      <w:r>
        <w:rPr>
          <w:spacing w:val="-42"/>
        </w:rPr>
      </w:r>
      <w:r>
        <w:rPr>
          <w:rFonts w:ascii="宋体" w:hAnsi="宋体" w:cs="宋体" w:eastAsia="宋体" w:hint="default"/>
        </w:rPr>
        <w:t>1</w:t>
      </w:r>
      <w:r>
        <w:rPr/>
        <w:t>、总体网民规模</w:t>
      </w:r>
    </w:p>
    <w:p>
      <w:pPr>
        <w:pStyle w:val="BodyText"/>
        <w:spacing w:line="240" w:lineRule="auto" w:before="27"/>
        <w:ind w:left="558" w:right="0"/>
        <w:jc w:val="left"/>
        <w:rPr>
          <w:rFonts w:ascii="宋体" w:hAnsi="宋体" w:cs="宋体" w:eastAsia="宋体" w:hint="default"/>
        </w:rPr>
      </w:pPr>
      <w:r>
        <w:rPr>
          <w:w w:val="100"/>
        </w:rPr>
        <w:t>根据</w:t>
      </w:r>
      <w:r>
        <w:rPr>
          <w:spacing w:val="-53"/>
        </w:rPr>
        <w:t> </w:t>
      </w:r>
      <w:r>
        <w:rPr>
          <w:rFonts w:ascii="宋体" w:hAnsi="宋体" w:cs="宋体" w:eastAsia="宋体" w:hint="default"/>
          <w:spacing w:val="-3"/>
          <w:w w:val="100"/>
        </w:rPr>
        <w:t>C</w:t>
      </w:r>
      <w:r>
        <w:rPr>
          <w:rFonts w:ascii="宋体" w:hAnsi="宋体" w:cs="宋体" w:eastAsia="宋体" w:hint="default"/>
          <w:w w:val="100"/>
        </w:rPr>
        <w:t>NNIC</w:t>
      </w:r>
      <w:r>
        <w:rPr>
          <w:rFonts w:ascii="宋体" w:hAnsi="宋体" w:cs="宋体" w:eastAsia="宋体" w:hint="default"/>
          <w:spacing w:val="-55"/>
        </w:rPr>
        <w:t> </w:t>
      </w:r>
      <w:r>
        <w:rPr>
          <w:w w:val="100"/>
        </w:rPr>
        <w:t>统</w:t>
      </w:r>
      <w:r>
        <w:rPr>
          <w:spacing w:val="-3"/>
          <w:w w:val="100"/>
        </w:rPr>
        <w:t>计</w:t>
      </w:r>
      <w:r>
        <w:rPr>
          <w:w w:val="100"/>
        </w:rPr>
        <w:t>数</w:t>
      </w:r>
      <w:r>
        <w:rPr>
          <w:spacing w:val="-3"/>
          <w:w w:val="100"/>
        </w:rPr>
        <w:t>据</w:t>
      </w:r>
      <w:r>
        <w:rPr>
          <w:spacing w:val="-85"/>
          <w:w w:val="100"/>
        </w:rPr>
        <w:t>，</w:t>
      </w:r>
      <w:r>
        <w:rPr>
          <w:spacing w:val="-3"/>
          <w:w w:val="100"/>
        </w:rPr>
        <w:t>截</w:t>
      </w:r>
      <w:r>
        <w:rPr>
          <w:w w:val="100"/>
        </w:rPr>
        <w:t>至</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3"/>
        </w:rPr>
        <w:t> </w:t>
      </w:r>
      <w:r>
        <w:rPr>
          <w:spacing w:val="-3"/>
          <w:w w:val="100"/>
        </w:rPr>
        <w:t>月</w:t>
      </w:r>
      <w:r>
        <w:rPr>
          <w:spacing w:val="-85"/>
          <w:w w:val="100"/>
        </w:rPr>
        <w:t>，</w:t>
      </w:r>
      <w:r>
        <w:rPr>
          <w:spacing w:val="-3"/>
          <w:w w:val="100"/>
        </w:rPr>
        <w:t>我</w:t>
      </w:r>
      <w:r>
        <w:rPr>
          <w:w w:val="100"/>
        </w:rPr>
        <w:t>国</w:t>
      </w:r>
      <w:r>
        <w:rPr>
          <w:spacing w:val="-3"/>
          <w:w w:val="100"/>
        </w:rPr>
        <w:t>网民</w:t>
      </w:r>
      <w:r>
        <w:rPr>
          <w:w w:val="100"/>
        </w:rPr>
        <w:t>规</w:t>
      </w:r>
      <w:r>
        <w:rPr>
          <w:spacing w:val="-3"/>
          <w:w w:val="100"/>
        </w:rPr>
        <w:t>模</w:t>
      </w:r>
      <w:r>
        <w:rPr>
          <w:w w:val="100"/>
        </w:rPr>
        <w:t>达</w:t>
      </w:r>
      <w:r>
        <w:rPr>
          <w:spacing w:val="-53"/>
        </w:rPr>
        <w:t> </w:t>
      </w:r>
      <w:r>
        <w:rPr>
          <w:rFonts w:ascii="宋体" w:hAnsi="宋体" w:cs="宋体" w:eastAsia="宋体" w:hint="default"/>
          <w:w w:val="100"/>
        </w:rPr>
        <w:t>7.</w:t>
      </w:r>
      <w:r>
        <w:rPr>
          <w:rFonts w:ascii="宋体" w:hAnsi="宋体" w:cs="宋体" w:eastAsia="宋体" w:hint="default"/>
          <w:spacing w:val="-3"/>
          <w:w w:val="100"/>
        </w:rPr>
        <w:t>7</w:t>
      </w:r>
      <w:r>
        <w:rPr>
          <w:rFonts w:ascii="宋体" w:hAnsi="宋体" w:cs="宋体" w:eastAsia="宋体" w:hint="default"/>
          <w:w w:val="100"/>
        </w:rPr>
        <w:t>2</w:t>
      </w:r>
      <w:r>
        <w:rPr>
          <w:rFonts w:ascii="宋体" w:hAnsi="宋体" w:cs="宋体" w:eastAsia="宋体" w:hint="default"/>
          <w:spacing w:val="-53"/>
        </w:rPr>
        <w:t> </w:t>
      </w:r>
      <w:r>
        <w:rPr>
          <w:w w:val="100"/>
        </w:rPr>
        <w:t>亿</w:t>
      </w:r>
      <w:r>
        <w:rPr>
          <w:spacing w:val="-87"/>
          <w:w w:val="100"/>
        </w:rPr>
        <w:t>，</w:t>
      </w:r>
      <w:r>
        <w:rPr>
          <w:w w:val="100"/>
        </w:rPr>
        <w:t>全</w:t>
      </w:r>
      <w:r>
        <w:rPr>
          <w:spacing w:val="-3"/>
          <w:w w:val="100"/>
        </w:rPr>
        <w:t>年</w:t>
      </w:r>
      <w:r>
        <w:rPr>
          <w:w w:val="100"/>
        </w:rPr>
        <w:t>共</w:t>
      </w:r>
      <w:r>
        <w:rPr>
          <w:spacing w:val="-3"/>
          <w:w w:val="100"/>
        </w:rPr>
        <w:t>计</w:t>
      </w:r>
      <w:r>
        <w:rPr>
          <w:w w:val="100"/>
        </w:rPr>
        <w:t>新增</w:t>
      </w:r>
      <w:r>
        <w:rPr>
          <w:spacing w:val="-3"/>
          <w:w w:val="100"/>
        </w:rPr>
        <w:t>网</w:t>
      </w:r>
      <w:r>
        <w:rPr>
          <w:w w:val="100"/>
        </w:rPr>
        <w:t>民</w:t>
      </w:r>
      <w:r>
        <w:rPr>
          <w:spacing w:val="-52"/>
        </w:rPr>
        <w:t> </w:t>
      </w:r>
      <w:r>
        <w:rPr>
          <w:rFonts w:ascii="宋体" w:hAnsi="宋体" w:cs="宋体" w:eastAsia="宋体" w:hint="default"/>
          <w:spacing w:val="-3"/>
          <w:w w:val="100"/>
        </w:rPr>
        <w:t>4</w:t>
      </w:r>
      <w:r>
        <w:rPr>
          <w:rFonts w:ascii="宋体" w:hAnsi="宋体" w:cs="宋体" w:eastAsia="宋体" w:hint="default"/>
          <w:w w:val="100"/>
        </w:rPr>
        <w:t>,074</w:t>
      </w:r>
    </w:p>
    <w:p>
      <w:pPr>
        <w:pStyle w:val="BodyText"/>
        <w:spacing w:line="331" w:lineRule="auto" w:before="104"/>
        <w:ind w:right="127"/>
        <w:jc w:val="both"/>
      </w:pPr>
      <w:r>
        <w:rPr/>
        <w:pict>
          <v:shape style="position:absolute;margin-left:123pt;margin-top:78.413666pt;width:353.25pt;height:205.5pt;mso-position-horizontal-relative:page;mso-position-vertical-relative:paragraph;z-index:-876256" type="#_x0000_t75" stroked="false">
            <v:imagedata r:id="rId12" o:title=""/>
          </v:shape>
        </w:pict>
      </w:r>
      <w:r>
        <w:rPr>
          <w:spacing w:val="-10"/>
          <w:w w:val="100"/>
        </w:rPr>
        <w:t>万人。互联网普及率为</w:t>
      </w:r>
      <w:r>
        <w:rPr>
          <w:spacing w:val="-50"/>
          <w:w w:val="100"/>
        </w:rPr>
        <w:t> </w:t>
      </w:r>
      <w:r>
        <w:rPr>
          <w:rFonts w:ascii="宋体" w:hAnsi="宋体" w:cs="宋体" w:eastAsia="宋体" w:hint="default"/>
          <w:spacing w:val="-13"/>
          <w:w w:val="100"/>
        </w:rPr>
        <w:t>55.8%</w:t>
      </w:r>
      <w:r>
        <w:rPr>
          <w:spacing w:val="-13"/>
          <w:w w:val="100"/>
        </w:rPr>
        <w:t>，较</w:t>
      </w:r>
      <w:r>
        <w:rPr>
          <w:spacing w:val="-53"/>
          <w:w w:val="100"/>
        </w:rPr>
        <w:t> </w:t>
      </w:r>
      <w:r>
        <w:rPr>
          <w:rFonts w:ascii="宋体" w:hAnsi="宋体" w:cs="宋体" w:eastAsia="宋体" w:hint="default"/>
          <w:w w:val="100"/>
        </w:rPr>
        <w:t>2016</w:t>
      </w:r>
      <w:r>
        <w:rPr>
          <w:rFonts w:ascii="宋体" w:hAnsi="宋体" w:cs="宋体" w:eastAsia="宋体" w:hint="default"/>
          <w:spacing w:val="-53"/>
          <w:w w:val="100"/>
        </w:rPr>
        <w:t> </w:t>
      </w:r>
      <w:r>
        <w:rPr>
          <w:spacing w:val="-1"/>
          <w:w w:val="100"/>
        </w:rPr>
        <w:t>年底提升</w:t>
      </w:r>
      <w:r>
        <w:rPr>
          <w:spacing w:val="-53"/>
          <w:w w:val="100"/>
        </w:rPr>
        <w:t> </w:t>
      </w:r>
      <w:r>
        <w:rPr>
          <w:rFonts w:ascii="宋体" w:hAnsi="宋体" w:cs="宋体" w:eastAsia="宋体" w:hint="default"/>
          <w:w w:val="100"/>
        </w:rPr>
        <w:t>2.6</w:t>
      </w:r>
      <w:r>
        <w:rPr>
          <w:rFonts w:ascii="宋体" w:hAnsi="宋体" w:cs="宋体" w:eastAsia="宋体" w:hint="default"/>
          <w:spacing w:val="-53"/>
          <w:w w:val="100"/>
        </w:rPr>
        <w:t> </w:t>
      </w:r>
      <w:r>
        <w:rPr>
          <w:spacing w:val="-6"/>
          <w:w w:val="100"/>
        </w:rPr>
        <w:t>个百分点。我国网民规模继续保持平稳增长。</w:t>
      </w:r>
      <w:r>
        <w:rPr>
          <w:w w:val="100"/>
        </w:rPr>
        <w:t> </w:t>
      </w:r>
      <w:r>
        <w:rPr>
          <w:spacing w:val="-1"/>
        </w:rPr>
        <w:t>互联网模式不断创新、线上线下服务融合加速以及公共服务线上化步伐加快，成为网民规模增长</w:t>
      </w:r>
      <w:r>
        <w:rPr>
          <w:spacing w:val="-55"/>
        </w:rPr>
        <w:t> </w:t>
      </w:r>
      <w:r>
        <w:rPr>
          <w:spacing w:val="-55"/>
        </w:rPr>
      </w:r>
      <w:r>
        <w:rPr>
          <w:spacing w:val="-3"/>
        </w:rPr>
        <w:t>推动力。</w:t>
      </w:r>
      <w:r>
        <w:rPr>
          <w:rFonts w:ascii="宋体" w:hAnsi="宋体" w:cs="宋体" w:eastAsia="宋体" w:hint="default"/>
          <w:spacing w:val="-3"/>
        </w:rPr>
        <w:t>2017 </w:t>
      </w:r>
      <w:r>
        <w:rPr>
          <w:spacing w:val="-3"/>
        </w:rPr>
        <w:t>年，习近平总书记在十九大报告中多次提及互联网，互联网在经济社会发展中的重</w:t>
      </w:r>
      <w:r>
        <w:rPr>
          <w:spacing w:val="-73"/>
        </w:rPr>
        <w:t> </w:t>
      </w:r>
      <w:r>
        <w:rPr>
          <w:spacing w:val="-73"/>
        </w:rPr>
      </w:r>
      <w:r>
        <w:rPr/>
        <w:t>要地位更加凸显，我国向网络强国建设目标持续迈进。</w:t>
      </w:r>
    </w:p>
    <w:p>
      <w:pPr>
        <w:spacing w:after="0" w:line="331" w:lineRule="auto"/>
        <w:jc w:val="both"/>
        <w:sectPr>
          <w:footerReference w:type="default" r:id="rId11"/>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558" w:right="101"/>
        <w:jc w:val="left"/>
      </w:pPr>
      <w:r>
        <w:rPr>
          <w:rFonts w:ascii="宋体" w:hAnsi="宋体" w:cs="宋体" w:eastAsia="宋体" w:hint="default"/>
        </w:rPr>
        <w:t>2</w:t>
      </w:r>
      <w:r>
        <w:rPr/>
        <w:t>、手机网民规模</w:t>
      </w:r>
    </w:p>
    <w:p>
      <w:pPr>
        <w:pStyle w:val="BodyText"/>
        <w:spacing w:line="350" w:lineRule="auto" w:before="126"/>
        <w:ind w:right="101" w:firstLine="419"/>
        <w:jc w:val="left"/>
      </w:pPr>
      <w:r>
        <w:rPr/>
        <w:t>截至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月，我国手机网民规模达</w:t>
      </w:r>
      <w:r>
        <w:rPr>
          <w:spacing w:val="-52"/>
        </w:rPr>
        <w:t> </w:t>
      </w:r>
      <w:r>
        <w:rPr>
          <w:rFonts w:ascii="宋体" w:hAnsi="宋体" w:cs="宋体" w:eastAsia="宋体" w:hint="default"/>
        </w:rPr>
        <w:t>7.53</w:t>
      </w:r>
      <w:r>
        <w:rPr>
          <w:rFonts w:ascii="宋体" w:hAnsi="宋体" w:cs="宋体" w:eastAsia="宋体" w:hint="default"/>
          <w:spacing w:val="-52"/>
        </w:rPr>
        <w:t> </w:t>
      </w:r>
      <w:r>
        <w:rPr/>
        <w:t>亿，较</w:t>
      </w:r>
      <w:r>
        <w:rPr>
          <w:spacing w:val="-53"/>
        </w:rPr>
        <w:t> </w:t>
      </w:r>
      <w:r>
        <w:rPr>
          <w:rFonts w:ascii="宋体" w:hAnsi="宋体" w:cs="宋体" w:eastAsia="宋体" w:hint="default"/>
        </w:rPr>
        <w:t>2016</w:t>
      </w:r>
      <w:r>
        <w:rPr>
          <w:rFonts w:ascii="宋体" w:hAnsi="宋体" w:cs="宋体" w:eastAsia="宋体" w:hint="default"/>
          <w:spacing w:val="-53"/>
        </w:rPr>
        <w:t> </w:t>
      </w:r>
      <w:r>
        <w:rPr/>
        <w:t>年底增加</w:t>
      </w:r>
      <w:r>
        <w:rPr>
          <w:spacing w:val="-53"/>
        </w:rPr>
        <w:t> </w:t>
      </w:r>
      <w:r>
        <w:rPr>
          <w:rFonts w:ascii="宋体" w:hAnsi="宋体" w:cs="宋体" w:eastAsia="宋体" w:hint="default"/>
        </w:rPr>
        <w:t>5,734</w:t>
      </w:r>
      <w:r>
        <w:rPr>
          <w:rFonts w:ascii="宋体" w:hAnsi="宋体" w:cs="宋体" w:eastAsia="宋体" w:hint="default"/>
          <w:spacing w:val="-54"/>
        </w:rPr>
        <w:t> </w:t>
      </w:r>
      <w:r>
        <w:rPr/>
        <w:t>万人。网民中使</w:t>
      </w:r>
      <w:r>
        <w:rPr>
          <w:w w:val="100"/>
        </w:rPr>
        <w:t> </w:t>
      </w:r>
      <w:r>
        <w:rPr/>
        <w:t>用手机上网人群的占比由</w:t>
      </w:r>
      <w:r>
        <w:rPr>
          <w:spacing w:val="-43"/>
        </w:rPr>
        <w:t> </w:t>
      </w:r>
      <w:r>
        <w:rPr>
          <w:rFonts w:ascii="宋体" w:hAnsi="宋体" w:cs="宋体" w:eastAsia="宋体" w:hint="default"/>
        </w:rPr>
        <w:t>2016</w:t>
      </w:r>
      <w:r>
        <w:rPr>
          <w:rFonts w:ascii="宋体" w:hAnsi="宋体" w:cs="宋体" w:eastAsia="宋体" w:hint="default"/>
          <w:spacing w:val="-41"/>
        </w:rPr>
        <w:t> </w:t>
      </w:r>
      <w:r>
        <w:rPr/>
        <w:t>年的</w:t>
      </w:r>
      <w:r>
        <w:rPr>
          <w:spacing w:val="-43"/>
        </w:rPr>
        <w:t> </w:t>
      </w:r>
      <w:r>
        <w:rPr>
          <w:rFonts w:ascii="宋体" w:hAnsi="宋体" w:cs="宋体" w:eastAsia="宋体" w:hint="default"/>
        </w:rPr>
        <w:t>95.1%</w:t>
      </w:r>
      <w:r>
        <w:rPr/>
        <w:t>提升至</w:t>
      </w:r>
      <w:r>
        <w:rPr>
          <w:spacing w:val="-40"/>
        </w:rPr>
        <w:t> </w:t>
      </w:r>
      <w:r>
        <w:rPr>
          <w:rFonts w:ascii="宋体" w:hAnsi="宋体" w:cs="宋体" w:eastAsia="宋体" w:hint="default"/>
        </w:rPr>
        <w:t>97.5%</w:t>
      </w:r>
      <w:r>
        <w:rPr/>
        <w:t>，网民手机上网比例继续攀升。</w:t>
      </w:r>
      <w:r>
        <w:rPr>
          <w:rFonts w:ascii="宋体" w:hAnsi="宋体" w:cs="宋体" w:eastAsia="宋体" w:hint="default"/>
        </w:rPr>
        <w:t>2017</w:t>
      </w:r>
      <w:r>
        <w:rPr>
          <w:rFonts w:ascii="宋体" w:hAnsi="宋体" w:cs="宋体" w:eastAsia="宋体" w:hint="default"/>
          <w:spacing w:val="-41"/>
        </w:rPr>
        <w:t> </w:t>
      </w:r>
      <w:r>
        <w:rPr/>
        <w:t>年，</w:t>
      </w:r>
      <w:r>
        <w:rPr>
          <w:w w:val="100"/>
        </w:rPr>
        <w:t> </w:t>
      </w:r>
      <w:r>
        <w:rPr/>
        <w:t>移动互联网主要呈现三个特点：服务场景不断丰富、移动终端规模加速提升、移动数据量持续扩</w:t>
      </w:r>
      <w:r>
        <w:rPr>
          <w:spacing w:val="-97"/>
        </w:rPr>
        <w:t> </w:t>
      </w:r>
      <w:r>
        <w:rPr>
          <w:spacing w:val="-97"/>
        </w:rPr>
      </w:r>
      <w:r>
        <w:rPr>
          <w:spacing w:val="-7"/>
        </w:rPr>
        <w:t>大。首先，各类综合移动应用平台不断融合社交、信息服务、金融、交通出行及民生服务等功能，</w:t>
      </w:r>
      <w:r>
        <w:rPr>
          <w:spacing w:val="-12"/>
        </w:rPr>
        <w:t> </w:t>
      </w:r>
      <w:r>
        <w:rPr>
          <w:spacing w:val="-12"/>
        </w:rPr>
      </w:r>
      <w:r>
        <w:rPr/>
        <w:t>打造一体化服务平台，扩大服务范围和影响力；其次，以手机为中心的智能设备，成为“万物互</w:t>
      </w:r>
      <w:r>
        <w:rPr>
          <w:spacing w:val="-97"/>
        </w:rPr>
        <w:t> </w:t>
      </w:r>
      <w:r>
        <w:rPr>
          <w:spacing w:val="-97"/>
        </w:rPr>
      </w:r>
      <w:r>
        <w:rPr/>
        <w:t>联”的基础，车联网、智能家电促进“住行”体验升级，构筑个性化、智能化应用场景；最后，</w:t>
      </w:r>
      <w:r>
        <w:rPr>
          <w:spacing w:val="-98"/>
        </w:rPr>
        <w:t> </w:t>
      </w:r>
      <w:r>
        <w:rPr>
          <w:spacing w:val="-98"/>
        </w:rPr>
      </w:r>
      <w:r>
        <w:rPr/>
        <w:t>在人口红利逐渐消失、网民规模趋于稳定的同时，海量移动数据成为新的价值挖掘点，庞大的数</w:t>
      </w:r>
      <w:r>
        <w:rPr>
          <w:spacing w:val="-97"/>
        </w:rPr>
        <w:t> </w:t>
      </w:r>
      <w:r>
        <w:rPr>
          <w:spacing w:val="-97"/>
        </w:rPr>
      </w:r>
      <w:r>
        <w:rPr/>
        <w:t>据量与“大数据”处理技术深度结合，为移动互联网产业创造更多价值挖掘空间。</w:t>
      </w:r>
    </w:p>
    <w:p>
      <w:pPr>
        <w:spacing w:line="4206" w:lineRule="exact"/>
        <w:ind w:left="650"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624319" cy="267119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4" cstate="print"/>
                    <a:stretch>
                      <a:fillRect/>
                    </a:stretch>
                  </pic:blipFill>
                  <pic:spPr>
                    <a:xfrm>
                      <a:off x="0" y="0"/>
                      <a:ext cx="4624319" cy="2671191"/>
                    </a:xfrm>
                    <a:prstGeom prst="rect">
                      <a:avLst/>
                    </a:prstGeom>
                  </pic:spPr>
                </pic:pic>
              </a:graphicData>
            </a:graphic>
          </wp:inline>
        </w:drawing>
      </w:r>
      <w:r>
        <w:rPr>
          <w:rFonts w:ascii="宋体" w:hAnsi="宋体" w:cs="宋体" w:eastAsia="宋体" w:hint="default"/>
          <w:position w:val="-83"/>
          <w:sz w:val="20"/>
          <w:szCs w:val="20"/>
        </w:rPr>
      </w:r>
    </w:p>
    <w:p>
      <w:pPr>
        <w:pStyle w:val="BodyText"/>
        <w:spacing w:line="240" w:lineRule="auto" w:before="141"/>
        <w:ind w:left="558" w:right="101"/>
        <w:jc w:val="left"/>
      </w:pPr>
      <w:r>
        <w:rPr>
          <w:rFonts w:ascii="宋体" w:hAnsi="宋体" w:cs="宋体" w:eastAsia="宋体" w:hint="default"/>
        </w:rPr>
        <w:t>3</w:t>
      </w:r>
      <w:r>
        <w:rPr/>
        <w:t>、网络新闻</w:t>
      </w:r>
    </w:p>
    <w:p>
      <w:pPr>
        <w:pStyle w:val="BodyText"/>
        <w:spacing w:line="350" w:lineRule="auto" w:before="126"/>
        <w:ind w:right="101" w:firstLine="419"/>
        <w:jc w:val="left"/>
      </w:pPr>
      <w:r>
        <w:rPr/>
        <w:t>截至</w:t>
      </w:r>
      <w:r>
        <w:rPr>
          <w:spacing w:val="-45"/>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月，我国网络新闻用户规模为</w:t>
      </w:r>
      <w:r>
        <w:rPr>
          <w:spacing w:val="-45"/>
        </w:rPr>
        <w:t> </w:t>
      </w:r>
      <w:r>
        <w:rPr>
          <w:rFonts w:ascii="宋体" w:hAnsi="宋体" w:cs="宋体" w:eastAsia="宋体" w:hint="default"/>
        </w:rPr>
        <w:t>6.47</w:t>
      </w:r>
      <w:r>
        <w:rPr>
          <w:rFonts w:ascii="宋体" w:hAnsi="宋体" w:cs="宋体" w:eastAsia="宋体" w:hint="default"/>
          <w:spacing w:val="-48"/>
        </w:rPr>
        <w:t> </w:t>
      </w:r>
      <w:r>
        <w:rPr/>
        <w:t>亿，年增长率为</w:t>
      </w:r>
      <w:r>
        <w:rPr>
          <w:spacing w:val="-45"/>
        </w:rPr>
        <w:t> </w:t>
      </w:r>
      <w:r>
        <w:rPr>
          <w:rFonts w:ascii="宋体" w:hAnsi="宋体" w:cs="宋体" w:eastAsia="宋体" w:hint="default"/>
        </w:rPr>
        <w:t>5.4%</w:t>
      </w:r>
      <w:r>
        <w:rPr/>
        <w:t>，网民使用比例为</w:t>
      </w:r>
      <w:r>
        <w:rPr>
          <w:w w:val="100"/>
        </w:rPr>
        <w:t> </w:t>
      </w:r>
      <w:r>
        <w:rPr>
          <w:rFonts w:ascii="宋体" w:hAnsi="宋体" w:cs="宋体" w:eastAsia="宋体" w:hint="default"/>
        </w:rPr>
        <w:t>83.8%</w:t>
      </w:r>
      <w:r>
        <w:rPr/>
        <w:t>。其中，手机网络新闻用户规模达到</w:t>
      </w:r>
      <w:r>
        <w:rPr>
          <w:spacing w:val="-56"/>
        </w:rPr>
        <w:t> </w:t>
      </w:r>
      <w:r>
        <w:rPr>
          <w:rFonts w:ascii="宋体" w:hAnsi="宋体" w:cs="宋体" w:eastAsia="宋体" w:hint="default"/>
        </w:rPr>
        <w:t>6.20</w:t>
      </w:r>
      <w:r>
        <w:rPr>
          <w:rFonts w:ascii="宋体" w:hAnsi="宋体" w:cs="宋体" w:eastAsia="宋体" w:hint="default"/>
          <w:spacing w:val="-56"/>
        </w:rPr>
        <w:t> </w:t>
      </w:r>
      <w:r>
        <w:rPr/>
        <w:t>亿，占手机网民的</w:t>
      </w:r>
      <w:r>
        <w:rPr>
          <w:spacing w:val="-56"/>
        </w:rPr>
        <w:t> </w:t>
      </w:r>
      <w:r>
        <w:rPr>
          <w:rFonts w:ascii="宋体" w:hAnsi="宋体" w:cs="宋体" w:eastAsia="宋体" w:hint="default"/>
        </w:rPr>
        <w:t>82.3%</w:t>
      </w:r>
      <w:r>
        <w:rPr/>
        <w:t>，年增长率为</w:t>
      </w:r>
      <w:r>
        <w:rPr>
          <w:spacing w:val="-55"/>
        </w:rPr>
        <w:t> </w:t>
      </w:r>
      <w:r>
        <w:rPr>
          <w:rFonts w:ascii="宋体" w:hAnsi="宋体" w:cs="宋体" w:eastAsia="宋体" w:hint="default"/>
        </w:rPr>
        <w:t>8.5%</w:t>
      </w:r>
      <w:r>
        <w:rPr/>
        <w:t>。</w:t>
      </w:r>
    </w:p>
    <w:p>
      <w:pPr>
        <w:spacing w:line="4257" w:lineRule="exact"/>
        <w:ind w:left="530"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673390" cy="270319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673390" cy="2703195"/>
                    </a:xfrm>
                    <a:prstGeom prst="rect">
                      <a:avLst/>
                    </a:prstGeom>
                  </pic:spPr>
                </pic:pic>
              </a:graphicData>
            </a:graphic>
          </wp:inline>
        </w:drawing>
      </w:r>
      <w:r>
        <w:rPr>
          <w:rFonts w:ascii="宋体" w:hAnsi="宋体" w:cs="宋体" w:eastAsia="宋体" w:hint="default"/>
          <w:position w:val="-84"/>
          <w:sz w:val="20"/>
          <w:szCs w:val="20"/>
        </w:rPr>
      </w:r>
    </w:p>
    <w:p>
      <w:pPr>
        <w:spacing w:after="0" w:line="4257" w:lineRule="exact"/>
        <w:rPr>
          <w:rFonts w:ascii="宋体" w:hAnsi="宋体" w:cs="宋体" w:eastAsia="宋体" w:hint="default"/>
          <w:sz w:val="20"/>
          <w:szCs w:val="20"/>
        </w:rPr>
        <w:sectPr>
          <w:footerReference w:type="default" r:id="rId13"/>
          <w:pgSz w:w="11910" w:h="16840"/>
          <w:pgMar w:footer="1195" w:header="880" w:top="1120" w:bottom="1380" w:left="1660" w:right="1060"/>
          <w:pgNumType w:start="1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558" w:right="101"/>
        <w:jc w:val="left"/>
      </w:pPr>
      <w:r>
        <w:rPr>
          <w:rFonts w:ascii="宋体" w:hAnsi="宋体" w:cs="宋体" w:eastAsia="宋体" w:hint="default"/>
        </w:rPr>
        <w:t>4</w:t>
      </w:r>
      <w:r>
        <w:rPr/>
        <w:t>、中国网民各类互联网应用的使用率</w:t>
      </w:r>
    </w:p>
    <w:p>
      <w:pPr>
        <w:spacing w:line="240" w:lineRule="auto" w:before="0"/>
        <w:rPr>
          <w:rFonts w:ascii="宋体" w:hAnsi="宋体" w:cs="宋体" w:eastAsia="宋体" w:hint="default"/>
          <w:sz w:val="18"/>
          <w:szCs w:val="18"/>
        </w:rPr>
      </w:pPr>
    </w:p>
    <w:p>
      <w:pPr>
        <w:spacing w:line="7819" w:lineRule="exact"/>
        <w:ind w:left="164" w:right="0" w:firstLine="0"/>
        <w:rPr>
          <w:rFonts w:ascii="宋体" w:hAnsi="宋体" w:cs="宋体" w:eastAsia="宋体" w:hint="default"/>
          <w:sz w:val="20"/>
          <w:szCs w:val="20"/>
        </w:rPr>
      </w:pPr>
      <w:r>
        <w:rPr>
          <w:rFonts w:ascii="宋体" w:hAnsi="宋体" w:cs="宋体" w:eastAsia="宋体" w:hint="default"/>
          <w:position w:val="-155"/>
          <w:sz w:val="20"/>
          <w:szCs w:val="20"/>
        </w:rPr>
        <w:drawing>
          <wp:inline distT="0" distB="0" distL="0" distR="0">
            <wp:extent cx="5376377" cy="496538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5376377" cy="4965382"/>
                    </a:xfrm>
                    <a:prstGeom prst="rect">
                      <a:avLst/>
                    </a:prstGeom>
                  </pic:spPr>
                </pic:pic>
              </a:graphicData>
            </a:graphic>
          </wp:inline>
        </w:drawing>
      </w:r>
      <w:r>
        <w:rPr>
          <w:rFonts w:ascii="宋体" w:hAnsi="宋体" w:cs="宋体" w:eastAsia="宋体" w:hint="default"/>
          <w:position w:val="-155"/>
          <w:sz w:val="20"/>
          <w:szCs w:val="20"/>
        </w:rPr>
      </w:r>
    </w:p>
    <w:p>
      <w:pPr>
        <w:spacing w:line="240" w:lineRule="auto" w:before="7"/>
        <w:rPr>
          <w:rFonts w:ascii="宋体" w:hAnsi="宋体" w:cs="宋体" w:eastAsia="宋体" w:hint="default"/>
          <w:sz w:val="19"/>
          <w:szCs w:val="19"/>
        </w:rPr>
      </w:pPr>
    </w:p>
    <w:p>
      <w:pPr>
        <w:pStyle w:val="Heading3"/>
        <w:spacing w:line="240" w:lineRule="auto" w:before="0"/>
        <w:ind w:left="138" w:right="101"/>
        <w:jc w:val="left"/>
        <w:rPr>
          <w:b w:val="0"/>
          <w:bCs w:val="0"/>
        </w:rPr>
      </w:pPr>
      <w:r>
        <w:rPr/>
        <w:t>二、报告期内公司主要资产发生重大变化情况的说明</w:t>
      </w:r>
      <w:r>
        <w:rPr>
          <w:b w:val="0"/>
          <w:bCs w:val="0"/>
        </w:rPr>
      </w:r>
    </w:p>
    <w:p>
      <w:pPr>
        <w:pStyle w:val="BodyText"/>
        <w:spacing w:line="240" w:lineRule="auto" w:before="56"/>
        <w:ind w:right="1689"/>
        <w:jc w:val="left"/>
      </w:pPr>
      <w:r>
        <w:rPr/>
        <w:t>√适用</w:t>
      </w:r>
      <w:r>
        <w:rPr>
          <w:spacing w:val="-2"/>
        </w:rPr>
        <w:t> </w:t>
      </w:r>
      <w:r>
        <w:rPr/>
        <w:t>□不适用</w:t>
      </w:r>
      <w:r>
        <w:rPr>
          <w:w w:val="100"/>
        </w:rPr>
        <w:t> </w:t>
      </w:r>
      <w:r>
        <w:rPr>
          <w:spacing w:val="-2"/>
        </w:rPr>
        <w:t>详见本报告第四节“经营情况讨论与分析”二（三）资产、负债情况分析</w:t>
      </w:r>
    </w:p>
    <w:p>
      <w:pPr>
        <w:tabs>
          <w:tab w:pos="4391" w:val="left" w:leader="none"/>
        </w:tabs>
        <w:spacing w:line="292" w:lineRule="auto" w:before="0"/>
        <w:ind w:left="138" w:right="640" w:firstLine="0"/>
        <w:jc w:val="left"/>
        <w:rPr>
          <w:rFonts w:ascii="宋体" w:hAnsi="宋体" w:cs="宋体" w:eastAsia="宋体" w:hint="default"/>
          <w:sz w:val="21"/>
          <w:szCs w:val="21"/>
        </w:rPr>
      </w:pPr>
      <w:r>
        <w:rPr>
          <w:rFonts w:ascii="宋体" w:hAnsi="宋体" w:cs="宋体" w:eastAsia="宋体" w:hint="default"/>
          <w:sz w:val="21"/>
          <w:szCs w:val="21"/>
        </w:rPr>
        <w:t>其中：境外资产</w:t>
      </w:r>
      <w:r>
        <w:rPr>
          <w:rFonts w:ascii="宋体" w:hAnsi="宋体" w:cs="宋体" w:eastAsia="宋体" w:hint="default"/>
          <w:spacing w:val="-58"/>
          <w:sz w:val="21"/>
          <w:szCs w:val="21"/>
        </w:rPr>
        <w:t> </w:t>
      </w:r>
      <w:r>
        <w:rPr>
          <w:rFonts w:ascii="宋体" w:hAnsi="宋体" w:cs="宋体" w:eastAsia="宋体" w:hint="default"/>
          <w:sz w:val="21"/>
          <w:szCs w:val="21"/>
        </w:rPr>
        <w:t>31,236,103.26</w:t>
      </w:r>
      <w:r>
        <w:rPr>
          <w:rFonts w:ascii="宋体" w:hAnsi="宋体" w:cs="宋体" w:eastAsia="宋体" w:hint="default"/>
          <w:sz w:val="21"/>
          <w:szCs w:val="21"/>
        </w:rPr>
        <w:t>（单位：元</w:t>
        <w:tab/>
        <w:t>币种：人民币），占总资产的比例为</w:t>
      </w:r>
      <w:r>
        <w:rPr>
          <w:rFonts w:ascii="宋体" w:hAnsi="宋体" w:cs="宋体" w:eastAsia="宋体" w:hint="default"/>
          <w:spacing w:val="-54"/>
          <w:sz w:val="21"/>
          <w:szCs w:val="21"/>
        </w:rPr>
        <w:t> </w:t>
      </w:r>
      <w:r>
        <w:rPr>
          <w:rFonts w:ascii="宋体" w:hAnsi="宋体" w:cs="宋体" w:eastAsia="宋体" w:hint="default"/>
          <w:sz w:val="21"/>
          <w:szCs w:val="21"/>
        </w:rPr>
        <w:t>0.83%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pStyle w:val="BodyText"/>
        <w:spacing w:line="333" w:lineRule="auto" w:before="10"/>
        <w:ind w:left="558" w:right="5653"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、品牌优势和传播优势</w:t>
      </w:r>
    </w:p>
    <w:p>
      <w:pPr>
        <w:pStyle w:val="BodyText"/>
        <w:spacing w:line="350" w:lineRule="auto" w:before="41"/>
        <w:ind w:right="95" w:firstLine="419"/>
        <w:jc w:val="left"/>
      </w:pPr>
      <w:r>
        <w:rPr/>
        <w:t>“新华网</w:t>
      </w:r>
      <w:r>
        <w:rPr>
          <w:spacing w:val="3"/>
        </w:rPr>
        <w:t> </w:t>
      </w:r>
      <w:r>
        <w:rPr/>
        <w:t>xinhuanet”作为新华通讯社构建“网上通讯社”的重要组成部分和构建内外并重</w:t>
      </w:r>
      <w:r>
        <w:rPr>
          <w:w w:val="100"/>
        </w:rPr>
        <w:t> </w:t>
      </w:r>
      <w:r>
        <w:rPr/>
        <w:t>工作格局的重要实施单元，始终坚持新闻信息的权威性、准确性、时效性和贴近性，形成了广泛</w:t>
      </w:r>
      <w:r>
        <w:rPr>
          <w:spacing w:val="-97"/>
        </w:rPr>
        <w:t> </w:t>
      </w:r>
      <w:r>
        <w:rPr>
          <w:spacing w:val="-97"/>
        </w:rPr>
      </w:r>
      <w:r>
        <w:rPr/>
        <w:t>的社会知名度和强大的品牌影响力，成为党和政府最为重视、广大互联网用户最为信赖的权威网</w:t>
      </w:r>
      <w:r>
        <w:rPr>
          <w:spacing w:val="-97"/>
        </w:rPr>
        <w:t> </w:t>
      </w:r>
      <w:r>
        <w:rPr>
          <w:spacing w:val="-97"/>
        </w:rPr>
      </w:r>
      <w:r>
        <w:rPr/>
        <w:t>站之一，也是全球最具影响力的中文新闻网站之一。“新华网 xinhuanet”每天以中文（简、繁</w:t>
      </w:r>
      <w:r>
        <w:rPr>
          <w:spacing w:val="-101"/>
        </w:rPr>
        <w:t> </w:t>
      </w:r>
      <w:r>
        <w:rPr>
          <w:spacing w:val="-101"/>
        </w:rPr>
      </w:r>
      <w:r>
        <w:rPr/>
        <w:t>体）、英文、法文、西班牙文、德文、阿拉伯文、俄文、日文、韩文、葡萄牙文</w:t>
      </w:r>
      <w:r>
        <w:rPr>
          <w:spacing w:val="-50"/>
        </w:rPr>
        <w:t> </w:t>
      </w:r>
      <w:r>
        <w:rPr>
          <w:rFonts w:ascii="宋体" w:hAnsi="宋体" w:cs="宋体" w:eastAsia="宋体" w:hint="default"/>
        </w:rPr>
        <w:t>10</w:t>
      </w:r>
      <w:r>
        <w:rPr>
          <w:rFonts w:ascii="宋体" w:hAnsi="宋体" w:cs="宋体" w:eastAsia="宋体" w:hint="default"/>
          <w:spacing w:val="-50"/>
        </w:rPr>
        <w:t> </w:t>
      </w:r>
      <w:r>
        <w:rPr/>
        <w:t>个语种和藏、</w:t>
      </w:r>
      <w:r>
        <w:rPr>
          <w:w w:val="100"/>
        </w:rPr>
        <w:t> </w:t>
      </w:r>
      <w:r>
        <w:rPr/>
        <w:t>维、蒙三个少数民族语言，</w:t>
      </w:r>
      <w:r>
        <w:rPr>
          <w:rFonts w:ascii="宋体" w:hAnsi="宋体" w:cs="宋体" w:eastAsia="宋体" w:hint="default"/>
        </w:rPr>
        <w:t>24</w:t>
      </w:r>
      <w:r>
        <w:rPr>
          <w:rFonts w:ascii="宋体" w:hAnsi="宋体" w:cs="宋体" w:eastAsia="宋体" w:hint="default"/>
          <w:spacing w:val="8"/>
        </w:rPr>
        <w:t> </w:t>
      </w:r>
      <w:r>
        <w:rPr/>
        <w:t>小时不间断发布新闻信息，新华网是海内外互联网用户了解中国、</w:t>
      </w:r>
    </w:p>
    <w:p>
      <w:pPr>
        <w:spacing w:after="0" w:line="35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right="101"/>
        <w:jc w:val="left"/>
      </w:pPr>
      <w:r>
        <w:rPr>
          <w:spacing w:val="-1"/>
        </w:rPr>
        <w:t>认识中国以及认识世界、观察世界的重要窗口。在中央网信办《网络传播》杂志发布的“中国新</w:t>
      </w:r>
      <w:r>
        <w:rPr>
          <w:spacing w:val="-55"/>
        </w:rPr>
        <w:t> </w:t>
      </w:r>
      <w:r>
        <w:rPr>
          <w:spacing w:val="-55"/>
        </w:rPr>
      </w:r>
      <w:r>
        <w:rPr/>
        <w:t>闻网站综合传播力总榜”中，新华网位居前列。</w:t>
      </w:r>
    </w:p>
    <w:p>
      <w:pPr>
        <w:pStyle w:val="BodyText"/>
        <w:spacing w:line="348" w:lineRule="auto" w:before="29"/>
        <w:ind w:left="558" w:right="101"/>
        <w:jc w:val="left"/>
      </w:pPr>
      <w:r>
        <w:rPr>
          <w:rFonts w:ascii="宋体" w:hAnsi="宋体" w:cs="宋体" w:eastAsia="宋体" w:hint="default"/>
        </w:rPr>
        <w:t>2</w:t>
      </w:r>
      <w:r>
        <w:rPr/>
        <w:t>、内容优势</w:t>
      </w:r>
      <w:r>
        <w:rPr>
          <w:w w:val="100"/>
        </w:rPr>
        <w:t> </w:t>
      </w:r>
      <w:r>
        <w:rPr>
          <w:spacing w:val="-2"/>
        </w:rPr>
        <w:t>新华网以“传播中国，报道世界”为己任，秉承“权威声音，亲切表达”的理念，以采编和</w:t>
      </w:r>
    </w:p>
    <w:p>
      <w:pPr>
        <w:pStyle w:val="BodyText"/>
        <w:spacing w:line="350" w:lineRule="auto" w:before="31"/>
        <w:ind w:right="96"/>
        <w:jc w:val="left"/>
      </w:pPr>
      <w:r>
        <w:rPr/>
        <w:t>发布新闻信息资讯为主，按照“做强新闻网、做特社交网、做优移动互联网、追踪物联网、服务</w:t>
      </w:r>
      <w:r>
        <w:rPr>
          <w:spacing w:val="-97"/>
        </w:rPr>
        <w:t> </w:t>
      </w:r>
      <w:r>
        <w:rPr>
          <w:spacing w:val="-97"/>
        </w:rPr>
      </w:r>
      <w:r>
        <w:rPr/>
        <w:t>信息化”的发展思路，建成覆盖全媒体产品链的综合性传播平台。</w:t>
      </w:r>
      <w:r>
        <w:rPr>
          <w:rFonts w:ascii="宋体" w:hAnsi="宋体" w:cs="宋体" w:eastAsia="宋体" w:hint="default"/>
        </w:rPr>
        <w:t>2017</w:t>
      </w:r>
      <w:r>
        <w:rPr>
          <w:rFonts w:ascii="宋体" w:hAnsi="宋体" w:cs="宋体" w:eastAsia="宋体" w:hint="default"/>
          <w:spacing w:val="7"/>
        </w:rPr>
        <w:t> </w:t>
      </w:r>
      <w:r>
        <w:rPr/>
        <w:t>年，新华网在重大活动、</w:t>
      </w:r>
      <w:r>
        <w:rPr>
          <w:w w:val="100"/>
        </w:rPr>
        <w:t> </w:t>
      </w:r>
      <w:r>
        <w:rPr/>
        <w:t>重大事件、热点焦点等方面做到了权威、及时、准确、全面。报告期内，新华网把以迎接宣传贯</w:t>
      </w:r>
      <w:r>
        <w:rPr>
          <w:spacing w:val="-97"/>
        </w:rPr>
        <w:t> </w:t>
      </w:r>
      <w:r>
        <w:rPr>
          <w:spacing w:val="-97"/>
        </w:rPr>
      </w:r>
      <w:r>
        <w:rPr/>
        <w:t>彻十九大报道为首要主线，着力做好重大主题报道，重点围绕全国两会、“一带一路”国际合作</w:t>
      </w:r>
      <w:r>
        <w:rPr>
          <w:spacing w:val="-96"/>
        </w:rPr>
        <w:t> </w:t>
      </w:r>
      <w:r>
        <w:rPr>
          <w:spacing w:val="-96"/>
        </w:rPr>
      </w:r>
      <w:r>
        <w:rPr/>
        <w:t>高峰论坛、香港回归</w:t>
      </w:r>
      <w:r>
        <w:rPr>
          <w:spacing w:val="-52"/>
        </w:rPr>
        <w:t> </w:t>
      </w:r>
      <w:r>
        <w:rPr>
          <w:rFonts w:ascii="宋体" w:hAnsi="宋体" w:cs="宋体" w:eastAsia="宋体" w:hint="default"/>
        </w:rPr>
        <w:t>20</w:t>
      </w:r>
      <w:r>
        <w:rPr>
          <w:rFonts w:ascii="宋体" w:hAnsi="宋体" w:cs="宋体" w:eastAsia="宋体" w:hint="default"/>
          <w:spacing w:val="-53"/>
        </w:rPr>
        <w:t> </w:t>
      </w:r>
      <w:r>
        <w:rPr/>
        <w:t>周年、建军</w:t>
      </w:r>
      <w:r>
        <w:rPr>
          <w:spacing w:val="-51"/>
        </w:rPr>
        <w:t> </w:t>
      </w:r>
      <w:r>
        <w:rPr>
          <w:rFonts w:ascii="宋体" w:hAnsi="宋体" w:cs="宋体" w:eastAsia="宋体" w:hint="default"/>
        </w:rPr>
        <w:t>90</w:t>
      </w:r>
      <w:r>
        <w:rPr>
          <w:rFonts w:ascii="宋体" w:hAnsi="宋体" w:cs="宋体" w:eastAsia="宋体" w:hint="default"/>
          <w:spacing w:val="-51"/>
        </w:rPr>
        <w:t> </w:t>
      </w:r>
      <w:r>
        <w:rPr/>
        <w:t>周年、金砖国家领导人厦门会晤等重大主题开展了内容丰</w:t>
      </w:r>
      <w:r>
        <w:rPr>
          <w:w w:val="100"/>
        </w:rPr>
        <w:t> </w:t>
      </w:r>
      <w:r>
        <w:rPr/>
        <w:t>富、主题鲜明、亮点纷呈的报道，网络宣传主力军地位进一步巩固。</w:t>
      </w:r>
    </w:p>
    <w:p>
      <w:pPr>
        <w:pStyle w:val="BodyText"/>
        <w:spacing w:line="350" w:lineRule="auto" w:before="29"/>
        <w:ind w:left="558" w:right="101"/>
        <w:jc w:val="left"/>
      </w:pPr>
      <w:r>
        <w:rPr>
          <w:rFonts w:ascii="宋体" w:hAnsi="宋体" w:cs="宋体" w:eastAsia="宋体" w:hint="default"/>
        </w:rPr>
        <w:t>3</w:t>
      </w:r>
      <w:r>
        <w:rPr/>
        <w:t>、互联网用户受众及客户资源优势</w:t>
      </w:r>
      <w:r>
        <w:rPr>
          <w:w w:val="100"/>
        </w:rPr>
        <w:t> </w:t>
      </w:r>
      <w:r>
        <w:rPr>
          <w:spacing w:val="-2"/>
        </w:rPr>
        <w:t>新华网拥有大量高端互联网用户作为新华网长期忠实的受众，用户特点突出表现为社会影响</w:t>
      </w:r>
    </w:p>
    <w:p>
      <w:pPr>
        <w:pStyle w:val="BodyText"/>
        <w:spacing w:line="350" w:lineRule="auto" w:before="27"/>
        <w:ind w:right="101"/>
        <w:jc w:val="left"/>
      </w:pPr>
      <w:r>
        <w:rPr/>
        <w:t>力大、消费能力强、分布范围广，新华网吸引了包括政府官员、企业管理人员、媒体从业者等广</w:t>
      </w:r>
      <w:r>
        <w:rPr>
          <w:spacing w:val="-97"/>
        </w:rPr>
        <w:t> </w:t>
      </w:r>
      <w:r>
        <w:rPr>
          <w:spacing w:val="-97"/>
        </w:rPr>
      </w:r>
      <w:r>
        <w:rPr/>
        <w:t>泛的影响力人群，新华网在新闻信息传播、社会影响力、商业价值、成长性等方面具备巨大的优</w:t>
      </w:r>
      <w:r>
        <w:rPr>
          <w:spacing w:val="-97"/>
        </w:rPr>
        <w:t> </w:t>
      </w:r>
      <w:r>
        <w:rPr>
          <w:spacing w:val="-97"/>
        </w:rPr>
      </w:r>
      <w:r>
        <w:rPr/>
        <w:t>势，有利于公司开展的各项经营活动的成长。新华网已同多家世界</w:t>
      </w:r>
      <w:r>
        <w:rPr>
          <w:spacing w:val="-48"/>
        </w:rPr>
        <w:t> </w:t>
      </w:r>
      <w:r>
        <w:rPr>
          <w:rFonts w:ascii="宋体" w:hAnsi="宋体" w:cs="宋体" w:eastAsia="宋体" w:hint="default"/>
        </w:rPr>
        <w:t>500</w:t>
      </w:r>
      <w:r>
        <w:rPr>
          <w:rFonts w:ascii="宋体" w:hAnsi="宋体" w:cs="宋体" w:eastAsia="宋体" w:hint="default"/>
          <w:spacing w:val="-50"/>
        </w:rPr>
        <w:t> </w:t>
      </w:r>
      <w:r>
        <w:rPr/>
        <w:t>强企业建立广告业务合作</w:t>
      </w:r>
      <w:r>
        <w:rPr>
          <w:w w:val="100"/>
        </w:rPr>
        <w:t> </w:t>
      </w:r>
      <w:r>
        <w:rPr>
          <w:spacing w:val="-14"/>
          <w:w w:val="100"/>
        </w:rPr>
        <w:t>关系，并且与多家</w:t>
      </w:r>
      <w:r>
        <w:rPr>
          <w:spacing w:val="-42"/>
          <w:w w:val="100"/>
        </w:rPr>
        <w:t> </w:t>
      </w:r>
      <w:r>
        <w:rPr>
          <w:rFonts w:ascii="宋体" w:hAnsi="宋体" w:cs="宋体" w:eastAsia="宋体" w:hint="default"/>
          <w:spacing w:val="-2"/>
          <w:w w:val="100"/>
        </w:rPr>
        <w:t>4A</w:t>
      </w:r>
      <w:r>
        <w:rPr>
          <w:rFonts w:ascii="宋体" w:hAnsi="宋体" w:cs="宋体" w:eastAsia="宋体" w:hint="default"/>
          <w:spacing w:val="-42"/>
          <w:w w:val="100"/>
        </w:rPr>
        <w:t> </w:t>
      </w:r>
      <w:r>
        <w:rPr>
          <w:spacing w:val="-5"/>
          <w:w w:val="100"/>
        </w:rPr>
        <w:t>级广告代理公司及众多本土广告公司建立长期合作关系，拥有一批党政机关、</w:t>
      </w:r>
      <w:r>
        <w:rPr>
          <w:spacing w:val="-101"/>
          <w:w w:val="100"/>
        </w:rPr>
        <w:t> </w:t>
      </w:r>
      <w:r>
        <w:rPr>
          <w:spacing w:val="-101"/>
          <w:w w:val="100"/>
        </w:rPr>
      </w:r>
      <w:r>
        <w:rPr/>
        <w:t>国有大型企事业单位等高端客户资源。在网站建设与技术服务方面，中组部、中宣部、国务院办</w:t>
      </w:r>
      <w:r>
        <w:rPr>
          <w:spacing w:val="-97"/>
        </w:rPr>
        <w:t> </w:t>
      </w:r>
      <w:r>
        <w:rPr>
          <w:spacing w:val="-97"/>
        </w:rPr>
      </w:r>
      <w:r>
        <w:rPr/>
        <w:t>公厅、国家发改委、香港中联办、澳门中联办、国家食药监总局、国家安监总局、国家能源局等</w:t>
      </w:r>
      <w:r>
        <w:rPr>
          <w:spacing w:val="-98"/>
        </w:rPr>
        <w:t> </w:t>
      </w:r>
      <w:r>
        <w:rPr>
          <w:spacing w:val="-98"/>
        </w:rPr>
      </w:r>
      <w:r>
        <w:rPr/>
        <w:t>都成为新华网政府网站建设、新媒体平台的重要用户。</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2</w:t>
      </w:r>
      <w:r>
        <w:rPr>
          <w:rFonts w:ascii="宋体" w:hAnsi="宋体" w:cs="宋体" w:eastAsia="宋体" w:hint="default"/>
          <w:spacing w:val="-41"/>
        </w:rPr>
        <w:t> </w:t>
      </w:r>
      <w:r>
        <w:rPr/>
        <w:t>月</w:t>
      </w:r>
      <w:r>
        <w:rPr>
          <w:spacing w:val="-41"/>
        </w:rPr>
        <w:t> </w:t>
      </w:r>
      <w:r>
        <w:rPr>
          <w:rFonts w:ascii="宋体" w:hAnsi="宋体" w:cs="宋体" w:eastAsia="宋体" w:hint="default"/>
        </w:rPr>
        <w:t>23</w:t>
      </w:r>
      <w:r>
        <w:rPr>
          <w:rFonts w:ascii="宋体" w:hAnsi="宋体" w:cs="宋体" w:eastAsia="宋体" w:hint="default"/>
          <w:spacing w:val="-43"/>
        </w:rPr>
        <w:t> </w:t>
      </w:r>
      <w:r>
        <w:rPr/>
        <w:t>日，由中共河北雄安新区</w:t>
      </w:r>
      <w:r>
        <w:rPr>
          <w:w w:val="100"/>
        </w:rPr>
        <w:t> </w:t>
      </w:r>
      <w:r>
        <w:rPr>
          <w:spacing w:val="8"/>
        </w:rPr>
        <w:t>工作委员会、河北雄安新区管理委员会主办，新华网承办的中国雄安新区官网“中国雄安”</w:t>
      </w:r>
    </w:p>
    <w:p>
      <w:pPr>
        <w:pStyle w:val="BodyText"/>
        <w:spacing w:line="348" w:lineRule="auto" w:before="29"/>
        <w:ind w:right="208"/>
        <w:jc w:val="both"/>
      </w:pPr>
      <w:r>
        <w:rPr>
          <w:spacing w:val="-1"/>
        </w:rPr>
        <w:t>（</w:t>
      </w:r>
      <w:hyperlink r:id="rId17">
        <w:r>
          <w:rPr>
            <w:rFonts w:ascii="宋体" w:hAnsi="宋体" w:cs="宋体" w:eastAsia="宋体" w:hint="default"/>
            <w:spacing w:val="-1"/>
          </w:rPr>
          <w:t>www.xiongan.gov.cn</w:t>
        </w:r>
      </w:hyperlink>
      <w:r>
        <w:rPr>
          <w:spacing w:val="-1"/>
        </w:rPr>
        <w:t>）中英文版正式上线，将成为全球网民了解雄安新区的窗口和名片，打造</w:t>
      </w:r>
      <w:r>
        <w:rPr>
          <w:spacing w:val="-50"/>
        </w:rPr>
        <w:t> </w:t>
      </w:r>
      <w:r>
        <w:rPr>
          <w:spacing w:val="-50"/>
        </w:rPr>
      </w:r>
      <w:r>
        <w:rPr>
          <w:spacing w:val="-1"/>
        </w:rPr>
        <w:t>在中国和国际上具有权威性、广泛影响力、话语权的多语种新闻信息服务门户网站、政务服务平</w:t>
      </w:r>
      <w:r>
        <w:rPr>
          <w:spacing w:val="-55"/>
        </w:rPr>
        <w:t> </w:t>
      </w:r>
      <w:r>
        <w:rPr>
          <w:spacing w:val="-55"/>
        </w:rPr>
      </w:r>
      <w:r>
        <w:rPr/>
        <w:t>台和交互共享平台。</w:t>
      </w:r>
    </w:p>
    <w:p>
      <w:pPr>
        <w:pStyle w:val="BodyText"/>
        <w:spacing w:line="348" w:lineRule="auto" w:before="31"/>
        <w:ind w:left="558" w:right="101"/>
        <w:jc w:val="left"/>
      </w:pPr>
      <w:r>
        <w:rPr>
          <w:rFonts w:ascii="宋体" w:hAnsi="宋体" w:cs="宋体" w:eastAsia="宋体" w:hint="default"/>
        </w:rPr>
        <w:t>4</w:t>
      </w:r>
      <w:r>
        <w:rPr/>
        <w:t>、创新优势</w:t>
      </w:r>
      <w:r>
        <w:rPr>
          <w:w w:val="100"/>
        </w:rPr>
        <w:t> </w:t>
      </w:r>
      <w:r>
        <w:rPr>
          <w:spacing w:val="-2"/>
        </w:rPr>
        <w:t>新华网发挥创新优势，始终坚持优质内容与先进技术相融合、网民需求和创新导向相结合，</w:t>
      </w:r>
    </w:p>
    <w:p>
      <w:pPr>
        <w:pStyle w:val="BodyText"/>
        <w:spacing w:line="350" w:lineRule="auto" w:before="31"/>
        <w:ind w:right="101"/>
        <w:jc w:val="left"/>
      </w:pPr>
      <w:r>
        <w:rPr>
          <w:spacing w:val="-1"/>
        </w:rPr>
        <w:t>持续推进新华网内容建设视频化、移动化、知识化、社交化转型，有力抢占新媒体传播制高点，</w:t>
      </w:r>
      <w:r>
        <w:rPr>
          <w:spacing w:val="-55"/>
        </w:rPr>
        <w:t> </w:t>
      </w:r>
      <w:r>
        <w:rPr>
          <w:spacing w:val="-55"/>
        </w:rPr>
      </w:r>
      <w:r>
        <w:rPr/>
        <w:t>在科技研发创新方面取得重要成果，具体如下：</w:t>
      </w:r>
    </w:p>
    <w:p>
      <w:pPr>
        <w:pStyle w:val="BodyText"/>
        <w:spacing w:line="350" w:lineRule="auto" w:before="27"/>
        <w:ind w:right="207" w:firstLine="419"/>
        <w:jc w:val="both"/>
      </w:pPr>
      <w:r>
        <w:rPr>
          <w:spacing w:val="-4"/>
        </w:rPr>
        <w:t>（</w:t>
      </w:r>
      <w:r>
        <w:rPr>
          <w:rFonts w:ascii="宋体" w:hAnsi="宋体" w:cs="宋体" w:eastAsia="宋体" w:hint="default"/>
          <w:spacing w:val="-4"/>
        </w:rPr>
        <w:t>1</w:t>
      </w:r>
      <w:r>
        <w:rPr>
          <w:spacing w:val="-4"/>
        </w:rPr>
        <w:t>）公司着力推进媒体创意工场的建设。媒体创意工场以“创意、融合、开放”为宗旨，旨</w:t>
      </w:r>
      <w:r>
        <w:rPr>
          <w:w w:val="100"/>
        </w:rPr>
        <w:t> </w:t>
      </w:r>
      <w:r>
        <w:rPr>
          <w:spacing w:val="-1"/>
        </w:rPr>
        <w:t>在打造完备的创意产品孵化体系，以新的创意、新的语态、新的模式，创造出统一品牌、多种风</w:t>
      </w:r>
      <w:r>
        <w:rPr>
          <w:spacing w:val="-55"/>
        </w:rPr>
        <w:t> </w:t>
      </w:r>
      <w:r>
        <w:rPr>
          <w:spacing w:val="-55"/>
        </w:rPr>
      </w:r>
      <w:r>
        <w:rPr>
          <w:spacing w:val="-1"/>
        </w:rPr>
        <w:t>格、更高品质的新媒体产品。媒体创意工场深耕视觉传播领域，在视频制作技术、创意表达上取</w:t>
      </w:r>
      <w:r>
        <w:rPr>
          <w:spacing w:val="-55"/>
        </w:rPr>
        <w:t> </w:t>
      </w:r>
      <w:r>
        <w:rPr>
          <w:spacing w:val="-55"/>
        </w:rPr>
      </w:r>
      <w:r>
        <w:rPr/>
        <w:t>得突破，在可视化、数据新闻领域有新建树，研究</w:t>
      </w:r>
      <w:r>
        <w:rPr>
          <w:spacing w:val="-51"/>
        </w:rPr>
        <w:t> </w:t>
      </w:r>
      <w:r>
        <w:rPr>
          <w:rFonts w:ascii="宋体" w:hAnsi="宋体" w:cs="宋体" w:eastAsia="宋体" w:hint="default"/>
        </w:rPr>
        <w:t>HTML5</w:t>
      </w:r>
      <w:r>
        <w:rPr/>
        <w:t>、</w:t>
      </w:r>
      <w:r>
        <w:rPr>
          <w:rFonts w:ascii="宋体" w:hAnsi="宋体" w:cs="宋体" w:eastAsia="宋体" w:hint="default"/>
        </w:rPr>
        <w:t>VR</w:t>
      </w:r>
      <w:r>
        <w:rPr/>
        <w:t>、</w:t>
      </w:r>
      <w:r>
        <w:rPr>
          <w:rFonts w:ascii="宋体" w:hAnsi="宋体" w:cs="宋体" w:eastAsia="宋体" w:hint="default"/>
        </w:rPr>
        <w:t>AR</w:t>
      </w:r>
      <w:r>
        <w:rPr/>
        <w:t>、</w:t>
      </w:r>
      <w:r>
        <w:rPr>
          <w:rFonts w:ascii="宋体" w:hAnsi="宋体" w:cs="宋体" w:eastAsia="宋体" w:hint="default"/>
        </w:rPr>
        <w:t>3D</w:t>
      </w:r>
      <w:r>
        <w:rPr>
          <w:rFonts w:ascii="宋体" w:hAnsi="宋体" w:cs="宋体" w:eastAsia="宋体" w:hint="default"/>
          <w:spacing w:val="-49"/>
        </w:rPr>
        <w:t> </w:t>
      </w:r>
      <w:r>
        <w:rPr/>
        <w:t>等技术与视频的融合，通</w:t>
      </w:r>
      <w:r>
        <w:rPr>
          <w:w w:val="100"/>
        </w:rPr>
        <w:t> </w:t>
      </w:r>
      <w:r>
        <w:rPr>
          <w:spacing w:val="-1"/>
        </w:rPr>
        <w:t>过技术与内容的融合融通，打造新形态新闻产品。原创视频《无人机航拍：换个姿势看报告》、</w:t>
      </w:r>
      <w:r>
        <w:rPr>
          <w:spacing w:val="-55"/>
        </w:rPr>
        <w:t> </w:t>
      </w:r>
      <w:r>
        <w:rPr>
          <w:spacing w:val="-55"/>
        </w:rPr>
      </w:r>
      <w:r>
        <w:rPr/>
        <w:t>微视频《共商国是》分别获得第</w:t>
      </w:r>
      <w:r>
        <w:rPr>
          <w:spacing w:val="-33"/>
        </w:rPr>
        <w:t> </w:t>
      </w:r>
      <w:r>
        <w:rPr>
          <w:rFonts w:ascii="宋体" w:hAnsi="宋体" w:cs="宋体" w:eastAsia="宋体" w:hint="default"/>
        </w:rPr>
        <w:t>27</w:t>
      </w:r>
      <w:r>
        <w:rPr>
          <w:rFonts w:ascii="宋体" w:hAnsi="宋体" w:cs="宋体" w:eastAsia="宋体" w:hint="default"/>
          <w:spacing w:val="-35"/>
        </w:rPr>
        <w:t> </w:t>
      </w:r>
      <w:r>
        <w:rPr/>
        <w:t>届（</w:t>
      </w:r>
      <w:r>
        <w:rPr>
          <w:rFonts w:ascii="宋体" w:hAnsi="宋体" w:cs="宋体" w:eastAsia="宋体" w:hint="default"/>
        </w:rPr>
        <w:t>2017</w:t>
      </w:r>
      <w:r>
        <w:rPr>
          <w:rFonts w:ascii="宋体" w:hAnsi="宋体" w:cs="宋体" w:eastAsia="宋体" w:hint="default"/>
          <w:spacing w:val="-36"/>
        </w:rPr>
        <w:t> </w:t>
      </w:r>
      <w:r>
        <w:rPr/>
        <w:t>年度）中国人大新闻奖网络作品新媒体一等奖；红</w:t>
      </w:r>
      <w:r>
        <w:rPr>
          <w:spacing w:val="-3"/>
          <w:w w:val="100"/>
        </w:rPr>
        <w:t> </w:t>
      </w:r>
      <w:r>
        <w:rPr/>
        <w:t>军长征全景交互地图《征程》获得中国新闻奖一等奖。</w:t>
      </w:r>
    </w:p>
    <w:p>
      <w:pPr>
        <w:spacing w:after="0" w:line="350"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right="128" w:firstLine="419"/>
        <w:jc w:val="both"/>
      </w:pPr>
      <w:r>
        <w:rPr>
          <w:spacing w:val="-1"/>
        </w:rPr>
        <w:t>（</w:t>
      </w:r>
      <w:r>
        <w:rPr>
          <w:rFonts w:ascii="宋体" w:hAnsi="宋体" w:cs="宋体" w:eastAsia="宋体" w:hint="default"/>
          <w:spacing w:val="-1"/>
        </w:rPr>
        <w:t>2</w:t>
      </w:r>
      <w:r>
        <w:rPr>
          <w:spacing w:val="-1"/>
        </w:rPr>
        <w:t>）公司融媒体未来研究院在生物传感技术</w:t>
      </w:r>
      <w:r>
        <w:rPr>
          <w:rFonts w:ascii="宋体" w:hAnsi="宋体" w:cs="宋体" w:eastAsia="宋体" w:hint="default"/>
          <w:spacing w:val="-1"/>
        </w:rPr>
        <w:t>+</w:t>
      </w:r>
      <w:r>
        <w:rPr>
          <w:spacing w:val="-1"/>
        </w:rPr>
        <w:t>情绪这一融合技术应用领域获得新成果，成功</w:t>
      </w:r>
      <w:r>
        <w:rPr>
          <w:w w:val="100"/>
        </w:rPr>
        <w:t> </w:t>
      </w:r>
      <w:r>
        <w:rPr>
          <w:spacing w:val="-4"/>
          <w:w w:val="100"/>
        </w:rPr>
        <w:t>研发推出第一代驾驶疲劳监测产品—小唛•智能指环，是生物传感技术应用到疲劳驾驶领域的突破</w:t>
      </w:r>
      <w:r>
        <w:rPr>
          <w:spacing w:val="-86"/>
          <w:w w:val="100"/>
        </w:rPr>
        <w:t> </w:t>
      </w:r>
      <w:r>
        <w:rPr>
          <w:spacing w:val="-86"/>
          <w:w w:val="100"/>
        </w:rPr>
      </w:r>
      <w:r>
        <w:rPr>
          <w:spacing w:val="-1"/>
        </w:rPr>
        <w:t>性智能产品。同时新华网研究院团队成功研发孕妇产后情绪检测系统和减压系统，实现生物传感</w:t>
      </w:r>
      <w:r>
        <w:rPr>
          <w:spacing w:val="-55"/>
        </w:rPr>
        <w:t> </w:t>
      </w:r>
      <w:r>
        <w:rPr>
          <w:spacing w:val="-55"/>
        </w:rPr>
      </w:r>
      <w:r>
        <w:rPr/>
        <w:t>技术在大健康领域应用探索。</w:t>
      </w:r>
      <w:r>
        <w:rPr>
          <w:rFonts w:ascii="宋体" w:hAnsi="宋体" w:cs="宋体" w:eastAsia="宋体" w:hint="default"/>
        </w:rPr>
        <w:t>11</w:t>
      </w:r>
      <w:r>
        <w:rPr>
          <w:rFonts w:ascii="宋体" w:hAnsi="宋体" w:cs="宋体" w:eastAsia="宋体" w:hint="default"/>
          <w:spacing w:val="6"/>
        </w:rPr>
        <w:t> </w:t>
      </w:r>
      <w:r>
        <w:rPr/>
        <w:t>月，一汽集团与公司签订合作备忘录，双方拟共同建设新华网</w:t>
      </w:r>
      <w:r>
        <w:rPr>
          <w:rFonts w:ascii="宋体" w:hAnsi="宋体" w:cs="宋体" w:eastAsia="宋体" w:hint="default"/>
        </w:rPr>
        <w:t>-</w:t>
      </w:r>
      <w:r>
        <w:rPr>
          <w:rFonts w:ascii="宋体" w:hAnsi="宋体" w:cs="宋体" w:eastAsia="宋体" w:hint="default"/>
          <w:w w:val="100"/>
        </w:rPr>
        <w:t> </w:t>
      </w:r>
      <w:r>
        <w:rPr>
          <w:spacing w:val="-1"/>
        </w:rPr>
        <w:t>一汽车媒体智能生态联合实验室。在影视评测项目方面，新华网融媒体未来研究院开展了大量数</w:t>
      </w:r>
      <w:r>
        <w:rPr>
          <w:spacing w:val="-55"/>
        </w:rPr>
        <w:t> </w:t>
      </w:r>
      <w:r>
        <w:rPr>
          <w:spacing w:val="-55"/>
        </w:rPr>
      </w:r>
      <w:r>
        <w:rPr/>
        <w:t>据积累工作，开展多场次电影及广告类测评实验，为</w:t>
      </w:r>
      <w:r>
        <w:rPr>
          <w:spacing w:val="-56"/>
        </w:rPr>
        <w:t> </w:t>
      </w:r>
      <w:r>
        <w:rPr>
          <w:rFonts w:ascii="宋体" w:hAnsi="宋体" w:cs="宋体" w:eastAsia="宋体" w:hint="default"/>
        </w:rPr>
        <w:t>2018</w:t>
      </w:r>
      <w:r>
        <w:rPr>
          <w:rFonts w:ascii="宋体" w:hAnsi="宋体" w:cs="宋体" w:eastAsia="宋体" w:hint="default"/>
          <w:spacing w:val="-56"/>
        </w:rPr>
        <w:t> </w:t>
      </w:r>
      <w:r>
        <w:rPr/>
        <w:t>年推进该项目打下了坚实的基础。</w:t>
      </w:r>
    </w:p>
    <w:p>
      <w:pPr>
        <w:pStyle w:val="BodyText"/>
        <w:spacing w:line="350" w:lineRule="auto" w:before="27"/>
        <w:ind w:right="127" w:firstLine="419"/>
        <w:jc w:val="both"/>
      </w:pPr>
      <w:r>
        <w:rPr>
          <w:spacing w:val="-4"/>
        </w:rPr>
        <w:t>（</w:t>
      </w:r>
      <w:r>
        <w:rPr>
          <w:rFonts w:ascii="宋体" w:hAnsi="宋体" w:cs="宋体" w:eastAsia="宋体" w:hint="default"/>
          <w:spacing w:val="-4"/>
        </w:rPr>
        <w:t>3</w:t>
      </w:r>
      <w:r>
        <w:rPr>
          <w:spacing w:val="-4"/>
        </w:rPr>
        <w:t>）推出自主研发的平台级大数据产品新华睿思数据云图分析平台，以公司媒体资源优势以</w:t>
      </w:r>
      <w:r>
        <w:rPr>
          <w:w w:val="100"/>
        </w:rPr>
        <w:t> </w:t>
      </w:r>
      <w:r>
        <w:rPr>
          <w:spacing w:val="-1"/>
        </w:rPr>
        <w:t>及分布式并行计算框架为基础，对原有大数据舆情系统进行全新升级，运用信息时空传播分析技</w:t>
      </w:r>
      <w:r>
        <w:rPr>
          <w:spacing w:val="-55"/>
        </w:rPr>
        <w:t> </w:t>
      </w:r>
      <w:r>
        <w:rPr>
          <w:spacing w:val="-55"/>
        </w:rPr>
      </w:r>
      <w:r>
        <w:rPr>
          <w:spacing w:val="-1"/>
        </w:rPr>
        <w:t>术、增量式事件演化分析技术、基于表情符号的网民情绪深度感知技术、互动信息持续增量更新</w:t>
      </w:r>
      <w:r>
        <w:rPr>
          <w:spacing w:val="-55"/>
        </w:rPr>
        <w:t> </w:t>
      </w:r>
      <w:r>
        <w:rPr>
          <w:spacing w:val="-55"/>
        </w:rPr>
      </w:r>
      <w:r>
        <w:rPr>
          <w:spacing w:val="-1"/>
        </w:rPr>
        <w:t>技术、报告智能生成技术，创新大数据系统架构模式，实现数据持续增量更新，首创“网民表情</w:t>
      </w:r>
      <w:r>
        <w:rPr>
          <w:spacing w:val="-54"/>
        </w:rPr>
        <w:t> </w:t>
      </w:r>
      <w:r>
        <w:rPr>
          <w:spacing w:val="-54"/>
        </w:rPr>
      </w:r>
      <w:r>
        <w:rPr>
          <w:spacing w:val="-1"/>
        </w:rPr>
        <w:t>符号统计感知”，大幅提升知识图谱演化分析能力及时空维度新闻传播追溯能力。目前该产品已</w:t>
      </w:r>
      <w:r>
        <w:rPr>
          <w:spacing w:val="-55"/>
        </w:rPr>
        <w:t> </w:t>
      </w:r>
      <w:r>
        <w:rPr>
          <w:spacing w:val="-55"/>
        </w:rPr>
      </w:r>
      <w:r>
        <w:rPr>
          <w:spacing w:val="-1"/>
        </w:rPr>
        <w:t>服务于中纪委、国办、中组部、中央政法委、中宣部、民政部等多家部委机关及事业单位、央企</w:t>
      </w:r>
      <w:r>
        <w:rPr>
          <w:spacing w:val="-55"/>
        </w:rPr>
        <w:t> </w:t>
      </w:r>
      <w:r>
        <w:rPr>
          <w:spacing w:val="-55"/>
        </w:rPr>
      </w:r>
      <w:r>
        <w:rPr/>
        <w:t>国企等数百家单位。</w:t>
      </w:r>
    </w:p>
    <w:p>
      <w:pPr>
        <w:pStyle w:val="BodyText"/>
        <w:spacing w:line="350" w:lineRule="auto" w:before="29"/>
        <w:ind w:right="128" w:firstLine="419"/>
        <w:jc w:val="both"/>
      </w:pPr>
      <w:r>
        <w:rPr/>
        <w:t>（</w:t>
      </w:r>
      <w:r>
        <w:rPr>
          <w:rFonts w:ascii="宋体" w:hAnsi="宋体" w:cs="宋体" w:eastAsia="宋体" w:hint="default"/>
        </w:rPr>
        <w:t>4</w:t>
      </w:r>
      <w:r>
        <w:rPr/>
        <w:t>）新华网与阿里公司合资成立的新华智云科技有限公司，</w:t>
      </w:r>
      <w:r>
        <w:rPr>
          <w:rFonts w:ascii="宋体" w:hAnsi="宋体" w:cs="宋体" w:eastAsia="宋体" w:hint="default"/>
        </w:rPr>
        <w:t>2017</w:t>
      </w:r>
      <w:r>
        <w:rPr>
          <w:rFonts w:ascii="宋体" w:hAnsi="宋体" w:cs="宋体" w:eastAsia="宋体" w:hint="default"/>
          <w:spacing w:val="9"/>
        </w:rPr>
        <w:t> </w:t>
      </w:r>
      <w:r>
        <w:rPr/>
        <w:t>年重点打造“媒体大脑”</w:t>
      </w:r>
      <w:r>
        <w:rPr>
          <w:w w:val="100"/>
        </w:rPr>
        <w:t> </w:t>
      </w:r>
      <w:r>
        <w:rPr>
          <w:spacing w:val="-8"/>
          <w:w w:val="100"/>
        </w:rPr>
        <w:t>产品。“媒体大脑”是国内第一个媒体</w:t>
      </w:r>
      <w:r>
        <w:rPr>
          <w:spacing w:val="-46"/>
          <w:w w:val="100"/>
        </w:rPr>
        <w:t> </w:t>
      </w:r>
      <w:r>
        <w:rPr>
          <w:rFonts w:ascii="宋体" w:hAnsi="宋体" w:cs="宋体" w:eastAsia="宋体" w:hint="default"/>
          <w:w w:val="100"/>
        </w:rPr>
        <w:t>AI</w:t>
      </w:r>
      <w:r>
        <w:rPr>
          <w:rFonts w:ascii="宋体" w:hAnsi="宋体" w:cs="宋体" w:eastAsia="宋体" w:hint="default"/>
          <w:spacing w:val="-49"/>
          <w:w w:val="100"/>
        </w:rPr>
        <w:t> </w:t>
      </w:r>
      <w:r>
        <w:rPr>
          <w:spacing w:val="-22"/>
          <w:w w:val="100"/>
        </w:rPr>
        <w:t>项目，包括</w:t>
      </w:r>
      <w:r>
        <w:rPr>
          <w:spacing w:val="-49"/>
          <w:w w:val="100"/>
        </w:rPr>
        <w:t> </w:t>
      </w:r>
      <w:r>
        <w:rPr>
          <w:rFonts w:ascii="宋体" w:hAnsi="宋体" w:cs="宋体" w:eastAsia="宋体" w:hint="default"/>
          <w:w w:val="100"/>
        </w:rPr>
        <w:t>8</w:t>
      </w:r>
      <w:r>
        <w:rPr>
          <w:rFonts w:ascii="宋体" w:hAnsi="宋体" w:cs="宋体" w:eastAsia="宋体" w:hint="default"/>
          <w:spacing w:val="-47"/>
          <w:w w:val="100"/>
        </w:rPr>
        <w:t> </w:t>
      </w:r>
      <w:r>
        <w:rPr>
          <w:spacing w:val="-16"/>
          <w:w w:val="100"/>
        </w:rPr>
        <w:t>大产品和功能：</w:t>
      </w:r>
      <w:r>
        <w:rPr>
          <w:rFonts w:ascii="宋体" w:hAnsi="宋体" w:cs="宋体" w:eastAsia="宋体" w:hint="default"/>
          <w:spacing w:val="-16"/>
          <w:w w:val="100"/>
        </w:rPr>
        <w:t>2410</w:t>
      </w:r>
      <w:r>
        <w:rPr>
          <w:spacing w:val="-16"/>
          <w:w w:val="100"/>
        </w:rPr>
        <w:t>（智能媒体生产平台）、</w:t>
      </w:r>
      <w:r>
        <w:rPr>
          <w:spacing w:val="-103"/>
          <w:w w:val="100"/>
        </w:rPr>
        <w:t> </w:t>
      </w:r>
      <w:r>
        <w:rPr>
          <w:spacing w:val="-103"/>
          <w:w w:val="100"/>
        </w:rPr>
      </w:r>
      <w:r>
        <w:rPr>
          <w:spacing w:val="-7"/>
        </w:rPr>
        <w:t>新闻分发、采蜜、版权监测、人脸核查、用户画像、智能会话、语音合成，覆盖报道线索、策划、</w:t>
      </w:r>
      <w:r>
        <w:rPr>
          <w:spacing w:val="-17"/>
        </w:rPr>
        <w:t> </w:t>
      </w:r>
      <w:r>
        <w:rPr>
          <w:spacing w:val="-17"/>
        </w:rPr>
      </w:r>
      <w:r>
        <w:rPr/>
        <w:t>采访、生产、分发、反馈等全新闻链路。另外，国内首条</w:t>
      </w:r>
      <w:r>
        <w:rPr>
          <w:spacing w:val="7"/>
        </w:rPr>
        <w:t> </w:t>
      </w:r>
      <w:r>
        <w:rPr>
          <w:rFonts w:ascii="宋体" w:hAnsi="宋体" w:cs="宋体" w:eastAsia="宋体" w:hint="default"/>
        </w:rPr>
        <w:t>MGC</w:t>
      </w:r>
      <w:r>
        <w:rPr/>
        <w:t>（机器生产内容）视频新闻也是由</w:t>
      </w:r>
      <w:r>
        <w:rPr>
          <w:w w:val="100"/>
        </w:rPr>
        <w:t> </w:t>
      </w:r>
      <w:r>
        <w:rPr>
          <w:spacing w:val="-3"/>
        </w:rPr>
        <w:t>新华智云打造，</w:t>
      </w:r>
      <w:r>
        <w:rPr>
          <w:rFonts w:ascii="宋体" w:hAnsi="宋体" w:cs="宋体" w:eastAsia="宋体" w:hint="default"/>
          <w:spacing w:val="-3"/>
        </w:rPr>
        <w:t>MGC</w:t>
      </w:r>
      <w:r>
        <w:rPr>
          <w:rFonts w:ascii="宋体" w:hAnsi="宋体" w:cs="宋体" w:eastAsia="宋体" w:hint="default"/>
          <w:spacing w:val="-41"/>
        </w:rPr>
        <w:t> </w:t>
      </w:r>
      <w:r>
        <w:rPr/>
        <w:t>是基于“媒体大脑”的</w:t>
      </w:r>
      <w:r>
        <w:rPr>
          <w:spacing w:val="-41"/>
        </w:rPr>
        <w:t> </w:t>
      </w:r>
      <w:r>
        <w:rPr>
          <w:rFonts w:ascii="宋体" w:hAnsi="宋体" w:cs="宋体" w:eastAsia="宋体" w:hint="default"/>
        </w:rPr>
        <w:t>2410</w:t>
      </w:r>
      <w:r>
        <w:rPr>
          <w:rFonts w:ascii="宋体" w:hAnsi="宋体" w:cs="宋体" w:eastAsia="宋体" w:hint="default"/>
          <w:spacing w:val="-41"/>
        </w:rPr>
        <w:t> </w:t>
      </w:r>
      <w:r>
        <w:rPr>
          <w:spacing w:val="-3"/>
        </w:rPr>
        <w:t>智能生产平台，运用人工智能技术，由机器智能</w:t>
      </w:r>
      <w:r>
        <w:rPr>
          <w:spacing w:val="-100"/>
        </w:rPr>
        <w:t> </w:t>
      </w:r>
      <w:r>
        <w:rPr>
          <w:spacing w:val="-100"/>
        </w:rPr>
      </w:r>
      <w:r>
        <w:rPr>
          <w:spacing w:val="-7"/>
        </w:rPr>
        <w:t>生产的新闻。通过摄像头、传感器、无人机等方式获取新的视频、数据信息，然后经由图像识别、</w:t>
      </w:r>
      <w:r>
        <w:rPr>
          <w:spacing w:val="-12"/>
        </w:rPr>
        <w:t> </w:t>
      </w:r>
      <w:r>
        <w:rPr>
          <w:spacing w:val="-12"/>
        </w:rPr>
      </w:r>
      <w:r>
        <w:rPr>
          <w:spacing w:val="-1"/>
        </w:rPr>
        <w:t>视频识别等技术让机器进行内容理解和新闻价值判断。依托于大数据的“媒体大脑”会将新理解</w:t>
      </w:r>
      <w:r>
        <w:rPr>
          <w:spacing w:val="-55"/>
        </w:rPr>
        <w:t> </w:t>
      </w:r>
      <w:r>
        <w:rPr>
          <w:spacing w:val="-55"/>
        </w:rPr>
      </w:r>
      <w:r>
        <w:rPr>
          <w:spacing w:val="-1"/>
        </w:rPr>
        <w:t>的内容与已有数据进行关联，对语义进行检索和重排，智能生产新闻稿件。同时，人工智能还将</w:t>
      </w:r>
      <w:r>
        <w:rPr>
          <w:spacing w:val="-55"/>
        </w:rPr>
        <w:t> </w:t>
      </w:r>
      <w:r>
        <w:rPr>
          <w:spacing w:val="-55"/>
        </w:rPr>
      </w:r>
      <w:r>
        <w:rPr>
          <w:spacing w:val="-1"/>
        </w:rPr>
        <w:t>基于文字稿件和采集的多媒体素材，经过视频编辑、语音合成、数据可视化等一系列过程，最终</w:t>
      </w:r>
      <w:r>
        <w:rPr>
          <w:spacing w:val="-55"/>
        </w:rPr>
        <w:t> </w:t>
      </w:r>
      <w:r>
        <w:rPr>
          <w:spacing w:val="-55"/>
        </w:rPr>
      </w:r>
      <w:r>
        <w:rPr/>
        <w:t>生成一条富媒体新闻。“媒体大脑”已应用到</w:t>
      </w:r>
      <w:r>
        <w:rPr>
          <w:spacing w:val="-54"/>
        </w:rPr>
        <w:t> </w:t>
      </w:r>
      <w:r>
        <w:rPr>
          <w:rFonts w:ascii="宋体" w:hAnsi="宋体" w:cs="宋体" w:eastAsia="宋体" w:hint="default"/>
        </w:rPr>
        <w:t>2018</w:t>
      </w:r>
      <w:r>
        <w:rPr>
          <w:rFonts w:ascii="宋体" w:hAnsi="宋体" w:cs="宋体" w:eastAsia="宋体" w:hint="default"/>
          <w:spacing w:val="-56"/>
        </w:rPr>
        <w:t> </w:t>
      </w:r>
      <w:r>
        <w:rPr/>
        <w:t>年全国两会报道中。</w:t>
      </w:r>
    </w:p>
    <w:p>
      <w:pPr>
        <w:spacing w:line="240" w:lineRule="auto" w:before="13"/>
        <w:rPr>
          <w:rFonts w:ascii="宋体" w:hAnsi="宋体" w:cs="宋体" w:eastAsia="宋体" w:hint="default"/>
          <w:sz w:val="27"/>
          <w:szCs w:val="27"/>
        </w:rPr>
      </w:pPr>
    </w:p>
    <w:p>
      <w:pPr>
        <w:pStyle w:val="Heading1"/>
        <w:tabs>
          <w:tab w:pos="3918" w:val="left" w:leader="none"/>
        </w:tabs>
        <w:spacing w:line="240" w:lineRule="auto" w:before="0"/>
        <w:ind w:left="2658" w:right="125"/>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125"/>
        <w:jc w:val="left"/>
        <w:rPr>
          <w:b w:val="0"/>
          <w:bCs w:val="0"/>
        </w:rPr>
      </w:pPr>
      <w:r>
        <w:rPr/>
        <w:t>一、经营情况讨论与分析</w:t>
      </w:r>
      <w:r>
        <w:rPr>
          <w:b w:val="0"/>
          <w:bCs w:val="0"/>
        </w:rPr>
      </w:r>
    </w:p>
    <w:p>
      <w:pPr>
        <w:pStyle w:val="BodyText"/>
        <w:spacing w:line="348" w:lineRule="auto" w:before="166"/>
        <w:ind w:right="128" w:firstLine="419"/>
        <w:jc w:val="both"/>
      </w:pPr>
      <w:r>
        <w:rPr>
          <w:rFonts w:ascii="宋体" w:hAnsi="宋体" w:cs="宋体" w:eastAsia="宋体" w:hint="default"/>
        </w:rPr>
        <w:t>2017</w:t>
      </w:r>
      <w:r>
        <w:rPr>
          <w:rFonts w:ascii="宋体" w:hAnsi="宋体" w:cs="宋体" w:eastAsia="宋体" w:hint="default"/>
          <w:spacing w:val="-9"/>
        </w:rPr>
        <w:t> </w:t>
      </w:r>
      <w:r>
        <w:rPr>
          <w:spacing w:val="-3"/>
        </w:rPr>
        <w:t>年公司以迎接宣传贯彻党的十九大为主线，聚焦主业锻造核心竞争力，适度多元拓展产</w:t>
      </w:r>
      <w:r>
        <w:rPr>
          <w:w w:val="100"/>
        </w:rPr>
        <w:t> </w:t>
      </w:r>
      <w:r>
        <w:rPr>
          <w:spacing w:val="-1"/>
        </w:rPr>
        <w:t>业新空间，网上舆论引导能力和综合实力全面增强，始终围绕“建设具有广泛国际影响的一流新</w:t>
      </w:r>
      <w:r>
        <w:rPr>
          <w:spacing w:val="-56"/>
        </w:rPr>
        <w:t> </w:t>
      </w:r>
      <w:r>
        <w:rPr>
          <w:spacing w:val="-56"/>
        </w:rPr>
      </w:r>
      <w:r>
        <w:rPr/>
        <w:t>闻网站和拥有强大实力的互联网文化企业”的总目标，开拓进取、扎实工作。</w:t>
      </w:r>
    </w:p>
    <w:p>
      <w:pPr>
        <w:pStyle w:val="BodyText"/>
        <w:spacing w:line="350" w:lineRule="auto" w:before="31"/>
        <w:ind w:right="128" w:firstLine="419"/>
        <w:jc w:val="both"/>
      </w:pPr>
      <w:r>
        <w:rPr>
          <w:spacing w:val="-2"/>
        </w:rPr>
        <w:t>报告期内，公司继续保持稳健的发展势头，完善“两分开”体制机制，推动经营模式加速向</w:t>
      </w:r>
      <w:r>
        <w:rPr>
          <w:w w:val="100"/>
        </w:rPr>
        <w:t> </w:t>
      </w:r>
      <w:r>
        <w:rPr>
          <w:spacing w:val="-1"/>
        </w:rPr>
        <w:t>互联网化延展，聚焦主业、适度多元的业务格局呈现良好态势。新闻报道亮点频出，技术创新能</w:t>
      </w:r>
      <w:r>
        <w:rPr>
          <w:spacing w:val="-55"/>
        </w:rPr>
        <w:t> </w:t>
      </w:r>
      <w:r>
        <w:rPr>
          <w:spacing w:val="-55"/>
        </w:rPr>
      </w:r>
      <w:r>
        <w:rPr>
          <w:spacing w:val="-1"/>
        </w:rPr>
        <w:t>力和公司治理水平持续增强，公司严格按照《公司法》《公司章程》以及中国证监会对规范运作</w:t>
      </w:r>
      <w:r>
        <w:rPr>
          <w:spacing w:val="-55"/>
        </w:rPr>
        <w:t> </w:t>
      </w:r>
      <w:r>
        <w:rPr>
          <w:spacing w:val="-55"/>
        </w:rPr>
      </w:r>
      <w:r>
        <w:rPr/>
        <w:t>的相关规定，勤勉、尽责地完成了各项工作。</w:t>
      </w:r>
    </w:p>
    <w:p>
      <w:pPr>
        <w:spacing w:after="0" w:line="35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558" w:right="101"/>
        <w:jc w:val="left"/>
      </w:pPr>
      <w:r>
        <w:rPr>
          <w:rFonts w:ascii="宋体" w:hAnsi="宋体" w:cs="宋体" w:eastAsia="宋体" w:hint="default"/>
        </w:rPr>
        <w:t>2017</w:t>
      </w:r>
      <w:r>
        <w:rPr>
          <w:rFonts w:ascii="宋体" w:hAnsi="宋体" w:cs="宋体" w:eastAsia="宋体" w:hint="default"/>
          <w:spacing w:val="-34"/>
        </w:rPr>
        <w:t> </w:t>
      </w:r>
      <w:r>
        <w:rPr/>
        <w:t>年度，在中国互联网协会、工业和信息化部信息中心联合发布的</w:t>
      </w:r>
      <w:r>
        <w:rPr>
          <w:spacing w:val="-32"/>
        </w:rPr>
        <w:t> </w:t>
      </w:r>
      <w:r>
        <w:rPr>
          <w:rFonts w:ascii="宋体" w:hAnsi="宋体" w:cs="宋体" w:eastAsia="宋体" w:hint="default"/>
        </w:rPr>
        <w:t>2017</w:t>
      </w:r>
      <w:r>
        <w:rPr>
          <w:rFonts w:ascii="宋体" w:hAnsi="宋体" w:cs="宋体" w:eastAsia="宋体" w:hint="default"/>
          <w:spacing w:val="-34"/>
        </w:rPr>
        <w:t> </w:t>
      </w:r>
      <w:r>
        <w:rPr/>
        <w:t>年“中国互联网</w:t>
      </w:r>
    </w:p>
    <w:p>
      <w:pPr>
        <w:pStyle w:val="BodyText"/>
        <w:spacing w:line="350" w:lineRule="auto" w:before="126"/>
        <w:ind w:right="208"/>
        <w:jc w:val="both"/>
      </w:pPr>
      <w:r>
        <w:rPr/>
        <w:t>企业</w:t>
      </w:r>
      <w:r>
        <w:rPr>
          <w:spacing w:val="-44"/>
        </w:rPr>
        <w:t> </w:t>
      </w:r>
      <w:r>
        <w:rPr>
          <w:rFonts w:ascii="宋体" w:hAnsi="宋体" w:cs="宋体" w:eastAsia="宋体" w:hint="default"/>
        </w:rPr>
        <w:t>100</w:t>
      </w:r>
      <w:r>
        <w:rPr>
          <w:rFonts w:ascii="宋体" w:hAnsi="宋体" w:cs="宋体" w:eastAsia="宋体" w:hint="default"/>
          <w:spacing w:val="-44"/>
        </w:rPr>
        <w:t> </w:t>
      </w:r>
      <w:r>
        <w:rPr>
          <w:spacing w:val="-4"/>
        </w:rPr>
        <w:t>强”排行榜中，新华网排名第</w:t>
      </w:r>
      <w:r>
        <w:rPr>
          <w:spacing w:val="-44"/>
        </w:rPr>
        <w:t> </w:t>
      </w:r>
      <w:r>
        <w:rPr>
          <w:rFonts w:ascii="宋体" w:hAnsi="宋体" w:cs="宋体" w:eastAsia="宋体" w:hint="default"/>
        </w:rPr>
        <w:t>17</w:t>
      </w:r>
      <w:r>
        <w:rPr>
          <w:rFonts w:ascii="宋体" w:hAnsi="宋体" w:cs="宋体" w:eastAsia="宋体" w:hint="default"/>
          <w:spacing w:val="-44"/>
        </w:rPr>
        <w:t> </w:t>
      </w:r>
      <w:r>
        <w:rPr>
          <w:spacing w:val="-4"/>
        </w:rPr>
        <w:t>位，居中央重点新闻网站首位，较去年提升</w:t>
      </w:r>
      <w:r>
        <w:rPr>
          <w:spacing w:val="-43"/>
        </w:rPr>
        <w:t> </w:t>
      </w:r>
      <w:r>
        <w:rPr>
          <w:rFonts w:ascii="宋体" w:hAnsi="宋体" w:cs="宋体" w:eastAsia="宋体" w:hint="default"/>
        </w:rPr>
        <w:t>3</w:t>
      </w:r>
      <w:r>
        <w:rPr>
          <w:rFonts w:ascii="宋体" w:hAnsi="宋体" w:cs="宋体" w:eastAsia="宋体" w:hint="default"/>
          <w:spacing w:val="-47"/>
        </w:rPr>
        <w:t> </w:t>
      </w:r>
      <w:r>
        <w:rPr>
          <w:spacing w:val="-7"/>
        </w:rPr>
        <w:t>位，榜单</w:t>
      </w:r>
      <w:r>
        <w:rPr>
          <w:spacing w:val="-102"/>
        </w:rPr>
        <w:t> </w:t>
      </w:r>
      <w:r>
        <w:rPr>
          <w:spacing w:val="-102"/>
        </w:rPr>
      </w:r>
      <w:r>
        <w:rPr/>
        <w:t>排名再创新高。</w:t>
      </w:r>
    </w:p>
    <w:p>
      <w:pPr>
        <w:pStyle w:val="BodyText"/>
        <w:spacing w:line="350" w:lineRule="auto" w:before="27"/>
        <w:ind w:left="558" w:right="101"/>
        <w:jc w:val="left"/>
      </w:pPr>
      <w:r>
        <w:rPr/>
        <w:t>（一）全力做好迎接宣传贯彻十九大报道，网络宣传主力军地位进一步巩固。</w:t>
      </w:r>
      <w:r>
        <w:rPr>
          <w:w w:val="100"/>
        </w:rPr>
        <w:t> </w:t>
      </w:r>
      <w:r>
        <w:rPr>
          <w:spacing w:val="-2"/>
        </w:rPr>
        <w:t>公司以迎接宣传贯彻十九大为主线，统筹安排、精心组织，形成新华网覆盖、全端传播、全</w:t>
      </w:r>
    </w:p>
    <w:p>
      <w:pPr>
        <w:pStyle w:val="BodyText"/>
        <w:spacing w:line="348" w:lineRule="auto" w:before="29"/>
        <w:ind w:right="101"/>
        <w:jc w:val="left"/>
      </w:pPr>
      <w:r>
        <w:rPr/>
        <w:t>媒呈现的报道优势，在网上激发强大正能量。全力做好习近平总书记网上宣传报道，依托“学习</w:t>
      </w:r>
      <w:r>
        <w:rPr>
          <w:spacing w:val="-97"/>
        </w:rPr>
        <w:t> </w:t>
      </w:r>
      <w:r>
        <w:rPr>
          <w:spacing w:val="-97"/>
        </w:rPr>
      </w:r>
      <w:r>
        <w:rPr/>
        <w:t>进行时”专栏，展示稿件近万条，有力抢占各网站终端首页首屏，成为网上宣传解读习近平总书</w:t>
      </w:r>
      <w:r>
        <w:rPr>
          <w:spacing w:val="-97"/>
        </w:rPr>
        <w:t> </w:t>
      </w:r>
      <w:r>
        <w:rPr>
          <w:spacing w:val="-97"/>
        </w:rPr>
      </w:r>
      <w:r>
        <w:rPr>
          <w:spacing w:val="-4"/>
          <w:w w:val="100"/>
        </w:rPr>
        <w:t>记重要活动和治国理政新理念新思想新战略的权威平台。在十九大报道中充分发挥中流砥柱作用，</w:t>
      </w:r>
      <w:r>
        <w:rPr>
          <w:spacing w:val="-86"/>
          <w:w w:val="100"/>
        </w:rPr>
        <w:t> </w:t>
      </w:r>
      <w:r>
        <w:rPr>
          <w:spacing w:val="-86"/>
          <w:w w:val="100"/>
        </w:rPr>
      </w:r>
      <w:r>
        <w:rPr/>
        <w:t>成功打造多款访问量过亿的现象级传播产品，大型融媒体专题总访问量达</w:t>
      </w:r>
      <w:r>
        <w:rPr>
          <w:spacing w:val="-33"/>
        </w:rPr>
        <w:t> </w:t>
      </w:r>
      <w:r>
        <w:rPr>
          <w:rFonts w:ascii="宋体" w:hAnsi="宋体" w:cs="宋体" w:eastAsia="宋体" w:hint="default"/>
        </w:rPr>
        <w:t>1.5</w:t>
      </w:r>
      <w:r>
        <w:rPr>
          <w:rFonts w:ascii="宋体" w:hAnsi="宋体" w:cs="宋体" w:eastAsia="宋体" w:hint="default"/>
          <w:spacing w:val="-33"/>
        </w:rPr>
        <w:t> </w:t>
      </w:r>
      <w:r>
        <w:rPr/>
        <w:t>亿，</w:t>
      </w:r>
      <w:r>
        <w:rPr>
          <w:rFonts w:ascii="宋体" w:hAnsi="宋体" w:cs="宋体" w:eastAsia="宋体" w:hint="default"/>
        </w:rPr>
        <w:t>9</w:t>
      </w:r>
      <w:r>
        <w:rPr>
          <w:rFonts w:ascii="宋体" w:hAnsi="宋体" w:cs="宋体" w:eastAsia="宋体" w:hint="default"/>
          <w:spacing w:val="-33"/>
        </w:rPr>
        <w:t> </w:t>
      </w:r>
      <w:r>
        <w:rPr/>
        <w:t>个外文语种</w:t>
      </w:r>
      <w:r>
        <w:rPr>
          <w:w w:val="100"/>
        </w:rPr>
        <w:t> </w:t>
      </w:r>
      <w:r>
        <w:rPr/>
        <w:t>报道在海外</w:t>
      </w:r>
      <w:r>
        <w:rPr>
          <w:spacing w:val="-39"/>
        </w:rPr>
        <w:t> </w:t>
      </w:r>
      <w:r>
        <w:rPr>
          <w:rFonts w:ascii="宋体" w:hAnsi="宋体" w:cs="宋体" w:eastAsia="宋体" w:hint="default"/>
        </w:rPr>
        <w:t>50</w:t>
      </w:r>
      <w:r>
        <w:rPr>
          <w:rFonts w:ascii="宋体" w:hAnsi="宋体" w:cs="宋体" w:eastAsia="宋体" w:hint="default"/>
          <w:spacing w:val="-42"/>
        </w:rPr>
        <w:t> </w:t>
      </w:r>
      <w:r>
        <w:rPr/>
        <w:t>个国家</w:t>
      </w:r>
      <w:r>
        <w:rPr>
          <w:spacing w:val="-38"/>
        </w:rPr>
        <w:t> </w:t>
      </w:r>
      <w:r>
        <w:rPr>
          <w:rFonts w:ascii="宋体" w:hAnsi="宋体" w:cs="宋体" w:eastAsia="宋体" w:hint="default"/>
        </w:rPr>
        <w:t>160</w:t>
      </w:r>
      <w:r>
        <w:rPr>
          <w:rFonts w:ascii="宋体" w:hAnsi="宋体" w:cs="宋体" w:eastAsia="宋体" w:hint="default"/>
          <w:spacing w:val="-42"/>
        </w:rPr>
        <w:t> </w:t>
      </w:r>
      <w:r>
        <w:rPr>
          <w:spacing w:val="-5"/>
        </w:rPr>
        <w:t>余家媒体精准落地，网站总访问量创历史新高，发布稿件被转载次数占</w:t>
      </w:r>
    </w:p>
    <w:p>
      <w:pPr>
        <w:pStyle w:val="BodyText"/>
        <w:spacing w:line="240" w:lineRule="auto" w:before="31"/>
        <w:ind w:right="0"/>
        <w:jc w:val="both"/>
      </w:pPr>
      <w:r>
        <w:rPr>
          <w:rFonts w:ascii="宋体" w:hAnsi="宋体" w:cs="宋体" w:eastAsia="宋体" w:hint="default"/>
        </w:rPr>
        <w:t>15</w:t>
      </w:r>
      <w:r>
        <w:rPr>
          <w:rFonts w:ascii="宋体" w:hAnsi="宋体" w:cs="宋体" w:eastAsia="宋体" w:hint="default"/>
          <w:spacing w:val="-50"/>
        </w:rPr>
        <w:t> </w:t>
      </w:r>
      <w:r>
        <w:rPr/>
        <w:t>家中央主要新闻网站总转载量的</w:t>
      </w:r>
      <w:r>
        <w:rPr>
          <w:spacing w:val="-52"/>
        </w:rPr>
        <w:t> </w:t>
      </w:r>
      <w:r>
        <w:rPr>
          <w:rFonts w:ascii="宋体" w:hAnsi="宋体" w:cs="宋体" w:eastAsia="宋体" w:hint="default"/>
        </w:rPr>
        <w:t>50%</w:t>
      </w:r>
      <w:r>
        <w:rPr/>
        <w:t>以上，形成网上网下、国内国际强大舆论声势。着力做好</w:t>
      </w:r>
    </w:p>
    <w:p>
      <w:pPr>
        <w:pStyle w:val="BodyText"/>
        <w:spacing w:line="348" w:lineRule="auto" w:before="126"/>
        <w:ind w:right="208"/>
        <w:jc w:val="both"/>
      </w:pPr>
      <w:r>
        <w:rPr/>
        <w:t>重大主题报道，围绕全国两会、“一带一路”国际合作高峰论坛、香港回归</w:t>
      </w:r>
      <w:r>
        <w:rPr>
          <w:spacing w:val="-53"/>
        </w:rPr>
        <w:t> </w:t>
      </w:r>
      <w:r>
        <w:rPr>
          <w:rFonts w:ascii="宋体" w:hAnsi="宋体" w:cs="宋体" w:eastAsia="宋体" w:hint="default"/>
        </w:rPr>
        <w:t>20</w:t>
      </w:r>
      <w:r>
        <w:rPr>
          <w:rFonts w:ascii="宋体" w:hAnsi="宋体" w:cs="宋体" w:eastAsia="宋体" w:hint="default"/>
          <w:spacing w:val="-50"/>
        </w:rPr>
        <w:t> </w:t>
      </w:r>
      <w:r>
        <w:rPr/>
        <w:t>周年、建军</w:t>
      </w:r>
      <w:r>
        <w:rPr>
          <w:spacing w:val="-53"/>
        </w:rPr>
        <w:t> </w:t>
      </w:r>
      <w:r>
        <w:rPr>
          <w:rFonts w:ascii="宋体" w:hAnsi="宋体" w:cs="宋体" w:eastAsia="宋体" w:hint="default"/>
        </w:rPr>
        <w:t>90</w:t>
      </w:r>
      <w:r>
        <w:rPr>
          <w:rFonts w:ascii="宋体" w:hAnsi="宋体" w:cs="宋体" w:eastAsia="宋体" w:hint="default"/>
          <w:spacing w:val="-53"/>
        </w:rPr>
        <w:t> </w:t>
      </w:r>
      <w:r>
        <w:rPr/>
        <w:t>周</w:t>
      </w:r>
      <w:r>
        <w:rPr>
          <w:w w:val="100"/>
        </w:rPr>
        <w:t> </w:t>
      </w:r>
      <w:r>
        <w:rPr>
          <w:spacing w:val="-1"/>
        </w:rPr>
        <w:t>年、金砖国家领导人厦门会晤等精心制作大型融媒体专题、组织直播访谈，成为网上传播权威信</w:t>
      </w:r>
      <w:r>
        <w:rPr>
          <w:spacing w:val="-55"/>
        </w:rPr>
        <w:t> </w:t>
      </w:r>
      <w:r>
        <w:rPr>
          <w:spacing w:val="-55"/>
        </w:rPr>
      </w:r>
      <w:r>
        <w:rPr>
          <w:spacing w:val="-1"/>
        </w:rPr>
        <w:t>息的主信源。加强网上热点舆论引导，通过评论、调查、专家访谈等形式，在网络空间营造了积</w:t>
      </w:r>
      <w:r>
        <w:rPr>
          <w:spacing w:val="-55"/>
        </w:rPr>
        <w:t> </w:t>
      </w:r>
      <w:r>
        <w:rPr>
          <w:spacing w:val="-55"/>
        </w:rPr>
      </w:r>
      <w:r>
        <w:rPr>
          <w:spacing w:val="-1"/>
        </w:rPr>
        <w:t>极向上的舆论氛围。在第二十七届中国新闻奖评选中荣获四个奖项，其中“学习进行时”专栏和</w:t>
      </w:r>
      <w:r>
        <w:rPr>
          <w:spacing w:val="-56"/>
        </w:rPr>
        <w:t> </w:t>
      </w:r>
      <w:r>
        <w:rPr>
          <w:spacing w:val="-56"/>
        </w:rPr>
      </w:r>
      <w:r>
        <w:rPr/>
        <w:t>融媒体产品“红军长征全景交互地图”获得一等奖。</w:t>
      </w:r>
    </w:p>
    <w:p>
      <w:pPr>
        <w:pStyle w:val="BodyText"/>
        <w:spacing w:line="350" w:lineRule="auto" w:before="32"/>
        <w:ind w:left="558" w:right="101"/>
        <w:jc w:val="left"/>
      </w:pPr>
      <w:r>
        <w:rPr/>
        <w:t>（二）深入推进系统化创新，内容生产和终端平台建设取得重要成果。</w:t>
      </w:r>
      <w:r>
        <w:rPr>
          <w:w w:val="100"/>
        </w:rPr>
        <w:t> </w:t>
      </w:r>
      <w:r>
        <w:rPr>
          <w:spacing w:val="-2"/>
        </w:rPr>
        <w:t>新华网充分发挥技术优势，《国家相册》《领航》《小账本连着大情怀》等产品在网上持续</w:t>
      </w:r>
    </w:p>
    <w:p>
      <w:pPr>
        <w:pStyle w:val="BodyText"/>
        <w:spacing w:line="350" w:lineRule="auto" w:before="27"/>
        <w:ind w:right="207"/>
        <w:jc w:val="both"/>
      </w:pPr>
      <w:r>
        <w:rPr>
          <w:spacing w:val="-3"/>
        </w:rPr>
        <w:t>热播，引发热烈反响。</w:t>
      </w:r>
      <w:r>
        <w:rPr>
          <w:rFonts w:ascii="宋体" w:hAnsi="宋体" w:cs="宋体" w:eastAsia="宋体" w:hint="default"/>
          <w:spacing w:val="-3"/>
        </w:rPr>
        <w:t>H5 </w:t>
      </w:r>
      <w:r>
        <w:rPr>
          <w:spacing w:val="-3"/>
        </w:rPr>
        <w:t>轻应用、无人机航拍、漫画、动画等融媒体产品实现常态化、系列化生</w:t>
      </w:r>
      <w:r>
        <w:rPr>
          <w:spacing w:val="-73"/>
        </w:rPr>
        <w:t> </w:t>
      </w:r>
      <w:r>
        <w:rPr>
          <w:spacing w:val="-73"/>
        </w:rPr>
      </w:r>
      <w:r>
        <w:rPr>
          <w:spacing w:val="-1"/>
        </w:rPr>
        <w:t>产，虚拟现实、增强现实、人工智能等技术与内容的融合更加紧密，新华网全年推出原创融媒体</w:t>
      </w:r>
      <w:r>
        <w:rPr>
          <w:spacing w:val="-55"/>
        </w:rPr>
        <w:t> </w:t>
      </w:r>
      <w:r>
        <w:rPr>
          <w:spacing w:val="-55"/>
        </w:rPr>
      </w:r>
      <w:r>
        <w:rPr/>
        <w:t>产品近</w:t>
      </w:r>
      <w:r>
        <w:rPr>
          <w:spacing w:val="-49"/>
        </w:rPr>
        <w:t> </w:t>
      </w:r>
      <w:r>
        <w:rPr>
          <w:rFonts w:ascii="宋体" w:hAnsi="宋体" w:cs="宋体" w:eastAsia="宋体" w:hint="default"/>
        </w:rPr>
        <w:t>800</w:t>
      </w:r>
      <w:r>
        <w:rPr>
          <w:rFonts w:ascii="宋体" w:hAnsi="宋体" w:cs="宋体" w:eastAsia="宋体" w:hint="default"/>
          <w:spacing w:val="-51"/>
        </w:rPr>
        <w:t> </w:t>
      </w:r>
      <w:r>
        <w:rPr/>
        <w:t>个，《换个姿势看报告》《全息全景身临其境看报告》《决战》《赶考》等融视频产</w:t>
      </w:r>
      <w:r>
        <w:rPr>
          <w:w w:val="100"/>
        </w:rPr>
        <w:t> </w:t>
      </w:r>
      <w:r>
        <w:rPr>
          <w:spacing w:val="-5"/>
        </w:rPr>
        <w:t>品连续刷屏，形成现象级传播。在巩固</w:t>
      </w:r>
      <w:r>
        <w:rPr>
          <w:spacing w:val="-19"/>
        </w:rPr>
        <w:t> </w:t>
      </w:r>
      <w:r>
        <w:rPr>
          <w:rFonts w:ascii="宋体" w:hAnsi="宋体" w:cs="宋体" w:eastAsia="宋体" w:hint="default"/>
        </w:rPr>
        <w:t>PC</w:t>
      </w:r>
      <w:r>
        <w:rPr>
          <w:rFonts w:ascii="宋体" w:hAnsi="宋体" w:cs="宋体" w:eastAsia="宋体" w:hint="default"/>
          <w:spacing w:val="-23"/>
        </w:rPr>
        <w:t> </w:t>
      </w:r>
      <w:r>
        <w:rPr>
          <w:spacing w:val="-4"/>
        </w:rPr>
        <w:t>端优势的基础上，大力实施移动优先战略，移动矩阵用</w:t>
      </w:r>
      <w:r>
        <w:rPr>
          <w:spacing w:val="-91"/>
        </w:rPr>
        <w:t> </w:t>
      </w:r>
      <w:r>
        <w:rPr>
          <w:spacing w:val="-91"/>
        </w:rPr>
      </w:r>
      <w:r>
        <w:rPr/>
        <w:t>户数实现几何级增长，新华网法人微博粉丝数从</w:t>
      </w:r>
      <w:r>
        <w:rPr>
          <w:spacing w:val="-52"/>
        </w:rPr>
        <w:t> </w:t>
      </w:r>
      <w:r>
        <w:rPr>
          <w:rFonts w:ascii="宋体" w:hAnsi="宋体" w:cs="宋体" w:eastAsia="宋体" w:hint="default"/>
        </w:rPr>
        <w:t>1,800</w:t>
      </w:r>
      <w:r>
        <w:rPr>
          <w:rFonts w:ascii="宋体" w:hAnsi="宋体" w:cs="宋体" w:eastAsia="宋体" w:hint="default"/>
          <w:spacing w:val="-52"/>
        </w:rPr>
        <w:t> </w:t>
      </w:r>
      <w:r>
        <w:rPr/>
        <w:t>万增至</w:t>
      </w:r>
      <w:r>
        <w:rPr>
          <w:spacing w:val="-52"/>
        </w:rPr>
        <w:t> </w:t>
      </w:r>
      <w:r>
        <w:rPr>
          <w:rFonts w:ascii="宋体" w:hAnsi="宋体" w:cs="宋体" w:eastAsia="宋体" w:hint="default"/>
        </w:rPr>
        <w:t>3,100</w:t>
      </w:r>
      <w:r>
        <w:rPr>
          <w:rFonts w:ascii="宋体" w:hAnsi="宋体" w:cs="宋体" w:eastAsia="宋体" w:hint="default"/>
          <w:spacing w:val="-52"/>
        </w:rPr>
        <w:t> </w:t>
      </w:r>
      <w:r>
        <w:rPr/>
        <w:t>多万，微信公众号订阅量从</w:t>
      </w:r>
    </w:p>
    <w:p>
      <w:pPr>
        <w:pStyle w:val="BodyText"/>
        <w:spacing w:line="350" w:lineRule="auto" w:before="29"/>
        <w:ind w:right="207"/>
        <w:jc w:val="both"/>
      </w:pPr>
      <w:r>
        <w:rPr>
          <w:rFonts w:ascii="宋体" w:hAnsi="宋体" w:cs="宋体" w:eastAsia="宋体" w:hint="default"/>
        </w:rPr>
        <w:t>63</w:t>
      </w:r>
      <w:r>
        <w:rPr>
          <w:rFonts w:ascii="宋体" w:hAnsi="宋体" w:cs="宋体" w:eastAsia="宋体" w:hint="default"/>
          <w:spacing w:val="-48"/>
        </w:rPr>
        <w:t> </w:t>
      </w:r>
      <w:r>
        <w:rPr/>
        <w:t>万跃升到</w:t>
      </w:r>
      <w:r>
        <w:rPr>
          <w:spacing w:val="-48"/>
        </w:rPr>
        <w:t> </w:t>
      </w:r>
      <w:r>
        <w:rPr>
          <w:rFonts w:ascii="宋体" w:hAnsi="宋体" w:cs="宋体" w:eastAsia="宋体" w:hint="default"/>
        </w:rPr>
        <w:t>600</w:t>
      </w:r>
      <w:r>
        <w:rPr>
          <w:rFonts w:ascii="宋体" w:hAnsi="宋体" w:cs="宋体" w:eastAsia="宋体" w:hint="default"/>
          <w:spacing w:val="-48"/>
        </w:rPr>
        <w:t> </w:t>
      </w:r>
      <w:r>
        <w:rPr>
          <w:spacing w:val="-3"/>
        </w:rPr>
        <w:t>万，新华炫闻客户端下载量突破</w:t>
      </w:r>
      <w:r>
        <w:rPr>
          <w:spacing w:val="-48"/>
        </w:rPr>
        <w:t> </w:t>
      </w:r>
      <w:r>
        <w:rPr>
          <w:rFonts w:ascii="宋体" w:hAnsi="宋体" w:cs="宋体" w:eastAsia="宋体" w:hint="default"/>
        </w:rPr>
        <w:t>1</w:t>
      </w:r>
      <w:r>
        <w:rPr>
          <w:rFonts w:ascii="宋体" w:hAnsi="宋体" w:cs="宋体" w:eastAsia="宋体" w:hint="default"/>
          <w:spacing w:val="-50"/>
        </w:rPr>
        <w:t> </w:t>
      </w:r>
      <w:r>
        <w:rPr>
          <w:spacing w:val="-4"/>
        </w:rPr>
        <w:t>亿，共产党员微信公众号以</w:t>
      </w:r>
      <w:r>
        <w:rPr>
          <w:spacing w:val="-48"/>
        </w:rPr>
        <w:t> </w:t>
      </w:r>
      <w:r>
        <w:rPr>
          <w:rFonts w:ascii="宋体" w:hAnsi="宋体" w:cs="宋体" w:eastAsia="宋体" w:hint="default"/>
        </w:rPr>
        <w:t>1,500</w:t>
      </w:r>
      <w:r>
        <w:rPr>
          <w:rFonts w:ascii="宋体" w:hAnsi="宋体" w:cs="宋体" w:eastAsia="宋体" w:hint="default"/>
          <w:spacing w:val="-48"/>
        </w:rPr>
        <w:t> </w:t>
      </w:r>
      <w:r>
        <w:rPr/>
        <w:t>万订阅量继</w:t>
      </w:r>
      <w:r>
        <w:rPr>
          <w:spacing w:val="-103"/>
        </w:rPr>
        <w:t> </w:t>
      </w:r>
      <w:r>
        <w:rPr>
          <w:spacing w:val="-103"/>
        </w:rPr>
      </w:r>
      <w:r>
        <w:rPr>
          <w:spacing w:val="-8"/>
          <w:w w:val="100"/>
        </w:rPr>
        <w:t>续保持第一政务大号地位，手机新华网正式改版上线，</w:t>
      </w:r>
      <w:r>
        <w:rPr>
          <w:rFonts w:ascii="宋体" w:hAnsi="宋体" w:cs="宋体" w:eastAsia="宋体" w:hint="default"/>
          <w:spacing w:val="-8"/>
          <w:w w:val="100"/>
        </w:rPr>
        <w:t>PC</w:t>
      </w:r>
      <w:r>
        <w:rPr>
          <w:rFonts w:ascii="宋体" w:hAnsi="宋体" w:cs="宋体" w:eastAsia="宋体" w:hint="default"/>
          <w:spacing w:val="-51"/>
          <w:w w:val="100"/>
        </w:rPr>
        <w:t> </w:t>
      </w:r>
      <w:r>
        <w:rPr>
          <w:spacing w:val="-2"/>
          <w:w w:val="100"/>
        </w:rPr>
        <w:t>端与移动端日均覆盖人群超过</w:t>
      </w:r>
      <w:r>
        <w:rPr>
          <w:spacing w:val="-51"/>
          <w:w w:val="100"/>
        </w:rPr>
        <w:t> </w:t>
      </w:r>
      <w:r>
        <w:rPr>
          <w:rFonts w:ascii="宋体" w:hAnsi="宋体" w:cs="宋体" w:eastAsia="宋体" w:hint="default"/>
          <w:w w:val="100"/>
        </w:rPr>
        <w:t>3</w:t>
      </w:r>
      <w:r>
        <w:rPr>
          <w:rFonts w:ascii="宋体" w:hAnsi="宋体" w:cs="宋体" w:eastAsia="宋体" w:hint="default"/>
          <w:spacing w:val="-51"/>
          <w:w w:val="100"/>
        </w:rPr>
        <w:t> </w:t>
      </w:r>
      <w:r>
        <w:rPr>
          <w:spacing w:val="-23"/>
          <w:w w:val="100"/>
        </w:rPr>
        <w:t>亿。“思</w:t>
      </w:r>
      <w:r>
        <w:rPr>
          <w:w w:val="100"/>
        </w:rPr>
        <w:t> </w:t>
      </w:r>
      <w:r>
        <w:rPr>
          <w:spacing w:val="-1"/>
        </w:rPr>
        <w:t>客”智库平台完成阶段性布局，大数据分析与深度分析相结合的舆情生产模式取得突破性进展，</w:t>
      </w:r>
      <w:r>
        <w:rPr>
          <w:spacing w:val="-56"/>
        </w:rPr>
        <w:t> </w:t>
      </w:r>
      <w:r>
        <w:rPr>
          <w:spacing w:val="-56"/>
        </w:rPr>
      </w:r>
      <w:r>
        <w:rPr/>
        <w:t>开设“创新路•工匠心”“大国策”“参事讲堂”等系列讲堂垂直频道专业信息服务能力进一步</w:t>
      </w:r>
      <w:r>
        <w:rPr>
          <w:spacing w:val="2"/>
        </w:rPr>
        <w:t> </w:t>
      </w:r>
      <w:r>
        <w:rPr>
          <w:spacing w:val="2"/>
        </w:rPr>
      </w:r>
      <w:r>
        <w:rPr>
          <w:spacing w:val="-1"/>
        </w:rPr>
        <w:t>提高，页面浏览量和访问者数均实现翻番。陶溪川文创园视觉艺术推广项目、云南玉溪抚仙湖光</w:t>
      </w:r>
      <w:r>
        <w:rPr>
          <w:spacing w:val="-55"/>
        </w:rPr>
        <w:t> </w:t>
      </w:r>
      <w:r>
        <w:rPr>
          <w:spacing w:val="-55"/>
        </w:rPr>
      </w:r>
      <w:r>
        <w:rPr>
          <w:spacing w:val="-1"/>
        </w:rPr>
        <w:t>影秀项目、银川阅海湾中央商务区服务中心展厅升级改造项目、哈尔滨国际冰雪节开幕式“冰雪</w:t>
      </w:r>
      <w:r>
        <w:rPr>
          <w:spacing w:val="-54"/>
        </w:rPr>
        <w:t> </w:t>
      </w:r>
      <w:r>
        <w:rPr>
          <w:spacing w:val="-54"/>
        </w:rPr>
      </w:r>
      <w:r>
        <w:rPr>
          <w:spacing w:val="-7"/>
          <w:w w:val="100"/>
        </w:rPr>
        <w:t>之冠”投影秀项目顺利完成。成功取得中国展览馆展览工程和展陈设计与施工一体化双一级资质。</w:t>
      </w:r>
    </w:p>
    <w:p>
      <w:pPr>
        <w:pStyle w:val="BodyText"/>
        <w:spacing w:line="350" w:lineRule="auto" w:before="27"/>
        <w:ind w:left="558" w:right="101"/>
        <w:jc w:val="left"/>
      </w:pPr>
      <w:r>
        <w:rPr/>
        <w:t>（三）加快构建多语种对外传播矩阵，国际传播能力显著提升。</w:t>
      </w:r>
      <w:r>
        <w:rPr>
          <w:w w:val="100"/>
        </w:rPr>
        <w:t> </w:t>
      </w:r>
      <w:r>
        <w:rPr>
          <w:spacing w:val="-2"/>
        </w:rPr>
        <w:t>加强多语种内容建设，创新对外话语体系，丰富体裁手段形态，用心讲好中国共产党和当代</w:t>
      </w:r>
    </w:p>
    <w:p>
      <w:pPr>
        <w:pStyle w:val="BodyText"/>
        <w:spacing w:line="348" w:lineRule="auto" w:before="29"/>
        <w:ind w:right="207"/>
        <w:jc w:val="both"/>
      </w:pPr>
      <w:r>
        <w:rPr>
          <w:spacing w:val="-1"/>
        </w:rPr>
        <w:t>中国的精彩故事。深入推进平台终端建设，完成欧洲、北美、亚太三大海外传播运营中心布局，</w:t>
      </w:r>
      <w:r>
        <w:rPr>
          <w:spacing w:val="-55"/>
        </w:rPr>
        <w:t> </w:t>
      </w:r>
      <w:r>
        <w:rPr>
          <w:spacing w:val="-55"/>
        </w:rPr>
      </w:r>
      <w:r>
        <w:rPr/>
        <w:t>创办</w:t>
      </w:r>
      <w:r>
        <w:rPr>
          <w:spacing w:val="-34"/>
        </w:rPr>
        <w:t> </w:t>
      </w:r>
      <w:r>
        <w:rPr>
          <w:rFonts w:ascii="宋体" w:hAnsi="宋体" w:cs="宋体" w:eastAsia="宋体" w:hint="default"/>
        </w:rPr>
        <w:t>6</w:t>
      </w:r>
      <w:r>
        <w:rPr>
          <w:rFonts w:ascii="宋体" w:hAnsi="宋体" w:cs="宋体" w:eastAsia="宋体" w:hint="default"/>
          <w:spacing w:val="-36"/>
        </w:rPr>
        <w:t> </w:t>
      </w:r>
      <w:r>
        <w:rPr>
          <w:spacing w:val="-10"/>
        </w:rPr>
        <w:t>个语种（中、英、阿、西、法、俄）“一带一路”频道，上线</w:t>
      </w:r>
      <w:r>
        <w:rPr>
          <w:spacing w:val="-34"/>
        </w:rPr>
        <w:t> </w:t>
      </w:r>
      <w:r>
        <w:rPr>
          <w:rFonts w:ascii="宋体" w:hAnsi="宋体" w:cs="宋体" w:eastAsia="宋体" w:hint="default"/>
        </w:rPr>
        <w:t>10</w:t>
      </w:r>
      <w:r>
        <w:rPr>
          <w:rFonts w:ascii="宋体" w:hAnsi="宋体" w:cs="宋体" w:eastAsia="宋体" w:hint="default"/>
          <w:spacing w:val="-36"/>
        </w:rPr>
        <w:t> </w:t>
      </w:r>
      <w:r>
        <w:rPr>
          <w:spacing w:val="-10"/>
        </w:rPr>
        <w:t>个语种（中、英、西、法、</w:t>
      </w:r>
    </w:p>
    <w:p>
      <w:pPr>
        <w:spacing w:after="0" w:line="348"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left="218" w:right="227"/>
        <w:jc w:val="both"/>
      </w:pPr>
      <w:r>
        <w:rPr>
          <w:spacing w:val="-6"/>
        </w:rPr>
        <w:t>俄、德、日、韩、葡、阿）新华炫闻客户端，初步形成具有一定传播和覆盖能力的对外传播矩阵。</w:t>
      </w:r>
      <w:r>
        <w:rPr>
          <w:spacing w:val="-53"/>
        </w:rPr>
        <w:t> </w:t>
      </w:r>
      <w:r>
        <w:rPr>
          <w:spacing w:val="-53"/>
        </w:rPr>
      </w:r>
      <w:r>
        <w:rPr/>
        <w:t>强化“借船出海”，借力海外知名媒体终端，实现多语种报道在全球</w:t>
      </w:r>
      <w:r>
        <w:rPr>
          <w:spacing w:val="-51"/>
        </w:rPr>
        <w:t> </w:t>
      </w:r>
      <w:r>
        <w:rPr>
          <w:rFonts w:ascii="宋体" w:hAnsi="宋体" w:cs="宋体" w:eastAsia="宋体" w:hint="default"/>
        </w:rPr>
        <w:t>6</w:t>
      </w:r>
      <w:r>
        <w:rPr>
          <w:rFonts w:ascii="宋体" w:hAnsi="宋体" w:cs="宋体" w:eastAsia="宋体" w:hint="default"/>
          <w:spacing w:val="-51"/>
        </w:rPr>
        <w:t> </w:t>
      </w:r>
      <w:r>
        <w:rPr/>
        <w:t>大洲</w:t>
      </w:r>
      <w:r>
        <w:rPr>
          <w:spacing w:val="-54"/>
        </w:rPr>
        <w:t> </w:t>
      </w:r>
      <w:r>
        <w:rPr>
          <w:rFonts w:ascii="宋体" w:hAnsi="宋体" w:cs="宋体" w:eastAsia="宋体" w:hint="default"/>
        </w:rPr>
        <w:t>270</w:t>
      </w:r>
      <w:r>
        <w:rPr>
          <w:rFonts w:ascii="宋体" w:hAnsi="宋体" w:cs="宋体" w:eastAsia="宋体" w:hint="default"/>
          <w:spacing w:val="-51"/>
        </w:rPr>
        <w:t> </w:t>
      </w:r>
      <w:r>
        <w:rPr/>
        <w:t>余家主流媒体网</w:t>
      </w:r>
      <w:r>
        <w:rPr>
          <w:w w:val="100"/>
        </w:rPr>
        <w:t> </w:t>
      </w:r>
      <w:r>
        <w:rPr>
          <w:spacing w:val="-1"/>
        </w:rPr>
        <w:t>站落地，各外文网站报道在全球主要搜索引擎的收录比率稳居国内新闻网站首位，有效提升对外</w:t>
      </w:r>
      <w:r>
        <w:rPr>
          <w:spacing w:val="-56"/>
        </w:rPr>
        <w:t> </w:t>
      </w:r>
      <w:r>
        <w:rPr>
          <w:spacing w:val="-56"/>
        </w:rPr>
      </w:r>
      <w:r>
        <w:rPr>
          <w:spacing w:val="-1"/>
        </w:rPr>
        <w:t>报道海外辐射面和渗透率。围绕重大主题报道和国际关注热点专访多位国际政要、驻华使节，国</w:t>
      </w:r>
      <w:r>
        <w:rPr>
          <w:spacing w:val="-56"/>
        </w:rPr>
        <w:t> </w:t>
      </w:r>
      <w:r>
        <w:rPr>
          <w:spacing w:val="-56"/>
        </w:rPr>
      </w:r>
      <w:r>
        <w:rPr/>
        <w:t>际政要在华公共外交首选网络平台的地位进一步提升。</w:t>
      </w:r>
    </w:p>
    <w:p>
      <w:pPr>
        <w:pStyle w:val="BodyText"/>
        <w:spacing w:line="348" w:lineRule="auto" w:before="29"/>
        <w:ind w:left="638" w:right="227"/>
        <w:jc w:val="left"/>
      </w:pPr>
      <w:r>
        <w:rPr/>
        <w:t>（四）大力推动技术建设平台化转型，技术引领成效显现。</w:t>
      </w:r>
      <w:r>
        <w:rPr>
          <w:w w:val="100"/>
        </w:rPr>
        <w:t> </w:t>
      </w:r>
      <w:r>
        <w:rPr>
          <w:spacing w:val="-2"/>
        </w:rPr>
        <w:t>技术应用创新能力显著提升，平台化建设取得初步成效，支撑内容建设、经营拓展的能力进</w:t>
      </w:r>
    </w:p>
    <w:p>
      <w:pPr>
        <w:pStyle w:val="BodyText"/>
        <w:spacing w:line="350" w:lineRule="auto" w:before="31"/>
        <w:ind w:left="218" w:right="228"/>
        <w:jc w:val="both"/>
      </w:pPr>
      <w:r>
        <w:rPr>
          <w:spacing w:val="-6"/>
        </w:rPr>
        <w:t>一步增强。新华云平台建设实现新突破，在打造新华网</w:t>
      </w:r>
      <w:r>
        <w:rPr>
          <w:spacing w:val="-37"/>
        </w:rPr>
        <w:t> </w:t>
      </w:r>
      <w:r>
        <w:rPr>
          <w:rFonts w:ascii="宋体" w:hAnsi="宋体" w:cs="宋体" w:eastAsia="宋体" w:hint="default"/>
        </w:rPr>
        <w:t>IT</w:t>
      </w:r>
      <w:r>
        <w:rPr>
          <w:rFonts w:ascii="宋体" w:hAnsi="宋体" w:cs="宋体" w:eastAsia="宋体" w:hint="default"/>
          <w:spacing w:val="-37"/>
        </w:rPr>
        <w:t> </w:t>
      </w:r>
      <w:r>
        <w:rPr/>
        <w:t>系统及应用服务基础技术支撑平台的同</w:t>
      </w:r>
      <w:r>
        <w:rPr>
          <w:spacing w:val="-98"/>
        </w:rPr>
        <w:t> </w:t>
      </w:r>
      <w:r>
        <w:rPr>
          <w:spacing w:val="-98"/>
        </w:rPr>
      </w:r>
      <w:r>
        <w:rPr>
          <w:spacing w:val="-1"/>
        </w:rPr>
        <w:t>时，形成面向媒体、政府网站、移动应用的云服务解决方案，产品线初具规模。网络安全防御能</w:t>
      </w:r>
      <w:r>
        <w:rPr>
          <w:spacing w:val="-55"/>
        </w:rPr>
        <w:t> </w:t>
      </w:r>
      <w:r>
        <w:rPr>
          <w:spacing w:val="-55"/>
        </w:rPr>
      </w:r>
      <w:r>
        <w:rPr/>
        <w:t>力进一步加强，网站技术平台全年安全稳定运行。</w:t>
      </w:r>
    </w:p>
    <w:p>
      <w:pPr>
        <w:pStyle w:val="BodyText"/>
        <w:spacing w:line="350" w:lineRule="auto" w:before="29"/>
        <w:ind w:left="638" w:right="227"/>
        <w:jc w:val="left"/>
      </w:pPr>
      <w:r>
        <w:rPr/>
        <w:t>（五）扎实推进从严治党，筑牢履职尽责的思想政治根基。</w:t>
      </w:r>
      <w:r>
        <w:rPr>
          <w:w w:val="100"/>
        </w:rPr>
        <w:t> </w:t>
      </w:r>
      <w:r>
        <w:rPr>
          <w:spacing w:val="-7"/>
        </w:rPr>
        <w:t>报告期内，选举产生公司新一届党委和纪委，完成第三届董事会、监事会、管理层换届工作，</w:t>
      </w:r>
    </w:p>
    <w:p>
      <w:pPr>
        <w:pStyle w:val="BodyText"/>
        <w:spacing w:line="350" w:lineRule="auto" w:before="27"/>
        <w:ind w:left="218" w:right="228"/>
        <w:jc w:val="both"/>
      </w:pPr>
      <w:r>
        <w:rPr>
          <w:spacing w:val="-1"/>
        </w:rPr>
        <w:t>在《公司章程》中增加党建工作章节，明确党组织与董事会、监事会、管理层等治理主体权责。</w:t>
      </w:r>
      <w:r>
        <w:rPr>
          <w:spacing w:val="-55"/>
        </w:rPr>
        <w:t> </w:t>
      </w:r>
      <w:r>
        <w:rPr>
          <w:spacing w:val="-55"/>
        </w:rPr>
      </w:r>
      <w:r>
        <w:rPr>
          <w:spacing w:val="-1"/>
        </w:rPr>
        <w:t>坚持政治家办网原则，新华网上下掀起学习宣传贯彻党的十九大精神热潮。创新学习手段，充分</w:t>
      </w:r>
      <w:r>
        <w:rPr>
          <w:spacing w:val="-55"/>
        </w:rPr>
        <w:t> </w:t>
      </w:r>
      <w:r>
        <w:rPr>
          <w:spacing w:val="-55"/>
        </w:rPr>
      </w:r>
      <w:r>
        <w:rPr>
          <w:spacing w:val="-1"/>
        </w:rPr>
        <w:t>利用共产党员公众号、手机党校、新华网办公管理平台、新华党建云平台和内训平台等对全体党</w:t>
      </w:r>
      <w:r>
        <w:rPr>
          <w:spacing w:val="-55"/>
        </w:rPr>
        <w:t> </w:t>
      </w:r>
      <w:r>
        <w:rPr>
          <w:spacing w:val="-55"/>
        </w:rPr>
      </w:r>
      <w:r>
        <w:rPr/>
        <w:t>员开展普遍轮训，实现干部职工全覆盖。</w:t>
      </w:r>
    </w:p>
    <w:p>
      <w:pPr>
        <w:pStyle w:val="Heading3"/>
        <w:spacing w:line="257" w:lineRule="exact" w:before="0"/>
        <w:ind w:right="0"/>
        <w:jc w:val="both"/>
        <w:rPr>
          <w:b w:val="0"/>
          <w:bCs w:val="0"/>
        </w:rPr>
      </w:pPr>
      <w:r>
        <w:rPr/>
        <w:t>二、报告期内主要经营情况</w:t>
      </w:r>
      <w:r>
        <w:rPr>
          <w:b w:val="0"/>
          <w:bCs w:val="0"/>
        </w:rPr>
      </w:r>
    </w:p>
    <w:p>
      <w:pPr>
        <w:pStyle w:val="BodyText"/>
        <w:spacing w:line="240" w:lineRule="auto" w:before="166"/>
        <w:ind w:left="638" w:right="123"/>
        <w:jc w:val="left"/>
      </w:pPr>
      <w:r>
        <w:rPr>
          <w:w w:val="100"/>
        </w:rPr>
        <w:t>截止</w:t>
      </w:r>
      <w:r>
        <w:rPr>
          <w:spacing w:val="-6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62"/>
        </w:rPr>
        <w:t> </w:t>
      </w:r>
      <w:r>
        <w:rPr>
          <w:w w:val="100"/>
        </w:rPr>
        <w:t>年</w:t>
      </w:r>
      <w:r>
        <w:rPr>
          <w:spacing w:val="-65"/>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62"/>
        </w:rPr>
        <w:t> </w:t>
      </w:r>
      <w:r>
        <w:rPr>
          <w:w w:val="100"/>
        </w:rPr>
        <w:t>日</w:t>
      </w:r>
      <w:r>
        <w:rPr>
          <w:spacing w:val="-108"/>
          <w:w w:val="100"/>
        </w:rPr>
        <w:t>，</w:t>
      </w:r>
      <w:r>
        <w:rPr>
          <w:w w:val="100"/>
        </w:rPr>
        <w:t>公司</w:t>
      </w:r>
      <w:r>
        <w:rPr>
          <w:spacing w:val="-3"/>
          <w:w w:val="100"/>
        </w:rPr>
        <w:t>总</w:t>
      </w:r>
      <w:r>
        <w:rPr>
          <w:w w:val="100"/>
        </w:rPr>
        <w:t>资产</w:t>
      </w:r>
      <w:r>
        <w:rPr>
          <w:spacing w:val="-65"/>
        </w:rPr>
        <w:t> </w:t>
      </w:r>
      <w:r>
        <w:rPr>
          <w:rFonts w:ascii="宋体" w:hAnsi="宋体" w:cs="宋体" w:eastAsia="宋体" w:hint="default"/>
          <w:w w:val="100"/>
        </w:rPr>
        <w:t>37.</w:t>
      </w:r>
      <w:r>
        <w:rPr>
          <w:rFonts w:ascii="宋体" w:hAnsi="宋体" w:cs="宋体" w:eastAsia="宋体" w:hint="default"/>
          <w:spacing w:val="-3"/>
          <w:w w:val="100"/>
        </w:rPr>
        <w:t>6</w:t>
      </w:r>
      <w:r>
        <w:rPr>
          <w:rFonts w:ascii="宋体" w:hAnsi="宋体" w:cs="宋体" w:eastAsia="宋体" w:hint="default"/>
          <w:w w:val="100"/>
        </w:rPr>
        <w:t>0</w:t>
      </w:r>
      <w:r>
        <w:rPr>
          <w:rFonts w:ascii="宋体" w:hAnsi="宋体" w:cs="宋体" w:eastAsia="宋体" w:hint="default"/>
          <w:spacing w:val="-62"/>
        </w:rPr>
        <w:t> </w:t>
      </w:r>
      <w:r>
        <w:rPr>
          <w:spacing w:val="-3"/>
          <w:w w:val="100"/>
        </w:rPr>
        <w:t>亿</w:t>
      </w:r>
      <w:r>
        <w:rPr>
          <w:w w:val="100"/>
        </w:rPr>
        <w:t>元</w:t>
      </w:r>
      <w:r>
        <w:rPr>
          <w:spacing w:val="-106"/>
          <w:w w:val="100"/>
        </w:rPr>
        <w:t>，</w:t>
      </w:r>
      <w:r>
        <w:rPr>
          <w:spacing w:val="-3"/>
          <w:w w:val="100"/>
        </w:rPr>
        <w:t>归</w:t>
      </w:r>
      <w:r>
        <w:rPr>
          <w:w w:val="100"/>
        </w:rPr>
        <w:t>属于</w:t>
      </w:r>
      <w:r>
        <w:rPr>
          <w:spacing w:val="-3"/>
          <w:w w:val="100"/>
        </w:rPr>
        <w:t>上</w:t>
      </w:r>
      <w:r>
        <w:rPr>
          <w:w w:val="100"/>
        </w:rPr>
        <w:t>市</w:t>
      </w:r>
      <w:r>
        <w:rPr>
          <w:spacing w:val="-3"/>
          <w:w w:val="100"/>
        </w:rPr>
        <w:t>公</w:t>
      </w:r>
      <w:r>
        <w:rPr>
          <w:w w:val="100"/>
        </w:rPr>
        <w:t>司</w:t>
      </w:r>
      <w:r>
        <w:rPr>
          <w:spacing w:val="-3"/>
          <w:w w:val="100"/>
        </w:rPr>
        <w:t>股</w:t>
      </w:r>
      <w:r>
        <w:rPr>
          <w:w w:val="100"/>
        </w:rPr>
        <w:t>东</w:t>
      </w:r>
      <w:r>
        <w:rPr>
          <w:spacing w:val="-3"/>
          <w:w w:val="100"/>
        </w:rPr>
        <w:t>的</w:t>
      </w:r>
      <w:r>
        <w:rPr>
          <w:w w:val="100"/>
        </w:rPr>
        <w:t>净</w:t>
      </w:r>
      <w:r>
        <w:rPr>
          <w:spacing w:val="-3"/>
          <w:w w:val="100"/>
        </w:rPr>
        <w:t>资</w:t>
      </w:r>
      <w:r>
        <w:rPr>
          <w:w w:val="100"/>
        </w:rPr>
        <w:t>产</w:t>
      </w:r>
      <w:r>
        <w:rPr>
          <w:spacing w:val="-62"/>
        </w:rPr>
        <w:t> </w:t>
      </w:r>
      <w:r>
        <w:rPr>
          <w:rFonts w:ascii="宋体" w:hAnsi="宋体" w:cs="宋体" w:eastAsia="宋体" w:hint="default"/>
          <w:w w:val="100"/>
        </w:rPr>
        <w:t>27.</w:t>
      </w:r>
      <w:r>
        <w:rPr>
          <w:rFonts w:ascii="宋体" w:hAnsi="宋体" w:cs="宋体" w:eastAsia="宋体" w:hint="default"/>
          <w:spacing w:val="-3"/>
          <w:w w:val="100"/>
        </w:rPr>
        <w:t>2</w:t>
      </w:r>
      <w:r>
        <w:rPr>
          <w:rFonts w:ascii="宋体" w:hAnsi="宋体" w:cs="宋体" w:eastAsia="宋体" w:hint="default"/>
          <w:w w:val="100"/>
        </w:rPr>
        <w:t>9</w:t>
      </w:r>
      <w:r>
        <w:rPr>
          <w:rFonts w:ascii="宋体" w:hAnsi="宋体" w:cs="宋体" w:eastAsia="宋体" w:hint="default"/>
          <w:spacing w:val="-62"/>
        </w:rPr>
        <w:t> </w:t>
      </w:r>
      <w:r>
        <w:rPr>
          <w:spacing w:val="-3"/>
          <w:w w:val="100"/>
        </w:rPr>
        <w:t>亿元。</w:t>
      </w:r>
      <w:r>
        <w:rPr>
          <w:w w:val="100"/>
        </w:rPr>
      </w:r>
    </w:p>
    <w:p>
      <w:pPr>
        <w:pStyle w:val="BodyText"/>
        <w:spacing w:line="350" w:lineRule="auto" w:before="123"/>
        <w:ind w:left="218" w:right="227"/>
        <w:jc w:val="both"/>
      </w:pPr>
      <w:r>
        <w:rPr>
          <w:rFonts w:ascii="宋体" w:hAnsi="宋体" w:cs="宋体" w:eastAsia="宋体" w:hint="default"/>
        </w:rPr>
        <w:t>2017</w:t>
      </w:r>
      <w:r>
        <w:rPr>
          <w:rFonts w:ascii="宋体" w:hAnsi="宋体" w:cs="宋体" w:eastAsia="宋体" w:hint="default"/>
          <w:spacing w:val="-41"/>
        </w:rPr>
        <w:t> </w:t>
      </w:r>
      <w:r>
        <w:rPr/>
        <w:t>年，公司实现营业收入</w:t>
      </w:r>
      <w:r>
        <w:rPr>
          <w:spacing w:val="-40"/>
        </w:rPr>
        <w:t> </w:t>
      </w:r>
      <w:r>
        <w:rPr>
          <w:rFonts w:ascii="宋体" w:hAnsi="宋体" w:cs="宋体" w:eastAsia="宋体" w:hint="default"/>
        </w:rPr>
        <w:t>15.02</w:t>
      </w:r>
      <w:r>
        <w:rPr>
          <w:rFonts w:ascii="宋体" w:hAnsi="宋体" w:cs="宋体" w:eastAsia="宋体" w:hint="default"/>
          <w:spacing w:val="-43"/>
        </w:rPr>
        <w:t> </w:t>
      </w:r>
      <w:r>
        <w:rPr/>
        <w:t>亿元，同比增长</w:t>
      </w:r>
      <w:r>
        <w:rPr>
          <w:spacing w:val="-43"/>
        </w:rPr>
        <w:t> </w:t>
      </w:r>
      <w:r>
        <w:rPr>
          <w:rFonts w:ascii="宋体" w:hAnsi="宋体" w:cs="宋体" w:eastAsia="宋体" w:hint="default"/>
        </w:rPr>
        <w:t>10.36%</w:t>
      </w:r>
      <w:r>
        <w:rPr/>
        <w:t>；归属于上市公司股东的净利润</w:t>
      </w:r>
      <w:r>
        <w:rPr>
          <w:spacing w:val="-41"/>
        </w:rPr>
        <w:t> </w:t>
      </w:r>
      <w:r>
        <w:rPr>
          <w:rFonts w:ascii="宋体" w:hAnsi="宋体" w:cs="宋体" w:eastAsia="宋体" w:hint="default"/>
        </w:rPr>
        <w:t>2.84</w:t>
      </w:r>
      <w:r>
        <w:rPr>
          <w:rFonts w:ascii="宋体" w:hAnsi="宋体" w:cs="宋体" w:eastAsia="宋体" w:hint="default"/>
          <w:w w:val="100"/>
        </w:rPr>
        <w:t> </w:t>
      </w:r>
      <w:r>
        <w:rPr>
          <w:spacing w:val="-4"/>
        </w:rPr>
        <w:t>亿元，同比增长</w:t>
      </w:r>
      <w:r>
        <w:rPr>
          <w:spacing w:val="-53"/>
        </w:rPr>
        <w:t> </w:t>
      </w:r>
      <w:r>
        <w:rPr>
          <w:rFonts w:ascii="宋体" w:hAnsi="宋体" w:cs="宋体" w:eastAsia="宋体" w:hint="default"/>
        </w:rPr>
        <w:t>1.37%</w:t>
      </w:r>
      <w:r>
        <w:rPr/>
        <w:t>；归属于上市公司股东的扣除非经常性损益的净利润</w:t>
      </w:r>
      <w:r>
        <w:rPr>
          <w:spacing w:val="-53"/>
        </w:rPr>
        <w:t> </w:t>
      </w:r>
      <w:r>
        <w:rPr>
          <w:rFonts w:ascii="宋体" w:hAnsi="宋体" w:cs="宋体" w:eastAsia="宋体" w:hint="default"/>
        </w:rPr>
        <w:t>1.66</w:t>
      </w:r>
      <w:r>
        <w:rPr>
          <w:rFonts w:ascii="宋体" w:hAnsi="宋体" w:cs="宋体" w:eastAsia="宋体" w:hint="default"/>
          <w:spacing w:val="-53"/>
        </w:rPr>
        <w:t> </w:t>
      </w:r>
      <w:r>
        <w:rPr>
          <w:spacing w:val="-4"/>
        </w:rPr>
        <w:t>亿元，同比下降</w:t>
      </w:r>
      <w:r>
        <w:rPr>
          <w:w w:val="100"/>
        </w:rPr>
        <w:t> </w:t>
      </w:r>
      <w:r>
        <w:rPr>
          <w:rFonts w:ascii="宋体" w:hAnsi="宋体" w:cs="宋体" w:eastAsia="宋体" w:hint="default"/>
        </w:rPr>
        <w:t>39.33%</w:t>
      </w:r>
      <w:r>
        <w:rPr/>
        <w:t>；经营活动产生的现金流量净额</w:t>
      </w:r>
      <w:r>
        <w:rPr>
          <w:spacing w:val="-55"/>
        </w:rPr>
        <w:t> </w:t>
      </w:r>
      <w:r>
        <w:rPr>
          <w:rFonts w:ascii="宋体" w:hAnsi="宋体" w:cs="宋体" w:eastAsia="宋体" w:hint="default"/>
        </w:rPr>
        <w:t>2.13</w:t>
      </w:r>
      <w:r>
        <w:rPr>
          <w:rFonts w:ascii="宋体" w:hAnsi="宋体" w:cs="宋体" w:eastAsia="宋体" w:hint="default"/>
          <w:spacing w:val="-57"/>
        </w:rPr>
        <w:t> </w:t>
      </w:r>
      <w:r>
        <w:rPr/>
        <w:t>亿元，同比下降</w:t>
      </w:r>
      <w:r>
        <w:rPr>
          <w:spacing w:val="-55"/>
        </w:rPr>
        <w:t> </w:t>
      </w:r>
      <w:r>
        <w:rPr>
          <w:rFonts w:ascii="宋体" w:hAnsi="宋体" w:cs="宋体" w:eastAsia="宋体" w:hint="default"/>
        </w:rPr>
        <w:t>30.46%</w:t>
      </w:r>
      <w:r>
        <w:rPr/>
        <w:t>。</w:t>
      </w:r>
    </w:p>
    <w:p>
      <w:pPr>
        <w:pStyle w:val="Heading3"/>
        <w:spacing w:line="254" w:lineRule="exact" w:before="0"/>
        <w:ind w:right="0"/>
        <w:jc w:val="both"/>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8"/>
        </w:rPr>
        <w:t> </w:t>
      </w:r>
      <w:r>
        <w:rPr/>
        <w:t>主营业务分析</w:t>
      </w:r>
      <w:r>
        <w:rPr>
          <w:b w:val="0"/>
          <w:bCs w:val="0"/>
        </w:rPr>
      </w:r>
    </w:p>
    <w:p>
      <w:pPr>
        <w:pStyle w:val="Heading3"/>
        <w:spacing w:line="240" w:lineRule="auto" w:before="58"/>
        <w:ind w:left="2921" w:right="2465"/>
        <w:jc w:val="left"/>
        <w:rPr>
          <w:b w:val="0"/>
          <w:bCs w:val="0"/>
        </w:rPr>
      </w:pPr>
      <w:r>
        <w:rPr/>
        <w:t>利润表及现金流量表相关科目变动分析表</w:t>
      </w:r>
      <w:r>
        <w:rPr>
          <w:b w:val="0"/>
          <w:bCs w:val="0"/>
        </w:rPr>
      </w:r>
    </w:p>
    <w:p>
      <w:pPr>
        <w:pStyle w:val="BodyText"/>
        <w:tabs>
          <w:tab w:pos="1051"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995"/>
        <w:gridCol w:w="1988"/>
        <w:gridCol w:w="1709"/>
      </w:tblGrid>
      <w:tr>
        <w:trPr>
          <w:trHeight w:val="348"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5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1,502,417,012.25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1,361,356,934.31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10.36</w:t>
            </w:r>
          </w:p>
        </w:tc>
      </w:tr>
      <w:tr>
        <w:trPr>
          <w:trHeight w:val="350"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821,938,241.05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676,365,093.24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21.52</w:t>
            </w:r>
          </w:p>
        </w:tc>
      </w:tr>
      <w:tr>
        <w:trPr>
          <w:trHeight w:val="350"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299,346,940.33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269,340,571.32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11.14</w:t>
            </w:r>
          </w:p>
        </w:tc>
      </w:tr>
      <w:tr>
        <w:trPr>
          <w:trHeight w:val="350"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128,610,840.92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81,081,868.19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58.62</w:t>
            </w:r>
          </w:p>
        </w:tc>
      </w:tr>
      <w:tr>
        <w:trPr>
          <w:trHeight w:val="350"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-15,965,213.11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-14,868,381.34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-7.38</w:t>
            </w:r>
          </w:p>
        </w:tc>
      </w:tr>
      <w:tr>
        <w:trPr>
          <w:trHeight w:val="348"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213,138,551.46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306,479,308.67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-30.46</w:t>
            </w:r>
          </w:p>
        </w:tc>
      </w:tr>
      <w:tr>
        <w:trPr>
          <w:trHeight w:val="350"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159,683,886.98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-960,865,057.51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116.62</w:t>
            </w:r>
          </w:p>
        </w:tc>
      </w:tr>
      <w:tr>
        <w:trPr>
          <w:trHeight w:val="350"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115,006,500.00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1,181,784,702.44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-90.27</w:t>
            </w:r>
          </w:p>
        </w:tc>
      </w:tr>
      <w:tr>
        <w:trPr>
          <w:trHeight w:val="350"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51,868,736.85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22,781,638.26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127.68</w:t>
            </w:r>
          </w:p>
        </w:tc>
      </w:tr>
    </w:tbl>
    <w:p>
      <w:pPr>
        <w:spacing w:line="240" w:lineRule="auto" w:before="6"/>
        <w:rPr>
          <w:rFonts w:ascii="宋体" w:hAnsi="宋体" w:cs="宋体" w:eastAsia="宋体" w:hint="default"/>
          <w:sz w:val="5"/>
          <w:szCs w:val="5"/>
        </w:rPr>
      </w:pPr>
    </w:p>
    <w:p>
      <w:pPr>
        <w:pStyle w:val="BodyText"/>
        <w:spacing w:line="384" w:lineRule="auto" w:before="36"/>
        <w:ind w:left="218" w:right="227" w:firstLine="419"/>
        <w:jc w:val="left"/>
      </w:pPr>
      <w:r>
        <w:rPr/>
        <w:t>管理费用变动原因说明：报告期公司管理费用同比增长</w:t>
      </w:r>
      <w:r>
        <w:rPr>
          <w:spacing w:val="-48"/>
        </w:rPr>
        <w:t> </w:t>
      </w:r>
      <w:r>
        <w:rPr>
          <w:rFonts w:ascii="宋体" w:hAnsi="宋体" w:cs="宋体" w:eastAsia="宋体" w:hint="default"/>
          <w:spacing w:val="-3"/>
        </w:rPr>
        <w:t>58.62%</w:t>
      </w:r>
      <w:r>
        <w:rPr>
          <w:spacing w:val="-3"/>
        </w:rPr>
        <w:t>，主要系加大研发投入，相应</w:t>
      </w:r>
      <w:r>
        <w:rPr>
          <w:w w:val="100"/>
        </w:rPr>
        <w:t> </w:t>
      </w:r>
      <w:r>
        <w:rPr/>
        <w:t>研发支出增加所致；</w:t>
      </w:r>
    </w:p>
    <w:p>
      <w:pPr>
        <w:spacing w:after="0" w:line="384" w:lineRule="auto"/>
        <w:jc w:val="left"/>
        <w:sectPr>
          <w:footerReference w:type="default" r:id="rId18"/>
          <w:pgSz w:w="11910" w:h="16840"/>
          <w:pgMar w:footer="1195" w:header="880" w:top="1120" w:bottom="1380" w:left="1580" w:right="1040"/>
          <w:pgNumType w:start="16"/>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86" w:lineRule="auto" w:before="36"/>
        <w:ind w:left="338" w:right="243" w:firstLine="419"/>
        <w:jc w:val="left"/>
      </w:pPr>
      <w:r>
        <w:rPr/>
        <w:t>经营活动产生的现金流量净额变动原因说明：报告期公司经营活动产生的现金流量净额同比</w:t>
      </w:r>
      <w:r>
        <w:rPr>
          <w:w w:val="100"/>
        </w:rPr>
        <w:t> </w:t>
      </w:r>
      <w:r>
        <w:rPr/>
        <w:t>下降 </w:t>
      </w:r>
      <w:r>
        <w:rPr>
          <w:rFonts w:ascii="宋体" w:hAnsi="宋体" w:cs="宋体" w:eastAsia="宋体" w:hint="default"/>
        </w:rPr>
        <w:t>30.46%</w:t>
      </w:r>
      <w:r>
        <w:rPr/>
        <w:t>，主要系业务规模扩张，支付业务成本、人工费、房租费、研发费用大幅增加所致；</w:t>
      </w:r>
    </w:p>
    <w:p>
      <w:pPr>
        <w:pStyle w:val="BodyText"/>
        <w:spacing w:line="384" w:lineRule="auto" w:before="36"/>
        <w:ind w:left="338" w:right="357" w:firstLine="419"/>
        <w:jc w:val="both"/>
      </w:pPr>
      <w:r>
        <w:rPr>
          <w:spacing w:val="-2"/>
        </w:rPr>
        <w:t>投资活动产生的现金流量净额变动原因说明：报告期公司投资活动产生的现金流量净额同比</w:t>
      </w:r>
      <w:r>
        <w:rPr>
          <w:w w:val="100"/>
        </w:rPr>
        <w:t> </w:t>
      </w:r>
      <w:r>
        <w:rPr>
          <w:spacing w:val="-2"/>
        </w:rPr>
        <w:t>显著增加，主要系公司本期赎回金额较大的理财产品，及转让中证金牛和银橙传媒股权产生的收</w:t>
      </w:r>
      <w:r>
        <w:rPr>
          <w:spacing w:val="-25"/>
        </w:rPr>
        <w:t> </w:t>
      </w:r>
      <w:r>
        <w:rPr>
          <w:spacing w:val="-25"/>
        </w:rPr>
      </w:r>
      <w:r>
        <w:rPr/>
        <w:t>益；</w:t>
      </w:r>
    </w:p>
    <w:p>
      <w:pPr>
        <w:pStyle w:val="BodyText"/>
        <w:spacing w:line="384" w:lineRule="auto" w:before="38"/>
        <w:ind w:left="338" w:right="357" w:firstLine="419"/>
        <w:jc w:val="both"/>
      </w:pPr>
      <w:r>
        <w:rPr>
          <w:spacing w:val="-2"/>
        </w:rPr>
        <w:t>筹资活动产生的现金流净额变动原因说明：报告期公司筹资活动产生的现金流量净额同比下</w:t>
      </w:r>
      <w:r>
        <w:rPr>
          <w:w w:val="100"/>
        </w:rPr>
        <w:t> </w:t>
      </w:r>
      <w:r>
        <w:rPr/>
        <w:t>降</w:t>
      </w:r>
      <w:r>
        <w:rPr>
          <w:spacing w:val="-59"/>
        </w:rPr>
        <w:t> </w:t>
      </w:r>
      <w:r>
        <w:rPr>
          <w:rFonts w:ascii="宋体" w:hAnsi="宋体" w:cs="宋体" w:eastAsia="宋体" w:hint="default"/>
        </w:rPr>
        <w:t>90.27%</w:t>
      </w:r>
      <w:r>
        <w:rPr/>
        <w:t>，主要系上期收到上市募集资金增加所致；</w:t>
      </w:r>
    </w:p>
    <w:p>
      <w:pPr>
        <w:pStyle w:val="BodyText"/>
        <w:spacing w:line="240" w:lineRule="auto" w:before="41"/>
        <w:ind w:left="758" w:right="243"/>
        <w:jc w:val="left"/>
      </w:pPr>
      <w:r>
        <w:rPr>
          <w:spacing w:val="-2"/>
        </w:rPr>
        <w:t>研发支出变动原因说明：报告期公司研发支出同比增加</w:t>
      </w:r>
      <w:r>
        <w:rPr>
          <w:spacing w:val="29"/>
        </w:rPr>
        <w:t> </w:t>
      </w:r>
      <w:r>
        <w:rPr>
          <w:rFonts w:ascii="宋体" w:hAnsi="宋体" w:cs="宋体" w:eastAsia="宋体" w:hint="default"/>
          <w:spacing w:val="-2"/>
        </w:rPr>
        <w:t>127.68%</w:t>
      </w:r>
      <w:r>
        <w:rPr>
          <w:spacing w:val="-2"/>
        </w:rPr>
        <w:t>，主要系公司加大移动互联</w:t>
      </w: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80" w:footer="1195" w:top="1120" w:bottom="1380" w:left="1460" w:right="920"/>
        </w:sectPr>
      </w:pPr>
    </w:p>
    <w:p>
      <w:pPr>
        <w:tabs>
          <w:tab w:pos="757" w:val="left" w:leader="none"/>
        </w:tabs>
        <w:spacing w:line="312" w:lineRule="auto" w:before="36"/>
        <w:ind w:left="338" w:right="785" w:firstLine="0"/>
        <w:jc w:val="left"/>
        <w:rPr>
          <w:rFonts w:ascii="宋体" w:hAnsi="宋体" w:cs="宋体" w:eastAsia="宋体" w:hint="default"/>
          <w:sz w:val="21"/>
          <w:szCs w:val="21"/>
        </w:rPr>
      </w:pPr>
      <w:r>
        <w:rPr>
          <w:rFonts w:ascii="宋体" w:hAnsi="宋体" w:cs="宋体" w:eastAsia="宋体" w:hint="default"/>
          <w:spacing w:val="-2"/>
          <w:sz w:val="21"/>
          <w:szCs w:val="21"/>
        </w:rPr>
        <w:t>网及大数据等领域的研发投入所致。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w w:val="95"/>
          <w:sz w:val="21"/>
          <w:szCs w:val="21"/>
        </w:rPr>
        <w:t>1.</w:t>
        <w:tab/>
      </w:r>
      <w:r>
        <w:rPr>
          <w:rFonts w:ascii="宋体" w:hAnsi="宋体" w:cs="宋体" w:eastAsia="宋体" w:hint="default"/>
          <w:b/>
          <w:bCs/>
          <w:sz w:val="21"/>
          <w:szCs w:val="21"/>
        </w:rPr>
        <w:t>收入和成本分析</w:t>
      </w:r>
      <w:r>
        <w:rPr>
          <w:rFonts w:ascii="宋体" w:hAnsi="宋体" w:cs="宋体" w:eastAsia="宋体" w:hint="default"/>
          <w:sz w:val="21"/>
          <w:szCs w:val="21"/>
        </w:rPr>
      </w:r>
    </w:p>
    <w:p>
      <w:pPr>
        <w:pStyle w:val="BodyText"/>
        <w:spacing w:line="360" w:lineRule="auto"/>
        <w:ind w:left="758" w:right="2249" w:hanging="420"/>
        <w:jc w:val="left"/>
      </w:pPr>
      <w:r>
        <w:rPr/>
        <w:t>√适用</w:t>
      </w:r>
      <w:r>
        <w:rPr>
          <w:spacing w:val="-2"/>
        </w:rPr>
        <w:t> </w:t>
      </w:r>
      <w:r>
        <w:rPr/>
        <w:t>□不适用</w:t>
      </w:r>
      <w:r>
        <w:rPr>
          <w:w w:val="100"/>
        </w:rPr>
        <w:t> </w:t>
      </w:r>
      <w:r>
        <w:rPr>
          <w:spacing w:val="-1"/>
        </w:rPr>
        <w:t>详见下述说明。</w:t>
      </w:r>
    </w:p>
    <w:p>
      <w:pPr>
        <w:pStyle w:val="Heading3"/>
        <w:spacing w:line="255" w:lineRule="exact" w:before="0"/>
        <w:ind w:left="338" w:right="-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tabs>
          <w:tab w:pos="1389" w:val="left" w:leader="none"/>
        </w:tabs>
        <w:spacing w:line="240" w:lineRule="auto"/>
        <w:ind w:left="3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460" w:right="920"/>
          <w:cols w:num="2" w:equalWidth="0">
            <w:col w:w="4491" w:space="2136"/>
            <w:col w:w="290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8"/>
        <w:gridCol w:w="1911"/>
        <w:gridCol w:w="1699"/>
        <w:gridCol w:w="744"/>
        <w:gridCol w:w="1164"/>
        <w:gridCol w:w="1325"/>
        <w:gridCol w:w="1327"/>
      </w:tblGrid>
      <w:tr>
        <w:trPr>
          <w:trHeight w:val="408" w:hRule="exact"/>
        </w:trPr>
        <w:tc>
          <w:tcPr>
            <w:tcW w:w="92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212"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50" w:lineRule="auto"/>
              <w:ind w:left="101" w:right="-5" w:firstLine="55"/>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26"/>
                <w:w w:val="100"/>
                <w:sz w:val="21"/>
                <w:szCs w:val="21"/>
              </w:rPr>
              <w:t>率（</w:t>
            </w:r>
            <w:r>
              <w:rPr>
                <w:rFonts w:ascii="宋体" w:hAnsi="宋体" w:cs="宋体" w:eastAsia="宋体" w:hint="default"/>
                <w:spacing w:val="-26"/>
                <w:w w:val="100"/>
                <w:sz w:val="21"/>
                <w:szCs w:val="21"/>
              </w:rPr>
              <w:t>%</w:t>
            </w:r>
            <w:r>
              <w:rPr>
                <w:rFonts w:ascii="宋体" w:hAnsi="宋体" w:cs="宋体" w:eastAsia="宋体" w:hint="default"/>
                <w:spacing w:val="-26"/>
                <w:w w:val="100"/>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6"/>
              <w:ind w:left="156" w:right="153"/>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p>
          <w:p>
            <w:pPr>
              <w:pStyle w:val="TableParagraph"/>
              <w:spacing w:line="240" w:lineRule="auto" w:before="31"/>
              <w:ind w:left="208"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6"/>
              <w:ind w:left="129" w:right="130"/>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31"/>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50" w:lineRule="auto"/>
              <w:ind w:left="100" w:right="5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809"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互联网</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1,227,588,631.48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599,213,085.14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50.19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12.40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37.69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1"/>
              <w:ind w:left="100" w:right="101"/>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6"/>
                <w:sz w:val="21"/>
                <w:szCs w:val="21"/>
              </w:rPr>
              <w:t> </w:t>
            </w:r>
            <w:r>
              <w:rPr>
                <w:rFonts w:ascii="宋体" w:hAnsi="宋体" w:cs="宋体" w:eastAsia="宋体" w:hint="default"/>
                <w:sz w:val="21"/>
                <w:szCs w:val="21"/>
              </w:rPr>
              <w:t>8.97</w:t>
            </w:r>
            <w:r>
              <w:rPr>
                <w:rFonts w:ascii="宋体" w:hAnsi="宋体" w:cs="宋体" w:eastAsia="宋体" w:hint="default"/>
                <w:spacing w:val="-7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1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pacing w:val="14"/>
                <w:sz w:val="21"/>
                <w:szCs w:val="21"/>
              </w:rPr>
              <w:t>移动互联</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w w:val="100"/>
                <w:sz w:val="21"/>
                <w:szCs w:val="21"/>
              </w:rPr>
              <w:t>网</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283,644,461.81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230,472,656.54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18.75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4.31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-4.66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6"/>
                <w:sz w:val="21"/>
                <w:szCs w:val="21"/>
              </w:rPr>
              <w:t> </w:t>
            </w:r>
            <w:r>
              <w:rPr>
                <w:rFonts w:ascii="宋体" w:hAnsi="宋体" w:cs="宋体" w:eastAsia="宋体" w:hint="default"/>
                <w:sz w:val="21"/>
                <w:szCs w:val="21"/>
              </w:rPr>
              <w:t>7.65</w:t>
            </w:r>
            <w:r>
              <w:rPr>
                <w:rFonts w:ascii="宋体" w:hAnsi="宋体" w:cs="宋体" w:eastAsia="宋体" w:hint="default"/>
                <w:spacing w:val="-73"/>
                <w:sz w:val="21"/>
                <w:szCs w:val="21"/>
              </w:rPr>
              <w:t> </w:t>
            </w:r>
            <w:r>
              <w:rPr>
                <w:rFonts w:ascii="宋体" w:hAnsi="宋体" w:cs="宋体" w:eastAsia="宋体" w:hint="default"/>
                <w:sz w:val="21"/>
                <w:szCs w:val="21"/>
              </w:rPr>
              <w:t>个</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809"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b/>
                <w:sz w:val="21"/>
              </w:rPr>
              <w:t>1,511,233,093.29</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b/>
                <w:w w:val="95"/>
                <w:sz w:val="21"/>
              </w:rPr>
              <w:t>829,685,741.68</w:t>
            </w:r>
            <w:r>
              <w:rPr>
                <w:rFonts w:ascii="宋体"/>
                <w:sz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b/>
                <w:sz w:val="21"/>
              </w:rPr>
              <w:t>45.10</w:t>
            </w:r>
            <w:r>
              <w:rPr>
                <w:rFonts w:ascii="宋体"/>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12" w:right="0"/>
              <w:jc w:val="left"/>
              <w:rPr>
                <w:rFonts w:ascii="宋体" w:hAnsi="宋体" w:cs="宋体" w:eastAsia="宋体" w:hint="default"/>
                <w:sz w:val="21"/>
                <w:szCs w:val="21"/>
              </w:rPr>
            </w:pPr>
            <w:r>
              <w:rPr>
                <w:rFonts w:ascii="宋体"/>
                <w:b/>
                <w:sz w:val="21"/>
              </w:rPr>
              <w:t>10.79</w:t>
            </w:r>
            <w:r>
              <w:rPr>
                <w:rFonts w:ascii="宋体"/>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91" w:right="0"/>
              <w:jc w:val="left"/>
              <w:rPr>
                <w:rFonts w:ascii="宋体" w:hAnsi="宋体" w:cs="宋体" w:eastAsia="宋体" w:hint="default"/>
                <w:sz w:val="21"/>
                <w:szCs w:val="21"/>
              </w:rPr>
            </w:pPr>
            <w:r>
              <w:rPr>
                <w:rFonts w:ascii="宋体"/>
                <w:b/>
                <w:sz w:val="21"/>
              </w:rPr>
              <w:t>22.57</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1"/>
              <w:ind w:left="100" w:right="101"/>
              <w:jc w:val="left"/>
              <w:rPr>
                <w:rFonts w:ascii="宋体" w:hAnsi="宋体" w:cs="宋体" w:eastAsia="宋体" w:hint="default"/>
                <w:sz w:val="21"/>
                <w:szCs w:val="21"/>
              </w:rPr>
            </w:pPr>
            <w:r>
              <w:rPr>
                <w:rFonts w:ascii="宋体" w:hAnsi="宋体" w:cs="宋体" w:eastAsia="宋体" w:hint="default"/>
                <w:b/>
                <w:bCs/>
                <w:sz w:val="21"/>
                <w:szCs w:val="21"/>
              </w:rPr>
              <w:t>增加</w:t>
            </w:r>
            <w:r>
              <w:rPr>
                <w:rFonts w:ascii="宋体" w:hAnsi="宋体" w:cs="宋体" w:eastAsia="宋体" w:hint="default"/>
                <w:b/>
                <w:bCs/>
                <w:spacing w:val="-78"/>
                <w:sz w:val="21"/>
                <w:szCs w:val="21"/>
              </w:rPr>
              <w:t> </w:t>
            </w:r>
            <w:r>
              <w:rPr>
                <w:rFonts w:ascii="宋体" w:hAnsi="宋体" w:cs="宋体" w:eastAsia="宋体" w:hint="default"/>
                <w:b/>
                <w:bCs/>
                <w:sz w:val="21"/>
                <w:szCs w:val="21"/>
              </w:rPr>
              <w:t>5.28</w:t>
            </w:r>
            <w:r>
              <w:rPr>
                <w:rFonts w:ascii="宋体" w:hAnsi="宋体" w:cs="宋体" w:eastAsia="宋体" w:hint="default"/>
                <w:b/>
                <w:bCs/>
                <w:spacing w:val="-78"/>
                <w:sz w:val="21"/>
                <w:szCs w:val="21"/>
              </w:rPr>
              <w:t> </w:t>
            </w:r>
            <w:r>
              <w:rPr>
                <w:rFonts w:ascii="宋体" w:hAnsi="宋体" w:cs="宋体" w:eastAsia="宋体" w:hint="default"/>
                <w:b/>
                <w:bCs/>
                <w:sz w:val="21"/>
                <w:szCs w:val="21"/>
              </w:rPr>
              <w:t>个</w:t>
            </w:r>
            <w:r>
              <w:rPr>
                <w:rFonts w:ascii="宋体" w:hAnsi="宋体" w:cs="宋体" w:eastAsia="宋体" w:hint="default"/>
                <w:b/>
                <w:bCs/>
                <w:w w:val="100"/>
                <w:sz w:val="21"/>
                <w:szCs w:val="21"/>
              </w:rPr>
              <w:t> </w:t>
            </w:r>
            <w:r>
              <w:rPr>
                <w:rFonts w:ascii="宋体" w:hAnsi="宋体" w:cs="宋体" w:eastAsia="宋体" w:hint="default"/>
                <w:b/>
                <w:bCs/>
                <w:sz w:val="21"/>
                <w:szCs w:val="21"/>
              </w:rPr>
              <w:t>百分点</w:t>
            </w:r>
            <w:r>
              <w:rPr>
                <w:rFonts w:ascii="宋体" w:hAnsi="宋体" w:cs="宋体" w:eastAsia="宋体" w:hint="default"/>
                <w:sz w:val="21"/>
                <w:szCs w:val="21"/>
              </w:rPr>
            </w:r>
          </w:p>
        </w:tc>
      </w:tr>
      <w:tr>
        <w:trPr>
          <w:trHeight w:val="812"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pacing w:val="9"/>
                <w:sz w:val="21"/>
                <w:szCs w:val="21"/>
              </w:rPr>
              <w:t>减：</w:t>
            </w:r>
            <w:r>
              <w:rPr>
                <w:rFonts w:ascii="宋体" w:hAnsi="宋体" w:cs="宋体" w:eastAsia="宋体" w:hint="default"/>
                <w:spacing w:val="-80"/>
                <w:sz w:val="21"/>
                <w:szCs w:val="21"/>
              </w:rPr>
              <w:t> </w:t>
            </w:r>
            <w:r>
              <w:rPr>
                <w:rFonts w:ascii="宋体" w:hAnsi="宋体" w:cs="宋体" w:eastAsia="宋体" w:hint="default"/>
                <w:spacing w:val="10"/>
                <w:sz w:val="21"/>
                <w:szCs w:val="21"/>
              </w:rPr>
              <w:t>内部</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抵消</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8,816,081.04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7,747,500.63</w:t>
            </w:r>
          </w:p>
        </w:tc>
        <w:tc>
          <w:tcPr>
            <w:tcW w:w="74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b/>
                <w:bCs/>
                <w:sz w:val="21"/>
                <w:szCs w:val="21"/>
              </w:rPr>
              <w:t>合并数</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b/>
                <w:sz w:val="21"/>
              </w:rPr>
              <w:t>1,502,417,012.25</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b/>
                <w:w w:val="95"/>
                <w:sz w:val="21"/>
              </w:rPr>
              <w:t>821,938,241.05</w:t>
            </w:r>
            <w:r>
              <w:rPr>
                <w:rFonts w:ascii="宋体"/>
                <w:sz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b/>
                <w:sz w:val="21"/>
              </w:rPr>
              <w:t>45.29</w:t>
            </w:r>
            <w:r>
              <w:rPr>
                <w:rFonts w:ascii="宋体"/>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12" w:right="0"/>
              <w:jc w:val="left"/>
              <w:rPr>
                <w:rFonts w:ascii="宋体" w:hAnsi="宋体" w:cs="宋体" w:eastAsia="宋体" w:hint="default"/>
                <w:sz w:val="21"/>
                <w:szCs w:val="21"/>
              </w:rPr>
            </w:pPr>
            <w:r>
              <w:rPr>
                <w:rFonts w:ascii="宋体"/>
                <w:b/>
                <w:sz w:val="21"/>
              </w:rPr>
              <w:t>10.36</w:t>
            </w:r>
            <w:r>
              <w:rPr>
                <w:rFonts w:ascii="宋体"/>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91" w:right="0"/>
              <w:jc w:val="left"/>
              <w:rPr>
                <w:rFonts w:ascii="宋体" w:hAnsi="宋体" w:cs="宋体" w:eastAsia="宋体" w:hint="default"/>
                <w:sz w:val="21"/>
                <w:szCs w:val="21"/>
              </w:rPr>
            </w:pPr>
            <w:r>
              <w:rPr>
                <w:rFonts w:ascii="宋体"/>
                <w:b/>
                <w:sz w:val="21"/>
              </w:rPr>
              <w:t>21.52</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1"/>
              <w:ind w:left="100" w:right="101"/>
              <w:jc w:val="left"/>
              <w:rPr>
                <w:rFonts w:ascii="宋体" w:hAnsi="宋体" w:cs="宋体" w:eastAsia="宋体" w:hint="default"/>
                <w:sz w:val="21"/>
                <w:szCs w:val="21"/>
              </w:rPr>
            </w:pPr>
            <w:r>
              <w:rPr>
                <w:rFonts w:ascii="宋体" w:hAnsi="宋体" w:cs="宋体" w:eastAsia="宋体" w:hint="default"/>
                <w:b/>
                <w:bCs/>
                <w:sz w:val="21"/>
                <w:szCs w:val="21"/>
              </w:rPr>
              <w:t>增加</w:t>
            </w:r>
            <w:r>
              <w:rPr>
                <w:rFonts w:ascii="宋体" w:hAnsi="宋体" w:cs="宋体" w:eastAsia="宋体" w:hint="default"/>
                <w:b/>
                <w:bCs/>
                <w:spacing w:val="-78"/>
                <w:sz w:val="21"/>
                <w:szCs w:val="21"/>
              </w:rPr>
              <w:t> </w:t>
            </w:r>
            <w:r>
              <w:rPr>
                <w:rFonts w:ascii="宋体" w:hAnsi="宋体" w:cs="宋体" w:eastAsia="宋体" w:hint="default"/>
                <w:b/>
                <w:bCs/>
                <w:sz w:val="21"/>
                <w:szCs w:val="21"/>
              </w:rPr>
              <w:t>6.12</w:t>
            </w:r>
            <w:r>
              <w:rPr>
                <w:rFonts w:ascii="宋体" w:hAnsi="宋体" w:cs="宋体" w:eastAsia="宋体" w:hint="default"/>
                <w:b/>
                <w:bCs/>
                <w:spacing w:val="-78"/>
                <w:sz w:val="21"/>
                <w:szCs w:val="21"/>
              </w:rPr>
              <w:t> </w:t>
            </w:r>
            <w:r>
              <w:rPr>
                <w:rFonts w:ascii="宋体" w:hAnsi="宋体" w:cs="宋体" w:eastAsia="宋体" w:hint="default"/>
                <w:b/>
                <w:bCs/>
                <w:sz w:val="21"/>
                <w:szCs w:val="21"/>
              </w:rPr>
              <w:t>个</w:t>
            </w:r>
            <w:r>
              <w:rPr>
                <w:rFonts w:ascii="宋体" w:hAnsi="宋体" w:cs="宋体" w:eastAsia="宋体" w:hint="default"/>
                <w:b/>
                <w:bCs/>
                <w:w w:val="100"/>
                <w:sz w:val="21"/>
                <w:szCs w:val="21"/>
              </w:rPr>
              <w:t> </w:t>
            </w:r>
            <w:r>
              <w:rPr>
                <w:rFonts w:ascii="宋体" w:hAnsi="宋体" w:cs="宋体" w:eastAsia="宋体" w:hint="default"/>
                <w:b/>
                <w:bCs/>
                <w:sz w:val="21"/>
                <w:szCs w:val="21"/>
              </w:rPr>
              <w:t>百分点</w:t>
            </w:r>
            <w:r>
              <w:rPr>
                <w:rFonts w:ascii="宋体" w:hAnsi="宋体" w:cs="宋体" w:eastAsia="宋体" w:hint="default"/>
                <w:sz w:val="21"/>
                <w:szCs w:val="21"/>
              </w:rPr>
            </w:r>
          </w:p>
        </w:tc>
      </w:tr>
      <w:tr>
        <w:trPr>
          <w:trHeight w:val="410" w:hRule="exact"/>
        </w:trPr>
        <w:tc>
          <w:tcPr>
            <w:tcW w:w="92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210"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350" w:lineRule="auto"/>
              <w:ind w:left="101" w:right="-5" w:firstLine="55"/>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26"/>
                <w:w w:val="100"/>
                <w:sz w:val="21"/>
                <w:szCs w:val="21"/>
              </w:rPr>
              <w:t>率（</w:t>
            </w:r>
            <w:r>
              <w:rPr>
                <w:rFonts w:ascii="宋体" w:hAnsi="宋体" w:cs="宋体" w:eastAsia="宋体" w:hint="default"/>
                <w:spacing w:val="-26"/>
                <w:w w:val="100"/>
                <w:sz w:val="21"/>
                <w:szCs w:val="21"/>
              </w:rPr>
              <w:t>%</w:t>
            </w:r>
            <w:r>
              <w:rPr>
                <w:rFonts w:ascii="宋体" w:hAnsi="宋体" w:cs="宋体" w:eastAsia="宋体" w:hint="default"/>
                <w:spacing w:val="-26"/>
                <w:w w:val="100"/>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6"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400" w:lineRule="atLeast" w:before="1"/>
              <w:ind w:left="208" w:right="153"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4"/>
              <w:ind w:left="129" w:right="130"/>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350" w:lineRule="auto"/>
              <w:ind w:left="100" w:right="59" w:firstLine="28"/>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812"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网络广告</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596,829,189.71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259,562,257.52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56.51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-5.84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-5.63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6"/>
                <w:sz w:val="21"/>
                <w:szCs w:val="21"/>
              </w:rPr>
              <w:t> </w:t>
            </w:r>
            <w:r>
              <w:rPr>
                <w:rFonts w:ascii="宋体" w:hAnsi="宋体" w:cs="宋体" w:eastAsia="宋体" w:hint="default"/>
                <w:sz w:val="21"/>
                <w:szCs w:val="21"/>
              </w:rPr>
              <w:t>0.09</w:t>
            </w:r>
            <w:r>
              <w:rPr>
                <w:rFonts w:ascii="宋体" w:hAnsi="宋体" w:cs="宋体" w:eastAsia="宋体" w:hint="default"/>
                <w:spacing w:val="-73"/>
                <w:sz w:val="21"/>
                <w:szCs w:val="21"/>
              </w:rPr>
              <w:t> </w:t>
            </w:r>
            <w:r>
              <w:rPr>
                <w:rFonts w:ascii="宋体" w:hAnsi="宋体" w:cs="宋体" w:eastAsia="宋体" w:hint="default"/>
                <w:sz w:val="21"/>
                <w:szCs w:val="21"/>
              </w:rPr>
              <w:t>个</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after="0" w:line="240" w:lineRule="auto"/>
        <w:jc w:val="left"/>
        <w:rPr>
          <w:rFonts w:ascii="宋体" w:hAnsi="宋体" w:cs="宋体" w:eastAsia="宋体" w:hint="default"/>
          <w:sz w:val="21"/>
          <w:szCs w:val="21"/>
        </w:rPr>
        <w:sectPr>
          <w:type w:val="continuous"/>
          <w:pgSz w:w="11910" w:h="16840"/>
          <w:pgMar w:top="1120" w:bottom="1380" w:left="146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18"/>
        <w:gridCol w:w="1911"/>
        <w:gridCol w:w="1699"/>
        <w:gridCol w:w="744"/>
        <w:gridCol w:w="1164"/>
        <w:gridCol w:w="1325"/>
        <w:gridCol w:w="1327"/>
      </w:tblGrid>
      <w:tr>
        <w:trPr>
          <w:trHeight w:val="812"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510,132,816.35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248,453,462.99</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51.30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32.10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138.82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21.76</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1210"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pacing w:val="14"/>
                <w:sz w:val="21"/>
                <w:szCs w:val="21"/>
              </w:rPr>
              <w:t>网站建设</w:t>
            </w:r>
          </w:p>
          <w:p>
            <w:pPr>
              <w:pStyle w:val="TableParagraph"/>
              <w:spacing w:line="400" w:lineRule="atLeast" w:before="1"/>
              <w:ind w:left="103" w:right="99"/>
              <w:jc w:val="left"/>
              <w:rPr>
                <w:rFonts w:ascii="宋体" w:hAnsi="宋体" w:cs="宋体" w:eastAsia="宋体" w:hint="default"/>
                <w:sz w:val="21"/>
                <w:szCs w:val="21"/>
              </w:rPr>
            </w:pPr>
            <w:r>
              <w:rPr>
                <w:rFonts w:ascii="宋体" w:hAnsi="宋体" w:cs="宋体" w:eastAsia="宋体" w:hint="default"/>
                <w:spacing w:val="14"/>
                <w:sz w:val="21"/>
                <w:szCs w:val="21"/>
              </w:rPr>
              <w:t>及技术服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120,626,625.42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91,197,364.63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24.40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67.18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62.61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350" w:lineRule="auto"/>
              <w:ind w:left="100" w:right="101"/>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6"/>
                <w:sz w:val="21"/>
                <w:szCs w:val="21"/>
              </w:rPr>
              <w:t> </w:t>
            </w:r>
            <w:r>
              <w:rPr>
                <w:rFonts w:ascii="宋体" w:hAnsi="宋体" w:cs="宋体" w:eastAsia="宋体" w:hint="default"/>
                <w:sz w:val="21"/>
                <w:szCs w:val="21"/>
              </w:rPr>
              <w:t>2.13</w:t>
            </w:r>
            <w:r>
              <w:rPr>
                <w:rFonts w:ascii="宋体" w:hAnsi="宋体" w:cs="宋体" w:eastAsia="宋体" w:hint="default"/>
                <w:spacing w:val="-7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1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pacing w:val="14"/>
                <w:sz w:val="21"/>
                <w:szCs w:val="21"/>
              </w:rPr>
              <w:t>移动互联</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w w:val="100"/>
                <w:sz w:val="21"/>
                <w:szCs w:val="21"/>
              </w:rPr>
              <w:t>网</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283,644,461.81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230,472,656.54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18.75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4.31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-4.66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6"/>
                <w:sz w:val="21"/>
                <w:szCs w:val="21"/>
              </w:rPr>
              <w:t> </w:t>
            </w:r>
            <w:r>
              <w:rPr>
                <w:rFonts w:ascii="宋体" w:hAnsi="宋体" w:cs="宋体" w:eastAsia="宋体" w:hint="default"/>
                <w:sz w:val="21"/>
                <w:szCs w:val="21"/>
              </w:rPr>
              <w:t>7.65</w:t>
            </w:r>
            <w:r>
              <w:rPr>
                <w:rFonts w:ascii="宋体" w:hAnsi="宋体" w:cs="宋体" w:eastAsia="宋体" w:hint="default"/>
                <w:spacing w:val="-73"/>
                <w:sz w:val="21"/>
                <w:szCs w:val="21"/>
              </w:rPr>
              <w:t> </w:t>
            </w:r>
            <w:r>
              <w:rPr>
                <w:rFonts w:ascii="宋体" w:hAnsi="宋体" w:cs="宋体" w:eastAsia="宋体" w:hint="default"/>
                <w:sz w:val="21"/>
                <w:szCs w:val="21"/>
              </w:rPr>
              <w:t>个</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809"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b/>
                <w:sz w:val="21"/>
              </w:rPr>
              <w:t>1,511,233,093.29</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b/>
                <w:w w:val="95"/>
                <w:sz w:val="21"/>
              </w:rPr>
              <w:t>829,685,741.68</w:t>
            </w:r>
            <w:r>
              <w:rPr>
                <w:rFonts w:ascii="宋体"/>
                <w:sz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b/>
                <w:sz w:val="21"/>
              </w:rPr>
              <w:t>45.10</w:t>
            </w:r>
            <w:r>
              <w:rPr>
                <w:rFonts w:ascii="宋体"/>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2" w:right="0"/>
              <w:jc w:val="left"/>
              <w:rPr>
                <w:rFonts w:ascii="宋体" w:hAnsi="宋体" w:cs="宋体" w:eastAsia="宋体" w:hint="default"/>
                <w:sz w:val="21"/>
                <w:szCs w:val="21"/>
              </w:rPr>
            </w:pPr>
            <w:r>
              <w:rPr>
                <w:rFonts w:ascii="宋体"/>
                <w:b/>
                <w:sz w:val="21"/>
              </w:rPr>
              <w:t>10.79</w:t>
            </w:r>
            <w:r>
              <w:rPr>
                <w:rFonts w:ascii="宋体"/>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91" w:right="0"/>
              <w:jc w:val="left"/>
              <w:rPr>
                <w:rFonts w:ascii="宋体" w:hAnsi="宋体" w:cs="宋体" w:eastAsia="宋体" w:hint="default"/>
                <w:sz w:val="21"/>
                <w:szCs w:val="21"/>
              </w:rPr>
            </w:pPr>
            <w:r>
              <w:rPr>
                <w:rFonts w:ascii="宋体"/>
                <w:b/>
                <w:sz w:val="21"/>
              </w:rPr>
              <w:t>22.57</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1"/>
              <w:ind w:left="100" w:right="101"/>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78"/>
                <w:sz w:val="21"/>
                <w:szCs w:val="21"/>
              </w:rPr>
              <w:t> </w:t>
            </w:r>
            <w:r>
              <w:rPr>
                <w:rFonts w:ascii="宋体" w:hAnsi="宋体" w:cs="宋体" w:eastAsia="宋体" w:hint="default"/>
                <w:b/>
                <w:bCs/>
                <w:sz w:val="21"/>
                <w:szCs w:val="21"/>
              </w:rPr>
              <w:t>5.28</w:t>
            </w:r>
            <w:r>
              <w:rPr>
                <w:rFonts w:ascii="宋体" w:hAnsi="宋体" w:cs="宋体" w:eastAsia="宋体" w:hint="default"/>
                <w:b/>
                <w:bCs/>
                <w:spacing w:val="-78"/>
                <w:sz w:val="21"/>
                <w:szCs w:val="21"/>
              </w:rPr>
              <w:t> </w:t>
            </w:r>
            <w:r>
              <w:rPr>
                <w:rFonts w:ascii="宋体" w:hAnsi="宋体" w:cs="宋体" w:eastAsia="宋体" w:hint="default"/>
                <w:b/>
                <w:bCs/>
                <w:sz w:val="21"/>
                <w:szCs w:val="21"/>
              </w:rPr>
              <w:t>个</w:t>
            </w:r>
            <w:r>
              <w:rPr>
                <w:rFonts w:ascii="宋体" w:hAnsi="宋体" w:cs="宋体" w:eastAsia="宋体" w:hint="default"/>
                <w:b/>
                <w:bCs/>
                <w:w w:val="100"/>
                <w:sz w:val="21"/>
                <w:szCs w:val="21"/>
              </w:rPr>
              <w:t> </w:t>
            </w:r>
            <w:r>
              <w:rPr>
                <w:rFonts w:ascii="宋体" w:hAnsi="宋体" w:cs="宋体" w:eastAsia="宋体" w:hint="default"/>
                <w:b/>
                <w:bCs/>
                <w:sz w:val="21"/>
                <w:szCs w:val="21"/>
              </w:rPr>
              <w:t>百分点</w:t>
            </w:r>
            <w:r>
              <w:rPr>
                <w:rFonts w:ascii="宋体" w:hAnsi="宋体" w:cs="宋体" w:eastAsia="宋体" w:hint="default"/>
                <w:sz w:val="21"/>
                <w:szCs w:val="21"/>
              </w:rPr>
            </w:r>
          </w:p>
        </w:tc>
      </w:tr>
      <w:tr>
        <w:trPr>
          <w:trHeight w:val="81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pacing w:val="9"/>
                <w:sz w:val="21"/>
                <w:szCs w:val="21"/>
              </w:rPr>
              <w:t>减：</w:t>
            </w:r>
            <w:r>
              <w:rPr>
                <w:rFonts w:ascii="宋体" w:hAnsi="宋体" w:cs="宋体" w:eastAsia="宋体" w:hint="default"/>
                <w:spacing w:val="-80"/>
                <w:sz w:val="21"/>
                <w:szCs w:val="21"/>
              </w:rPr>
              <w:t> </w:t>
            </w:r>
            <w:r>
              <w:rPr>
                <w:rFonts w:ascii="宋体" w:hAnsi="宋体" w:cs="宋体" w:eastAsia="宋体" w:hint="default"/>
                <w:spacing w:val="10"/>
                <w:sz w:val="21"/>
                <w:szCs w:val="21"/>
              </w:rPr>
              <w:t>内部</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抵消</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8,816,081.04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7,747,500.63</w:t>
            </w:r>
          </w:p>
        </w:tc>
        <w:tc>
          <w:tcPr>
            <w:tcW w:w="74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b/>
                <w:bCs/>
                <w:sz w:val="21"/>
                <w:szCs w:val="21"/>
              </w:rPr>
              <w:t>合并数</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b/>
                <w:sz w:val="21"/>
              </w:rPr>
              <w:t>1,502,417,012.25</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b/>
                <w:w w:val="95"/>
                <w:sz w:val="21"/>
              </w:rPr>
              <w:t>821,938,241.05</w:t>
            </w:r>
            <w:r>
              <w:rPr>
                <w:rFonts w:ascii="宋体"/>
                <w:sz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b/>
                <w:sz w:val="21"/>
              </w:rPr>
              <w:t>45.29</w:t>
            </w:r>
            <w:r>
              <w:rPr>
                <w:rFonts w:ascii="宋体"/>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12" w:right="0"/>
              <w:jc w:val="left"/>
              <w:rPr>
                <w:rFonts w:ascii="宋体" w:hAnsi="宋体" w:cs="宋体" w:eastAsia="宋体" w:hint="default"/>
                <w:sz w:val="21"/>
                <w:szCs w:val="21"/>
              </w:rPr>
            </w:pPr>
            <w:r>
              <w:rPr>
                <w:rFonts w:ascii="宋体"/>
                <w:b/>
                <w:sz w:val="21"/>
              </w:rPr>
              <w:t>10.36</w:t>
            </w:r>
            <w:r>
              <w:rPr>
                <w:rFonts w:ascii="宋体"/>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91" w:right="0"/>
              <w:jc w:val="left"/>
              <w:rPr>
                <w:rFonts w:ascii="宋体" w:hAnsi="宋体" w:cs="宋体" w:eastAsia="宋体" w:hint="default"/>
                <w:sz w:val="21"/>
                <w:szCs w:val="21"/>
              </w:rPr>
            </w:pPr>
            <w:r>
              <w:rPr>
                <w:rFonts w:ascii="宋体"/>
                <w:b/>
                <w:sz w:val="21"/>
              </w:rPr>
              <w:t>21.52</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100" w:right="101"/>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78"/>
                <w:sz w:val="21"/>
                <w:szCs w:val="21"/>
              </w:rPr>
              <w:t> </w:t>
            </w:r>
            <w:r>
              <w:rPr>
                <w:rFonts w:ascii="宋体" w:hAnsi="宋体" w:cs="宋体" w:eastAsia="宋体" w:hint="default"/>
                <w:b/>
                <w:bCs/>
                <w:sz w:val="21"/>
                <w:szCs w:val="21"/>
              </w:rPr>
              <w:t>6.12</w:t>
            </w:r>
            <w:r>
              <w:rPr>
                <w:rFonts w:ascii="宋体" w:hAnsi="宋体" w:cs="宋体" w:eastAsia="宋体" w:hint="default"/>
                <w:b/>
                <w:bCs/>
                <w:spacing w:val="-78"/>
                <w:sz w:val="21"/>
                <w:szCs w:val="21"/>
              </w:rPr>
              <w:t> </w:t>
            </w:r>
            <w:r>
              <w:rPr>
                <w:rFonts w:ascii="宋体" w:hAnsi="宋体" w:cs="宋体" w:eastAsia="宋体" w:hint="default"/>
                <w:b/>
                <w:bCs/>
                <w:sz w:val="21"/>
                <w:szCs w:val="21"/>
              </w:rPr>
              <w:t>个</w:t>
            </w:r>
            <w:r>
              <w:rPr>
                <w:rFonts w:ascii="宋体" w:hAnsi="宋体" w:cs="宋体" w:eastAsia="宋体" w:hint="default"/>
                <w:b/>
                <w:bCs/>
                <w:w w:val="100"/>
                <w:sz w:val="21"/>
                <w:szCs w:val="21"/>
              </w:rPr>
              <w:t> </w:t>
            </w:r>
            <w:r>
              <w:rPr>
                <w:rFonts w:ascii="宋体" w:hAnsi="宋体" w:cs="宋体" w:eastAsia="宋体" w:hint="default"/>
                <w:b/>
                <w:bCs/>
                <w:sz w:val="21"/>
                <w:szCs w:val="21"/>
              </w:rPr>
              <w:t>百分点</w:t>
            </w:r>
            <w:r>
              <w:rPr>
                <w:rFonts w:ascii="宋体" w:hAnsi="宋体" w:cs="宋体" w:eastAsia="宋体" w:hint="default"/>
                <w:sz w:val="21"/>
                <w:szCs w:val="21"/>
              </w:rPr>
            </w:r>
          </w:p>
        </w:tc>
      </w:tr>
      <w:tr>
        <w:trPr>
          <w:trHeight w:val="410" w:hRule="exact"/>
        </w:trPr>
        <w:tc>
          <w:tcPr>
            <w:tcW w:w="92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210"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350" w:lineRule="auto"/>
              <w:ind w:left="101" w:right="-5" w:firstLine="55"/>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26"/>
                <w:w w:val="100"/>
                <w:sz w:val="21"/>
                <w:szCs w:val="21"/>
              </w:rPr>
              <w:t>率（</w:t>
            </w:r>
            <w:r>
              <w:rPr>
                <w:rFonts w:ascii="宋体" w:hAnsi="宋体" w:cs="宋体" w:eastAsia="宋体" w:hint="default"/>
                <w:spacing w:val="-26"/>
                <w:w w:val="100"/>
                <w:sz w:val="21"/>
                <w:szCs w:val="21"/>
              </w:rPr>
              <w:t>%</w:t>
            </w:r>
            <w:r>
              <w:rPr>
                <w:rFonts w:ascii="宋体" w:hAnsi="宋体" w:cs="宋体" w:eastAsia="宋体" w:hint="default"/>
                <w:spacing w:val="-26"/>
                <w:w w:val="100"/>
                <w:sz w:val="21"/>
                <w:szCs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6"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400" w:lineRule="atLeast" w:before="1"/>
              <w:ind w:left="208" w:right="153"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4"/>
              <w:ind w:left="129" w:right="130"/>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350" w:lineRule="auto"/>
              <w:ind w:left="100" w:right="59" w:firstLine="28"/>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81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1,501,200,434.73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824,045,872.10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21"/>
                <w:szCs w:val="21"/>
              </w:rPr>
            </w:pPr>
            <w:r>
              <w:rPr>
                <w:rFonts w:ascii="宋体"/>
                <w:sz w:val="21"/>
              </w:rPr>
              <w:t>45.11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10.39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22.00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6"/>
                <w:sz w:val="21"/>
                <w:szCs w:val="21"/>
              </w:rPr>
              <w:t> </w:t>
            </w:r>
            <w:r>
              <w:rPr>
                <w:rFonts w:ascii="宋体" w:hAnsi="宋体" w:cs="宋体" w:eastAsia="宋体" w:hint="default"/>
                <w:sz w:val="21"/>
                <w:szCs w:val="21"/>
              </w:rPr>
              <w:t>5.22</w:t>
            </w:r>
            <w:r>
              <w:rPr>
                <w:rFonts w:ascii="宋体" w:hAnsi="宋体" w:cs="宋体" w:eastAsia="宋体" w:hint="default"/>
                <w:spacing w:val="-73"/>
                <w:sz w:val="21"/>
                <w:szCs w:val="21"/>
              </w:rPr>
              <w:t> </w:t>
            </w:r>
            <w:r>
              <w:rPr>
                <w:rFonts w:ascii="宋体" w:hAnsi="宋体" w:cs="宋体" w:eastAsia="宋体" w:hint="default"/>
                <w:sz w:val="21"/>
                <w:szCs w:val="21"/>
              </w:rPr>
              <w:t>个</w:t>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809"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10,032,658.56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5,639,869.58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sz w:val="21"/>
              </w:rPr>
              <w:t>43.78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141.26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285.03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20.99</w:t>
            </w:r>
          </w:p>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1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b/>
                <w:bCs/>
                <w:sz w:val="21"/>
                <w:szCs w:val="21"/>
              </w:rPr>
              <w:t>合计数</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21"/>
                <w:szCs w:val="21"/>
              </w:rPr>
            </w:pPr>
            <w:r>
              <w:rPr>
                <w:rFonts w:ascii="宋体"/>
                <w:b/>
                <w:sz w:val="21"/>
              </w:rPr>
              <w:t>1,511,233,093.29</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21"/>
                <w:szCs w:val="21"/>
              </w:rPr>
            </w:pPr>
            <w:r>
              <w:rPr>
                <w:rFonts w:ascii="宋体"/>
                <w:b/>
                <w:w w:val="95"/>
                <w:sz w:val="21"/>
              </w:rPr>
              <w:t>829,685,741.68</w:t>
            </w:r>
            <w:r>
              <w:rPr>
                <w:rFonts w:ascii="宋体"/>
                <w:sz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b/>
                <w:sz w:val="21"/>
              </w:rPr>
              <w:t>45.10</w:t>
            </w:r>
            <w:r>
              <w:rPr>
                <w:rFonts w:ascii="宋体"/>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12" w:right="0"/>
              <w:jc w:val="left"/>
              <w:rPr>
                <w:rFonts w:ascii="宋体" w:hAnsi="宋体" w:cs="宋体" w:eastAsia="宋体" w:hint="default"/>
                <w:sz w:val="21"/>
                <w:szCs w:val="21"/>
              </w:rPr>
            </w:pPr>
            <w:r>
              <w:rPr>
                <w:rFonts w:ascii="宋体"/>
                <w:b/>
                <w:sz w:val="21"/>
              </w:rPr>
              <w:t>10.79</w:t>
            </w:r>
            <w:r>
              <w:rPr>
                <w:rFonts w:ascii="宋体"/>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91" w:right="0"/>
              <w:jc w:val="left"/>
              <w:rPr>
                <w:rFonts w:ascii="宋体" w:hAnsi="宋体" w:cs="宋体" w:eastAsia="宋体" w:hint="default"/>
                <w:sz w:val="21"/>
                <w:szCs w:val="21"/>
              </w:rPr>
            </w:pPr>
            <w:r>
              <w:rPr>
                <w:rFonts w:ascii="宋体"/>
                <w:b/>
                <w:sz w:val="21"/>
              </w:rPr>
              <w:t>22.57</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78"/>
                <w:sz w:val="21"/>
                <w:szCs w:val="21"/>
              </w:rPr>
              <w:t> </w:t>
            </w:r>
            <w:r>
              <w:rPr>
                <w:rFonts w:ascii="宋体" w:hAnsi="宋体" w:cs="宋体" w:eastAsia="宋体" w:hint="default"/>
                <w:b/>
                <w:bCs/>
                <w:sz w:val="21"/>
                <w:szCs w:val="21"/>
              </w:rPr>
              <w:t>5.28</w:t>
            </w:r>
            <w:r>
              <w:rPr>
                <w:rFonts w:ascii="宋体" w:hAnsi="宋体" w:cs="宋体" w:eastAsia="宋体" w:hint="default"/>
                <w:b/>
                <w:bCs/>
                <w:spacing w:val="-78"/>
                <w:sz w:val="21"/>
                <w:szCs w:val="21"/>
              </w:rPr>
              <w:t> </w:t>
            </w:r>
            <w:r>
              <w:rPr>
                <w:rFonts w:ascii="宋体" w:hAnsi="宋体" w:cs="宋体" w:eastAsia="宋体" w:hint="default"/>
                <w:b/>
                <w:bCs/>
                <w:sz w:val="21"/>
                <w:szCs w:val="21"/>
              </w:rPr>
              <w:t>个</w:t>
            </w:r>
            <w:r>
              <w:rPr>
                <w:rFonts w:ascii="宋体" w:hAnsi="宋体" w:cs="宋体" w:eastAsia="宋体" w:hint="default"/>
                <w:sz w:val="21"/>
                <w:szCs w:val="21"/>
              </w:rPr>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b/>
                <w:bCs/>
                <w:sz w:val="21"/>
                <w:szCs w:val="21"/>
              </w:rPr>
              <w:t>百分点</w:t>
            </w:r>
            <w:r>
              <w:rPr>
                <w:rFonts w:ascii="宋体" w:hAnsi="宋体" w:cs="宋体" w:eastAsia="宋体" w:hint="default"/>
                <w:sz w:val="21"/>
                <w:szCs w:val="21"/>
              </w:rPr>
            </w:r>
          </w:p>
        </w:tc>
      </w:tr>
      <w:tr>
        <w:trPr>
          <w:trHeight w:val="809"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1"/>
              <w:ind w:left="103" w:right="99"/>
              <w:jc w:val="left"/>
              <w:rPr>
                <w:rFonts w:ascii="宋体" w:hAnsi="宋体" w:cs="宋体" w:eastAsia="宋体" w:hint="default"/>
                <w:sz w:val="21"/>
                <w:szCs w:val="21"/>
              </w:rPr>
            </w:pPr>
            <w:r>
              <w:rPr>
                <w:rFonts w:ascii="宋体" w:hAnsi="宋体" w:cs="宋体" w:eastAsia="宋体" w:hint="default"/>
                <w:spacing w:val="9"/>
                <w:sz w:val="21"/>
                <w:szCs w:val="21"/>
              </w:rPr>
              <w:t>减：</w:t>
            </w:r>
            <w:r>
              <w:rPr>
                <w:rFonts w:ascii="宋体" w:hAnsi="宋体" w:cs="宋体" w:eastAsia="宋体" w:hint="default"/>
                <w:spacing w:val="-82"/>
                <w:sz w:val="21"/>
                <w:szCs w:val="21"/>
              </w:rPr>
              <w:t> </w:t>
            </w:r>
            <w:r>
              <w:rPr>
                <w:rFonts w:ascii="宋体" w:hAnsi="宋体" w:cs="宋体" w:eastAsia="宋体" w:hint="default"/>
                <w:spacing w:val="10"/>
                <w:sz w:val="21"/>
                <w:szCs w:val="21"/>
              </w:rPr>
              <w:t>内部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抵消</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8,816,081.04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7,747,500.63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w w:val="100"/>
                <w:sz w:val="21"/>
              </w:rPr>
              <w:t>-</w:t>
            </w:r>
          </w:p>
        </w:tc>
        <w:tc>
          <w:tcPr>
            <w:tcW w:w="116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b/>
                <w:bCs/>
                <w:sz w:val="21"/>
                <w:szCs w:val="21"/>
              </w:rPr>
              <w:t>合并数</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21"/>
                <w:szCs w:val="21"/>
              </w:rPr>
            </w:pPr>
            <w:r>
              <w:rPr>
                <w:rFonts w:ascii="宋体"/>
                <w:b/>
                <w:sz w:val="21"/>
              </w:rPr>
              <w:t>1,502,417,012.25</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21"/>
                <w:szCs w:val="21"/>
              </w:rPr>
            </w:pPr>
            <w:r>
              <w:rPr>
                <w:rFonts w:ascii="宋体"/>
                <w:b/>
                <w:w w:val="95"/>
                <w:sz w:val="21"/>
              </w:rPr>
              <w:t>821,938,241.05</w:t>
            </w:r>
            <w:r>
              <w:rPr>
                <w:rFonts w:ascii="宋体"/>
                <w:sz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b/>
                <w:sz w:val="21"/>
              </w:rPr>
              <w:t>45.29</w:t>
            </w:r>
            <w:r>
              <w:rPr>
                <w:rFonts w:ascii="宋体"/>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12" w:right="0"/>
              <w:jc w:val="left"/>
              <w:rPr>
                <w:rFonts w:ascii="宋体" w:hAnsi="宋体" w:cs="宋体" w:eastAsia="宋体" w:hint="default"/>
                <w:sz w:val="21"/>
                <w:szCs w:val="21"/>
              </w:rPr>
            </w:pPr>
            <w:r>
              <w:rPr>
                <w:rFonts w:ascii="宋体"/>
                <w:b/>
                <w:sz w:val="21"/>
              </w:rPr>
              <w:t>10.36</w:t>
            </w:r>
            <w:r>
              <w:rPr>
                <w:rFonts w:ascii="宋体"/>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91" w:right="0"/>
              <w:jc w:val="left"/>
              <w:rPr>
                <w:rFonts w:ascii="宋体" w:hAnsi="宋体" w:cs="宋体" w:eastAsia="宋体" w:hint="default"/>
                <w:sz w:val="21"/>
                <w:szCs w:val="21"/>
              </w:rPr>
            </w:pPr>
            <w:r>
              <w:rPr>
                <w:rFonts w:ascii="宋体"/>
                <w:b/>
                <w:sz w:val="21"/>
              </w:rPr>
              <w:t>21.52</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spacing w:val="-78"/>
                <w:sz w:val="21"/>
                <w:szCs w:val="21"/>
              </w:rPr>
              <w:t> </w:t>
            </w:r>
            <w:r>
              <w:rPr>
                <w:rFonts w:ascii="宋体" w:hAnsi="宋体" w:cs="宋体" w:eastAsia="宋体" w:hint="default"/>
                <w:b/>
                <w:bCs/>
                <w:sz w:val="21"/>
                <w:szCs w:val="21"/>
              </w:rPr>
              <w:t>6.12</w:t>
            </w:r>
            <w:r>
              <w:rPr>
                <w:rFonts w:ascii="宋体" w:hAnsi="宋体" w:cs="宋体" w:eastAsia="宋体" w:hint="default"/>
                <w:b/>
                <w:bCs/>
                <w:spacing w:val="-78"/>
                <w:sz w:val="21"/>
                <w:szCs w:val="21"/>
              </w:rPr>
              <w:t> </w:t>
            </w:r>
            <w:r>
              <w:rPr>
                <w:rFonts w:ascii="宋体" w:hAnsi="宋体" w:cs="宋体" w:eastAsia="宋体" w:hint="default"/>
                <w:b/>
                <w:bCs/>
                <w:sz w:val="21"/>
                <w:szCs w:val="21"/>
              </w:rPr>
              <w:t>个</w:t>
            </w:r>
            <w:r>
              <w:rPr>
                <w:rFonts w:ascii="宋体" w:hAnsi="宋体" w:cs="宋体" w:eastAsia="宋体" w:hint="default"/>
                <w:sz w:val="21"/>
                <w:szCs w:val="21"/>
              </w:rPr>
            </w:r>
          </w:p>
          <w:p>
            <w:pPr>
              <w:pStyle w:val="TableParagraph"/>
              <w:spacing w:line="240" w:lineRule="auto" w:before="126"/>
              <w:ind w:left="100" w:right="0"/>
              <w:jc w:val="left"/>
              <w:rPr>
                <w:rFonts w:ascii="宋体" w:hAnsi="宋体" w:cs="宋体" w:eastAsia="宋体" w:hint="default"/>
                <w:sz w:val="21"/>
                <w:szCs w:val="21"/>
              </w:rPr>
            </w:pPr>
            <w:r>
              <w:rPr>
                <w:rFonts w:ascii="宋体" w:hAnsi="宋体" w:cs="宋体" w:eastAsia="宋体" w:hint="default"/>
                <w:b/>
                <w:bCs/>
                <w:sz w:val="21"/>
                <w:szCs w:val="21"/>
              </w:rPr>
              <w:t>百分点</w:t>
            </w:r>
            <w:r>
              <w:rPr>
                <w:rFonts w:ascii="宋体" w:hAnsi="宋体" w:cs="宋体" w:eastAsia="宋体" w:hint="default"/>
                <w:sz w:val="21"/>
                <w:szCs w:val="21"/>
              </w:rPr>
            </w:r>
          </w:p>
        </w:tc>
      </w:tr>
    </w:tbl>
    <w:p>
      <w:pPr>
        <w:spacing w:line="240" w:lineRule="auto" w:before="5"/>
        <w:rPr>
          <w:rFonts w:ascii="宋体" w:hAnsi="宋体" w:cs="宋体" w:eastAsia="宋体" w:hint="default"/>
          <w:sz w:val="15"/>
          <w:szCs w:val="15"/>
        </w:rPr>
      </w:pPr>
    </w:p>
    <w:p>
      <w:pPr>
        <w:pStyle w:val="BodyText"/>
        <w:spacing w:line="274" w:lineRule="exact" w:before="36"/>
        <w:ind w:left="338" w:right="243"/>
        <w:jc w:val="left"/>
      </w:pPr>
      <w:r>
        <w:rPr/>
        <w:t>主营业务分行业、分产品、分地区情况的说明</w:t>
      </w:r>
    </w:p>
    <w:p>
      <w:pPr>
        <w:pStyle w:val="BodyText"/>
        <w:spacing w:line="331" w:lineRule="auto"/>
        <w:ind w:left="758" w:right="243" w:hanging="420"/>
        <w:jc w:val="left"/>
      </w:pPr>
      <w:r>
        <w:rPr/>
        <w:t>√适用</w:t>
      </w:r>
      <w:r>
        <w:rPr>
          <w:spacing w:val="-2"/>
        </w:rPr>
        <w:t> </w:t>
      </w:r>
      <w:r>
        <w:rPr/>
        <w:t>□不适用</w:t>
      </w:r>
      <w:r>
        <w:rPr>
          <w:w w:val="100"/>
        </w:rPr>
        <w:t> </w:t>
      </w:r>
      <w:r>
        <w:rPr>
          <w:spacing w:val="-2"/>
        </w:rPr>
        <w:t>报告期内，本公司收入类型为网络广告业务、信息服务业务、网站建设与技术服务业务、移</w:t>
      </w:r>
    </w:p>
    <w:p>
      <w:pPr>
        <w:pStyle w:val="BodyText"/>
        <w:spacing w:line="240" w:lineRule="auto" w:before="46"/>
        <w:ind w:left="338" w:right="243"/>
        <w:jc w:val="left"/>
      </w:pPr>
      <w:r>
        <w:rPr/>
        <w:t>动互联网业务。</w:t>
      </w:r>
    </w:p>
    <w:p>
      <w:pPr>
        <w:pStyle w:val="BodyText"/>
        <w:spacing w:line="348" w:lineRule="auto" w:before="126"/>
        <w:ind w:left="758" w:right="243"/>
        <w:jc w:val="left"/>
      </w:pPr>
      <w:r>
        <w:rPr/>
        <w:t>（</w:t>
      </w:r>
      <w:r>
        <w:rPr>
          <w:rFonts w:ascii="宋体" w:hAnsi="宋体" w:cs="宋体" w:eastAsia="宋体" w:hint="default"/>
        </w:rPr>
        <w:t>1</w:t>
      </w:r>
      <w:r>
        <w:rPr/>
        <w:t>）网络广告业务</w:t>
      </w:r>
      <w:r>
        <w:rPr>
          <w:w w:val="100"/>
        </w:rPr>
        <w:t> </w:t>
      </w:r>
      <w:r>
        <w:rPr>
          <w:spacing w:val="-2"/>
        </w:rPr>
        <w:t>网络广告业务是本公司重要的收入来源，广告业务着力向融媒体创意型以及线上线下整合营</w:t>
      </w:r>
    </w:p>
    <w:p>
      <w:pPr>
        <w:pStyle w:val="BodyText"/>
        <w:spacing w:line="240" w:lineRule="auto" w:before="31"/>
        <w:ind w:left="338" w:right="243"/>
        <w:jc w:val="left"/>
      </w:pPr>
      <w:r>
        <w:rPr/>
        <w:t>销转变，网络视频广告、社交媒体广告的营销模式不断创新探索，策划大型高端品牌活动，根据</w:t>
      </w:r>
    </w:p>
    <w:p>
      <w:pPr>
        <w:spacing w:after="0" w:line="240" w:lineRule="auto"/>
        <w:jc w:val="left"/>
        <w:sectPr>
          <w:pgSz w:w="11910" w:h="16840"/>
          <w:pgMar w:header="880" w:footer="1195" w:top="1120" w:bottom="1380" w:left="1460" w:right="9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0" w:lineRule="auto"/>
        <w:ind w:right="137"/>
        <w:jc w:val="both"/>
      </w:pPr>
      <w:r>
        <w:rPr>
          <w:spacing w:val="-2"/>
        </w:rPr>
        <w:t>不同垂直细分行业策划针对性好、专业性强的线下活动，以新广告投放系统投放使用促互联网广</w:t>
      </w:r>
      <w:r>
        <w:rPr>
          <w:spacing w:val="-25"/>
        </w:rPr>
        <w:t> </w:t>
      </w:r>
      <w:r>
        <w:rPr>
          <w:spacing w:val="-25"/>
        </w:rPr>
      </w:r>
      <w:r>
        <w:rPr>
          <w:spacing w:val="-2"/>
        </w:rPr>
        <w:t>告业务投放效果和运营效率提升。但受市场竞争日趋激烈和客户投放需求变化影响，公司网络广</w:t>
      </w:r>
      <w:r>
        <w:rPr>
          <w:spacing w:val="-25"/>
        </w:rPr>
        <w:t> </w:t>
      </w:r>
      <w:r>
        <w:rPr>
          <w:spacing w:val="-25"/>
        </w:rPr>
      </w:r>
      <w:r>
        <w:rPr/>
        <w:t>告收入较</w:t>
      </w:r>
      <w:r>
        <w:rPr>
          <w:spacing w:val="-54"/>
        </w:rPr>
        <w:t> </w:t>
      </w:r>
      <w:r>
        <w:rPr>
          <w:rFonts w:ascii="宋体" w:hAnsi="宋体" w:cs="宋体" w:eastAsia="宋体" w:hint="default"/>
        </w:rPr>
        <w:t>2016</w:t>
      </w:r>
      <w:r>
        <w:rPr>
          <w:rFonts w:ascii="宋体" w:hAnsi="宋体" w:cs="宋体" w:eastAsia="宋体" w:hint="default"/>
          <w:spacing w:val="-56"/>
        </w:rPr>
        <w:t> </w:t>
      </w:r>
      <w:r>
        <w:rPr/>
        <w:t>年下降</w:t>
      </w:r>
      <w:r>
        <w:rPr>
          <w:spacing w:val="-53"/>
        </w:rPr>
        <w:t> </w:t>
      </w:r>
      <w:r>
        <w:rPr>
          <w:rFonts w:ascii="宋体" w:hAnsi="宋体" w:cs="宋体" w:eastAsia="宋体" w:hint="default"/>
        </w:rPr>
        <w:t>5.84%</w:t>
      </w:r>
      <w:r>
        <w:rPr/>
        <w:t>。</w:t>
      </w:r>
    </w:p>
    <w:p>
      <w:pPr>
        <w:pStyle w:val="BodyText"/>
        <w:spacing w:line="350" w:lineRule="auto" w:before="27"/>
        <w:ind w:left="558" w:right="125"/>
        <w:jc w:val="left"/>
      </w:pPr>
      <w:r>
        <w:rPr/>
        <w:t>（</w:t>
      </w:r>
      <w:r>
        <w:rPr>
          <w:rFonts w:ascii="宋体" w:hAnsi="宋体" w:cs="宋体" w:eastAsia="宋体" w:hint="default"/>
        </w:rPr>
        <w:t>2</w:t>
      </w:r>
      <w:r>
        <w:rPr/>
        <w:t>）信息服务业务</w:t>
      </w:r>
      <w:r>
        <w:rPr>
          <w:w w:val="100"/>
        </w:rPr>
        <w:t> </w:t>
      </w:r>
      <w:r>
        <w:rPr>
          <w:spacing w:val="-2"/>
        </w:rPr>
        <w:t>公司拥有《互联网新闻信息服务许可证》等信息服务类经营资质。公司把握信息消费需求和</w:t>
      </w:r>
    </w:p>
    <w:p>
      <w:pPr>
        <w:pStyle w:val="BodyText"/>
        <w:spacing w:line="348" w:lineRule="auto" w:before="29"/>
        <w:ind w:right="128"/>
        <w:jc w:val="both"/>
      </w:pPr>
      <w:r>
        <w:rPr>
          <w:spacing w:val="-2"/>
        </w:rPr>
        <w:t>特点，推出了融媒体综合服务、全媒态融视频产品，这些创新性信息化服务产品和业务有益于公</w:t>
      </w:r>
      <w:r>
        <w:rPr>
          <w:spacing w:val="-25"/>
        </w:rPr>
        <w:t> </w:t>
      </w:r>
      <w:r>
        <w:rPr>
          <w:spacing w:val="-25"/>
        </w:rPr>
      </w:r>
      <w:r>
        <w:rPr>
          <w:spacing w:val="-6"/>
          <w:w w:val="100"/>
        </w:rPr>
        <w:t>司积累垂直领域竞争优势。公司加大地方分公司经营业务的拓展，坚持区域化开展信息服务项目，</w:t>
      </w:r>
      <w:r>
        <w:rPr>
          <w:w w:val="100"/>
        </w:rPr>
        <w:t> </w:t>
      </w:r>
      <w:r>
        <w:rPr>
          <w:spacing w:val="-2"/>
        </w:rPr>
        <w:t>业务覆盖范围进一步扩大，客户数量、业务收入增长。搭建自有新华睿思数据云图分析平台，推</w:t>
      </w:r>
      <w:r>
        <w:rPr>
          <w:spacing w:val="-26"/>
        </w:rPr>
        <w:t> </w:t>
      </w:r>
      <w:r>
        <w:rPr>
          <w:spacing w:val="-26"/>
        </w:rPr>
      </w:r>
      <w:r>
        <w:rPr>
          <w:spacing w:val="-2"/>
        </w:rPr>
        <w:t>动政务大数据和舆情业务转型升级。公司在全国多地承办马拉松赛事和大型博览会、论坛活动。</w:t>
      </w:r>
      <w:r>
        <w:rPr>
          <w:spacing w:val="-25"/>
        </w:rPr>
        <w:t> </w:t>
      </w:r>
      <w:r>
        <w:rPr>
          <w:spacing w:val="-25"/>
        </w:rPr>
      </w:r>
      <w:r>
        <w:rPr>
          <w:rFonts w:ascii="宋体" w:hAnsi="宋体" w:cs="宋体" w:eastAsia="宋体" w:hint="default"/>
        </w:rPr>
        <w:t>2017</w:t>
      </w:r>
      <w:r>
        <w:rPr>
          <w:rFonts w:ascii="宋体" w:hAnsi="宋体" w:cs="宋体" w:eastAsia="宋体" w:hint="default"/>
          <w:spacing w:val="-55"/>
        </w:rPr>
        <w:t> </w:t>
      </w:r>
      <w:r>
        <w:rPr/>
        <w:t>年信息服务业务收入较</w:t>
      </w:r>
      <w:r>
        <w:rPr>
          <w:spacing w:val="-52"/>
        </w:rPr>
        <w:t> </w:t>
      </w:r>
      <w:r>
        <w:rPr>
          <w:rFonts w:ascii="宋体" w:hAnsi="宋体" w:cs="宋体" w:eastAsia="宋体" w:hint="default"/>
        </w:rPr>
        <w:t>2016</w:t>
      </w:r>
      <w:r>
        <w:rPr>
          <w:rFonts w:ascii="宋体" w:hAnsi="宋体" w:cs="宋体" w:eastAsia="宋体" w:hint="default"/>
          <w:spacing w:val="-53"/>
        </w:rPr>
        <w:t> </w:t>
      </w:r>
      <w:r>
        <w:rPr/>
        <w:t>年增长</w:t>
      </w:r>
      <w:r>
        <w:rPr>
          <w:spacing w:val="-55"/>
        </w:rPr>
        <w:t> </w:t>
      </w:r>
      <w:r>
        <w:rPr>
          <w:rFonts w:ascii="宋体" w:hAnsi="宋体" w:cs="宋体" w:eastAsia="宋体" w:hint="default"/>
        </w:rPr>
        <w:t>32.10%</w:t>
      </w:r>
      <w:r>
        <w:rPr/>
        <w:t>。</w:t>
      </w:r>
    </w:p>
    <w:p>
      <w:pPr>
        <w:pStyle w:val="BodyText"/>
        <w:spacing w:line="350" w:lineRule="auto" w:before="31"/>
        <w:ind w:left="558" w:right="125"/>
        <w:jc w:val="left"/>
      </w:pPr>
      <w:r>
        <w:rPr/>
        <w:t>（</w:t>
      </w:r>
      <w:r>
        <w:rPr>
          <w:rFonts w:ascii="宋体" w:hAnsi="宋体" w:cs="宋体" w:eastAsia="宋体" w:hint="default"/>
        </w:rPr>
        <w:t>3</w:t>
      </w:r>
      <w:r>
        <w:rPr/>
        <w:t>）网站建设及技术服务</w:t>
      </w:r>
      <w:r>
        <w:rPr>
          <w:w w:val="100"/>
        </w:rPr>
        <w:t> </w:t>
      </w:r>
      <w:r>
        <w:rPr>
          <w:spacing w:val="-2"/>
        </w:rPr>
        <w:t>公司凭借中央重点新闻网站的强大公信力、丰富的采编内容资源以及先进的网站建设技术，</w:t>
      </w:r>
    </w:p>
    <w:p>
      <w:pPr>
        <w:pStyle w:val="BodyText"/>
        <w:spacing w:line="350" w:lineRule="auto" w:before="27"/>
        <w:ind w:right="137"/>
        <w:jc w:val="both"/>
      </w:pPr>
      <w:r>
        <w:rPr>
          <w:spacing w:val="-2"/>
        </w:rPr>
        <w:t>建立起国内规模最大的政府网站集群。公司承建承办与运维的重点政府网站包括：中国政府网、</w:t>
      </w:r>
      <w:r>
        <w:rPr>
          <w:spacing w:val="-25"/>
        </w:rPr>
        <w:t> </w:t>
      </w:r>
      <w:r>
        <w:rPr>
          <w:spacing w:val="-25"/>
        </w:rPr>
      </w:r>
      <w:r>
        <w:rPr>
          <w:spacing w:val="-2"/>
        </w:rPr>
        <w:t>中央网信办网站、中国文明网、国家能源局网、国家信访局网等国家政府级网站，随着市场影响</w:t>
      </w:r>
      <w:r>
        <w:rPr>
          <w:spacing w:val="-25"/>
        </w:rPr>
        <w:t> </w:t>
      </w:r>
      <w:r>
        <w:rPr>
          <w:spacing w:val="-25"/>
        </w:rPr>
      </w:r>
      <w:r>
        <w:rPr>
          <w:spacing w:val="-2"/>
        </w:rPr>
        <w:t>力的不断增强，业务规模快速发展，且带来持续稳定的技术收入。同时公司在电影戏剧评测、智</w:t>
      </w:r>
      <w:r>
        <w:rPr>
          <w:spacing w:val="-25"/>
        </w:rPr>
        <w:t> </w:t>
      </w:r>
      <w:r>
        <w:rPr>
          <w:spacing w:val="-25"/>
        </w:rPr>
      </w:r>
      <w:r>
        <w:rPr/>
        <w:t>能驾驶应用等技术领域进行积极拓展，收入较</w:t>
      </w:r>
      <w:r>
        <w:rPr>
          <w:spacing w:val="-55"/>
        </w:rPr>
        <w:t> </w:t>
      </w:r>
      <w:r>
        <w:rPr>
          <w:rFonts w:ascii="宋体" w:hAnsi="宋体" w:cs="宋体" w:eastAsia="宋体" w:hint="default"/>
        </w:rPr>
        <w:t>2016</w:t>
      </w:r>
      <w:r>
        <w:rPr>
          <w:rFonts w:ascii="宋体" w:hAnsi="宋体" w:cs="宋体" w:eastAsia="宋体" w:hint="default"/>
          <w:spacing w:val="-57"/>
        </w:rPr>
        <w:t> </w:t>
      </w:r>
      <w:r>
        <w:rPr/>
        <w:t>年增长</w:t>
      </w:r>
      <w:r>
        <w:rPr>
          <w:spacing w:val="-55"/>
        </w:rPr>
        <w:t> </w:t>
      </w:r>
      <w:r>
        <w:rPr>
          <w:rFonts w:ascii="宋体" w:hAnsi="宋体" w:cs="宋体" w:eastAsia="宋体" w:hint="default"/>
        </w:rPr>
        <w:t>67.18%</w:t>
      </w:r>
      <w:r>
        <w:rPr/>
        <w:t>。</w:t>
      </w:r>
    </w:p>
    <w:p>
      <w:pPr>
        <w:pStyle w:val="BodyText"/>
        <w:spacing w:line="240" w:lineRule="auto" w:before="149"/>
        <w:ind w:left="558" w:right="125"/>
        <w:jc w:val="left"/>
      </w:pPr>
      <w:r>
        <w:rPr/>
        <w:t>（</w:t>
      </w:r>
      <w:r>
        <w:rPr>
          <w:rFonts w:ascii="宋体" w:hAnsi="宋体" w:cs="宋体" w:eastAsia="宋体" w:hint="default"/>
        </w:rPr>
        <w:t>4</w:t>
      </w:r>
      <w:r>
        <w:rPr/>
        <w:t>）移动互联网业务</w:t>
      </w:r>
    </w:p>
    <w:p>
      <w:pPr>
        <w:pStyle w:val="BodyText"/>
        <w:spacing w:line="350" w:lineRule="auto" w:before="126"/>
        <w:ind w:right="128" w:firstLine="419"/>
        <w:jc w:val="both"/>
      </w:pPr>
      <w:r>
        <w:rPr/>
        <w:t>公司紧密把握</w:t>
      </w:r>
      <w:r>
        <w:rPr>
          <w:spacing w:val="-16"/>
        </w:rPr>
        <w:t> </w:t>
      </w:r>
      <w:r>
        <w:rPr>
          <w:rFonts w:ascii="宋体" w:hAnsi="宋体" w:cs="宋体" w:eastAsia="宋体" w:hint="default"/>
          <w:spacing w:val="-3"/>
        </w:rPr>
        <w:t>4G</w:t>
      </w:r>
      <w:r>
        <w:rPr>
          <w:spacing w:val="-3"/>
        </w:rPr>
        <w:t>、物联网发展机遇，加速从媒体化经营向互联网化经营延展，优化与运营商</w:t>
      </w:r>
      <w:r>
        <w:rPr>
          <w:w w:val="100"/>
        </w:rPr>
        <w:t> </w:t>
      </w:r>
      <w:r>
        <w:rPr>
          <w:spacing w:val="-2"/>
        </w:rPr>
        <w:t>沟通协作，加快拓展移动增值业务优质渠道资源，创新移动互联网产品形态和商业模式，移动增</w:t>
      </w:r>
      <w:r>
        <w:rPr>
          <w:spacing w:val="-25"/>
        </w:rPr>
        <w:t> </w:t>
      </w:r>
      <w:r>
        <w:rPr>
          <w:spacing w:val="-25"/>
        </w:rPr>
      </w:r>
      <w:r>
        <w:rPr>
          <w:spacing w:val="-2"/>
        </w:rPr>
        <w:t>值、智慧党建、食品溯源、医保鉴证大数据、数字影视、数字视觉等业务进入新的增长周期，收</w:t>
      </w:r>
      <w:r>
        <w:rPr>
          <w:spacing w:val="-25"/>
        </w:rPr>
        <w:t> </w:t>
      </w:r>
      <w:r>
        <w:rPr>
          <w:spacing w:val="-25"/>
        </w:rPr>
      </w:r>
      <w:r>
        <w:rPr/>
        <w:t>入较</w:t>
      </w:r>
      <w:r>
        <w:rPr>
          <w:spacing w:val="-53"/>
        </w:rPr>
        <w:t> </w:t>
      </w:r>
      <w:r>
        <w:rPr>
          <w:rFonts w:ascii="宋体" w:hAnsi="宋体" w:cs="宋体" w:eastAsia="宋体" w:hint="default"/>
        </w:rPr>
        <w:t>2016</w:t>
      </w:r>
      <w:r>
        <w:rPr>
          <w:rFonts w:ascii="宋体" w:hAnsi="宋体" w:cs="宋体" w:eastAsia="宋体" w:hint="default"/>
          <w:spacing w:val="-55"/>
        </w:rPr>
        <w:t> </w:t>
      </w:r>
      <w:r>
        <w:rPr/>
        <w:t>年增长</w:t>
      </w:r>
      <w:r>
        <w:rPr>
          <w:spacing w:val="-53"/>
        </w:rPr>
        <w:t> </w:t>
      </w:r>
      <w:r>
        <w:rPr>
          <w:rFonts w:ascii="宋体" w:hAnsi="宋体" w:cs="宋体" w:eastAsia="宋体" w:hint="default"/>
        </w:rPr>
        <w:t>4.31%</w:t>
      </w:r>
      <w:r>
        <w:rPr/>
        <w:t>。</w:t>
      </w:r>
    </w:p>
    <w:p>
      <w:pPr>
        <w:pStyle w:val="BodyText"/>
        <w:spacing w:line="240" w:lineRule="auto" w:before="147"/>
        <w:ind w:left="558" w:right="125"/>
        <w:jc w:val="left"/>
      </w:pPr>
      <w:r>
        <w:rPr/>
        <w:t>（</w:t>
      </w:r>
      <w:r>
        <w:rPr>
          <w:rFonts w:ascii="宋体" w:hAnsi="宋体" w:cs="宋体" w:eastAsia="宋体" w:hint="default"/>
        </w:rPr>
        <w:t>5</w:t>
      </w:r>
      <w:r>
        <w:rPr/>
        <w:t>）国外业务</w:t>
      </w:r>
    </w:p>
    <w:p>
      <w:pPr>
        <w:pStyle w:val="BodyText"/>
        <w:spacing w:line="350" w:lineRule="auto" w:before="126"/>
        <w:ind w:right="128" w:firstLine="419"/>
        <w:jc w:val="both"/>
      </w:pPr>
      <w:r>
        <w:rPr/>
        <w:t>国外业务收入较上期同比增长 </w:t>
      </w:r>
      <w:r>
        <w:rPr>
          <w:rFonts w:ascii="宋体" w:hAnsi="宋体" w:cs="宋体" w:eastAsia="宋体" w:hint="default"/>
          <w:spacing w:val="-4"/>
        </w:rPr>
        <w:t>141.26%</w:t>
      </w:r>
      <w:r>
        <w:rPr>
          <w:spacing w:val="-4"/>
        </w:rPr>
        <w:t>，成本较上期同比增长</w:t>
      </w:r>
      <w:r>
        <w:rPr>
          <w:spacing w:val="-76"/>
        </w:rPr>
        <w:t> </w:t>
      </w:r>
      <w:r>
        <w:rPr>
          <w:rFonts w:ascii="宋体" w:hAnsi="宋体" w:cs="宋体" w:eastAsia="宋体" w:hint="default"/>
          <w:spacing w:val="-4"/>
        </w:rPr>
        <w:t>285.03%</w:t>
      </w:r>
      <w:r>
        <w:rPr>
          <w:spacing w:val="-4"/>
        </w:rPr>
        <w:t>，主要是由于本年新增</w:t>
      </w:r>
      <w:r>
        <w:rPr>
          <w:w w:val="100"/>
        </w:rPr>
        <w:t> </w:t>
      </w:r>
      <w:r>
        <w:rPr/>
        <w:t>亚太和北美公司，扩大海外业务拓展所致。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right="0"/>
        <w:jc w:val="both"/>
      </w:pPr>
      <w:r>
        <w:rPr/>
        <w:t>□适用</w:t>
      </w:r>
      <w:r>
        <w:rPr>
          <w:spacing w:val="-1"/>
        </w:rPr>
        <w:t> </w:t>
      </w:r>
      <w:r>
        <w:rPr/>
        <w:t>√不适用</w:t>
      </w:r>
    </w:p>
    <w:p>
      <w:pPr>
        <w:spacing w:after="0" w:line="240" w:lineRule="auto"/>
        <w:jc w:val="both"/>
        <w:sectPr>
          <w:pgSz w:w="11910" w:h="16840"/>
          <w:pgMar w:header="880" w:footer="1195" w:top="1120" w:bottom="1380" w:left="1660" w:right="1140"/>
        </w:sectPr>
      </w:pPr>
    </w:p>
    <w:p>
      <w:pPr>
        <w:spacing w:before="20"/>
        <w:ind w:left="6675" w:right="669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8"/>
        <w:ind w:left="420"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419"/>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08"/>
        <w:gridCol w:w="3269"/>
        <w:gridCol w:w="1699"/>
        <w:gridCol w:w="1277"/>
        <w:gridCol w:w="1702"/>
        <w:gridCol w:w="1558"/>
        <w:gridCol w:w="1843"/>
        <w:gridCol w:w="1642"/>
      </w:tblGrid>
      <w:tr>
        <w:trPr>
          <w:trHeight w:val="410" w:hRule="exact"/>
        </w:trPr>
        <w:tc>
          <w:tcPr>
            <w:tcW w:w="144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12"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98"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0" w:right="0" w:hanging="53"/>
              <w:jc w:val="left"/>
              <w:rPr>
                <w:rFonts w:ascii="宋体" w:hAnsi="宋体" w:cs="宋体" w:eastAsia="宋体" w:hint="default"/>
                <w:sz w:val="21"/>
                <w:szCs w:val="21"/>
              </w:rPr>
            </w:pPr>
            <w:r>
              <w:rPr>
                <w:rFonts w:ascii="宋体" w:hAnsi="宋体" w:cs="宋体" w:eastAsia="宋体" w:hint="default"/>
                <w:sz w:val="21"/>
                <w:szCs w:val="21"/>
              </w:rPr>
              <w:t>本期占总成</w:t>
            </w:r>
          </w:p>
          <w:p>
            <w:pPr>
              <w:pStyle w:val="TableParagraph"/>
              <w:spacing w:line="240" w:lineRule="auto" w:before="126"/>
              <w:ind w:left="160" w:right="0"/>
              <w:jc w:val="left"/>
              <w:rPr>
                <w:rFonts w:ascii="宋体" w:hAnsi="宋体" w:cs="宋体" w:eastAsia="宋体" w:hint="default"/>
                <w:sz w:val="21"/>
                <w:szCs w:val="21"/>
              </w:rPr>
            </w:pPr>
            <w:r>
              <w:rPr>
                <w:rFonts w:ascii="宋体" w:hAnsi="宋体" w:cs="宋体" w:eastAsia="宋体" w:hint="default"/>
                <w:sz w:val="21"/>
                <w:szCs w:val="21"/>
              </w:rPr>
              <w:t>本比例</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96" w:right="0" w:hanging="53"/>
              <w:jc w:val="left"/>
              <w:rPr>
                <w:rFonts w:ascii="宋体" w:hAnsi="宋体" w:cs="宋体" w:eastAsia="宋体" w:hint="default"/>
                <w:sz w:val="21"/>
                <w:szCs w:val="21"/>
              </w:rPr>
            </w:pPr>
            <w:r>
              <w:rPr>
                <w:rFonts w:ascii="宋体" w:hAnsi="宋体" w:cs="宋体" w:eastAsia="宋体" w:hint="default"/>
                <w:sz w:val="21"/>
                <w:szCs w:val="21"/>
              </w:rPr>
              <w:t>上年同期占总</w:t>
            </w:r>
          </w:p>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成本比例</w:t>
            </w: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firstLine="50"/>
              <w:jc w:val="left"/>
              <w:rPr>
                <w:rFonts w:ascii="宋体" w:hAnsi="宋体" w:cs="宋体" w:eastAsia="宋体" w:hint="default"/>
                <w:sz w:val="21"/>
                <w:szCs w:val="21"/>
              </w:rPr>
            </w:pPr>
            <w:r>
              <w:rPr>
                <w:rFonts w:ascii="宋体" w:hAnsi="宋体" w:cs="宋体" w:eastAsia="宋体" w:hint="default"/>
                <w:sz w:val="21"/>
                <w:szCs w:val="21"/>
              </w:rPr>
              <w:t>本期金额较上年</w:t>
            </w:r>
          </w:p>
          <w:p>
            <w:pPr>
              <w:pStyle w:val="TableParagraph"/>
              <w:spacing w:line="240" w:lineRule="auto" w:before="126"/>
              <w:ind w:left="129" w:right="0"/>
              <w:jc w:val="left"/>
              <w:rPr>
                <w:rFonts w:ascii="宋体" w:hAnsi="宋体" w:cs="宋体" w:eastAsia="宋体" w:hint="default"/>
                <w:sz w:val="21"/>
                <w:szCs w:val="21"/>
              </w:rPr>
            </w:pPr>
            <w:r>
              <w:rPr>
                <w:rFonts w:ascii="宋体" w:hAnsi="宋体" w:cs="宋体" w:eastAsia="宋体" w:hint="default"/>
                <w:sz w:val="21"/>
                <w:szCs w:val="21"/>
              </w:rPr>
              <w:t>同期变动比例</w:t>
            </w:r>
            <w:r>
              <w:rPr>
                <w:rFonts w:ascii="宋体" w:hAnsi="宋体" w:cs="宋体" w:eastAsia="宋体" w:hint="default"/>
                <w:sz w:val="21"/>
                <w:szCs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809"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互联网</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103" w:right="98"/>
              <w:jc w:val="left"/>
              <w:rPr>
                <w:rFonts w:ascii="宋体" w:hAnsi="宋体" w:cs="宋体" w:eastAsia="宋体" w:hint="default"/>
                <w:sz w:val="21"/>
                <w:szCs w:val="21"/>
              </w:rPr>
            </w:pPr>
            <w:r>
              <w:rPr>
                <w:rFonts w:ascii="宋体" w:hAnsi="宋体" w:cs="宋体" w:eastAsia="宋体" w:hint="default"/>
                <w:spacing w:val="-9"/>
                <w:sz w:val="21"/>
                <w:szCs w:val="21"/>
              </w:rPr>
              <w:t>人力成本、制作费、代理费、内容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8"/>
                <w:sz w:val="21"/>
                <w:szCs w:val="21"/>
              </w:rPr>
              <w:t>费、房租、折旧及摊销、代理费等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599,213,085.14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77.22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435,179,067.26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64.29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37.69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ind w:left="103" w:right="264"/>
              <w:jc w:val="left"/>
              <w:rPr>
                <w:rFonts w:ascii="宋体" w:hAnsi="宋体" w:cs="宋体" w:eastAsia="宋体" w:hint="default"/>
                <w:sz w:val="21"/>
                <w:szCs w:val="21"/>
              </w:rPr>
            </w:pPr>
            <w:r>
              <w:rPr>
                <w:rFonts w:ascii="宋体" w:hAnsi="宋体" w:cs="宋体" w:eastAsia="宋体" w:hint="default"/>
                <w:sz w:val="21"/>
                <w:szCs w:val="21"/>
              </w:rPr>
              <w:t>详见下述成本</w:t>
            </w:r>
            <w:r>
              <w:rPr>
                <w:rFonts w:ascii="宋体" w:hAnsi="宋体" w:cs="宋体" w:eastAsia="宋体" w:hint="default"/>
                <w:w w:val="100"/>
                <w:sz w:val="21"/>
                <w:szCs w:val="21"/>
              </w:rPr>
              <w:t> </w:t>
            </w:r>
            <w:r>
              <w:rPr>
                <w:rFonts w:ascii="宋体" w:hAnsi="宋体" w:cs="宋体" w:eastAsia="宋体" w:hint="default"/>
                <w:sz w:val="21"/>
                <w:szCs w:val="21"/>
              </w:rPr>
              <w:t>分析情况说明</w:t>
            </w:r>
          </w:p>
        </w:tc>
      </w:tr>
      <w:tr>
        <w:trPr>
          <w:trHeight w:val="811"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5"/>
              <w:jc w:val="left"/>
              <w:rPr>
                <w:rFonts w:ascii="宋体" w:hAnsi="宋体" w:cs="宋体" w:eastAsia="宋体" w:hint="default"/>
                <w:sz w:val="21"/>
                <w:szCs w:val="21"/>
              </w:rPr>
            </w:pPr>
            <w:r>
              <w:rPr>
                <w:rFonts w:ascii="宋体" w:hAnsi="宋体" w:cs="宋体" w:eastAsia="宋体" w:hint="default"/>
                <w:spacing w:val="-14"/>
                <w:sz w:val="21"/>
                <w:szCs w:val="21"/>
              </w:rPr>
              <w:t>人力成本、内容费、制作费、房租、</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折旧与摊销等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230,472,656.54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22.78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241,742,545.08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35.71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-4.66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分析情况说明</w:t>
            </w:r>
          </w:p>
        </w:tc>
      </w:tr>
      <w:tr>
        <w:trPr>
          <w:trHeight w:val="408" w:hRule="exact"/>
        </w:trPr>
        <w:tc>
          <w:tcPr>
            <w:tcW w:w="144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12"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98"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160" w:right="103" w:hanging="53"/>
              <w:jc w:val="left"/>
              <w:rPr>
                <w:rFonts w:ascii="宋体" w:hAnsi="宋体" w:cs="宋体" w:eastAsia="宋体" w:hint="default"/>
                <w:sz w:val="21"/>
                <w:szCs w:val="21"/>
              </w:rPr>
            </w:pPr>
            <w:r>
              <w:rPr>
                <w:rFonts w:ascii="宋体" w:hAnsi="宋体" w:cs="宋体" w:eastAsia="宋体" w:hint="default"/>
                <w:sz w:val="21"/>
                <w:szCs w:val="21"/>
              </w:rPr>
              <w:t>本期占总成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本比例</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196" w:right="140" w:hanging="53"/>
              <w:jc w:val="left"/>
              <w:rPr>
                <w:rFonts w:ascii="宋体" w:hAnsi="宋体" w:cs="宋体" w:eastAsia="宋体" w:hint="default"/>
                <w:sz w:val="21"/>
                <w:szCs w:val="21"/>
              </w:rPr>
            </w:pPr>
            <w:r>
              <w:rPr>
                <w:rFonts w:ascii="宋体" w:hAnsi="宋体" w:cs="宋体" w:eastAsia="宋体" w:hint="default"/>
                <w:sz w:val="21"/>
                <w:szCs w:val="21"/>
              </w:rPr>
              <w:t>上年同期占总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sz w:val="21"/>
                <w:szCs w:val="21"/>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129" w:right="125" w:firstLine="50"/>
              <w:jc w:val="left"/>
              <w:rPr>
                <w:rFonts w:ascii="宋体" w:hAnsi="宋体" w:cs="宋体" w:eastAsia="宋体" w:hint="default"/>
                <w:sz w:val="21"/>
                <w:szCs w:val="21"/>
              </w:rPr>
            </w:pPr>
            <w:r>
              <w:rPr>
                <w:rFonts w:ascii="宋体" w:hAnsi="宋体" w:cs="宋体" w:eastAsia="宋体" w:hint="default"/>
                <w:sz w:val="21"/>
                <w:szCs w:val="21"/>
              </w:rPr>
              <w:t>本期金额较上年</w:t>
            </w:r>
            <w:r>
              <w:rPr>
                <w:rFonts w:ascii="宋体" w:hAnsi="宋体" w:cs="宋体" w:eastAsia="宋体" w:hint="default"/>
                <w:w w:val="100"/>
                <w:sz w:val="21"/>
                <w:szCs w:val="21"/>
              </w:rPr>
              <w:t> </w:t>
            </w:r>
            <w:r>
              <w:rPr>
                <w:rFonts w:ascii="宋体" w:hAnsi="宋体" w:cs="宋体" w:eastAsia="宋体" w:hint="default"/>
                <w:sz w:val="21"/>
                <w:szCs w:val="21"/>
              </w:rPr>
              <w:t>同期变动比例</w:t>
            </w:r>
            <w:r>
              <w:rPr>
                <w:rFonts w:ascii="宋体" w:hAnsi="宋体" w:cs="宋体" w:eastAsia="宋体" w:hint="default"/>
                <w:sz w:val="21"/>
                <w:szCs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809"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网络广告</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5"/>
              <w:jc w:val="left"/>
              <w:rPr>
                <w:rFonts w:ascii="宋体" w:hAnsi="宋体" w:cs="宋体" w:eastAsia="宋体" w:hint="default"/>
                <w:sz w:val="21"/>
                <w:szCs w:val="21"/>
              </w:rPr>
            </w:pPr>
            <w:r>
              <w:rPr>
                <w:rFonts w:ascii="宋体" w:hAnsi="宋体" w:cs="宋体" w:eastAsia="宋体" w:hint="default"/>
                <w:spacing w:val="-14"/>
                <w:sz w:val="21"/>
                <w:szCs w:val="21"/>
              </w:rPr>
              <w:t>人力成本、服务费、制作费、房租、</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折旧与摊销等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259,562,257.52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31.28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275,060,862.33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40.63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z w:val="21"/>
              </w:rPr>
              <w:t>-5.63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分析情况说明</w:t>
            </w:r>
          </w:p>
        </w:tc>
      </w:tr>
      <w:tr>
        <w:trPr>
          <w:trHeight w:val="811"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103" w:right="101"/>
              <w:jc w:val="left"/>
              <w:rPr>
                <w:rFonts w:ascii="宋体" w:hAnsi="宋体" w:cs="宋体" w:eastAsia="宋体" w:hint="default"/>
                <w:sz w:val="21"/>
                <w:szCs w:val="21"/>
              </w:rPr>
            </w:pPr>
            <w:r>
              <w:rPr>
                <w:rFonts w:ascii="宋体" w:hAnsi="宋体" w:cs="宋体" w:eastAsia="宋体" w:hint="default"/>
                <w:spacing w:val="-9"/>
                <w:sz w:val="21"/>
                <w:szCs w:val="21"/>
              </w:rPr>
              <w:t>人力成本、服务费、制作费、内容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费、房租、累计折旧及摊销等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248,453,462.99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29.95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104,033,226.21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15.37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138.82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103" w:right="264"/>
              <w:jc w:val="left"/>
              <w:rPr>
                <w:rFonts w:ascii="宋体" w:hAnsi="宋体" w:cs="宋体" w:eastAsia="宋体" w:hint="default"/>
                <w:sz w:val="21"/>
                <w:szCs w:val="21"/>
              </w:rPr>
            </w:pPr>
            <w:r>
              <w:rPr>
                <w:rFonts w:ascii="宋体" w:hAnsi="宋体" w:cs="宋体" w:eastAsia="宋体" w:hint="default"/>
                <w:sz w:val="21"/>
                <w:szCs w:val="21"/>
              </w:rPr>
              <w:t>详见下述成本</w:t>
            </w:r>
            <w:r>
              <w:rPr>
                <w:rFonts w:ascii="宋体" w:hAnsi="宋体" w:cs="宋体" w:eastAsia="宋体" w:hint="default"/>
                <w:w w:val="100"/>
                <w:sz w:val="21"/>
                <w:szCs w:val="21"/>
              </w:rPr>
              <w:t> </w:t>
            </w:r>
            <w:r>
              <w:rPr>
                <w:rFonts w:ascii="宋体" w:hAnsi="宋体" w:cs="宋体" w:eastAsia="宋体" w:hint="default"/>
                <w:sz w:val="21"/>
                <w:szCs w:val="21"/>
              </w:rPr>
              <w:t>分析情况说明</w:t>
            </w:r>
          </w:p>
        </w:tc>
      </w:tr>
      <w:tr>
        <w:trPr>
          <w:trHeight w:val="1210"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0"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网站建设及技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术服务</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5"/>
              <w:jc w:val="left"/>
              <w:rPr>
                <w:rFonts w:ascii="宋体" w:hAnsi="宋体" w:cs="宋体" w:eastAsia="宋体" w:hint="default"/>
                <w:sz w:val="21"/>
                <w:szCs w:val="21"/>
              </w:rPr>
            </w:pPr>
            <w:r>
              <w:rPr>
                <w:rFonts w:ascii="宋体" w:hAnsi="宋体" w:cs="宋体" w:eastAsia="宋体" w:hint="default"/>
                <w:spacing w:val="-14"/>
                <w:sz w:val="21"/>
                <w:szCs w:val="21"/>
              </w:rPr>
              <w:t>人力成本、服务费、房租、制作费、</w:t>
            </w:r>
          </w:p>
          <w:p>
            <w:pPr>
              <w:pStyle w:val="TableParagraph"/>
              <w:spacing w:line="400" w:lineRule="atLeast" w:before="1"/>
              <w:ind w:left="103" w:right="96"/>
              <w:jc w:val="left"/>
              <w:rPr>
                <w:rFonts w:ascii="宋体" w:hAnsi="宋体" w:cs="宋体" w:eastAsia="宋体" w:hint="default"/>
                <w:sz w:val="21"/>
                <w:szCs w:val="21"/>
              </w:rPr>
            </w:pPr>
            <w:r>
              <w:rPr>
                <w:rFonts w:ascii="宋体" w:hAnsi="宋体" w:cs="宋体" w:eastAsia="宋体" w:hint="default"/>
                <w:spacing w:val="-2"/>
                <w:w w:val="100"/>
                <w:sz w:val="21"/>
                <w:szCs w:val="21"/>
              </w:rPr>
              <w:t>网络线租及</w:t>
            </w:r>
            <w:r>
              <w:rPr>
                <w:rFonts w:ascii="宋体" w:hAnsi="宋体" w:cs="宋体" w:eastAsia="宋体" w:hint="default"/>
                <w:spacing w:val="-49"/>
                <w:w w:val="100"/>
                <w:sz w:val="21"/>
                <w:szCs w:val="21"/>
              </w:rPr>
              <w:t> </w:t>
            </w:r>
            <w:r>
              <w:rPr>
                <w:rFonts w:ascii="宋体" w:hAnsi="宋体" w:cs="宋体" w:eastAsia="宋体" w:hint="default"/>
                <w:w w:val="100"/>
                <w:sz w:val="21"/>
                <w:szCs w:val="21"/>
              </w:rPr>
              <w:t>CDN</w:t>
            </w:r>
            <w:r>
              <w:rPr>
                <w:rFonts w:ascii="宋体" w:hAnsi="宋体" w:cs="宋体" w:eastAsia="宋体" w:hint="default"/>
                <w:spacing w:val="-51"/>
                <w:w w:val="100"/>
                <w:sz w:val="21"/>
                <w:szCs w:val="21"/>
              </w:rPr>
              <w:t> </w:t>
            </w:r>
            <w:r>
              <w:rPr>
                <w:rFonts w:ascii="宋体" w:hAnsi="宋体" w:cs="宋体" w:eastAsia="宋体" w:hint="default"/>
                <w:spacing w:val="-14"/>
                <w:w w:val="100"/>
                <w:sz w:val="21"/>
                <w:szCs w:val="21"/>
              </w:rPr>
              <w:t>服务费、折旧及摊</w:t>
            </w:r>
            <w:r>
              <w:rPr>
                <w:rFonts w:ascii="宋体" w:hAnsi="宋体" w:cs="宋体" w:eastAsia="宋体" w:hint="default"/>
                <w:w w:val="100"/>
                <w:sz w:val="21"/>
                <w:szCs w:val="21"/>
              </w:rPr>
              <w:t> </w:t>
            </w:r>
            <w:r>
              <w:rPr>
                <w:rFonts w:ascii="宋体" w:hAnsi="宋体" w:cs="宋体" w:eastAsia="宋体" w:hint="default"/>
                <w:sz w:val="21"/>
                <w:szCs w:val="21"/>
              </w:rPr>
              <w:t>销费等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91,197,364.63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10.99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56,084,978.72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8.29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62.61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50" w:lineRule="auto"/>
              <w:ind w:left="103" w:right="264"/>
              <w:jc w:val="left"/>
              <w:rPr>
                <w:rFonts w:ascii="宋体" w:hAnsi="宋体" w:cs="宋体" w:eastAsia="宋体" w:hint="default"/>
                <w:sz w:val="21"/>
                <w:szCs w:val="21"/>
              </w:rPr>
            </w:pPr>
            <w:r>
              <w:rPr>
                <w:rFonts w:ascii="宋体" w:hAnsi="宋体" w:cs="宋体" w:eastAsia="宋体" w:hint="default"/>
                <w:sz w:val="21"/>
                <w:szCs w:val="21"/>
              </w:rPr>
              <w:t>详见下述成本</w:t>
            </w:r>
            <w:r>
              <w:rPr>
                <w:rFonts w:ascii="宋体" w:hAnsi="宋体" w:cs="宋体" w:eastAsia="宋体" w:hint="default"/>
                <w:w w:val="100"/>
                <w:sz w:val="21"/>
                <w:szCs w:val="21"/>
              </w:rPr>
              <w:t> </w:t>
            </w:r>
            <w:r>
              <w:rPr>
                <w:rFonts w:ascii="宋体" w:hAnsi="宋体" w:cs="宋体" w:eastAsia="宋体" w:hint="default"/>
                <w:sz w:val="21"/>
                <w:szCs w:val="21"/>
              </w:rPr>
              <w:t>分析情况说明</w:t>
            </w:r>
          </w:p>
        </w:tc>
      </w:tr>
      <w:tr>
        <w:trPr>
          <w:trHeight w:val="811"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5"/>
              <w:jc w:val="left"/>
              <w:rPr>
                <w:rFonts w:ascii="宋体" w:hAnsi="宋体" w:cs="宋体" w:eastAsia="宋体" w:hint="default"/>
                <w:sz w:val="21"/>
                <w:szCs w:val="21"/>
              </w:rPr>
            </w:pPr>
            <w:r>
              <w:rPr>
                <w:rFonts w:ascii="宋体" w:hAnsi="宋体" w:cs="宋体" w:eastAsia="宋体" w:hint="default"/>
                <w:spacing w:val="-14"/>
                <w:sz w:val="21"/>
                <w:szCs w:val="21"/>
              </w:rPr>
              <w:t>人力成本、内容费、制作费、房租、</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折旧与摊销等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230,472,656.54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27.78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241,742,545.08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35.71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sz w:val="21"/>
              </w:rPr>
              <w:t>-4.66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详见下述成本</w:t>
            </w:r>
          </w:p>
          <w:p>
            <w:pPr>
              <w:pStyle w:val="TableParagraph"/>
              <w:spacing w:line="240" w:lineRule="auto" w:before="126"/>
              <w:ind w:left="103" w:right="0"/>
              <w:jc w:val="left"/>
              <w:rPr>
                <w:rFonts w:ascii="宋体" w:hAnsi="宋体" w:cs="宋体" w:eastAsia="宋体" w:hint="default"/>
                <w:sz w:val="21"/>
                <w:szCs w:val="21"/>
              </w:rPr>
            </w:pPr>
            <w:r>
              <w:rPr>
                <w:rFonts w:ascii="宋体" w:hAnsi="宋体" w:cs="宋体" w:eastAsia="宋体" w:hint="default"/>
                <w:sz w:val="21"/>
                <w:szCs w:val="21"/>
              </w:rPr>
              <w:t>分析情况说明</w:t>
            </w:r>
          </w:p>
        </w:tc>
      </w:tr>
    </w:tbl>
    <w:p>
      <w:pPr>
        <w:spacing w:before="28"/>
        <w:ind w:left="6675" w:right="6679" w:firstLine="0"/>
        <w:jc w:val="center"/>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headerReference w:type="default" r:id="rId19"/>
          <w:footerReference w:type="default" r:id="rId20"/>
          <w:pgSz w:w="16840" w:h="11910" w:orient="landscape"/>
          <w:pgMar w:header="0" w:footer="0" w:top="800" w:bottom="280" w:left="1020" w:right="1100"/>
        </w:sectPr>
      </w:pPr>
    </w:p>
    <w:p>
      <w:pPr>
        <w:spacing w:line="240" w:lineRule="auto" w:before="1"/>
        <w:rPr>
          <w:rFonts w:ascii="Calibri" w:hAnsi="Calibri" w:cs="Calibri" w:eastAsia="Calibri" w:hint="default"/>
          <w:b/>
          <w:bCs/>
          <w:sz w:val="27"/>
          <w:szCs w:val="27"/>
        </w:rPr>
      </w:pPr>
    </w:p>
    <w:p>
      <w:pPr>
        <w:pStyle w:val="BodyText"/>
        <w:spacing w:line="274" w:lineRule="exact" w:before="36"/>
        <w:ind w:left="218" w:right="0"/>
        <w:jc w:val="left"/>
      </w:pPr>
      <w:r>
        <w:rPr/>
        <w:t>成本分析其他情况说明</w:t>
      </w:r>
    </w:p>
    <w:p>
      <w:pPr>
        <w:pStyle w:val="BodyText"/>
        <w:spacing w:line="274" w:lineRule="exact"/>
        <w:ind w:left="218" w:right="0"/>
        <w:jc w:val="left"/>
      </w:pPr>
      <w:r>
        <w:rPr/>
        <w:t>√适用</w:t>
      </w:r>
      <w:r>
        <w:rPr>
          <w:spacing w:val="-1"/>
        </w:rPr>
        <w:t> </w:t>
      </w:r>
      <w:r>
        <w:rPr/>
        <w:t>□不适用</w:t>
      </w:r>
    </w:p>
    <w:p>
      <w:pPr>
        <w:pStyle w:val="BodyText"/>
        <w:spacing w:line="386" w:lineRule="auto" w:before="138"/>
        <w:ind w:left="218" w:right="0" w:firstLine="419"/>
        <w:jc w:val="left"/>
      </w:pPr>
      <w:r>
        <w:rPr>
          <w:spacing w:val="-11"/>
          <w:w w:val="100"/>
        </w:rPr>
        <w:t>网络广告业务：</w:t>
      </w:r>
      <w:r>
        <w:rPr>
          <w:rFonts w:ascii="宋体" w:hAnsi="宋体" w:cs="宋体" w:eastAsia="宋体" w:hint="default"/>
          <w:spacing w:val="-11"/>
          <w:w w:val="100"/>
        </w:rPr>
        <w:t>2017</w:t>
      </w:r>
      <w:r>
        <w:rPr>
          <w:rFonts w:ascii="宋体" w:hAnsi="宋体" w:cs="宋体" w:eastAsia="宋体" w:hint="default"/>
          <w:spacing w:val="-66"/>
          <w:w w:val="100"/>
        </w:rPr>
        <w:t> </w:t>
      </w:r>
      <w:r>
        <w:rPr>
          <w:spacing w:val="-9"/>
          <w:w w:val="100"/>
        </w:rPr>
        <w:t>年，公司网络广告业务营业成本为</w:t>
      </w:r>
      <w:r>
        <w:rPr>
          <w:spacing w:val="-66"/>
          <w:w w:val="100"/>
        </w:rPr>
        <w:t> </w:t>
      </w:r>
      <w:r>
        <w:rPr>
          <w:rFonts w:ascii="宋体" w:hAnsi="宋体" w:cs="宋体" w:eastAsia="宋体" w:hint="default"/>
          <w:spacing w:val="-1"/>
          <w:w w:val="100"/>
        </w:rPr>
        <w:t>25,956.23</w:t>
      </w:r>
      <w:r>
        <w:rPr>
          <w:rFonts w:ascii="宋体" w:hAnsi="宋体" w:cs="宋体" w:eastAsia="宋体" w:hint="default"/>
          <w:spacing w:val="-67"/>
          <w:w w:val="100"/>
        </w:rPr>
        <w:t> </w:t>
      </w:r>
      <w:r>
        <w:rPr>
          <w:spacing w:val="-28"/>
          <w:w w:val="100"/>
        </w:rPr>
        <w:t>万元，较</w:t>
      </w:r>
      <w:r>
        <w:rPr>
          <w:spacing w:val="-66"/>
          <w:w w:val="100"/>
        </w:rPr>
        <w:t> </w:t>
      </w:r>
      <w:r>
        <w:rPr>
          <w:rFonts w:ascii="宋体" w:hAnsi="宋体" w:cs="宋体" w:eastAsia="宋体" w:hint="default"/>
          <w:spacing w:val="-2"/>
          <w:w w:val="100"/>
        </w:rPr>
        <w:t>2016</w:t>
      </w:r>
      <w:r>
        <w:rPr>
          <w:rFonts w:ascii="宋体" w:hAnsi="宋体" w:cs="宋体" w:eastAsia="宋体" w:hint="default"/>
          <w:spacing w:val="-67"/>
          <w:w w:val="100"/>
        </w:rPr>
        <w:t> </w:t>
      </w:r>
      <w:r>
        <w:rPr>
          <w:w w:val="100"/>
        </w:rPr>
        <w:t>年下降</w:t>
      </w:r>
      <w:r>
        <w:rPr>
          <w:spacing w:val="-66"/>
          <w:w w:val="100"/>
        </w:rPr>
        <w:t> </w:t>
      </w:r>
      <w:r>
        <w:rPr>
          <w:rFonts w:ascii="宋体" w:hAnsi="宋体" w:cs="宋体" w:eastAsia="宋体" w:hint="default"/>
          <w:spacing w:val="-1"/>
          <w:w w:val="100"/>
        </w:rPr>
        <w:t>5.63%</w:t>
      </w:r>
      <w:r>
        <w:rPr>
          <w:spacing w:val="-1"/>
          <w:w w:val="100"/>
        </w:rPr>
        <w:t>，</w:t>
      </w:r>
      <w:r>
        <w:rPr>
          <w:w w:val="100"/>
        </w:rPr>
        <w:t> </w:t>
      </w:r>
      <w:r>
        <w:rPr/>
        <w:t>主要是由于调整部分广告业务渠道，相应服务费减少所致。</w:t>
      </w:r>
    </w:p>
    <w:p>
      <w:pPr>
        <w:pStyle w:val="BodyText"/>
        <w:spacing w:line="384" w:lineRule="auto" w:before="36"/>
        <w:ind w:left="218" w:right="208" w:firstLine="419"/>
        <w:jc w:val="both"/>
      </w:pPr>
      <w:r>
        <w:rPr/>
        <w:t>信息服务业务：</w:t>
      </w:r>
      <w:r>
        <w:rPr>
          <w:rFonts w:ascii="宋体" w:hAnsi="宋体" w:cs="宋体" w:eastAsia="宋体" w:hint="default"/>
        </w:rPr>
        <w:t>2017 </w:t>
      </w:r>
      <w:r>
        <w:rPr/>
        <w:t>年，公司信息服务业务营业成本为 </w:t>
      </w:r>
      <w:r>
        <w:rPr>
          <w:rFonts w:ascii="宋体" w:hAnsi="宋体" w:cs="宋体" w:eastAsia="宋体" w:hint="default"/>
        </w:rPr>
        <w:t>24,845.35 </w:t>
      </w:r>
      <w:r>
        <w:rPr/>
        <w:t>万元，较 </w:t>
      </w:r>
      <w:r>
        <w:rPr>
          <w:rFonts w:ascii="宋体" w:hAnsi="宋体" w:cs="宋体" w:eastAsia="宋体" w:hint="default"/>
        </w:rPr>
        <w:t>2016</w:t>
      </w:r>
      <w:r>
        <w:rPr>
          <w:rFonts w:ascii="宋体" w:hAnsi="宋体" w:cs="宋体" w:eastAsia="宋体" w:hint="default"/>
          <w:spacing w:val="3"/>
        </w:rPr>
        <w:t> </w:t>
      </w:r>
      <w:r>
        <w:rPr/>
        <w:t>年增长</w:t>
      </w:r>
      <w:r>
        <w:rPr>
          <w:w w:val="100"/>
        </w:rPr>
        <w:t> </w:t>
      </w:r>
      <w:r>
        <w:rPr>
          <w:rFonts w:ascii="宋体" w:hAnsi="宋体" w:cs="宋体" w:eastAsia="宋体" w:hint="default"/>
          <w:spacing w:val="-4"/>
        </w:rPr>
        <w:t>138.82%</w:t>
      </w:r>
      <w:r>
        <w:rPr>
          <w:spacing w:val="-4"/>
        </w:rPr>
        <w:t>，主要是随着信息服务业务收入规模增长而相关成本支出增加，同时公司加大全国区域布</w:t>
      </w:r>
      <w:r>
        <w:rPr>
          <w:spacing w:val="-22"/>
        </w:rPr>
        <w:t> </w:t>
      </w:r>
      <w:r>
        <w:rPr>
          <w:spacing w:val="-22"/>
        </w:rPr>
      </w:r>
      <w:r>
        <w:rPr/>
        <w:t>局等。</w:t>
      </w:r>
    </w:p>
    <w:p>
      <w:pPr>
        <w:pStyle w:val="BodyText"/>
        <w:spacing w:line="384" w:lineRule="auto" w:before="38"/>
        <w:ind w:left="218" w:right="208" w:firstLine="419"/>
        <w:jc w:val="left"/>
      </w:pPr>
      <w:r>
        <w:rPr/>
        <w:t>网站建设及技术服务业务：</w:t>
      </w:r>
      <w:r>
        <w:rPr>
          <w:rFonts w:ascii="宋体" w:hAnsi="宋体" w:cs="宋体" w:eastAsia="宋体" w:hint="default"/>
        </w:rPr>
        <w:t>2017</w:t>
      </w:r>
      <w:r>
        <w:rPr>
          <w:rFonts w:ascii="宋体" w:hAnsi="宋体" w:cs="宋体" w:eastAsia="宋体" w:hint="default"/>
          <w:spacing w:val="-32"/>
        </w:rPr>
        <w:t> </w:t>
      </w:r>
      <w:r>
        <w:rPr/>
        <w:t>年，公司网站建设及技术服务业务成本为</w:t>
      </w:r>
      <w:r>
        <w:rPr>
          <w:spacing w:val="-31"/>
        </w:rPr>
        <w:t> </w:t>
      </w:r>
      <w:r>
        <w:rPr>
          <w:rFonts w:ascii="宋体" w:hAnsi="宋体" w:cs="宋体" w:eastAsia="宋体" w:hint="default"/>
        </w:rPr>
        <w:t>9,119.74</w:t>
      </w:r>
      <w:r>
        <w:rPr>
          <w:rFonts w:ascii="宋体" w:hAnsi="宋体" w:cs="宋体" w:eastAsia="宋体" w:hint="default"/>
          <w:spacing w:val="-32"/>
        </w:rPr>
        <w:t> </w:t>
      </w:r>
      <w:r>
        <w:rPr>
          <w:spacing w:val="-3"/>
        </w:rPr>
        <w:t>万元，</w:t>
      </w:r>
      <w:r>
        <w:rPr>
          <w:spacing w:val="-3"/>
          <w:w w:val="100"/>
        </w:rPr>
        <w:t> </w:t>
      </w:r>
      <w:r>
        <w:rPr/>
        <w:t>较</w:t>
      </w:r>
      <w:r>
        <w:rPr>
          <w:spacing w:val="-54"/>
        </w:rPr>
        <w:t> </w:t>
      </w:r>
      <w:r>
        <w:rPr>
          <w:rFonts w:ascii="宋体" w:hAnsi="宋体" w:cs="宋体" w:eastAsia="宋体" w:hint="default"/>
        </w:rPr>
        <w:t>2016</w:t>
      </w:r>
      <w:r>
        <w:rPr>
          <w:rFonts w:ascii="宋体" w:hAnsi="宋体" w:cs="宋体" w:eastAsia="宋体" w:hint="default"/>
          <w:spacing w:val="-54"/>
        </w:rPr>
        <w:t> </w:t>
      </w:r>
      <w:r>
        <w:rPr/>
        <w:t>年增长</w:t>
      </w:r>
      <w:r>
        <w:rPr>
          <w:spacing w:val="-56"/>
        </w:rPr>
        <w:t> </w:t>
      </w:r>
      <w:r>
        <w:rPr>
          <w:rFonts w:ascii="宋体" w:hAnsi="宋体" w:cs="宋体" w:eastAsia="宋体" w:hint="default"/>
        </w:rPr>
        <w:t>62.61%</w:t>
      </w:r>
      <w:r>
        <w:rPr/>
        <w:t>，主要是由于报告期内业务规模增长相应成本增长所致。</w:t>
      </w:r>
    </w:p>
    <w:p>
      <w:pPr>
        <w:pStyle w:val="BodyText"/>
        <w:spacing w:line="384" w:lineRule="auto" w:before="40"/>
        <w:ind w:left="218" w:right="0" w:firstLine="419"/>
        <w:jc w:val="left"/>
      </w:pPr>
      <w:r>
        <w:rPr>
          <w:spacing w:val="-10"/>
          <w:w w:val="100"/>
        </w:rPr>
        <w:t>移动互联网业务：</w:t>
      </w:r>
      <w:r>
        <w:rPr>
          <w:rFonts w:ascii="宋体" w:hAnsi="宋体" w:cs="宋体" w:eastAsia="宋体" w:hint="default"/>
          <w:spacing w:val="-10"/>
          <w:w w:val="100"/>
        </w:rPr>
        <w:t>2017</w:t>
      </w:r>
      <w:r>
        <w:rPr>
          <w:rFonts w:ascii="宋体" w:hAnsi="宋体" w:cs="宋体" w:eastAsia="宋体" w:hint="default"/>
          <w:spacing w:val="-69"/>
          <w:w w:val="100"/>
        </w:rPr>
        <w:t> </w:t>
      </w:r>
      <w:r>
        <w:rPr>
          <w:spacing w:val="-9"/>
          <w:w w:val="100"/>
        </w:rPr>
        <w:t>年，公司移动互联网业务成本为</w:t>
      </w:r>
      <w:r>
        <w:rPr>
          <w:spacing w:val="-68"/>
          <w:w w:val="100"/>
        </w:rPr>
        <w:t> </w:t>
      </w:r>
      <w:r>
        <w:rPr>
          <w:rFonts w:ascii="宋体" w:hAnsi="宋体" w:cs="宋体" w:eastAsia="宋体" w:hint="default"/>
          <w:spacing w:val="-1"/>
          <w:w w:val="100"/>
        </w:rPr>
        <w:t>23,047.27</w:t>
      </w:r>
      <w:r>
        <w:rPr>
          <w:rFonts w:ascii="宋体" w:hAnsi="宋体" w:cs="宋体" w:eastAsia="宋体" w:hint="default"/>
          <w:spacing w:val="-68"/>
          <w:w w:val="100"/>
        </w:rPr>
        <w:t> </w:t>
      </w:r>
      <w:r>
        <w:rPr>
          <w:spacing w:val="-28"/>
          <w:w w:val="100"/>
        </w:rPr>
        <w:t>万元，较</w:t>
      </w:r>
      <w:r>
        <w:rPr>
          <w:spacing w:val="-67"/>
          <w:w w:val="100"/>
        </w:rPr>
        <w:t> </w:t>
      </w:r>
      <w:r>
        <w:rPr>
          <w:rFonts w:ascii="宋体" w:hAnsi="宋体" w:cs="宋体" w:eastAsia="宋体" w:hint="default"/>
          <w:spacing w:val="-2"/>
          <w:w w:val="100"/>
        </w:rPr>
        <w:t>2016</w:t>
      </w:r>
      <w:r>
        <w:rPr>
          <w:rFonts w:ascii="宋体" w:hAnsi="宋体" w:cs="宋体" w:eastAsia="宋体" w:hint="default"/>
          <w:spacing w:val="-68"/>
          <w:w w:val="100"/>
        </w:rPr>
        <w:t> </w:t>
      </w:r>
      <w:r>
        <w:rPr>
          <w:w w:val="100"/>
        </w:rPr>
        <w:t>年下降</w:t>
      </w:r>
      <w:r>
        <w:rPr>
          <w:spacing w:val="-67"/>
          <w:w w:val="100"/>
        </w:rPr>
        <w:t> </w:t>
      </w:r>
      <w:r>
        <w:rPr>
          <w:rFonts w:ascii="宋体" w:hAnsi="宋体" w:cs="宋体" w:eastAsia="宋体" w:hint="default"/>
          <w:spacing w:val="-1"/>
          <w:w w:val="100"/>
        </w:rPr>
        <w:t>4.66%</w:t>
      </w:r>
      <w:r>
        <w:rPr>
          <w:spacing w:val="-1"/>
          <w:w w:val="100"/>
        </w:rPr>
        <w:t>，</w:t>
      </w:r>
      <w:r>
        <w:rPr>
          <w:w w:val="100"/>
        </w:rPr>
        <w:t> </w:t>
      </w:r>
      <w:r>
        <w:rPr/>
        <w:t>主要是随着业务规模的增加，盈利能力逐渐增强，该业务类型的毛利率逐渐增加所致。</w:t>
      </w:r>
    </w:p>
    <w:p>
      <w:pPr>
        <w:spacing w:line="240" w:lineRule="auto" w:before="0"/>
        <w:rPr>
          <w:rFonts w:ascii="宋体" w:hAnsi="宋体" w:cs="宋体" w:eastAsia="宋体" w:hint="default"/>
          <w:sz w:val="20"/>
          <w:szCs w:val="20"/>
        </w:rPr>
      </w:pPr>
    </w:p>
    <w:p>
      <w:pPr>
        <w:pStyle w:val="Heading3"/>
        <w:spacing w:line="240" w:lineRule="auto" w:before="136"/>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left="218" w:right="0"/>
        <w:jc w:val="left"/>
      </w:pPr>
      <w:r>
        <w:rPr/>
        <w:t>√适用</w:t>
      </w:r>
      <w:r>
        <w:rPr>
          <w:spacing w:val="-1"/>
        </w:rPr>
        <w:t> </w:t>
      </w:r>
      <w:r>
        <w:rPr/>
        <w:t>□不适用</w:t>
      </w:r>
    </w:p>
    <w:p>
      <w:pPr>
        <w:pStyle w:val="BodyText"/>
        <w:spacing w:line="384" w:lineRule="auto" w:before="140"/>
        <w:ind w:left="218" w:right="0" w:firstLine="419"/>
        <w:jc w:val="left"/>
      </w:pPr>
      <w:r>
        <w:rPr/>
        <w:t>前五名客户销售额</w:t>
      </w:r>
      <w:r>
        <w:rPr>
          <w:spacing w:val="-39"/>
        </w:rPr>
        <w:t> </w:t>
      </w:r>
      <w:r>
        <w:rPr>
          <w:rFonts w:ascii="宋体" w:hAnsi="宋体" w:cs="宋体" w:eastAsia="宋体" w:hint="default"/>
        </w:rPr>
        <w:t>24,761.22</w:t>
      </w:r>
      <w:r>
        <w:rPr>
          <w:rFonts w:ascii="宋体" w:hAnsi="宋体" w:cs="宋体" w:eastAsia="宋体" w:hint="default"/>
          <w:spacing w:val="-40"/>
        </w:rPr>
        <w:t> </w:t>
      </w:r>
      <w:r>
        <w:rPr>
          <w:spacing w:val="-4"/>
        </w:rPr>
        <w:t>万元，占年度销售总额</w:t>
      </w:r>
      <w:r>
        <w:rPr>
          <w:spacing w:val="-40"/>
        </w:rPr>
        <w:t> </w:t>
      </w:r>
      <w:r>
        <w:rPr>
          <w:rFonts w:ascii="宋体" w:hAnsi="宋体" w:cs="宋体" w:eastAsia="宋体" w:hint="default"/>
          <w:spacing w:val="-3"/>
        </w:rPr>
        <w:t>16.48%</w:t>
      </w:r>
      <w:r>
        <w:rPr>
          <w:spacing w:val="-3"/>
        </w:rPr>
        <w:t>；其中前五名客户销售额中关联</w:t>
      </w:r>
      <w:r>
        <w:rPr>
          <w:w w:val="100"/>
        </w:rPr>
        <w:t> </w:t>
      </w:r>
      <w:r>
        <w:rPr/>
        <w:t>方销售额</w:t>
      </w:r>
      <w:r>
        <w:rPr>
          <w:spacing w:val="-53"/>
        </w:rPr>
        <w:t> </w:t>
      </w:r>
      <w:r>
        <w:rPr>
          <w:rFonts w:ascii="宋体" w:hAnsi="宋体" w:cs="宋体" w:eastAsia="宋体" w:hint="default"/>
        </w:rPr>
        <w:t>13,747.21</w:t>
      </w:r>
      <w:r>
        <w:rPr>
          <w:rFonts w:ascii="宋体" w:hAnsi="宋体" w:cs="宋体" w:eastAsia="宋体" w:hint="default"/>
          <w:spacing w:val="-55"/>
        </w:rPr>
        <w:t> </w:t>
      </w:r>
      <w:r>
        <w:rPr/>
        <w:t>万元，占年度销售总额</w:t>
      </w:r>
      <w:r>
        <w:rPr>
          <w:spacing w:val="-53"/>
        </w:rPr>
        <w:t> </w:t>
      </w:r>
      <w:r>
        <w:rPr>
          <w:rFonts w:ascii="宋体" w:hAnsi="宋体" w:cs="宋体" w:eastAsia="宋体" w:hint="default"/>
        </w:rPr>
        <w:t>9.15%</w:t>
      </w:r>
      <w:r>
        <w:rPr/>
        <w:t>。</w:t>
      </w:r>
    </w:p>
    <w:p>
      <w:pPr>
        <w:pStyle w:val="BodyText"/>
        <w:spacing w:line="240" w:lineRule="auto" w:before="38"/>
        <w:ind w:left="638" w:right="0"/>
        <w:jc w:val="left"/>
      </w:pPr>
      <w:r>
        <w:rPr/>
        <w:t>前五名供应商采购额</w:t>
      </w:r>
      <w:r>
        <w:rPr>
          <w:spacing w:val="-36"/>
        </w:rPr>
        <w:t> </w:t>
      </w:r>
      <w:r>
        <w:rPr>
          <w:rFonts w:ascii="宋体" w:hAnsi="宋体" w:cs="宋体" w:eastAsia="宋体" w:hint="default"/>
        </w:rPr>
        <w:t>18,086.32</w:t>
      </w:r>
      <w:r>
        <w:rPr>
          <w:rFonts w:ascii="宋体" w:hAnsi="宋体" w:cs="宋体" w:eastAsia="宋体" w:hint="default"/>
          <w:spacing w:val="-40"/>
        </w:rPr>
        <w:t> </w:t>
      </w:r>
      <w:r>
        <w:rPr>
          <w:spacing w:val="-4"/>
        </w:rPr>
        <w:t>万元，占年度采购总额</w:t>
      </w:r>
      <w:r>
        <w:rPr>
          <w:spacing w:val="-37"/>
        </w:rPr>
        <w:t> </w:t>
      </w:r>
      <w:r>
        <w:rPr>
          <w:rFonts w:ascii="宋体" w:hAnsi="宋体" w:cs="宋体" w:eastAsia="宋体" w:hint="default"/>
          <w:spacing w:val="-3"/>
        </w:rPr>
        <w:t>25.23%</w:t>
      </w:r>
      <w:r>
        <w:rPr>
          <w:spacing w:val="-3"/>
        </w:rPr>
        <w:t>；其中前五名供应商采购额中</w:t>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footerReference w:type="default" r:id="rId21"/>
          <w:pgSz w:w="11910" w:h="16840"/>
          <w:pgMar w:footer="1195" w:header="0" w:top="1120" w:bottom="1380" w:left="1580" w:right="1060"/>
          <w:pgNumType w:start="21"/>
        </w:sectPr>
      </w:pPr>
    </w:p>
    <w:p>
      <w:pPr>
        <w:pStyle w:val="BodyText"/>
        <w:spacing w:line="259" w:lineRule="auto" w:before="36"/>
        <w:ind w:left="218" w:right="-10"/>
        <w:jc w:val="left"/>
      </w:pPr>
      <w:r>
        <w:rPr/>
        <w:t>关联方采购额</w:t>
      </w:r>
      <w:r>
        <w:rPr>
          <w:spacing w:val="-55"/>
        </w:rPr>
        <w:t> </w:t>
      </w:r>
      <w:r>
        <w:rPr>
          <w:rFonts w:ascii="宋体" w:hAnsi="宋体" w:cs="宋体" w:eastAsia="宋体" w:hint="default"/>
        </w:rPr>
        <w:t>2,137.74</w:t>
      </w:r>
      <w:r>
        <w:rPr>
          <w:rFonts w:ascii="宋体" w:hAnsi="宋体" w:cs="宋体" w:eastAsia="宋体" w:hint="default"/>
          <w:spacing w:val="-57"/>
        </w:rPr>
        <w:t> </w:t>
      </w:r>
      <w:r>
        <w:rPr/>
        <w:t>万元，占年度采购总额</w:t>
      </w:r>
      <w:r>
        <w:rPr>
          <w:spacing w:val="-55"/>
        </w:rPr>
        <w:t> </w:t>
      </w:r>
      <w:r>
        <w:rPr>
          <w:rFonts w:ascii="宋体" w:hAnsi="宋体" w:cs="宋体" w:eastAsia="宋体" w:hint="default"/>
        </w:rPr>
        <w:t>2.98%</w:t>
      </w:r>
      <w:r>
        <w:rPr/>
        <w:t>。</w:t>
      </w:r>
      <w:r>
        <w:rPr>
          <w:w w:val="100"/>
        </w:rPr>
        <w:t> </w:t>
      </w:r>
      <w:r>
        <w:rPr/>
        <w:t>其他说明</w:t>
      </w:r>
    </w:p>
    <w:p>
      <w:pPr>
        <w:pStyle w:val="BodyText"/>
        <w:spacing w:line="254" w:lineRule="exact"/>
        <w:ind w:left="218" w:right="-10"/>
        <w:jc w:val="left"/>
      </w:pPr>
      <w:r>
        <w:rPr>
          <w:w w:val="100"/>
        </w:rPr>
        <w:t>无</w:t>
      </w:r>
    </w:p>
    <w:p>
      <w:pPr>
        <w:pStyle w:val="Heading3"/>
        <w:tabs>
          <w:tab w:pos="637" w:val="left" w:leader="none"/>
        </w:tabs>
        <w:spacing w:line="240" w:lineRule="auto" w:before="58"/>
        <w:ind w:right="-1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6"/>
        <w:ind w:left="21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ind w:left="218" w:right="0"/>
        <w:jc w:val="left"/>
      </w:pPr>
      <w:r>
        <w:rPr/>
        <w:t>单位：万元</w:t>
      </w:r>
    </w:p>
    <w:p>
      <w:pPr>
        <w:spacing w:after="0" w:line="240" w:lineRule="auto"/>
        <w:jc w:val="left"/>
        <w:sectPr>
          <w:type w:val="continuous"/>
          <w:pgSz w:w="11910" w:h="16840"/>
          <w:pgMar w:top="1120" w:bottom="1380" w:left="1580" w:right="1060"/>
          <w:cols w:num="2" w:equalWidth="0">
            <w:col w:w="5312" w:space="2470"/>
            <w:col w:w="14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2268"/>
        <w:gridCol w:w="2268"/>
        <w:gridCol w:w="1985"/>
      </w:tblGrid>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0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4"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29,934.69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26,934.06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11.14</w:t>
            </w:r>
          </w:p>
        </w:tc>
      </w:tr>
      <w:tr>
        <w:trPr>
          <w:trHeight w:val="40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pacing w:val="-1"/>
                <w:sz w:val="21"/>
              </w:rPr>
              <w:t>12,861.08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pacing w:val="-1"/>
                <w:sz w:val="21"/>
              </w:rPr>
              <w:t>8,108.19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z w:val="21"/>
              </w:rPr>
              <w:t>58.62</w:t>
            </w:r>
          </w:p>
        </w:tc>
      </w:tr>
      <w:tr>
        <w:trPr>
          <w:trHeight w:val="40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-1,596.52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-1,486.84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-7.38</w:t>
            </w:r>
          </w:p>
        </w:tc>
      </w:tr>
    </w:tbl>
    <w:p>
      <w:pPr>
        <w:pStyle w:val="BodyText"/>
        <w:spacing w:line="241" w:lineRule="exact"/>
        <w:ind w:left="638" w:right="0"/>
        <w:jc w:val="left"/>
      </w:pPr>
      <w:r>
        <w:rPr>
          <w:spacing w:val="-2"/>
        </w:rPr>
        <w:t>报告期公司管理费用同比增长</w:t>
      </w:r>
      <w:r>
        <w:rPr>
          <w:spacing w:val="23"/>
        </w:rPr>
        <w:t> </w:t>
      </w:r>
      <w:r>
        <w:rPr>
          <w:rFonts w:ascii="宋体" w:hAnsi="宋体" w:cs="宋体" w:eastAsia="宋体" w:hint="default"/>
          <w:spacing w:val="-2"/>
        </w:rPr>
        <w:t>58.62%</w:t>
      </w:r>
      <w:r>
        <w:rPr>
          <w:spacing w:val="-2"/>
        </w:rPr>
        <w:t>，主要系加大研发投入，相应研发支出增加所致。</w:t>
      </w:r>
    </w:p>
    <w:p>
      <w:pPr>
        <w:pStyle w:val="Heading3"/>
        <w:tabs>
          <w:tab w:pos="637" w:val="left" w:leader="none"/>
        </w:tabs>
        <w:spacing w:line="290" w:lineRule="auto" w:before="56"/>
        <w:ind w:right="7568"/>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060" w:val="left" w:leader="none"/>
        </w:tabs>
        <w:spacing w:line="240" w:lineRule="auto" w:before="12"/>
        <w:ind w:left="218" w:right="0"/>
        <w:jc w:val="left"/>
      </w:pPr>
      <w:r>
        <w:rPr>
          <w:spacing w:val="-1"/>
        </w:rPr>
        <w:t>√适用</w:t>
        <w:tab/>
      </w:r>
      <w:r>
        <w:rPr>
          <w:spacing w:val="-2"/>
        </w:rPr>
        <w:t>□不适用</w:t>
      </w:r>
    </w:p>
    <w:p>
      <w:pPr>
        <w:pStyle w:val="BodyText"/>
        <w:spacing w:line="274" w:lineRule="exact"/>
        <w:ind w:left="0" w:right="21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254"/>
      </w:tblGrid>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51,868,736.85</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0.00</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51,868,736.85</w:t>
            </w:r>
          </w:p>
        </w:tc>
      </w:tr>
      <w:tr>
        <w:trPr>
          <w:trHeight w:val="35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3.45</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188</w:t>
            </w:r>
          </w:p>
        </w:tc>
      </w:tr>
    </w:tbl>
    <w:p>
      <w:pPr>
        <w:spacing w:after="0" w:line="274"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03"/>
        <w:gridCol w:w="4254"/>
      </w:tblGrid>
      <w:tr>
        <w:trPr>
          <w:trHeight w:val="35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10.27</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60"/>
        </w:sectPr>
      </w:pPr>
    </w:p>
    <w:p>
      <w:pPr>
        <w:pStyle w:val="Heading3"/>
        <w:spacing w:line="240" w:lineRule="auto"/>
        <w:ind w:right="-18"/>
        <w:jc w:val="left"/>
        <w:rPr>
          <w:b w:val="0"/>
          <w:bCs w:val="0"/>
        </w:rPr>
      </w:pPr>
      <w:r>
        <w:rPr/>
        <w:t>情况说明</w:t>
      </w:r>
      <w:r>
        <w:rPr>
          <w:b w:val="0"/>
          <w:bCs w:val="0"/>
        </w:rPr>
      </w:r>
    </w:p>
    <w:p>
      <w:pPr>
        <w:tabs>
          <w:tab w:pos="637" w:val="left" w:leader="none"/>
        </w:tabs>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4.</w:t>
        <w:tab/>
      </w:r>
      <w:r>
        <w:rPr>
          <w:rFonts w:ascii="宋体" w:hAnsi="宋体" w:cs="宋体" w:eastAsia="宋体" w:hint="default"/>
          <w:b/>
          <w:bCs/>
          <w:sz w:val="21"/>
          <w:szCs w:val="21"/>
        </w:rPr>
        <w:t>现金流</w:t>
      </w:r>
      <w:r>
        <w:rPr>
          <w:rFonts w:ascii="宋体" w:hAnsi="宋体" w:cs="宋体" w:eastAsia="宋体" w:hint="default"/>
          <w:sz w:val="21"/>
          <w:szCs w:val="21"/>
        </w:rPr>
      </w:r>
    </w:p>
    <w:p>
      <w:pPr>
        <w:pStyle w:val="BodyText"/>
        <w:spacing w:line="240" w:lineRule="auto" w:before="12"/>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8" w:right="0"/>
        <w:jc w:val="left"/>
      </w:pPr>
      <w:r>
        <w:rPr/>
        <w:t>单位：万元</w:t>
      </w:r>
    </w:p>
    <w:p>
      <w:pPr>
        <w:spacing w:after="0" w:line="240" w:lineRule="auto"/>
        <w:jc w:val="left"/>
        <w:sectPr>
          <w:type w:val="continuous"/>
          <w:pgSz w:w="11910" w:h="16840"/>
          <w:pgMar w:top="1120" w:bottom="1380" w:left="1580" w:right="1060"/>
          <w:cols w:num="2" w:equalWidth="0">
            <w:col w:w="1795" w:space="5987"/>
            <w:col w:w="14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24"/>
        <w:gridCol w:w="1548"/>
        <w:gridCol w:w="1841"/>
        <w:gridCol w:w="1985"/>
      </w:tblGrid>
      <w:tr>
        <w:trPr>
          <w:trHeight w:val="3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5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7" w:right="0"/>
              <w:jc w:val="left"/>
              <w:rPr>
                <w:rFonts w:ascii="宋体" w:hAnsi="宋体" w:cs="宋体" w:eastAsia="宋体" w:hint="default"/>
                <w:sz w:val="21"/>
                <w:szCs w:val="21"/>
              </w:rPr>
            </w:pPr>
            <w:r>
              <w:rPr>
                <w:rFonts w:ascii="宋体"/>
                <w:sz w:val="21"/>
              </w:rPr>
              <w:t>21,313.86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30,647.93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-30.46</w:t>
            </w:r>
          </w:p>
        </w:tc>
      </w:tr>
      <w:tr>
        <w:trPr>
          <w:trHeight w:val="3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87" w:right="0"/>
              <w:jc w:val="left"/>
              <w:rPr>
                <w:rFonts w:ascii="宋体" w:hAnsi="宋体" w:cs="宋体" w:eastAsia="宋体" w:hint="default"/>
                <w:sz w:val="21"/>
                <w:szCs w:val="21"/>
              </w:rPr>
            </w:pPr>
            <w:r>
              <w:rPr>
                <w:rFonts w:ascii="宋体"/>
                <w:sz w:val="21"/>
              </w:rPr>
              <w:t>15,968.39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-96,086.51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116.62</w:t>
            </w:r>
          </w:p>
        </w:tc>
      </w:tr>
      <w:tr>
        <w:trPr>
          <w:trHeight w:val="3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7" w:right="0"/>
              <w:jc w:val="left"/>
              <w:rPr>
                <w:rFonts w:ascii="宋体" w:hAnsi="宋体" w:cs="宋体" w:eastAsia="宋体" w:hint="default"/>
                <w:sz w:val="21"/>
                <w:szCs w:val="21"/>
              </w:rPr>
            </w:pPr>
            <w:r>
              <w:rPr>
                <w:rFonts w:ascii="宋体"/>
                <w:sz w:val="21"/>
              </w:rPr>
              <w:t>11,500.65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118,178.47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-90.27</w:t>
            </w:r>
          </w:p>
        </w:tc>
      </w:tr>
    </w:tbl>
    <w:p>
      <w:pPr>
        <w:pStyle w:val="BodyText"/>
        <w:spacing w:line="331" w:lineRule="auto" w:before="59"/>
        <w:ind w:left="218" w:right="103" w:firstLine="419"/>
        <w:jc w:val="left"/>
      </w:pPr>
      <w:r>
        <w:rPr/>
        <w:t>经营活动产生的现金流量净额变动原因说明：报告期公司经营活动产生的现金流量净额同比</w:t>
      </w:r>
      <w:r>
        <w:rPr>
          <w:w w:val="100"/>
        </w:rPr>
        <w:t> </w:t>
      </w:r>
      <w:r>
        <w:rPr/>
        <w:t>下降 </w:t>
      </w:r>
      <w:r>
        <w:rPr>
          <w:rFonts w:ascii="宋体" w:hAnsi="宋体" w:cs="宋体" w:eastAsia="宋体" w:hint="default"/>
        </w:rPr>
        <w:t>30.46%</w:t>
      </w:r>
      <w:r>
        <w:rPr/>
        <w:t>，主要系业务规模扩张，支付业务成本、人工费、房租费、研发费用大幅增加所致；</w:t>
      </w:r>
    </w:p>
    <w:p>
      <w:pPr>
        <w:pStyle w:val="BodyText"/>
        <w:spacing w:line="331" w:lineRule="auto" w:before="24"/>
        <w:ind w:left="218" w:right="217" w:firstLine="419"/>
        <w:jc w:val="both"/>
      </w:pPr>
      <w:r>
        <w:rPr>
          <w:spacing w:val="-2"/>
        </w:rPr>
        <w:t>投资活动产生的现金流量净额变动原因说明：报告期公司投资活动产生的现金流量净额同比</w:t>
      </w:r>
      <w:r>
        <w:rPr>
          <w:w w:val="100"/>
        </w:rPr>
        <w:t> </w:t>
      </w:r>
      <w:r>
        <w:rPr>
          <w:spacing w:val="-2"/>
        </w:rPr>
        <w:t>显著增加，主要系公司本期赎回金额较大的理财产品，及转让中证金牛和银橙传媒股权产生的收</w:t>
      </w:r>
      <w:r>
        <w:rPr>
          <w:spacing w:val="-25"/>
        </w:rPr>
        <w:t> </w:t>
      </w:r>
      <w:r>
        <w:rPr>
          <w:spacing w:val="-25"/>
        </w:rPr>
      </w:r>
      <w:r>
        <w:rPr/>
        <w:t>益；</w:t>
      </w:r>
    </w:p>
    <w:p>
      <w:pPr>
        <w:pStyle w:val="BodyText"/>
        <w:spacing w:line="333" w:lineRule="auto" w:before="24"/>
        <w:ind w:left="218" w:right="217" w:firstLine="419"/>
        <w:jc w:val="both"/>
      </w:pPr>
      <w:r>
        <w:rPr>
          <w:spacing w:val="-2"/>
        </w:rPr>
        <w:t>筹资活动产生的现金流净额变动原因说明：报告期公司筹资活动产生的现金流量净额同比下</w:t>
      </w:r>
      <w:r>
        <w:rPr>
          <w:w w:val="100"/>
        </w:rPr>
        <w:t> </w:t>
      </w:r>
      <w:r>
        <w:rPr/>
        <w:t>降</w:t>
      </w:r>
      <w:r>
        <w:rPr>
          <w:spacing w:val="-58"/>
        </w:rPr>
        <w:t> </w:t>
      </w:r>
      <w:r>
        <w:rPr>
          <w:rFonts w:ascii="宋体" w:hAnsi="宋体" w:cs="宋体" w:eastAsia="宋体" w:hint="default"/>
        </w:rPr>
        <w:t>90.27%</w:t>
      </w:r>
      <w:r>
        <w:rPr/>
        <w:t>，主要系上期收到上市募集资金增加所致。</w:t>
      </w:r>
    </w:p>
    <w:p>
      <w:pPr>
        <w:pStyle w:val="Heading3"/>
        <w:spacing w:line="264" w:lineRule="exact" w:before="0"/>
        <w:ind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0"/>
        </w:rPr>
        <w:t> </w:t>
      </w:r>
      <w:r>
        <w:rPr/>
        <w:t>非主营业务导致利润重大变化的说明</w:t>
      </w:r>
      <w:r>
        <w:rPr>
          <w:b w:val="0"/>
          <w:bCs w:val="0"/>
        </w:rPr>
      </w:r>
    </w:p>
    <w:p>
      <w:pPr>
        <w:pStyle w:val="BodyText"/>
        <w:spacing w:line="240" w:lineRule="auto" w:before="56"/>
        <w:ind w:left="218" w:right="0"/>
        <w:jc w:val="left"/>
      </w:pPr>
      <w:r>
        <w:rPr/>
        <w:t>□适用</w:t>
      </w:r>
      <w:r>
        <w:rPr>
          <w:spacing w:val="-1"/>
        </w:rPr>
        <w:t> </w:t>
      </w:r>
      <w:r>
        <w:rPr/>
        <w:t>√不适用</w:t>
      </w:r>
    </w:p>
    <w:p>
      <w:pPr>
        <w:spacing w:after="0" w:line="240" w:lineRule="auto"/>
        <w:jc w:val="left"/>
        <w:sectPr>
          <w:type w:val="continuous"/>
          <w:pgSz w:w="11910" w:h="16840"/>
          <w:pgMar w:top="1120" w:bottom="1380" w:left="1580" w:right="1060"/>
        </w:sectPr>
      </w:pPr>
    </w:p>
    <w:p>
      <w:pPr>
        <w:spacing w:before="20"/>
        <w:ind w:left="6475" w:right="655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22"/>
          <w:footerReference w:type="default" r:id="rId23"/>
          <w:pgSz w:w="16840" w:h="11910" w:orient="landscape"/>
          <w:pgMar w:header="0" w:footer="0" w:top="800" w:bottom="280" w:left="1220" w:right="1240"/>
        </w:sectPr>
      </w:pPr>
    </w:p>
    <w:p>
      <w:pPr>
        <w:pStyle w:val="Heading3"/>
        <w:spacing w:line="240" w:lineRule="auto"/>
        <w:ind w:left="220" w:right="-19"/>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6"/>
        </w:rPr>
        <w:t> </w:t>
      </w:r>
      <w:r>
        <w:rPr/>
        <w:t>资产、负债情况分析</w:t>
      </w:r>
      <w:r>
        <w:rPr>
          <w:b w:val="0"/>
          <w:bCs w:val="0"/>
        </w:rPr>
      </w:r>
    </w:p>
    <w:p>
      <w:pPr>
        <w:pStyle w:val="BodyText"/>
        <w:tabs>
          <w:tab w:pos="1062" w:val="left" w:leader="none"/>
        </w:tabs>
        <w:spacing w:line="240" w:lineRule="auto" w:before="56"/>
        <w:ind w:left="220" w:right="-19"/>
        <w:jc w:val="left"/>
      </w:pPr>
      <w:r>
        <w:rPr/>
        <w:t>√适用</w:t>
        <w:tab/>
        <w:t>□不适用</w:t>
      </w:r>
    </w:p>
    <w:p>
      <w:pPr>
        <w:pStyle w:val="Heading3"/>
        <w:tabs>
          <w:tab w:pos="645" w:val="left" w:leader="none"/>
        </w:tabs>
        <w:spacing w:line="240" w:lineRule="auto" w:before="58"/>
        <w:ind w:left="220" w:right="-19"/>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20" w:right="0"/>
        <w:jc w:val="left"/>
      </w:pPr>
      <w:r>
        <w:rPr/>
        <w:t>单位：元</w:t>
      </w:r>
    </w:p>
    <w:p>
      <w:pPr>
        <w:spacing w:after="0" w:line="240" w:lineRule="auto"/>
        <w:jc w:val="left"/>
        <w:sectPr>
          <w:type w:val="continuous"/>
          <w:pgSz w:w="16840" w:h="11910" w:orient="landscape"/>
          <w:pgMar w:top="1120" w:bottom="1380" w:left="1220" w:right="1240"/>
          <w:cols w:num="2" w:equalWidth="0">
            <w:col w:w="2602" w:space="10432"/>
            <w:col w:w="134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50"/>
        <w:gridCol w:w="1971"/>
        <w:gridCol w:w="1262"/>
        <w:gridCol w:w="1971"/>
        <w:gridCol w:w="1159"/>
        <w:gridCol w:w="1351"/>
        <w:gridCol w:w="4681"/>
      </w:tblGrid>
      <w:tr>
        <w:trPr>
          <w:trHeight w:val="110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40" w:lineRule="auto"/>
              <w:ind w:left="206" w:right="201"/>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40" w:lineRule="auto"/>
              <w:ind w:left="155" w:right="149"/>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40" w:lineRule="auto"/>
              <w:ind w:left="144" w:right="141"/>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35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2,189,152,597.25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58.22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1,237,404,897.81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37.69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76.91</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主要系公司期末赎回理财产品所致</w:t>
            </w:r>
          </w:p>
        </w:tc>
      </w:tr>
      <w:tr>
        <w:trPr>
          <w:trHeight w:val="34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51,764,394.13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1.38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30,070,145.72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0.92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72.15</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主要系公司报告期内新增预付房租所致</w:t>
            </w:r>
          </w:p>
        </w:tc>
      </w:tr>
      <w:tr>
        <w:trPr>
          <w:trHeight w:val="557"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50,506,567.65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1.34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11,898,841.62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0.36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324.47</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主要系公司报告期内新增应收上海朴银</w:t>
            </w:r>
            <w:r>
              <w:rPr>
                <w:rFonts w:ascii="宋体" w:hAnsi="宋体" w:cs="宋体" w:eastAsia="宋体" w:hint="default"/>
                <w:spacing w:val="-54"/>
                <w:sz w:val="21"/>
                <w:szCs w:val="21"/>
              </w:rPr>
              <w:t> </w:t>
            </w:r>
            <w:r>
              <w:rPr>
                <w:rFonts w:ascii="宋体" w:hAnsi="宋体" w:cs="宋体" w:eastAsia="宋体" w:hint="default"/>
                <w:sz w:val="21"/>
                <w:szCs w:val="21"/>
              </w:rPr>
              <w:t>3,120.00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万元股权转让款所致</w:t>
            </w:r>
          </w:p>
        </w:tc>
      </w:tr>
      <w:tr>
        <w:trPr>
          <w:trHeight w:val="34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1,863,558.08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0.05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1,072,429.58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0.03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73.77</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主要系公司报告期内新增库存所致</w:t>
            </w:r>
          </w:p>
        </w:tc>
      </w:tr>
      <w:tr>
        <w:trPr>
          <w:trHeight w:val="35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725,000,000.00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z w:val="21"/>
              </w:rPr>
              <w:t>22.08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-100.00</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主要系公司期末赎回理财产品所致</w:t>
            </w:r>
          </w:p>
        </w:tc>
      </w:tr>
      <w:tr>
        <w:trPr>
          <w:trHeight w:val="555"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220,843,865.86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z w:val="21"/>
              </w:rPr>
              <w:t>5.87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64,554,583.70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z w:val="21"/>
              </w:rPr>
              <w:t>1.97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242.10</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主要系公司报告期内新增投资新华智云、海南亿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连和江苏瑞德所致</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184,494,818.09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4.91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88,084,463.04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2.68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109.45</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主要系公司报告期内公司加大技术及设备投入与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研发力度，在建工程结项结转固定资产所致</w:t>
            </w:r>
          </w:p>
        </w:tc>
      </w:tr>
      <w:tr>
        <w:trPr>
          <w:trHeight w:val="35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7,460,793.66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z w:val="21"/>
              </w:rPr>
              <w:t>0.20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3,485,883.75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z w:val="21"/>
              </w:rPr>
              <w:t>0.11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114.03</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主要系公司报告期内新增购入软件所致</w:t>
            </w:r>
          </w:p>
        </w:tc>
      </w:tr>
      <w:tr>
        <w:trPr>
          <w:trHeight w:val="35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30,887,264.30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z w:val="21"/>
              </w:rPr>
              <w:t>0.82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55,195,376.93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z w:val="21"/>
              </w:rPr>
              <w:t>1.68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-44.04</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主要系报告期内摊销的装修费及租赁费用无新增</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7,323,226.68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0.19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11,805,219.37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0.36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-37.97</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主要系公司前期预付的固定资产到货验收并结转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至固定资产所致</w:t>
            </w:r>
          </w:p>
        </w:tc>
      </w:tr>
      <w:tr>
        <w:trPr>
          <w:trHeight w:val="350"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123,362,934.80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3.28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96,562,135.38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2.94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27.75</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主要系计提报告内应付代理费及业务成本所致</w:t>
            </w:r>
          </w:p>
        </w:tc>
      </w:tr>
      <w:tr>
        <w:trPr>
          <w:trHeight w:val="35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65,044,971.20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6"/>
              <w:jc w:val="right"/>
              <w:rPr>
                <w:rFonts w:ascii="宋体" w:hAnsi="宋体" w:cs="宋体" w:eastAsia="宋体" w:hint="default"/>
                <w:sz w:val="21"/>
                <w:szCs w:val="21"/>
              </w:rPr>
            </w:pPr>
            <w:r>
              <w:rPr>
                <w:rFonts w:ascii="宋体"/>
                <w:sz w:val="21"/>
              </w:rPr>
              <w:t>1.73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43,867,123.95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6"/>
              <w:jc w:val="right"/>
              <w:rPr>
                <w:rFonts w:ascii="宋体" w:hAnsi="宋体" w:cs="宋体" w:eastAsia="宋体" w:hint="default"/>
                <w:sz w:val="21"/>
                <w:szCs w:val="21"/>
              </w:rPr>
            </w:pPr>
            <w:r>
              <w:rPr>
                <w:rFonts w:ascii="宋体"/>
                <w:sz w:val="21"/>
              </w:rPr>
              <w:t>1.34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z w:val="21"/>
              </w:rPr>
              <w:t>48.28</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主要系公司报告期末计提人工成本增加所致</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147,093,824.18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3.91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85,093,100.46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2.59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72.86</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主要系报告期内新增海外访问提速及融合传播平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台政府补助所致</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7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65,000,000.00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1.98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主要系公司本期完成增资，预收投资款结转至所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有者权益所致</w:t>
            </w:r>
          </w:p>
        </w:tc>
      </w:tr>
    </w:tbl>
    <w:p>
      <w:pPr>
        <w:spacing w:line="240" w:lineRule="auto" w:before="1"/>
        <w:rPr>
          <w:rFonts w:ascii="宋体" w:hAnsi="宋体" w:cs="宋体" w:eastAsia="宋体" w:hint="default"/>
          <w:sz w:val="8"/>
          <w:szCs w:val="8"/>
        </w:rPr>
      </w:pPr>
    </w:p>
    <w:p>
      <w:pPr>
        <w:spacing w:before="63"/>
        <w:ind w:left="6475" w:right="6539" w:firstLine="0"/>
        <w:jc w:val="center"/>
        <w:rPr>
          <w:rFonts w:ascii="Calibri" w:hAnsi="Calibri" w:cs="Calibri" w:eastAsia="Calibri" w:hint="default"/>
          <w:sz w:val="18"/>
          <w:szCs w:val="18"/>
        </w:rPr>
      </w:pPr>
      <w:r>
        <w:rPr>
          <w:rFonts w:ascii="Calibri"/>
          <w:b/>
          <w:sz w:val="18"/>
        </w:rPr>
        <w:t>23 </w:t>
      </w:r>
      <w:r>
        <w:rPr>
          <w:rFonts w:ascii="Calibri"/>
          <w:sz w:val="18"/>
        </w:rPr>
        <w:t>/</w:t>
      </w:r>
      <w:r>
        <w:rPr>
          <w:rFonts w:ascii="Calibri"/>
          <w:spacing w:val="-4"/>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240"/>
        </w:sectPr>
      </w:pPr>
    </w:p>
    <w:p>
      <w:pPr>
        <w:spacing w:line="240" w:lineRule="auto" w:before="11"/>
        <w:rPr>
          <w:rFonts w:ascii="Calibri" w:hAnsi="Calibri" w:cs="Calibri" w:eastAsia="Calibri" w:hint="default"/>
          <w:b/>
          <w:bCs/>
          <w:sz w:val="28"/>
          <w:szCs w:val="28"/>
        </w:rPr>
      </w:pPr>
    </w:p>
    <w:p>
      <w:pPr>
        <w:pStyle w:val="BodyText"/>
        <w:spacing w:line="273" w:lineRule="auto" w:before="36"/>
        <w:ind w:right="8188"/>
        <w:jc w:val="left"/>
      </w:pPr>
      <w:r>
        <w:rPr/>
        <w:t>其他说明</w:t>
      </w:r>
      <w:r>
        <w:rPr>
          <w:w w:val="100"/>
        </w:rPr>
        <w:t> </w:t>
      </w:r>
      <w:r>
        <w:rPr/>
        <w:t>无</w:t>
      </w:r>
    </w:p>
    <w:p>
      <w:pPr>
        <w:pStyle w:val="Heading3"/>
        <w:tabs>
          <w:tab w:pos="562" w:val="left" w:leader="none"/>
        </w:tabs>
        <w:spacing w:line="240" w:lineRule="auto" w:before="67"/>
        <w:ind w:left="138" w:right="101"/>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pStyle w:val="BodyText"/>
        <w:spacing w:line="240" w:lineRule="auto" w:before="37"/>
        <w:ind w:right="101"/>
        <w:jc w:val="left"/>
      </w:pPr>
      <w:r>
        <w:rPr/>
        <w:t>具有明确持有至到期意图的定期存款和保证金</w:t>
      </w:r>
      <w:r>
        <w:rPr>
          <w:spacing w:val="-56"/>
        </w:rPr>
        <w:t> </w:t>
      </w:r>
      <w:r>
        <w:rPr>
          <w:rFonts w:ascii="宋体" w:hAnsi="宋体" w:cs="宋体" w:eastAsia="宋体" w:hint="default"/>
        </w:rPr>
        <w:t>861,526,984.21</w:t>
      </w:r>
      <w:r>
        <w:rPr>
          <w:rFonts w:ascii="宋体" w:hAnsi="宋体" w:cs="宋体" w:eastAsia="宋体" w:hint="default"/>
          <w:spacing w:val="-56"/>
        </w:rPr>
        <w:t> </w:t>
      </w:r>
      <w:r>
        <w:rPr>
          <w:spacing w:val="-3"/>
        </w:rPr>
        <w:t>元。</w:t>
      </w:r>
      <w:r>
        <w:rPr/>
      </w:r>
    </w:p>
    <w:p>
      <w:pPr>
        <w:pStyle w:val="Heading3"/>
        <w:tabs>
          <w:tab w:pos="562" w:val="left" w:leader="none"/>
        </w:tabs>
        <w:spacing w:line="240" w:lineRule="auto" w:before="97"/>
        <w:ind w:left="138" w:right="101"/>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pStyle w:val="Heading3"/>
        <w:spacing w:line="240" w:lineRule="auto" w:before="97"/>
        <w:ind w:left="138" w:right="101"/>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7"/>
        </w:rPr>
        <w:t> </w:t>
      </w:r>
      <w:r>
        <w:rPr/>
        <w:t>行业经营性信息分析</w:t>
      </w:r>
      <w:r>
        <w:rPr>
          <w:b w:val="0"/>
          <w:bCs w:val="0"/>
        </w:rPr>
      </w:r>
    </w:p>
    <w:p>
      <w:pPr>
        <w:pStyle w:val="BodyText"/>
        <w:tabs>
          <w:tab w:pos="980" w:val="left" w:leader="none"/>
        </w:tabs>
        <w:spacing w:line="273" w:lineRule="auto" w:before="97"/>
        <w:ind w:left="558" w:right="217" w:hanging="420"/>
        <w:jc w:val="left"/>
      </w:pPr>
      <w:r>
        <w:rPr>
          <w:spacing w:val="-1"/>
        </w:rPr>
        <w:t>√适用</w:t>
        <w:tab/>
      </w:r>
      <w:r>
        <w:rPr>
          <w:spacing w:val="-2"/>
        </w:rPr>
        <w:t>□不适用</w:t>
      </w:r>
      <w:r>
        <w:rPr>
          <w:spacing w:val="-99"/>
        </w:rPr>
        <w:t> </w:t>
      </w:r>
      <w:r>
        <w:rPr>
          <w:spacing w:val="-99"/>
        </w:rPr>
      </w:r>
      <w:r>
        <w:rPr>
          <w:spacing w:val="-2"/>
        </w:rPr>
        <w:t>根据证监会上市公司行业分类结果，公司属于信息传输、软件和信息技术服务业下的互联网</w:t>
      </w:r>
    </w:p>
    <w:p>
      <w:pPr>
        <w:pStyle w:val="BodyText"/>
        <w:spacing w:line="273" w:lineRule="auto" w:before="7"/>
        <w:ind w:right="101"/>
        <w:jc w:val="left"/>
      </w:pPr>
      <w:r>
        <w:rPr>
          <w:spacing w:val="-4"/>
        </w:rPr>
        <w:t>和相关服务大类（</w:t>
      </w:r>
      <w:r>
        <w:rPr>
          <w:rFonts w:ascii="宋体" w:hAnsi="宋体" w:cs="宋体" w:eastAsia="宋体" w:hint="default"/>
          <w:spacing w:val="-4"/>
        </w:rPr>
        <w:t>I64</w:t>
      </w:r>
      <w:r>
        <w:rPr>
          <w:spacing w:val="-4"/>
        </w:rPr>
        <w:t>）。具体行业经营性分析详见报告“第三节公司业务概要”及“第四节经营</w:t>
      </w:r>
      <w:r>
        <w:rPr>
          <w:spacing w:val="-30"/>
        </w:rPr>
        <w:t> </w:t>
      </w:r>
      <w:r>
        <w:rPr>
          <w:spacing w:val="-30"/>
        </w:rPr>
      </w:r>
      <w:r>
        <w:rPr/>
        <w:t>情况讨论与分析”中相关描述。</w:t>
      </w:r>
    </w:p>
    <w:p>
      <w:pPr>
        <w:pStyle w:val="Heading3"/>
        <w:spacing w:line="240" w:lineRule="auto" w:before="67"/>
        <w:ind w:left="138" w:right="101"/>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8"/>
        </w:rPr>
        <w:t> </w:t>
      </w:r>
      <w:r>
        <w:rPr/>
        <w:t>投资状况分析</w:t>
      </w:r>
      <w:r>
        <w:rPr>
          <w:b w:val="0"/>
          <w:bCs w:val="0"/>
        </w:rPr>
      </w:r>
    </w:p>
    <w:p>
      <w:pPr>
        <w:pStyle w:val="Heading3"/>
        <w:spacing w:line="240" w:lineRule="auto" w:before="97"/>
        <w:ind w:left="138" w:right="101"/>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3" w:lineRule="auto" w:before="97"/>
        <w:ind w:left="558" w:right="101" w:hanging="420"/>
        <w:jc w:val="left"/>
      </w:pPr>
      <w:r>
        <w:rPr/>
        <w:t>√适用</w:t>
      </w:r>
      <w:r>
        <w:rPr>
          <w:spacing w:val="-2"/>
        </w:rPr>
        <w:t> </w:t>
      </w:r>
      <w:r>
        <w:rPr/>
        <w:t>□不适用</w:t>
      </w:r>
      <w:r>
        <w:rPr>
          <w:w w:val="100"/>
        </w:rPr>
        <w:t> </w:t>
      </w:r>
      <w:r>
        <w:rPr>
          <w:spacing w:val="-7"/>
        </w:rPr>
        <w:t>关于本公司报告期内对外股权投资情况，请参见本报告“第十一节财务报告长期股权投资”。</w:t>
      </w:r>
    </w:p>
    <w:p>
      <w:pPr>
        <w:pStyle w:val="Heading3"/>
        <w:spacing w:line="240" w:lineRule="auto" w:before="67"/>
        <w:ind w:left="138" w:right="101"/>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pStyle w:val="BodyText"/>
        <w:spacing w:line="240" w:lineRule="auto" w:before="92"/>
        <w:ind w:left="558" w:right="101"/>
        <w:jc w:val="left"/>
      </w:pPr>
      <w:r>
        <w:rPr/>
        <w:t>公司于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11</w:t>
      </w:r>
      <w:r>
        <w:rPr>
          <w:rFonts w:ascii="宋体" w:hAnsi="宋体" w:cs="宋体" w:eastAsia="宋体" w:hint="default"/>
          <w:spacing w:val="-53"/>
        </w:rPr>
        <w:t> </w:t>
      </w:r>
      <w:r>
        <w:rPr/>
        <w:t>日、</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11</w:t>
      </w:r>
      <w:r>
        <w:rPr>
          <w:rFonts w:ascii="宋体" w:hAnsi="宋体" w:cs="宋体" w:eastAsia="宋体" w:hint="default"/>
          <w:spacing w:val="-53"/>
        </w:rPr>
        <w:t> </w:t>
      </w:r>
      <w:r>
        <w:rPr/>
        <w:t>日召开的第二届董事会第十九次（临时）会议以</w:t>
      </w:r>
    </w:p>
    <w:p>
      <w:pPr>
        <w:pStyle w:val="BodyText"/>
        <w:spacing w:line="314" w:lineRule="auto" w:before="85"/>
        <w:ind w:right="104"/>
        <w:jc w:val="left"/>
      </w:pPr>
      <w:r>
        <w:rPr/>
        <w:t>及</w:t>
      </w:r>
      <w:r>
        <w:rPr>
          <w:spacing w:val="-53"/>
        </w:rPr>
        <w:t> </w:t>
      </w:r>
      <w:r>
        <w:rPr>
          <w:rFonts w:ascii="宋体" w:hAnsi="宋体" w:cs="宋体" w:eastAsia="宋体" w:hint="default"/>
        </w:rPr>
        <w:t>2016</w:t>
      </w:r>
      <w:r>
        <w:rPr>
          <w:rFonts w:ascii="宋体" w:hAnsi="宋体" w:cs="宋体" w:eastAsia="宋体" w:hint="default"/>
          <w:spacing w:val="-53"/>
        </w:rPr>
        <w:t> </w:t>
      </w:r>
      <w:r>
        <w:rPr/>
        <w:t>年年度股东大会审议通过了《关于公司对外投资参股设立合资公司暨关联交易的议案》。</w:t>
      </w:r>
      <w:r>
        <w:rPr>
          <w:w w:val="100"/>
        </w:rPr>
        <w:t> </w:t>
      </w:r>
      <w:r>
        <w:rPr/>
        <w:t>新华网、新媒文化、中经社、阿里以及数问云共同设立新华智云科技有限公司，新华智云科技有</w:t>
      </w:r>
      <w:r>
        <w:rPr>
          <w:w w:val="100"/>
        </w:rPr>
        <w:t> </w:t>
      </w:r>
      <w:r>
        <w:rPr/>
        <w:t>限公司的注册资本为人民币</w:t>
      </w:r>
      <w:r>
        <w:rPr>
          <w:spacing w:val="-48"/>
        </w:rPr>
        <w:t> </w:t>
      </w:r>
      <w:r>
        <w:rPr>
          <w:rFonts w:ascii="宋体" w:hAnsi="宋体" w:cs="宋体" w:eastAsia="宋体" w:hint="default"/>
        </w:rPr>
        <w:t>49,019.6079</w:t>
      </w:r>
      <w:r>
        <w:rPr>
          <w:rFonts w:ascii="宋体" w:hAnsi="宋体" w:cs="宋体" w:eastAsia="宋体" w:hint="default"/>
          <w:spacing w:val="-51"/>
        </w:rPr>
        <w:t> </w:t>
      </w:r>
      <w:r>
        <w:rPr>
          <w:spacing w:val="-5"/>
        </w:rPr>
        <w:t>万元，其中新华网认缴出资人民币</w:t>
      </w:r>
      <w:r>
        <w:rPr>
          <w:spacing w:val="-51"/>
        </w:rPr>
        <w:t> </w:t>
      </w:r>
      <w:r>
        <w:rPr>
          <w:rFonts w:ascii="宋体" w:hAnsi="宋体" w:cs="宋体" w:eastAsia="宋体" w:hint="default"/>
        </w:rPr>
        <w:t>20,000</w:t>
      </w:r>
      <w:r>
        <w:rPr>
          <w:rFonts w:ascii="宋体" w:hAnsi="宋体" w:cs="宋体" w:eastAsia="宋体" w:hint="default"/>
          <w:spacing w:val="-47"/>
        </w:rPr>
        <w:t> </w:t>
      </w:r>
      <w:r>
        <w:rPr>
          <w:spacing w:val="-9"/>
        </w:rPr>
        <w:t>万元，持股比</w:t>
      </w:r>
      <w:r>
        <w:rPr>
          <w:spacing w:val="-94"/>
        </w:rPr>
        <w:t> </w:t>
      </w:r>
      <w:r>
        <w:rPr>
          <w:spacing w:val="-94"/>
        </w:rPr>
      </w:r>
      <w:r>
        <w:rPr/>
        <w:t>例为</w:t>
      </w:r>
      <w:r>
        <w:rPr>
          <w:spacing w:val="-54"/>
        </w:rPr>
        <w:t> </w:t>
      </w:r>
      <w:r>
        <w:rPr>
          <w:rFonts w:ascii="宋体" w:hAnsi="宋体" w:cs="宋体" w:eastAsia="宋体" w:hint="default"/>
        </w:rPr>
        <w:t>40.8%</w:t>
      </w:r>
      <w:r>
        <w:rPr/>
        <w:t>。报告期内，新华智云科技有限公司已完成了工商注册登记手续，并领取了《营业执</w:t>
      </w:r>
      <w:r>
        <w:rPr>
          <w:w w:val="100"/>
        </w:rPr>
        <w:t> </w:t>
      </w:r>
      <w:r>
        <w:rPr/>
        <w:t>照》。报告期内，新华网已出资人民币</w:t>
      </w:r>
      <w:r>
        <w:rPr>
          <w:spacing w:val="-55"/>
        </w:rPr>
        <w:t> </w:t>
      </w:r>
      <w:r>
        <w:rPr>
          <w:rFonts w:ascii="宋体" w:hAnsi="宋体" w:cs="宋体" w:eastAsia="宋体" w:hint="default"/>
        </w:rPr>
        <w:t>1.30</w:t>
      </w:r>
      <w:r>
        <w:rPr>
          <w:rFonts w:ascii="宋体" w:hAnsi="宋体" w:cs="宋体" w:eastAsia="宋体" w:hint="default"/>
          <w:spacing w:val="-57"/>
        </w:rPr>
        <w:t> </w:t>
      </w:r>
      <w:r>
        <w:rPr/>
        <w:t>亿元认缴其注册资本。具体内容详见公司于</w:t>
      </w:r>
      <w:r>
        <w:rPr>
          <w:spacing w:val="-54"/>
        </w:rPr>
        <w:t> </w:t>
      </w:r>
      <w:r>
        <w:rPr>
          <w:rFonts w:ascii="宋体" w:hAnsi="宋体" w:cs="宋体" w:eastAsia="宋体" w:hint="default"/>
        </w:rPr>
        <w:t>2017</w:t>
      </w:r>
      <w:r>
        <w:rPr>
          <w:rFonts w:ascii="宋体" w:hAnsi="宋体" w:cs="宋体" w:eastAsia="宋体" w:hint="default"/>
          <w:spacing w:val="-55"/>
        </w:rPr>
        <w:t> </w:t>
      </w:r>
      <w:r>
        <w:rPr/>
        <w:t>年</w:t>
      </w:r>
    </w:p>
    <w:p>
      <w:pPr>
        <w:pStyle w:val="BodyText"/>
        <w:spacing w:line="314" w:lineRule="auto" w:before="20"/>
        <w:ind w:right="219"/>
        <w:jc w:val="both"/>
      </w:pP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14</w:t>
      </w:r>
      <w:r>
        <w:rPr>
          <w:rFonts w:ascii="宋体" w:hAnsi="宋体" w:cs="宋体" w:eastAsia="宋体" w:hint="default"/>
          <w:spacing w:val="-54"/>
        </w:rPr>
        <w:t> </w:t>
      </w:r>
      <w:r>
        <w:rPr/>
        <w:t>日刊登在上海证券交易所网站（</w:t>
      </w:r>
      <w:hyperlink r:id="rId10">
        <w:r>
          <w:rPr>
            <w:rFonts w:ascii="宋体" w:hAnsi="宋体" w:cs="宋体" w:eastAsia="宋体" w:hint="default"/>
          </w:rPr>
          <w:t>www.sse.com.cn</w:t>
        </w:r>
      </w:hyperlink>
      <w:r>
        <w:rPr/>
        <w:t>）的《新华网股份有</w:t>
      </w:r>
      <w:r>
        <w:rPr>
          <w:w w:val="100"/>
        </w:rPr>
        <w:t> </w:t>
      </w:r>
      <w:r>
        <w:rPr>
          <w:spacing w:val="-2"/>
        </w:rPr>
        <w:t>限公司对外投资参股设立合资公司暨关联交易的公告》（公告编号：</w:t>
      </w:r>
      <w:r>
        <w:rPr>
          <w:rFonts w:ascii="宋体" w:hAnsi="宋体" w:cs="宋体" w:eastAsia="宋体" w:hint="default"/>
          <w:spacing w:val="-2"/>
        </w:rPr>
        <w:t>2017-008</w:t>
      </w:r>
      <w:r>
        <w:rPr>
          <w:spacing w:val="-2"/>
        </w:rPr>
        <w:t>）及《新华网股份</w:t>
      </w:r>
      <w:r>
        <w:rPr>
          <w:spacing w:val="-22"/>
        </w:rPr>
        <w:t> </w:t>
      </w:r>
      <w:r>
        <w:rPr>
          <w:spacing w:val="-22"/>
        </w:rPr>
      </w:r>
      <w:r>
        <w:rPr/>
        <w:t>有限公司关于参股公司完成工商注册登记的公告》（公告编号：</w:t>
      </w:r>
      <w:r>
        <w:rPr>
          <w:rFonts w:ascii="宋体" w:hAnsi="宋体" w:cs="宋体" w:eastAsia="宋体" w:hint="default"/>
        </w:rPr>
        <w:t>2017-030</w:t>
      </w:r>
      <w:r>
        <w:rPr/>
        <w:t>）。</w:t>
      </w:r>
    </w:p>
    <w:p>
      <w:pPr>
        <w:pStyle w:val="Heading3"/>
        <w:spacing w:line="240" w:lineRule="auto" w:before="25"/>
        <w:ind w:left="138" w:right="101"/>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pStyle w:val="Heading3"/>
        <w:spacing w:line="240" w:lineRule="auto" w:before="97"/>
        <w:ind w:left="138" w:right="101"/>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980" w:val="left" w:leader="none"/>
        </w:tabs>
        <w:spacing w:line="273" w:lineRule="auto" w:before="97"/>
        <w:ind w:right="1689"/>
        <w:jc w:val="left"/>
      </w:pPr>
      <w:r>
        <w:rPr>
          <w:spacing w:val="-1"/>
        </w:rPr>
        <w:t>√适用</w:t>
        <w:tab/>
      </w:r>
      <w:r>
        <w:rPr>
          <w:spacing w:val="-2"/>
        </w:rPr>
        <w:t>□不适用</w:t>
      </w:r>
      <w:r>
        <w:rPr>
          <w:spacing w:val="-99"/>
        </w:rPr>
        <w:t> </w:t>
      </w:r>
      <w:r>
        <w:rPr>
          <w:spacing w:val="-99"/>
        </w:rPr>
      </w:r>
      <w:r>
        <w:rPr>
          <w:spacing w:val="-2"/>
        </w:rPr>
        <w:t>详见本报告第二节“公司简介和主要财务指标”“采用公允价值计量的项目”。</w:t>
      </w:r>
    </w:p>
    <w:p>
      <w:pPr>
        <w:pStyle w:val="Heading3"/>
        <w:spacing w:line="240" w:lineRule="auto" w:before="67"/>
        <w:ind w:left="138" w:right="101"/>
        <w:jc w:val="left"/>
        <w:rPr>
          <w:b w:val="0"/>
          <w:bCs w:val="0"/>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7"/>
        </w:rPr>
        <w:t> </w:t>
      </w:r>
      <w:r>
        <w:rPr/>
        <w:t>重大资产和股权出售</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pStyle w:val="Heading3"/>
        <w:spacing w:line="240" w:lineRule="auto" w:before="97"/>
        <w:ind w:left="138" w:right="101"/>
        <w:jc w:val="left"/>
        <w:rPr>
          <w:b w:val="0"/>
          <w:bCs w:val="0"/>
        </w:rPr>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50"/>
        </w:rPr>
        <w:t> </w:t>
      </w:r>
      <w:r>
        <w:rPr/>
        <w:t>主要控股参股公司分析</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63"/>
        <w:ind w:left="3341" w:right="3418" w:firstLine="0"/>
        <w:jc w:val="center"/>
        <w:rPr>
          <w:rFonts w:ascii="Calibri" w:hAnsi="Calibri" w:cs="Calibri" w:eastAsia="Calibri" w:hint="default"/>
          <w:sz w:val="18"/>
          <w:szCs w:val="18"/>
        </w:rPr>
      </w:pPr>
      <w:r>
        <w:rPr>
          <w:rFonts w:ascii="Calibri"/>
          <w:b/>
          <w:sz w:val="18"/>
        </w:rPr>
        <w:t>24 </w:t>
      </w:r>
      <w:r>
        <w:rPr>
          <w:rFonts w:ascii="Calibri"/>
          <w:sz w:val="18"/>
        </w:rPr>
        <w:t>/</w:t>
      </w:r>
      <w:r>
        <w:rPr>
          <w:rFonts w:ascii="Calibri"/>
          <w:spacing w:val="-4"/>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headerReference w:type="default" r:id="rId24"/>
          <w:footerReference w:type="default" r:id="rId25"/>
          <w:pgSz w:w="11910" w:h="16840"/>
          <w:pgMar w:header="882" w:footer="0" w:top="1120" w:bottom="280" w:left="1660" w:right="10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BodyText"/>
        <w:spacing w:line="240" w:lineRule="auto" w:before="171"/>
        <w:ind w:left="460" w:right="0"/>
        <w:jc w:val="left"/>
      </w:pPr>
      <w:r>
        <w:rPr>
          <w:rFonts w:ascii="宋体" w:hAnsi="宋体" w:cs="宋体" w:eastAsia="宋体" w:hint="default"/>
        </w:rPr>
        <w:t>1</w:t>
      </w:r>
      <w:r>
        <w:rPr/>
        <w:t>、报告期内，公司主要控股、参股公司基本信息及主要财务数据信息如下表所示：</w:t>
      </w:r>
    </w:p>
    <w:p>
      <w:pPr>
        <w:pStyle w:val="BodyText"/>
        <w:tabs>
          <w:tab w:pos="1365" w:val="left" w:leader="none"/>
        </w:tabs>
        <w:spacing w:line="240" w:lineRule="auto" w:before="37"/>
        <w:ind w:left="0" w:right="474"/>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915"/>
        <w:gridCol w:w="6097"/>
        <w:gridCol w:w="992"/>
        <w:gridCol w:w="1279"/>
        <w:gridCol w:w="1556"/>
        <w:gridCol w:w="1277"/>
        <w:gridCol w:w="1274"/>
        <w:gridCol w:w="1184"/>
      </w:tblGrid>
      <w:tr>
        <w:trPr>
          <w:trHeight w:val="634"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32" w:hanging="209"/>
              <w:jc w:val="left"/>
              <w:rPr>
                <w:rFonts w:ascii="宋体" w:hAnsi="宋体" w:cs="宋体" w:eastAsia="宋体" w:hint="default"/>
                <w:sz w:val="21"/>
                <w:szCs w:val="21"/>
              </w:rPr>
            </w:pPr>
            <w:r>
              <w:rPr>
                <w:rFonts w:ascii="宋体" w:hAnsi="宋体" w:cs="宋体" w:eastAsia="宋体" w:hint="default"/>
                <w:sz w:val="21"/>
                <w:szCs w:val="21"/>
              </w:rPr>
              <w:t>公司名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firstLine="5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5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1"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570"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6" w:right="132"/>
              <w:jc w:val="center"/>
              <w:rPr>
                <w:rFonts w:ascii="宋体" w:hAnsi="宋体" w:cs="宋体" w:eastAsia="宋体" w:hint="default"/>
                <w:sz w:val="21"/>
                <w:szCs w:val="21"/>
              </w:rPr>
            </w:pPr>
            <w:r>
              <w:rPr>
                <w:rFonts w:ascii="宋体" w:hAnsi="宋体" w:cs="宋体" w:eastAsia="宋体" w:hint="default"/>
                <w:sz w:val="21"/>
                <w:szCs w:val="21"/>
              </w:rPr>
              <w:t>新华网</w:t>
            </w:r>
            <w:r>
              <w:rPr>
                <w:rFonts w:ascii="宋体" w:hAnsi="宋体" w:cs="宋体" w:eastAsia="宋体" w:hint="default"/>
                <w:w w:val="100"/>
                <w:sz w:val="21"/>
                <w:szCs w:val="21"/>
              </w:rPr>
              <w:t> </w:t>
            </w:r>
            <w:r>
              <w:rPr>
                <w:rFonts w:ascii="宋体" w:hAnsi="宋体" w:cs="宋体" w:eastAsia="宋体" w:hint="default"/>
                <w:sz w:val="21"/>
                <w:szCs w:val="21"/>
              </w:rPr>
              <w:t>欧洲公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News &amp; Information service,website</w:t>
            </w:r>
            <w:r>
              <w:rPr>
                <w:rFonts w:ascii="宋体" w:hAnsi="宋体" w:cs="宋体" w:eastAsia="宋体" w:hint="default"/>
                <w:spacing w:val="-5"/>
                <w:sz w:val="21"/>
                <w:szCs w:val="21"/>
              </w:rPr>
              <w:t> </w:t>
            </w:r>
            <w:r>
              <w:rPr>
                <w:rFonts w:ascii="宋体" w:hAnsi="宋体" w:cs="宋体" w:eastAsia="宋体" w:hint="default"/>
                <w:sz w:val="21"/>
                <w:szCs w:val="21"/>
              </w:rPr>
              <w:t>design/publish/</w:t>
            </w:r>
            <w:r>
              <w:rPr>
                <w:rFonts w:ascii="宋体" w:hAnsi="宋体" w:cs="宋体" w:eastAsia="宋体" w:hint="default"/>
                <w:w w:val="100"/>
                <w:sz w:val="21"/>
                <w:szCs w:val="21"/>
              </w:rPr>
              <w:t> </w:t>
            </w:r>
            <w:r>
              <w:rPr>
                <w:rFonts w:ascii="宋体" w:hAnsi="宋体" w:cs="宋体" w:eastAsia="宋体" w:hint="default"/>
                <w:sz w:val="21"/>
                <w:szCs w:val="21"/>
              </w:rPr>
              <w:t>operation,advertisement,consultantservice,events</w:t>
            </w:r>
            <w:r>
              <w:rPr>
                <w:rFonts w:ascii="宋体" w:hAnsi="宋体" w:cs="宋体" w:eastAsia="宋体" w:hint="default"/>
                <w:w w:val="100"/>
                <w:sz w:val="21"/>
                <w:szCs w:val="21"/>
              </w:rPr>
              <w:t> </w:t>
            </w:r>
            <w:r>
              <w:rPr>
                <w:rFonts w:ascii="宋体" w:hAnsi="宋体" w:cs="宋体" w:eastAsia="宋体" w:hint="default"/>
                <w:sz w:val="21"/>
                <w:szCs w:val="21"/>
              </w:rPr>
              <w:t>service,ICT related production</w:t>
            </w:r>
            <w:r>
              <w:rPr>
                <w:rFonts w:ascii="宋体" w:hAnsi="宋体" w:cs="宋体" w:eastAsia="宋体" w:hint="default"/>
                <w:spacing w:val="-8"/>
                <w:sz w:val="21"/>
                <w:szCs w:val="21"/>
              </w:rPr>
              <w:t> </w:t>
            </w:r>
            <w:r>
              <w:rPr>
                <w:rFonts w:ascii="宋体" w:hAnsi="宋体" w:cs="宋体" w:eastAsia="宋体" w:hint="default"/>
                <w:sz w:val="21"/>
                <w:szCs w:val="21"/>
              </w:rPr>
              <w:t>development/sales</w:t>
            </w:r>
            <w:r>
              <w:rPr>
                <w:rFonts w:ascii="宋体" w:hAnsi="宋体" w:cs="宋体" w:eastAsia="宋体" w:hint="default"/>
                <w:sz w:val="21"/>
                <w:szCs w:val="21"/>
              </w:rPr>
              <w:t>（新闻信</w:t>
            </w:r>
            <w:r>
              <w:rPr>
                <w:rFonts w:ascii="宋体" w:hAnsi="宋体" w:cs="宋体" w:eastAsia="宋体" w:hint="default"/>
                <w:w w:val="100"/>
                <w:sz w:val="21"/>
                <w:szCs w:val="21"/>
              </w:rPr>
              <w:t> </w:t>
            </w:r>
            <w:r>
              <w:rPr>
                <w:rFonts w:ascii="宋体" w:hAnsi="宋体" w:cs="宋体" w:eastAsia="宋体" w:hint="default"/>
                <w:spacing w:val="-5"/>
                <w:sz w:val="21"/>
                <w:szCs w:val="21"/>
              </w:rPr>
              <w:t>息服务，网页设计</w:t>
            </w:r>
            <w:r>
              <w:rPr>
                <w:rFonts w:ascii="宋体" w:hAnsi="宋体" w:cs="宋体" w:eastAsia="宋体" w:hint="default"/>
                <w:spacing w:val="-5"/>
                <w:sz w:val="21"/>
                <w:szCs w:val="21"/>
              </w:rPr>
              <w:t>/</w:t>
            </w:r>
            <w:r>
              <w:rPr>
                <w:rFonts w:ascii="宋体" w:hAnsi="宋体" w:cs="宋体" w:eastAsia="宋体" w:hint="default"/>
                <w:spacing w:val="-5"/>
                <w:sz w:val="21"/>
                <w:szCs w:val="21"/>
              </w:rPr>
              <w:t>发布</w:t>
            </w:r>
            <w:r>
              <w:rPr>
                <w:rFonts w:ascii="宋体" w:hAnsi="宋体" w:cs="宋体" w:eastAsia="宋体" w:hint="default"/>
                <w:spacing w:val="-5"/>
                <w:sz w:val="21"/>
                <w:szCs w:val="21"/>
              </w:rPr>
              <w:t>/</w:t>
            </w:r>
            <w:r>
              <w:rPr>
                <w:rFonts w:ascii="宋体" w:hAnsi="宋体" w:cs="宋体" w:eastAsia="宋体" w:hint="default"/>
                <w:spacing w:val="-5"/>
                <w:sz w:val="21"/>
                <w:szCs w:val="21"/>
              </w:rPr>
              <w:t>运行，广告，咨询服务，活动服务，</w:t>
            </w:r>
            <w:r>
              <w:rPr>
                <w:rFonts w:ascii="宋体" w:hAnsi="宋体" w:cs="宋体" w:eastAsia="宋体" w:hint="default"/>
                <w:spacing w:val="-5"/>
                <w:sz w:val="21"/>
                <w:szCs w:val="21"/>
              </w:rPr>
              <w:t>ICT</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相关产品研发和销售）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1"/>
                <w:sz w:val="21"/>
                <w:szCs w:val="21"/>
              </w:rPr>
              <w:t> </w:t>
            </w:r>
            <w:r>
              <w:rPr>
                <w:rFonts w:ascii="宋体" w:hAnsi="宋体" w:cs="宋体" w:eastAsia="宋体" w:hint="default"/>
                <w:sz w:val="21"/>
                <w:szCs w:val="21"/>
              </w:rPr>
              <w:t>万</w:t>
            </w:r>
          </w:p>
          <w:p>
            <w:pPr>
              <w:pStyle w:val="TableParagraph"/>
              <w:spacing w:line="240" w:lineRule="auto" w:before="37"/>
              <w:ind w:left="326"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z w:val="21"/>
              </w:rPr>
              <w:t>691.66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472.12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678.24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z w:val="21"/>
              </w:rPr>
              <w:t>34.52</w:t>
            </w:r>
          </w:p>
        </w:tc>
      </w:tr>
      <w:tr>
        <w:trPr>
          <w:trHeight w:val="1258"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45" w:right="132" w:hanging="209"/>
              <w:jc w:val="left"/>
              <w:rPr>
                <w:rFonts w:ascii="宋体" w:hAnsi="宋体" w:cs="宋体" w:eastAsia="宋体" w:hint="default"/>
                <w:sz w:val="21"/>
                <w:szCs w:val="21"/>
              </w:rPr>
            </w:pPr>
            <w:r>
              <w:rPr>
                <w:rFonts w:ascii="宋体" w:hAnsi="宋体" w:cs="宋体" w:eastAsia="宋体" w:hint="default"/>
                <w:sz w:val="21"/>
                <w:szCs w:val="21"/>
              </w:rPr>
              <w:t>亿连科</w:t>
            </w:r>
            <w:r>
              <w:rPr>
                <w:rFonts w:ascii="宋体" w:hAnsi="宋体" w:cs="宋体" w:eastAsia="宋体" w:hint="default"/>
                <w:spacing w:val="-102"/>
                <w:sz w:val="21"/>
                <w:szCs w:val="21"/>
              </w:rPr>
              <w:t> </w:t>
            </w:r>
            <w:r>
              <w:rPr>
                <w:rFonts w:ascii="宋体" w:hAnsi="宋体" w:cs="宋体" w:eastAsia="宋体" w:hint="default"/>
                <w:sz w:val="21"/>
                <w:szCs w:val="21"/>
              </w:rPr>
              <w:t>技</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互联网信息服务；设计、制作、代理、发布广告；技术开发、技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术转让、技术咨询、技术服务；企业策划；计算机系统服务；销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售电子产品、计算机、软件及辅助设备；软件开发；组织文化艺</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术交流活动（不含演出）；教育咨询（不含中介及办学）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1,333.33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14,833.77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12,936.78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4,690.96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-619.84</w:t>
            </w:r>
          </w:p>
        </w:tc>
      </w:tr>
      <w:tr>
        <w:trPr>
          <w:trHeight w:val="634"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32" w:hanging="209"/>
              <w:jc w:val="left"/>
              <w:rPr>
                <w:rFonts w:ascii="宋体" w:hAnsi="宋体" w:cs="宋体" w:eastAsia="宋体" w:hint="default"/>
                <w:sz w:val="21"/>
                <w:szCs w:val="21"/>
              </w:rPr>
            </w:pPr>
            <w:r>
              <w:rPr>
                <w:rFonts w:ascii="宋体" w:hAnsi="宋体" w:cs="宋体" w:eastAsia="宋体" w:hint="default"/>
                <w:sz w:val="21"/>
                <w:szCs w:val="21"/>
              </w:rPr>
              <w:t>创业投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投资管理；财务咨询。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0" w:right="0"/>
              <w:jc w:val="left"/>
              <w:rPr>
                <w:rFonts w:ascii="宋体" w:hAnsi="宋体" w:cs="宋体" w:eastAsia="宋体" w:hint="default"/>
                <w:sz w:val="21"/>
                <w:szCs w:val="21"/>
              </w:rPr>
            </w:pPr>
            <w:r>
              <w:rPr>
                <w:rFonts w:ascii="宋体"/>
                <w:sz w:val="21"/>
              </w:rPr>
              <w:t>10,000.00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4,286.18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3,028.83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146.34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28.83</w:t>
            </w:r>
          </w:p>
        </w:tc>
      </w:tr>
      <w:tr>
        <w:trPr>
          <w:trHeight w:val="636"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2" w:right="132" w:hanging="106"/>
              <w:jc w:val="left"/>
              <w:rPr>
                <w:rFonts w:ascii="宋体" w:hAnsi="宋体" w:cs="宋体" w:eastAsia="宋体" w:hint="default"/>
                <w:sz w:val="21"/>
                <w:szCs w:val="21"/>
              </w:rPr>
            </w:pPr>
            <w:r>
              <w:rPr>
                <w:rFonts w:ascii="宋体" w:hAnsi="宋体" w:cs="宋体" w:eastAsia="宋体" w:hint="default"/>
                <w:sz w:val="21"/>
                <w:szCs w:val="21"/>
              </w:rPr>
              <w:t>广东子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互联网和相关服务。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2,600.00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3,140.02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2,649.36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752.09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49.36</w:t>
            </w:r>
          </w:p>
        </w:tc>
      </w:tr>
      <w:tr>
        <w:trPr>
          <w:trHeight w:val="1258"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2" w:right="132" w:hanging="106"/>
              <w:jc w:val="left"/>
              <w:rPr>
                <w:rFonts w:ascii="宋体" w:hAnsi="宋体" w:cs="宋体" w:eastAsia="宋体" w:hint="default"/>
                <w:sz w:val="21"/>
                <w:szCs w:val="21"/>
              </w:rPr>
            </w:pPr>
            <w:r>
              <w:rPr>
                <w:rFonts w:ascii="宋体" w:hAnsi="宋体" w:cs="宋体" w:eastAsia="宋体" w:hint="default"/>
                <w:sz w:val="21"/>
                <w:szCs w:val="21"/>
              </w:rPr>
              <w:t>江苏子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第二增值电信业务中的信息服务业务；互联网信息服务；广告设</w:t>
            </w:r>
            <w:r>
              <w:rPr>
                <w:rFonts w:ascii="宋体" w:hAnsi="宋体" w:cs="宋体" w:eastAsia="宋体" w:hint="default"/>
                <w:w w:val="100"/>
                <w:sz w:val="21"/>
                <w:szCs w:val="21"/>
              </w:rPr>
              <w:t> </w:t>
            </w:r>
            <w:r>
              <w:rPr>
                <w:rFonts w:ascii="宋体" w:hAnsi="宋体" w:cs="宋体" w:eastAsia="宋体" w:hint="default"/>
                <w:sz w:val="21"/>
                <w:szCs w:val="21"/>
              </w:rPr>
              <w:t>计制作、发布、代理；无线增值的相关技术服务；信息开发与咨</w:t>
            </w:r>
            <w:r>
              <w:rPr>
                <w:rFonts w:ascii="宋体" w:hAnsi="宋体" w:cs="宋体" w:eastAsia="宋体" w:hint="default"/>
                <w:w w:val="100"/>
                <w:sz w:val="21"/>
                <w:szCs w:val="21"/>
              </w:rPr>
              <w:t> </w:t>
            </w:r>
            <w:r>
              <w:rPr>
                <w:rFonts w:ascii="宋体" w:hAnsi="宋体" w:cs="宋体" w:eastAsia="宋体" w:hint="default"/>
                <w:spacing w:val="-5"/>
                <w:sz w:val="21"/>
                <w:szCs w:val="21"/>
              </w:rPr>
              <w:t>询；网站建设；网络采编；计算机、集成系统领域内的技术开发、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技术服务、技术转让、技术咨询；计算机系统服等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4,688.42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2,694.04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1,547.70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94.05</w:t>
            </w:r>
          </w:p>
        </w:tc>
      </w:tr>
      <w:tr>
        <w:trPr>
          <w:trHeight w:val="1258"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2" w:right="132" w:hanging="106"/>
              <w:jc w:val="left"/>
              <w:rPr>
                <w:rFonts w:ascii="宋体" w:hAnsi="宋体" w:cs="宋体" w:eastAsia="宋体" w:hint="default"/>
                <w:sz w:val="21"/>
                <w:szCs w:val="21"/>
              </w:rPr>
            </w:pPr>
            <w:r>
              <w:rPr>
                <w:rFonts w:ascii="宋体" w:hAnsi="宋体" w:cs="宋体" w:eastAsia="宋体" w:hint="default"/>
                <w:sz w:val="21"/>
                <w:szCs w:val="21"/>
              </w:rPr>
              <w:t>四川子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互联网信息技术服务；设计、制作、代理、发布广告；信息技术</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服务；信息技术开发、技术咨询；网页设计；计算机、系统领域</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内的技术开发、技术服务、技术转让、技术咨询；计算机系统服</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务等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3,311.41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2,650.15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1,950.14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z w:val="21"/>
              </w:rPr>
              <w:t>50.15</w:t>
            </w:r>
          </w:p>
        </w:tc>
      </w:tr>
      <w:tr>
        <w:trPr>
          <w:trHeight w:val="634"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2" w:right="132" w:hanging="106"/>
              <w:jc w:val="left"/>
              <w:rPr>
                <w:rFonts w:ascii="宋体" w:hAnsi="宋体" w:cs="宋体" w:eastAsia="宋体" w:hint="default"/>
                <w:sz w:val="21"/>
                <w:szCs w:val="21"/>
              </w:rPr>
            </w:pPr>
            <w:r>
              <w:rPr>
                <w:rFonts w:ascii="宋体" w:hAnsi="宋体" w:cs="宋体" w:eastAsia="宋体" w:hint="default"/>
                <w:sz w:val="21"/>
                <w:szCs w:val="21"/>
              </w:rPr>
              <w:t>亚太子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互联网信息服务等。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hAnsi="宋体" w:cs="宋体" w:eastAsia="宋体" w:hint="default"/>
                <w:sz w:val="21"/>
                <w:szCs w:val="21"/>
              </w:rPr>
              <w:t>300.00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40" w:lineRule="auto" w:before="37"/>
              <w:ind w:left="326"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1,410.71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250.76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149.56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0.01</w:t>
            </w:r>
          </w:p>
        </w:tc>
      </w:tr>
    </w:tbl>
    <w:p>
      <w:pPr>
        <w:spacing w:after="0" w:line="240" w:lineRule="auto"/>
        <w:jc w:val="right"/>
        <w:rPr>
          <w:rFonts w:ascii="宋体" w:hAnsi="宋体" w:cs="宋体" w:eastAsia="宋体" w:hint="default"/>
          <w:sz w:val="21"/>
          <w:szCs w:val="21"/>
        </w:rPr>
        <w:sectPr>
          <w:headerReference w:type="default" r:id="rId26"/>
          <w:footerReference w:type="default" r:id="rId27"/>
          <w:pgSz w:w="16840" w:h="11910" w:orient="landscape"/>
          <w:pgMar w:header="882" w:footer="1195" w:top="1120" w:bottom="1380" w:left="980" w:right="1060"/>
          <w:pgNumType w:start="2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15"/>
        <w:gridCol w:w="6097"/>
        <w:gridCol w:w="992"/>
        <w:gridCol w:w="1279"/>
        <w:gridCol w:w="1556"/>
        <w:gridCol w:w="1277"/>
        <w:gridCol w:w="1274"/>
        <w:gridCol w:w="1184"/>
      </w:tblGrid>
      <w:tr>
        <w:trPr>
          <w:trHeight w:val="634"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2" w:right="132" w:hanging="106"/>
              <w:jc w:val="left"/>
              <w:rPr>
                <w:rFonts w:ascii="宋体" w:hAnsi="宋体" w:cs="宋体" w:eastAsia="宋体" w:hint="default"/>
                <w:sz w:val="21"/>
                <w:szCs w:val="21"/>
              </w:rPr>
            </w:pPr>
            <w:r>
              <w:rPr>
                <w:rFonts w:ascii="宋体" w:hAnsi="宋体" w:cs="宋体" w:eastAsia="宋体" w:hint="default"/>
                <w:sz w:val="21"/>
                <w:szCs w:val="21"/>
              </w:rPr>
              <w:t>北美子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互联网信息服务等。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3" w:right="0"/>
              <w:jc w:val="left"/>
              <w:rPr>
                <w:rFonts w:ascii="宋体" w:hAnsi="宋体" w:cs="宋体" w:eastAsia="宋体" w:hint="default"/>
                <w:sz w:val="21"/>
                <w:szCs w:val="21"/>
              </w:rPr>
            </w:pPr>
            <w:r>
              <w:rPr>
                <w:rFonts w:ascii="宋体" w:hAnsi="宋体" w:cs="宋体" w:eastAsia="宋体" w:hint="default"/>
                <w:sz w:val="21"/>
                <w:szCs w:val="21"/>
              </w:rPr>
              <w:t>120.00</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40" w:lineRule="auto" w:before="37"/>
              <w:ind w:left="326"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1,021.24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756.11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175.46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-28.72</w:t>
            </w:r>
          </w:p>
        </w:tc>
      </w:tr>
      <w:tr>
        <w:trPr>
          <w:trHeight w:val="1570"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345" w:right="132" w:hanging="209"/>
              <w:jc w:val="left"/>
              <w:rPr>
                <w:rFonts w:ascii="宋体" w:hAnsi="宋体" w:cs="宋体" w:eastAsia="宋体" w:hint="default"/>
                <w:sz w:val="21"/>
                <w:szCs w:val="21"/>
              </w:rPr>
            </w:pPr>
            <w:r>
              <w:rPr>
                <w:rFonts w:ascii="宋体" w:hAnsi="宋体" w:cs="宋体" w:eastAsia="宋体" w:hint="default"/>
                <w:sz w:val="21"/>
                <w:szCs w:val="21"/>
              </w:rPr>
              <w:t>新华智</w:t>
            </w:r>
            <w:r>
              <w:rPr>
                <w:rFonts w:ascii="宋体" w:hAnsi="宋体" w:cs="宋体" w:eastAsia="宋体" w:hint="default"/>
                <w:spacing w:val="-102"/>
                <w:sz w:val="21"/>
                <w:szCs w:val="21"/>
              </w:rPr>
              <w:t> </w:t>
            </w:r>
            <w:r>
              <w:rPr>
                <w:rFonts w:ascii="宋体" w:hAnsi="宋体" w:cs="宋体" w:eastAsia="宋体" w:hint="default"/>
                <w:sz w:val="21"/>
                <w:szCs w:val="21"/>
              </w:rPr>
              <w:t>云</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计算机软硬件、网络技术、通信技术及产品、电子商务平台的技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术开发、技术推广、技术转让、技术咨询服务，培训服务，计算</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机软硬件的销售、租赁，增值电信业务（凭许可证经营），计算</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机的系统集成，数据处理、数据存储的技术服务，设计、制作、</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发布、代理国内各类广告，会展服务，展览展示设计。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z w:val="21"/>
              </w:rPr>
              <w:t>40.80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pacing w:val="-1"/>
                <w:sz w:val="21"/>
              </w:rPr>
              <w:t>49,019.61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9"/>
              <w:jc w:val="right"/>
              <w:rPr>
                <w:rFonts w:ascii="宋体" w:hAnsi="宋体" w:cs="宋体" w:eastAsia="宋体" w:hint="default"/>
                <w:sz w:val="21"/>
                <w:szCs w:val="21"/>
              </w:rPr>
            </w:pPr>
            <w:r>
              <w:rPr>
                <w:rFonts w:ascii="宋体"/>
                <w:spacing w:val="-1"/>
                <w:sz w:val="21"/>
              </w:rPr>
              <w:t>46,799.36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pacing w:val="-1"/>
                <w:sz w:val="21"/>
              </w:rPr>
              <w:t>45,607.18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1"/>
              <w:jc w:val="right"/>
              <w:rPr>
                <w:rFonts w:ascii="宋体" w:hAnsi="宋体" w:cs="宋体" w:eastAsia="宋体" w:hint="default"/>
                <w:sz w:val="21"/>
                <w:szCs w:val="21"/>
              </w:rPr>
            </w:pPr>
            <w:r>
              <w:rPr>
                <w:rFonts w:ascii="宋体"/>
                <w:w w:val="100"/>
                <w:sz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宋体" w:hAnsi="宋体" w:cs="宋体" w:eastAsia="宋体" w:hint="default"/>
                <w:sz w:val="21"/>
                <w:szCs w:val="21"/>
              </w:rPr>
            </w:pPr>
            <w:r>
              <w:rPr>
                <w:rFonts w:ascii="宋体"/>
                <w:spacing w:val="-1"/>
                <w:sz w:val="21"/>
              </w:rPr>
              <w:t>-2,492.82</w:t>
            </w:r>
          </w:p>
        </w:tc>
      </w:tr>
      <w:tr>
        <w:trPr>
          <w:trHeight w:val="2506"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345" w:right="132" w:hanging="209"/>
              <w:jc w:val="left"/>
              <w:rPr>
                <w:rFonts w:ascii="宋体" w:hAnsi="宋体" w:cs="宋体" w:eastAsia="宋体" w:hint="default"/>
                <w:sz w:val="21"/>
                <w:szCs w:val="21"/>
              </w:rPr>
            </w:pPr>
            <w:r>
              <w:rPr>
                <w:rFonts w:ascii="宋体" w:hAnsi="宋体" w:cs="宋体" w:eastAsia="宋体" w:hint="default"/>
                <w:sz w:val="21"/>
                <w:szCs w:val="21"/>
              </w:rPr>
              <w:t>新华康</w:t>
            </w:r>
            <w:r>
              <w:rPr>
                <w:rFonts w:ascii="宋体" w:hAnsi="宋体" w:cs="宋体" w:eastAsia="宋体" w:hint="default"/>
                <w:spacing w:val="-102"/>
                <w:sz w:val="21"/>
                <w:szCs w:val="21"/>
              </w:rPr>
              <w:t> </w:t>
            </w:r>
            <w:r>
              <w:rPr>
                <w:rFonts w:ascii="宋体" w:hAnsi="宋体" w:cs="宋体" w:eastAsia="宋体" w:hint="default"/>
                <w:sz w:val="21"/>
                <w:szCs w:val="21"/>
              </w:rPr>
              <w:t>美</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企业管理咨询，股权投资，投资顾问，网上贸易，商务信息咨询</w:t>
            </w:r>
            <w:r>
              <w:rPr>
                <w:rFonts w:ascii="宋体" w:hAnsi="宋体" w:cs="宋体" w:eastAsia="宋体" w:hint="default"/>
                <w:w w:val="100"/>
                <w:sz w:val="21"/>
                <w:szCs w:val="21"/>
              </w:rPr>
              <w:t> </w:t>
            </w:r>
            <w:r>
              <w:rPr>
                <w:rFonts w:ascii="宋体" w:hAnsi="宋体" w:cs="宋体" w:eastAsia="宋体" w:hint="default"/>
                <w:sz w:val="21"/>
                <w:szCs w:val="21"/>
              </w:rPr>
              <w:t>服务，健康养生信息咨询，广告业务，软件技术开发，计算机技</w:t>
            </w:r>
            <w:r>
              <w:rPr>
                <w:rFonts w:ascii="宋体" w:hAnsi="宋体" w:cs="宋体" w:eastAsia="宋体" w:hint="default"/>
                <w:w w:val="100"/>
                <w:sz w:val="21"/>
                <w:szCs w:val="21"/>
              </w:rPr>
              <w:t> </w:t>
            </w:r>
            <w:r>
              <w:rPr>
                <w:rFonts w:ascii="宋体" w:hAnsi="宋体" w:cs="宋体" w:eastAsia="宋体" w:hint="default"/>
                <w:sz w:val="21"/>
                <w:szCs w:val="21"/>
              </w:rPr>
              <w:t>术咨询服务，展示、展览策划，计算机软硬件及网络设备的研究</w:t>
            </w:r>
            <w:r>
              <w:rPr>
                <w:rFonts w:ascii="宋体" w:hAnsi="宋体" w:cs="宋体" w:eastAsia="宋体" w:hint="default"/>
                <w:w w:val="100"/>
                <w:sz w:val="21"/>
                <w:szCs w:val="21"/>
              </w:rPr>
              <w:t> </w:t>
            </w:r>
            <w:r>
              <w:rPr>
                <w:rFonts w:ascii="宋体" w:hAnsi="宋体" w:cs="宋体" w:eastAsia="宋体" w:hint="default"/>
                <w:sz w:val="21"/>
                <w:szCs w:val="21"/>
              </w:rPr>
              <w:t>开发，计算机产品、网络产品的销售，云计算、生物科技产品、</w:t>
            </w:r>
            <w:r>
              <w:rPr>
                <w:rFonts w:ascii="宋体" w:hAnsi="宋体" w:cs="宋体" w:eastAsia="宋体" w:hint="default"/>
                <w:w w:val="100"/>
                <w:sz w:val="21"/>
                <w:szCs w:val="21"/>
              </w:rPr>
              <w:t> </w:t>
            </w:r>
            <w:r>
              <w:rPr>
                <w:rFonts w:ascii="宋体" w:hAnsi="宋体" w:cs="宋体" w:eastAsia="宋体" w:hint="default"/>
                <w:spacing w:val="-5"/>
                <w:sz w:val="21"/>
                <w:szCs w:val="21"/>
              </w:rPr>
              <w:t>保健食品的技术开发，计算机软硬件、电子产品、一类医疗器械、</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家用血糖仪、血压计、体温计的技术开发、技术咨询，教育科研</w:t>
            </w:r>
            <w:r>
              <w:rPr>
                <w:rFonts w:ascii="宋体" w:hAnsi="宋体" w:cs="宋体" w:eastAsia="宋体" w:hint="default"/>
                <w:w w:val="100"/>
                <w:sz w:val="21"/>
                <w:szCs w:val="21"/>
              </w:rPr>
              <w:t> </w:t>
            </w:r>
            <w:r>
              <w:rPr>
                <w:rFonts w:ascii="宋体" w:hAnsi="宋体" w:cs="宋体" w:eastAsia="宋体" w:hint="default"/>
                <w:sz w:val="21"/>
                <w:szCs w:val="21"/>
              </w:rPr>
              <w:t>文献、教育软件的研究与开发，教育文化活动组织策划，教育信</w:t>
            </w:r>
            <w:r>
              <w:rPr>
                <w:rFonts w:ascii="宋体" w:hAnsi="宋体" w:cs="宋体" w:eastAsia="宋体" w:hint="default"/>
                <w:w w:val="100"/>
                <w:sz w:val="21"/>
                <w:szCs w:val="21"/>
              </w:rPr>
              <w:t> </w:t>
            </w:r>
            <w:r>
              <w:rPr>
                <w:rFonts w:ascii="宋体" w:hAnsi="宋体" w:cs="宋体" w:eastAsia="宋体" w:hint="default"/>
                <w:sz w:val="21"/>
                <w:szCs w:val="21"/>
              </w:rPr>
              <w:t>息咨询。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8"/>
              <w:jc w:val="right"/>
              <w:rPr>
                <w:rFonts w:ascii="宋体" w:hAnsi="宋体" w:cs="宋体" w:eastAsia="宋体" w:hint="default"/>
                <w:sz w:val="21"/>
                <w:szCs w:val="21"/>
              </w:rPr>
            </w:pPr>
            <w:r>
              <w:rPr>
                <w:rFonts w:ascii="宋体"/>
                <w:sz w:val="21"/>
              </w:rPr>
              <w:t>43.00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8"/>
              <w:jc w:val="right"/>
              <w:rPr>
                <w:rFonts w:ascii="宋体" w:hAnsi="宋体" w:cs="宋体" w:eastAsia="宋体" w:hint="default"/>
                <w:sz w:val="21"/>
                <w:szCs w:val="21"/>
              </w:rPr>
            </w:pPr>
            <w:r>
              <w:rPr>
                <w:rFonts w:ascii="宋体"/>
                <w:spacing w:val="-1"/>
                <w:sz w:val="21"/>
              </w:rPr>
              <w:t>12,000.00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9"/>
              <w:jc w:val="right"/>
              <w:rPr>
                <w:rFonts w:ascii="宋体" w:hAnsi="宋体" w:cs="宋体" w:eastAsia="宋体" w:hint="default"/>
                <w:sz w:val="21"/>
                <w:szCs w:val="21"/>
              </w:rPr>
            </w:pPr>
            <w:r>
              <w:rPr>
                <w:rFonts w:ascii="宋体"/>
                <w:spacing w:val="-1"/>
                <w:sz w:val="21"/>
              </w:rPr>
              <w:t>11,391.98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8"/>
              <w:jc w:val="right"/>
              <w:rPr>
                <w:rFonts w:ascii="宋体" w:hAnsi="宋体" w:cs="宋体" w:eastAsia="宋体" w:hint="default"/>
                <w:sz w:val="21"/>
                <w:szCs w:val="21"/>
              </w:rPr>
            </w:pPr>
            <w:r>
              <w:rPr>
                <w:rFonts w:ascii="宋体"/>
                <w:spacing w:val="-1"/>
                <w:sz w:val="21"/>
              </w:rPr>
              <w:t>11,372.14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8"/>
              <w:jc w:val="right"/>
              <w:rPr>
                <w:rFonts w:ascii="宋体" w:hAnsi="宋体" w:cs="宋体" w:eastAsia="宋体" w:hint="default"/>
                <w:sz w:val="21"/>
                <w:szCs w:val="21"/>
              </w:rPr>
            </w:pPr>
            <w:r>
              <w:rPr>
                <w:rFonts w:ascii="宋体"/>
                <w:sz w:val="21"/>
              </w:rPr>
              <w:t>283.02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8"/>
              <w:jc w:val="right"/>
              <w:rPr>
                <w:rFonts w:ascii="宋体" w:hAnsi="宋体" w:cs="宋体" w:eastAsia="宋体" w:hint="default"/>
                <w:sz w:val="21"/>
                <w:szCs w:val="21"/>
              </w:rPr>
            </w:pPr>
            <w:r>
              <w:rPr>
                <w:rFonts w:ascii="宋体"/>
                <w:spacing w:val="-1"/>
                <w:sz w:val="21"/>
              </w:rPr>
              <w:t>-114.30</w:t>
            </w:r>
          </w:p>
        </w:tc>
      </w:tr>
      <w:tr>
        <w:trPr>
          <w:trHeight w:val="2818"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9"/>
              <w:ind w:left="345" w:right="132" w:hanging="209"/>
              <w:jc w:val="left"/>
              <w:rPr>
                <w:rFonts w:ascii="宋体" w:hAnsi="宋体" w:cs="宋体" w:eastAsia="宋体" w:hint="default"/>
                <w:sz w:val="21"/>
                <w:szCs w:val="21"/>
              </w:rPr>
            </w:pPr>
            <w:r>
              <w:rPr>
                <w:rFonts w:ascii="宋体" w:hAnsi="宋体" w:cs="宋体" w:eastAsia="宋体" w:hint="default"/>
                <w:sz w:val="21"/>
                <w:szCs w:val="21"/>
              </w:rPr>
              <w:t>新彩华</w:t>
            </w:r>
            <w:r>
              <w:rPr>
                <w:rFonts w:ascii="宋体" w:hAnsi="宋体" w:cs="宋体" w:eastAsia="宋体" w:hint="default"/>
                <w:spacing w:val="-102"/>
                <w:sz w:val="21"/>
                <w:szCs w:val="21"/>
              </w:rPr>
              <w:t> </w:t>
            </w:r>
            <w:r>
              <w:rPr>
                <w:rFonts w:ascii="宋体" w:hAnsi="宋体" w:cs="宋体" w:eastAsia="宋体" w:hint="default"/>
                <w:sz w:val="21"/>
                <w:szCs w:val="21"/>
              </w:rPr>
              <w:t>章</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z w:val="21"/>
                <w:szCs w:val="21"/>
              </w:rPr>
              <w:t>技术开发、技术推广、技术转让、技术咨询、技术服务；销售自</w:t>
            </w:r>
            <w:r>
              <w:rPr>
                <w:rFonts w:ascii="宋体" w:hAnsi="宋体" w:cs="宋体" w:eastAsia="宋体" w:hint="default"/>
                <w:w w:val="100"/>
                <w:sz w:val="21"/>
                <w:szCs w:val="21"/>
              </w:rPr>
              <w:t> </w:t>
            </w:r>
            <w:r>
              <w:rPr>
                <w:rFonts w:ascii="宋体" w:hAnsi="宋体" w:cs="宋体" w:eastAsia="宋体" w:hint="default"/>
                <w:sz w:val="21"/>
                <w:szCs w:val="21"/>
              </w:rPr>
              <w:t>行开发的产品；计算机系统服务；数据处理（数据处理中的银行</w:t>
            </w:r>
            <w:r>
              <w:rPr>
                <w:rFonts w:ascii="宋体" w:hAnsi="宋体" w:cs="宋体" w:eastAsia="宋体" w:hint="default"/>
                <w:w w:val="100"/>
                <w:sz w:val="21"/>
                <w:szCs w:val="21"/>
              </w:rPr>
              <w:t> </w:t>
            </w:r>
            <w:r>
              <w:rPr>
                <w:rFonts w:ascii="宋体" w:hAnsi="宋体" w:cs="宋体" w:eastAsia="宋体" w:hint="default"/>
                <w:sz w:val="21"/>
                <w:szCs w:val="21"/>
              </w:rPr>
              <w:t>卡中心、</w:t>
            </w:r>
            <w:r>
              <w:rPr>
                <w:rFonts w:ascii="宋体" w:hAnsi="宋体" w:cs="宋体" w:eastAsia="宋体" w:hint="default"/>
                <w:sz w:val="21"/>
                <w:szCs w:val="21"/>
              </w:rPr>
              <w:t>PUE</w:t>
            </w:r>
            <w:r>
              <w:rPr>
                <w:rFonts w:ascii="宋体" w:hAnsi="宋体" w:cs="宋体" w:eastAsia="宋体" w:hint="default"/>
                <w:spacing w:val="-38"/>
                <w:sz w:val="21"/>
                <w:szCs w:val="21"/>
              </w:rPr>
              <w:t> </w:t>
            </w:r>
            <w:r>
              <w:rPr>
                <w:rFonts w:ascii="宋体" w:hAnsi="宋体" w:cs="宋体" w:eastAsia="宋体" w:hint="default"/>
                <w:sz w:val="21"/>
                <w:szCs w:val="21"/>
              </w:rPr>
              <w:t>值在</w:t>
            </w:r>
            <w:r>
              <w:rPr>
                <w:rFonts w:ascii="宋体" w:hAnsi="宋体" w:cs="宋体" w:eastAsia="宋体" w:hint="default"/>
                <w:spacing w:val="-36"/>
                <w:sz w:val="21"/>
                <w:szCs w:val="21"/>
              </w:rPr>
              <w:t> </w:t>
            </w:r>
            <w:r>
              <w:rPr>
                <w:rFonts w:ascii="宋体" w:hAnsi="宋体" w:cs="宋体" w:eastAsia="宋体" w:hint="default"/>
                <w:sz w:val="21"/>
                <w:szCs w:val="21"/>
              </w:rPr>
              <w:t>1.5</w:t>
            </w:r>
            <w:r>
              <w:rPr>
                <w:rFonts w:ascii="宋体" w:hAnsi="宋体" w:cs="宋体" w:eastAsia="宋体" w:hint="default"/>
                <w:spacing w:val="-36"/>
                <w:sz w:val="21"/>
                <w:szCs w:val="21"/>
              </w:rPr>
              <w:t> </w:t>
            </w:r>
            <w:r>
              <w:rPr>
                <w:rFonts w:ascii="宋体" w:hAnsi="宋体" w:cs="宋体" w:eastAsia="宋体" w:hint="default"/>
                <w:sz w:val="21"/>
                <w:szCs w:val="21"/>
              </w:rPr>
              <w:t>以上的云计算数据中心除外）；基础软件</w:t>
            </w:r>
            <w:r>
              <w:rPr>
                <w:rFonts w:ascii="宋体" w:hAnsi="宋体" w:cs="宋体" w:eastAsia="宋体" w:hint="default"/>
                <w:w w:val="100"/>
                <w:sz w:val="21"/>
                <w:szCs w:val="21"/>
              </w:rPr>
              <w:t> </w:t>
            </w:r>
            <w:r>
              <w:rPr>
                <w:rFonts w:ascii="宋体" w:hAnsi="宋体" w:cs="宋体" w:eastAsia="宋体" w:hint="default"/>
                <w:sz w:val="21"/>
                <w:szCs w:val="21"/>
              </w:rPr>
              <w:t>服务、应用软件服务；软件开发；软件咨询；产品设计；模型设</w:t>
            </w:r>
            <w:r>
              <w:rPr>
                <w:rFonts w:ascii="宋体" w:hAnsi="宋体" w:cs="宋体" w:eastAsia="宋体" w:hint="default"/>
                <w:w w:val="100"/>
                <w:sz w:val="21"/>
                <w:szCs w:val="21"/>
              </w:rPr>
              <w:t> </w:t>
            </w:r>
            <w:r>
              <w:rPr>
                <w:rFonts w:ascii="宋体" w:hAnsi="宋体" w:cs="宋体" w:eastAsia="宋体" w:hint="default"/>
                <w:spacing w:val="-5"/>
                <w:sz w:val="21"/>
                <w:szCs w:val="21"/>
              </w:rPr>
              <w:t>计；包装装潢设计；教育咨询（中介服务除外）；经济贸易咨询；</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文化咨询；体育咨询；公共关系服务；工艺美术设计；电脑动画</w:t>
            </w:r>
            <w:r>
              <w:rPr>
                <w:rFonts w:ascii="宋体" w:hAnsi="宋体" w:cs="宋体" w:eastAsia="宋体" w:hint="default"/>
                <w:w w:val="100"/>
                <w:sz w:val="21"/>
                <w:szCs w:val="21"/>
              </w:rPr>
              <w:t> </w:t>
            </w:r>
            <w:r>
              <w:rPr>
                <w:rFonts w:ascii="宋体" w:hAnsi="宋体" w:cs="宋体" w:eastAsia="宋体" w:hint="default"/>
                <w:sz w:val="21"/>
                <w:szCs w:val="21"/>
              </w:rPr>
              <w:t>设计；企业策划、设计；设计、制作、代理、发布广告；市场调</w:t>
            </w:r>
            <w:r>
              <w:rPr>
                <w:rFonts w:ascii="宋体" w:hAnsi="宋体" w:cs="宋体" w:eastAsia="宋体" w:hint="default"/>
                <w:w w:val="100"/>
                <w:sz w:val="21"/>
                <w:szCs w:val="21"/>
              </w:rPr>
              <w:t> </w:t>
            </w:r>
            <w:r>
              <w:rPr>
                <w:rFonts w:ascii="宋体" w:hAnsi="宋体" w:cs="宋体" w:eastAsia="宋体" w:hint="default"/>
                <w:spacing w:val="-5"/>
                <w:sz w:val="21"/>
                <w:szCs w:val="21"/>
              </w:rPr>
              <w:t>查；企业管理咨询；组织文化艺术交流活动（不含营业性演出）；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文艺创作；承办展览展示活动；会议服务；影视策划；翻译服务。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40.00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1,579.74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1,482.21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787.99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55.93</w:t>
            </w:r>
          </w:p>
        </w:tc>
      </w:tr>
      <w:tr>
        <w:trPr>
          <w:trHeight w:val="636"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5" w:right="132" w:hanging="209"/>
              <w:jc w:val="left"/>
              <w:rPr>
                <w:rFonts w:ascii="宋体" w:hAnsi="宋体" w:cs="宋体" w:eastAsia="宋体" w:hint="default"/>
                <w:sz w:val="21"/>
                <w:szCs w:val="21"/>
              </w:rPr>
            </w:pPr>
            <w:r>
              <w:rPr>
                <w:rFonts w:ascii="宋体" w:hAnsi="宋体" w:cs="宋体" w:eastAsia="宋体" w:hint="default"/>
                <w:sz w:val="21"/>
                <w:szCs w:val="21"/>
              </w:rPr>
              <w:t>中证金</w:t>
            </w:r>
            <w:r>
              <w:rPr>
                <w:rFonts w:ascii="宋体" w:hAnsi="宋体" w:cs="宋体" w:eastAsia="宋体" w:hint="default"/>
                <w:spacing w:val="-102"/>
                <w:sz w:val="21"/>
                <w:szCs w:val="21"/>
              </w:rPr>
              <w:t> </w:t>
            </w:r>
            <w:r>
              <w:rPr>
                <w:rFonts w:ascii="宋体" w:hAnsi="宋体" w:cs="宋体" w:eastAsia="宋体" w:hint="default"/>
                <w:sz w:val="21"/>
                <w:szCs w:val="21"/>
              </w:rPr>
              <w:t>牛</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基金销售；投资管理；投资咨询；经济信息咨询；技术开发、技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术服务、技术转让；设计、制作、代理、发布广告。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z w:val="21"/>
              </w:rPr>
              <w:t>5.00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4,475.10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宋体" w:hAnsi="宋体" w:cs="宋体" w:eastAsia="宋体" w:hint="default"/>
                <w:sz w:val="21"/>
                <w:szCs w:val="21"/>
              </w:rPr>
            </w:pPr>
            <w:r>
              <w:rPr>
                <w:rFonts w:ascii="宋体"/>
                <w:spacing w:val="-1"/>
                <w:sz w:val="21"/>
              </w:rPr>
              <w:t>3,765.98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1,338.14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w w:val="100"/>
                <w:sz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w w:val="100"/>
                <w:sz w:val="21"/>
              </w:rPr>
              <w:t>-</w:t>
            </w:r>
          </w:p>
        </w:tc>
      </w:tr>
      <w:tr>
        <w:trPr>
          <w:trHeight w:val="350"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6" w:right="0"/>
              <w:jc w:val="left"/>
              <w:rPr>
                <w:rFonts w:ascii="宋体" w:hAnsi="宋体" w:cs="宋体" w:eastAsia="宋体" w:hint="default"/>
                <w:sz w:val="21"/>
                <w:szCs w:val="21"/>
              </w:rPr>
            </w:pPr>
            <w:r>
              <w:rPr>
                <w:rFonts w:ascii="宋体" w:hAnsi="宋体" w:cs="宋体" w:eastAsia="宋体" w:hint="default"/>
                <w:sz w:val="21"/>
                <w:szCs w:val="21"/>
              </w:rPr>
              <w:t>华强方</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投资文化项目（具体项目另行申报）；数码电影、数码电视的设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0.29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88,520.00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1,108,079.49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956,583.02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386,294.33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74,760.29</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9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15"/>
        <w:gridCol w:w="6097"/>
        <w:gridCol w:w="992"/>
        <w:gridCol w:w="1279"/>
        <w:gridCol w:w="1556"/>
        <w:gridCol w:w="1277"/>
        <w:gridCol w:w="1274"/>
        <w:gridCol w:w="1184"/>
      </w:tblGrid>
      <w:tr>
        <w:trPr>
          <w:trHeight w:val="350"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特</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计；经济信息咨询；一般贸易，经营进出口业务。</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道有道</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pacing w:val="-5"/>
                <w:sz w:val="21"/>
                <w:szCs w:val="21"/>
              </w:rPr>
              <w:t>技术开发、技术推广、技术服务；设计、制作、代理、发布广告；</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互联网信息服务业务</w:t>
            </w:r>
            <w:r>
              <w:rPr>
                <w:rFonts w:ascii="宋体" w:hAnsi="宋体" w:cs="宋体" w:eastAsia="宋体" w:hint="default"/>
                <w:spacing w:val="-5"/>
                <w:sz w:val="21"/>
                <w:szCs w:val="21"/>
              </w:rPr>
              <w:t>(</w:t>
            </w:r>
            <w:r>
              <w:rPr>
                <w:rFonts w:ascii="宋体" w:hAnsi="宋体" w:cs="宋体" w:eastAsia="宋体" w:hint="default"/>
                <w:spacing w:val="-5"/>
                <w:sz w:val="21"/>
                <w:szCs w:val="21"/>
              </w:rPr>
              <w:t>除新闻、出版、教育、医疗保健、药品、医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疗器械和</w:t>
            </w:r>
            <w:r>
              <w:rPr>
                <w:rFonts w:ascii="宋体" w:hAnsi="宋体" w:cs="宋体" w:eastAsia="宋体" w:hint="default"/>
                <w:spacing w:val="-47"/>
                <w:sz w:val="21"/>
                <w:szCs w:val="21"/>
              </w:rPr>
              <w:t> </w:t>
            </w:r>
            <w:r>
              <w:rPr>
                <w:rFonts w:ascii="宋体" w:hAnsi="宋体" w:cs="宋体" w:eastAsia="宋体" w:hint="default"/>
                <w:sz w:val="21"/>
                <w:szCs w:val="21"/>
              </w:rPr>
              <w:t>BBS</w:t>
            </w:r>
            <w:r>
              <w:rPr>
                <w:rFonts w:ascii="宋体" w:hAnsi="宋体" w:cs="宋体" w:eastAsia="宋体" w:hint="default"/>
                <w:spacing w:val="-47"/>
                <w:sz w:val="21"/>
                <w:szCs w:val="21"/>
              </w:rPr>
              <w:t> </w:t>
            </w:r>
            <w:r>
              <w:rPr>
                <w:rFonts w:ascii="宋体" w:hAnsi="宋体" w:cs="宋体" w:eastAsia="宋体" w:hint="default"/>
                <w:spacing w:val="-6"/>
                <w:sz w:val="21"/>
                <w:szCs w:val="21"/>
              </w:rPr>
              <w:t>以外的内容。</w:t>
            </w:r>
            <w:r>
              <w:rPr>
                <w:rFonts w:ascii="宋体" w:hAnsi="宋体" w:cs="宋体" w:eastAsia="宋体" w:hint="default"/>
                <w:spacing w:val="-6"/>
                <w:sz w:val="21"/>
                <w:szCs w:val="21"/>
              </w:rPr>
              <w:t>)</w:t>
            </w:r>
            <w:r>
              <w:rPr>
                <w:rFonts w:ascii="宋体" w:hAnsi="宋体" w:cs="宋体" w:eastAsia="宋体" w:hint="default"/>
                <w:spacing w:val="-6"/>
                <w:sz w:val="21"/>
                <w:szCs w:val="21"/>
              </w:rPr>
              <w:t>；第二类增值电信业务中的信息服务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业务（仅含移动网增值电信业务）。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z w:val="21"/>
              </w:rPr>
              <w:t>5.09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11,027.12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42,285.92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36,805.72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51,699.41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-1,703.08</w:t>
            </w:r>
          </w:p>
        </w:tc>
      </w:tr>
      <w:tr>
        <w:trPr>
          <w:trHeight w:val="2818" w:hRule="exact"/>
        </w:trPr>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0"/>
              <w:ind w:left="345" w:right="132" w:hanging="209"/>
              <w:jc w:val="left"/>
              <w:rPr>
                <w:rFonts w:ascii="宋体" w:hAnsi="宋体" w:cs="宋体" w:eastAsia="宋体" w:hint="default"/>
                <w:sz w:val="21"/>
                <w:szCs w:val="21"/>
              </w:rPr>
            </w:pPr>
            <w:r>
              <w:rPr>
                <w:rFonts w:ascii="宋体" w:hAnsi="宋体" w:cs="宋体" w:eastAsia="宋体" w:hint="default"/>
                <w:sz w:val="21"/>
                <w:szCs w:val="21"/>
              </w:rPr>
              <w:t>号百控</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pacing w:val="-6"/>
                <w:sz w:val="21"/>
                <w:szCs w:val="21"/>
              </w:rPr>
              <w:t>实业投资，电子商务，网络信息、计算机技术领域内的技术开发、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技术咨询、技术服务、技术转让，物业管理，酒店管理，商务信</w:t>
            </w:r>
            <w:r>
              <w:rPr>
                <w:rFonts w:ascii="宋体" w:hAnsi="宋体" w:cs="宋体" w:eastAsia="宋体" w:hint="default"/>
                <w:w w:val="100"/>
                <w:sz w:val="21"/>
                <w:szCs w:val="21"/>
              </w:rPr>
              <w:t> </w:t>
            </w:r>
            <w:r>
              <w:rPr>
                <w:rFonts w:ascii="宋体" w:hAnsi="宋体" w:cs="宋体" w:eastAsia="宋体" w:hint="default"/>
                <w:sz w:val="21"/>
                <w:szCs w:val="21"/>
              </w:rPr>
              <w:t>息咨询，票务代理，会展会务服务，旅游咨询（不得从事旅行社</w:t>
            </w:r>
            <w:r>
              <w:rPr>
                <w:rFonts w:ascii="宋体" w:hAnsi="宋体" w:cs="宋体" w:eastAsia="宋体" w:hint="default"/>
                <w:w w:val="100"/>
                <w:sz w:val="21"/>
                <w:szCs w:val="21"/>
              </w:rPr>
              <w:t> </w:t>
            </w:r>
            <w:r>
              <w:rPr>
                <w:rFonts w:ascii="宋体" w:hAnsi="宋体" w:cs="宋体" w:eastAsia="宋体" w:hint="default"/>
                <w:sz w:val="21"/>
                <w:szCs w:val="21"/>
              </w:rPr>
              <w:t>业务），设计、制作各类广告，利用自有媒体发布广告，海上、</w:t>
            </w:r>
            <w:r>
              <w:rPr>
                <w:rFonts w:ascii="宋体" w:hAnsi="宋体" w:cs="宋体" w:eastAsia="宋体" w:hint="default"/>
                <w:w w:val="100"/>
                <w:sz w:val="21"/>
                <w:szCs w:val="21"/>
              </w:rPr>
              <w:t> </w:t>
            </w:r>
            <w:r>
              <w:rPr>
                <w:rFonts w:ascii="宋体" w:hAnsi="宋体" w:cs="宋体" w:eastAsia="宋体" w:hint="default"/>
                <w:sz w:val="21"/>
                <w:szCs w:val="21"/>
              </w:rPr>
              <w:t>陆路、航空国际货运代理服务，日用百货，工艺品，电子产品，</w:t>
            </w:r>
            <w:r>
              <w:rPr>
                <w:rFonts w:ascii="宋体" w:hAnsi="宋体" w:cs="宋体" w:eastAsia="宋体" w:hint="default"/>
                <w:w w:val="100"/>
                <w:sz w:val="21"/>
                <w:szCs w:val="21"/>
              </w:rPr>
              <w:t> </w:t>
            </w:r>
            <w:r>
              <w:rPr>
                <w:rFonts w:ascii="宋体" w:hAnsi="宋体" w:cs="宋体" w:eastAsia="宋体" w:hint="default"/>
                <w:sz w:val="21"/>
                <w:szCs w:val="21"/>
              </w:rPr>
              <w:t>服装鞋帽，五金交电，针纺织品，文化、办公用品，体育用品，</w:t>
            </w:r>
            <w:r>
              <w:rPr>
                <w:rFonts w:ascii="宋体" w:hAnsi="宋体" w:cs="宋体" w:eastAsia="宋体" w:hint="default"/>
                <w:w w:val="100"/>
                <w:sz w:val="21"/>
                <w:szCs w:val="21"/>
              </w:rPr>
              <w:t> </w:t>
            </w:r>
            <w:r>
              <w:rPr>
                <w:rFonts w:ascii="宋体" w:hAnsi="宋体" w:cs="宋体" w:eastAsia="宋体" w:hint="default"/>
                <w:sz w:val="21"/>
                <w:szCs w:val="21"/>
              </w:rPr>
              <w:t>机电设备，通信设备及相关产品（除卫星地面接收装置）的批发</w:t>
            </w:r>
            <w:r>
              <w:rPr>
                <w:rFonts w:ascii="宋体" w:hAnsi="宋体" w:cs="宋体" w:eastAsia="宋体" w:hint="default"/>
                <w:w w:val="100"/>
                <w:sz w:val="21"/>
                <w:szCs w:val="21"/>
              </w:rPr>
              <w:t> </w:t>
            </w:r>
            <w:r>
              <w:rPr>
                <w:rFonts w:ascii="宋体" w:hAnsi="宋体" w:cs="宋体" w:eastAsia="宋体" w:hint="default"/>
                <w:sz w:val="21"/>
                <w:szCs w:val="21"/>
              </w:rPr>
              <w:t>与零售，第二类增值电信业务中的呼叫中心业务、因特网接入服</w:t>
            </w:r>
            <w:r>
              <w:rPr>
                <w:rFonts w:ascii="宋体" w:hAnsi="宋体" w:cs="宋体" w:eastAsia="宋体" w:hint="default"/>
                <w:w w:val="100"/>
                <w:sz w:val="21"/>
                <w:szCs w:val="21"/>
              </w:rPr>
              <w:t> </w:t>
            </w:r>
            <w:r>
              <w:rPr>
                <w:rFonts w:ascii="宋体" w:hAnsi="宋体" w:cs="宋体" w:eastAsia="宋体" w:hint="default"/>
                <w:sz w:val="21"/>
                <w:szCs w:val="21"/>
              </w:rPr>
              <w:t>务业务、信息服务业务。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0.26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79,569.59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980" w:right="1060"/>
        </w:sectPr>
      </w:pPr>
    </w:p>
    <w:p>
      <w:pPr>
        <w:pStyle w:val="BodyText"/>
        <w:spacing w:line="273" w:lineRule="auto"/>
        <w:ind w:left="460" w:right="0"/>
        <w:jc w:val="left"/>
      </w:pPr>
      <w:r>
        <w:rPr/>
        <w:t>注：号百控股为上市公司，年报尚未披露。</w:t>
      </w:r>
      <w:r>
        <w:rPr>
          <w:w w:val="100"/>
        </w:rPr>
        <w:t> </w:t>
      </w:r>
      <w:r>
        <w:rPr>
          <w:rFonts w:ascii="宋体" w:hAnsi="宋体" w:cs="宋体" w:eastAsia="宋体" w:hint="default"/>
          <w:spacing w:val="-2"/>
        </w:rPr>
        <w:t>2</w:t>
      </w:r>
      <w:r>
        <w:rPr>
          <w:spacing w:val="-2"/>
        </w:rPr>
        <w:t>、报告期内，公司主要控股孙公司基本信息及主要财务数据信息如下表所示：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6"/>
          <w:szCs w:val="26"/>
        </w:rPr>
      </w:pPr>
    </w:p>
    <w:p>
      <w:pPr>
        <w:pStyle w:val="BodyText"/>
        <w:tabs>
          <w:tab w:pos="2036" w:val="left" w:leader="none"/>
        </w:tabs>
        <w:spacing w:line="240" w:lineRule="auto"/>
        <w:ind w:left="460" w:right="0"/>
        <w:jc w:val="left"/>
      </w:pPr>
      <w:r>
        <w:rPr>
          <w:spacing w:val="-1"/>
        </w:rPr>
        <w:t>单位：万元</w:t>
        <w:tab/>
      </w:r>
      <w:r>
        <w:rPr>
          <w:spacing w:val="-3"/>
        </w:rPr>
        <w:t>币种：欧元</w:t>
      </w:r>
      <w:r>
        <w:rPr/>
      </w:r>
    </w:p>
    <w:p>
      <w:pPr>
        <w:spacing w:after="0" w:line="240" w:lineRule="auto"/>
        <w:jc w:val="left"/>
        <w:sectPr>
          <w:type w:val="continuous"/>
          <w:pgSz w:w="16840" w:h="11910" w:orient="landscape"/>
          <w:pgMar w:top="1120" w:bottom="1380" w:left="980" w:right="1060"/>
          <w:cols w:num="2" w:equalWidth="0">
            <w:col w:w="7710" w:space="3317"/>
            <w:col w:w="3773"/>
          </w:cols>
        </w:sectPr>
      </w:pPr>
    </w:p>
    <w:p>
      <w:pPr>
        <w:spacing w:line="240" w:lineRule="auto" w:before="10"/>
        <w:rPr>
          <w:rFonts w:ascii="宋体" w:hAnsi="宋体" w:cs="宋体" w:eastAsia="宋体" w:hint="default"/>
          <w:sz w:val="3"/>
          <w:szCs w:val="3"/>
        </w:rPr>
      </w:pPr>
    </w:p>
    <w:tbl>
      <w:tblPr>
        <w:tblW w:w="0" w:type="auto"/>
        <w:jc w:val="left"/>
        <w:tblInd w:w="347" w:type="dxa"/>
        <w:tblLayout w:type="fixed"/>
        <w:tblCellMar>
          <w:top w:w="0" w:type="dxa"/>
          <w:left w:w="0" w:type="dxa"/>
          <w:bottom w:w="0" w:type="dxa"/>
          <w:right w:w="0" w:type="dxa"/>
        </w:tblCellMar>
        <w:tblLook w:val="01E0"/>
      </w:tblPr>
      <w:tblGrid>
        <w:gridCol w:w="2904"/>
        <w:gridCol w:w="2093"/>
        <w:gridCol w:w="1682"/>
        <w:gridCol w:w="1515"/>
        <w:gridCol w:w="1627"/>
        <w:gridCol w:w="1479"/>
        <w:gridCol w:w="1709"/>
        <w:gridCol w:w="1275"/>
      </w:tblGrid>
      <w:tr>
        <w:trPr>
          <w:trHeight w:val="451" w:hRule="exact"/>
        </w:trPr>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9"/>
              <w:jc w:val="right"/>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406" w:hRule="exact"/>
        </w:trPr>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新华网欧洲传播与运营中心</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76" w:right="0"/>
              <w:jc w:val="left"/>
              <w:rPr>
                <w:rFonts w:ascii="宋体" w:hAnsi="宋体" w:cs="宋体" w:eastAsia="宋体" w:hint="default"/>
                <w:sz w:val="21"/>
                <w:szCs w:val="21"/>
              </w:rPr>
            </w:pPr>
            <w:r>
              <w:rPr>
                <w:rFonts w:ascii="宋体"/>
                <w:sz w:val="21"/>
              </w:rPr>
              <w:t>20.00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8" w:right="0"/>
              <w:jc w:val="left"/>
              <w:rPr>
                <w:rFonts w:ascii="宋体" w:hAnsi="宋体" w:cs="宋体" w:eastAsia="宋体" w:hint="default"/>
                <w:sz w:val="21"/>
                <w:szCs w:val="21"/>
              </w:rPr>
            </w:pPr>
            <w:r>
              <w:rPr>
                <w:rFonts w:ascii="宋体"/>
                <w:sz w:val="21"/>
              </w:rPr>
              <w:t>24.09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38" w:right="0"/>
              <w:jc w:val="left"/>
              <w:rPr>
                <w:rFonts w:ascii="宋体" w:hAnsi="宋体" w:cs="宋体" w:eastAsia="宋体" w:hint="default"/>
                <w:sz w:val="21"/>
                <w:szCs w:val="21"/>
              </w:rPr>
            </w:pPr>
            <w:r>
              <w:rPr>
                <w:rFonts w:ascii="宋体"/>
                <w:sz w:val="21"/>
              </w:rPr>
              <w:t>23.62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2" w:right="0"/>
              <w:jc w:val="left"/>
              <w:rPr>
                <w:rFonts w:ascii="宋体" w:hAnsi="宋体" w:cs="宋体" w:eastAsia="宋体" w:hint="default"/>
                <w:sz w:val="21"/>
                <w:szCs w:val="21"/>
              </w:rPr>
            </w:pPr>
            <w:r>
              <w:rPr>
                <w:rFonts w:ascii="宋体"/>
                <w:sz w:val="21"/>
              </w:rPr>
              <w:t>1.15</w:t>
            </w:r>
          </w:p>
        </w:tc>
      </w:tr>
    </w:tbl>
    <w:p>
      <w:pPr>
        <w:spacing w:line="240" w:lineRule="auto" w:before="2"/>
        <w:rPr>
          <w:rFonts w:ascii="宋体" w:hAnsi="宋体" w:cs="宋体" w:eastAsia="宋体" w:hint="default"/>
          <w:sz w:val="20"/>
          <w:szCs w:val="20"/>
        </w:rPr>
      </w:pPr>
    </w:p>
    <w:p>
      <w:pPr>
        <w:pStyle w:val="BodyText"/>
        <w:tabs>
          <w:tab w:pos="1576" w:val="left" w:leader="none"/>
        </w:tabs>
        <w:spacing w:line="240" w:lineRule="auto" w:before="36"/>
        <w:ind w:left="0" w:right="471"/>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347" w:type="dxa"/>
        <w:tblLayout w:type="fixed"/>
        <w:tblCellMar>
          <w:top w:w="0" w:type="dxa"/>
          <w:left w:w="0" w:type="dxa"/>
          <w:bottom w:w="0" w:type="dxa"/>
          <w:right w:w="0" w:type="dxa"/>
        </w:tblCellMar>
        <w:tblLook w:val="01E0"/>
      </w:tblPr>
      <w:tblGrid>
        <w:gridCol w:w="2904"/>
        <w:gridCol w:w="2093"/>
        <w:gridCol w:w="1682"/>
        <w:gridCol w:w="1515"/>
        <w:gridCol w:w="1627"/>
        <w:gridCol w:w="1479"/>
        <w:gridCol w:w="1709"/>
        <w:gridCol w:w="1275"/>
      </w:tblGrid>
      <w:tr>
        <w:trPr>
          <w:trHeight w:val="409" w:hRule="exact"/>
        </w:trPr>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9"/>
              <w:jc w:val="right"/>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3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9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1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17"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634" w:hRule="exact"/>
        </w:trPr>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5"/>
              <w:jc w:val="left"/>
              <w:rPr>
                <w:rFonts w:ascii="宋体" w:hAnsi="宋体" w:cs="宋体" w:eastAsia="宋体" w:hint="default"/>
                <w:sz w:val="21"/>
                <w:szCs w:val="21"/>
              </w:rPr>
            </w:pPr>
            <w:r>
              <w:rPr>
                <w:rFonts w:ascii="宋体" w:hAnsi="宋体" w:cs="宋体" w:eastAsia="宋体" w:hint="default"/>
                <w:spacing w:val="-2"/>
                <w:sz w:val="21"/>
                <w:szCs w:val="21"/>
              </w:rPr>
              <w:t>新华网亿连投资管理（天津）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有限公司</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pacing w:val="-3"/>
                <w:sz w:val="21"/>
                <w:szCs w:val="21"/>
              </w:rPr>
              <w:t>投资管理；投资咨询</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z w:val="21"/>
              </w:rPr>
              <w:t>100.00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62" w:right="0"/>
              <w:jc w:val="left"/>
              <w:rPr>
                <w:rFonts w:ascii="宋体" w:hAnsi="宋体" w:cs="宋体" w:eastAsia="宋体" w:hint="default"/>
                <w:sz w:val="21"/>
                <w:szCs w:val="21"/>
              </w:rPr>
            </w:pPr>
            <w:r>
              <w:rPr>
                <w:rFonts w:ascii="宋体"/>
                <w:sz w:val="21"/>
              </w:rPr>
              <w:t>1,000.00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74" w:right="0"/>
              <w:jc w:val="left"/>
              <w:rPr>
                <w:rFonts w:ascii="宋体" w:hAnsi="宋体" w:cs="宋体" w:eastAsia="宋体" w:hint="default"/>
                <w:sz w:val="21"/>
                <w:szCs w:val="21"/>
              </w:rPr>
            </w:pPr>
            <w:r>
              <w:rPr>
                <w:rFonts w:ascii="宋体"/>
                <w:sz w:val="21"/>
              </w:rPr>
              <w:t>1,489.22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32" w:right="0"/>
              <w:jc w:val="left"/>
              <w:rPr>
                <w:rFonts w:ascii="宋体" w:hAnsi="宋体" w:cs="宋体" w:eastAsia="宋体" w:hint="default"/>
                <w:sz w:val="21"/>
                <w:szCs w:val="21"/>
              </w:rPr>
            </w:pPr>
            <w:r>
              <w:rPr>
                <w:rFonts w:ascii="宋体"/>
                <w:sz w:val="21"/>
              </w:rPr>
              <w:t>264.17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64" w:right="0"/>
              <w:jc w:val="left"/>
              <w:rPr>
                <w:rFonts w:ascii="宋体" w:hAnsi="宋体" w:cs="宋体" w:eastAsia="宋体" w:hint="default"/>
                <w:sz w:val="21"/>
                <w:szCs w:val="21"/>
              </w:rPr>
            </w:pPr>
            <w:r>
              <w:rPr>
                <w:rFonts w:ascii="宋体"/>
                <w:sz w:val="21"/>
              </w:rPr>
              <w:t>146.34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6" w:right="0"/>
              <w:jc w:val="left"/>
              <w:rPr>
                <w:rFonts w:ascii="宋体" w:hAnsi="宋体" w:cs="宋体" w:eastAsia="宋体" w:hint="default"/>
                <w:sz w:val="21"/>
                <w:szCs w:val="21"/>
              </w:rPr>
            </w:pPr>
            <w:r>
              <w:rPr>
                <w:rFonts w:ascii="宋体"/>
                <w:sz w:val="21"/>
              </w:rPr>
              <w:t>64.17</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9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240" w:lineRule="auto"/>
        <w:ind w:left="138" w:right="125"/>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tabs>
          <w:tab w:pos="980" w:val="left" w:leader="none"/>
        </w:tabs>
        <w:spacing w:line="324" w:lineRule="auto" w:before="97"/>
        <w:ind w:left="138" w:right="516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1"/>
          <w:szCs w:val="21"/>
        </w:rPr>
        <w:t>行业格局和趋势</w:t>
      </w:r>
      <w:r>
        <w:rPr>
          <w:rFonts w:ascii="宋体" w:hAnsi="宋体" w:cs="宋体" w:eastAsia="宋体" w:hint="default"/>
          <w:sz w:val="21"/>
          <w:szCs w:val="21"/>
        </w:rPr>
      </w:r>
    </w:p>
    <w:p>
      <w:pPr>
        <w:pStyle w:val="BodyText"/>
        <w:tabs>
          <w:tab w:pos="980" w:val="left" w:leader="none"/>
        </w:tabs>
        <w:spacing w:line="240" w:lineRule="auto" w:before="23"/>
        <w:ind w:right="125"/>
        <w:jc w:val="left"/>
      </w:pPr>
      <w:r>
        <w:rPr>
          <w:spacing w:val="-1"/>
        </w:rPr>
        <w:t>√适用</w:t>
        <w:tab/>
      </w:r>
      <w:r>
        <w:rPr>
          <w:spacing w:val="-2"/>
        </w:rPr>
        <w:t>□不适用</w:t>
      </w:r>
    </w:p>
    <w:p>
      <w:pPr>
        <w:pStyle w:val="BodyText"/>
        <w:spacing w:line="350" w:lineRule="auto" w:before="123"/>
        <w:ind w:right="128" w:firstLine="419"/>
        <w:jc w:val="both"/>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10</w:t>
      </w:r>
      <w:r>
        <w:rPr>
          <w:rFonts w:ascii="宋体" w:hAnsi="宋体" w:cs="宋体" w:eastAsia="宋体" w:hint="default"/>
          <w:spacing w:val="-43"/>
        </w:rPr>
        <w:t> </w:t>
      </w:r>
      <w:r>
        <w:rPr/>
        <w:t>月</w:t>
      </w:r>
      <w:r>
        <w:rPr>
          <w:spacing w:val="-45"/>
        </w:rPr>
        <w:t> </w:t>
      </w:r>
      <w:r>
        <w:rPr>
          <w:rFonts w:ascii="宋体" w:hAnsi="宋体" w:cs="宋体" w:eastAsia="宋体" w:hint="default"/>
        </w:rPr>
        <w:t>18</w:t>
      </w:r>
      <w:r>
        <w:rPr>
          <w:rFonts w:ascii="宋体" w:hAnsi="宋体" w:cs="宋体" w:eastAsia="宋体" w:hint="default"/>
          <w:spacing w:val="-45"/>
        </w:rPr>
        <w:t> </w:t>
      </w:r>
      <w:r>
        <w:rPr/>
        <w:t>日至</w:t>
      </w:r>
      <w:r>
        <w:rPr>
          <w:spacing w:val="-45"/>
        </w:rPr>
        <w:t> </w:t>
      </w:r>
      <w:r>
        <w:rPr>
          <w:rFonts w:ascii="宋体" w:hAnsi="宋体" w:cs="宋体" w:eastAsia="宋体" w:hint="default"/>
        </w:rPr>
        <w:t>24</w:t>
      </w:r>
      <w:r>
        <w:rPr>
          <w:rFonts w:ascii="宋体" w:hAnsi="宋体" w:cs="宋体" w:eastAsia="宋体" w:hint="default"/>
          <w:spacing w:val="-45"/>
        </w:rPr>
        <w:t> </w:t>
      </w:r>
      <w:r>
        <w:rPr/>
        <w:t>日，中国共产党第十九次全国代表大会召开，习近平总书记代表党</w:t>
      </w:r>
      <w:r>
        <w:rPr>
          <w:w w:val="100"/>
        </w:rPr>
        <w:t> </w:t>
      </w:r>
      <w:r>
        <w:rPr>
          <w:spacing w:val="-1"/>
        </w:rPr>
        <w:t>中央作了政治报告，科学分析当今世界和当代中国发展大势，进一步明确“两个一百年”奋斗目</w:t>
      </w:r>
      <w:r>
        <w:rPr>
          <w:spacing w:val="-56"/>
        </w:rPr>
        <w:t> </w:t>
      </w:r>
      <w:r>
        <w:rPr>
          <w:spacing w:val="-56"/>
        </w:rPr>
      </w:r>
      <w:r>
        <w:rPr>
          <w:spacing w:val="-1"/>
        </w:rPr>
        <w:t>标，提出新“两步走”战略，描绘全面建设社会主义现代化国家总蓝图，对党和国家事业发展做</w:t>
      </w:r>
      <w:r>
        <w:rPr>
          <w:spacing w:val="-55"/>
        </w:rPr>
        <w:t> </w:t>
      </w:r>
      <w:r>
        <w:rPr>
          <w:spacing w:val="-55"/>
        </w:rPr>
      </w:r>
      <w:r>
        <w:rPr>
          <w:spacing w:val="-1"/>
        </w:rPr>
        <w:t>出全局性、战略性、前瞻性规划部署，开启了中国特色社会主义新时代。报告对推动互联网、大</w:t>
      </w:r>
      <w:r>
        <w:rPr>
          <w:spacing w:val="-55"/>
        </w:rPr>
        <w:t> </w:t>
      </w:r>
      <w:r>
        <w:rPr>
          <w:spacing w:val="-55"/>
        </w:rPr>
      </w:r>
      <w:r>
        <w:rPr>
          <w:spacing w:val="-1"/>
        </w:rPr>
        <w:t>数据、人工智能、共享经济发展，建设网络强国、数字中国、智慧社会等作出重大战略部署，为</w:t>
      </w:r>
      <w:r>
        <w:rPr>
          <w:spacing w:val="-55"/>
        </w:rPr>
        <w:t> </w:t>
      </w:r>
      <w:r>
        <w:rPr>
          <w:spacing w:val="-55"/>
        </w:rPr>
      </w:r>
      <w:r>
        <w:rPr/>
        <w:t>中国互联网发展提供了根本遵循与行动指南。</w:t>
      </w:r>
    </w:p>
    <w:p>
      <w:pPr>
        <w:pStyle w:val="BodyText"/>
        <w:spacing w:line="350" w:lineRule="auto" w:before="27"/>
        <w:ind w:right="128" w:firstLine="419"/>
        <w:jc w:val="both"/>
      </w:pPr>
      <w:r>
        <w:rPr>
          <w:spacing w:val="-2"/>
        </w:rPr>
        <w:t>在这一年里，在习近平新时代中国特色社会主义思想特别是网络强国战略思想指引下，中国</w:t>
      </w:r>
      <w:r>
        <w:rPr>
          <w:w w:val="100"/>
        </w:rPr>
        <w:t> </w:t>
      </w:r>
      <w:r>
        <w:rPr>
          <w:spacing w:val="-1"/>
        </w:rPr>
        <w:t>互联网发展治理的顶层设计和总体架构基本确立，网上正能量更强劲、主旋律更高昂，网络空间</w:t>
      </w:r>
      <w:r>
        <w:rPr>
          <w:spacing w:val="-55"/>
        </w:rPr>
        <w:t> </w:t>
      </w:r>
      <w:r>
        <w:rPr>
          <w:spacing w:val="-55"/>
        </w:rPr>
      </w:r>
      <w:r>
        <w:rPr>
          <w:spacing w:val="-1"/>
        </w:rPr>
        <w:t>日渐清朗，国家网络安全屏障进一步巩固，信息化驱动引领经济社会发展作用凸显，网络空间国</w:t>
      </w:r>
      <w:r>
        <w:rPr>
          <w:spacing w:val="-55"/>
        </w:rPr>
        <w:t> </w:t>
      </w:r>
      <w:r>
        <w:rPr>
          <w:spacing w:val="-55"/>
        </w:rPr>
      </w:r>
      <w:r>
        <w:rPr>
          <w:spacing w:val="-1"/>
        </w:rPr>
        <w:t>际话语权和影响力明显提升，人民群众在共享互联网发展成果上有了更多获得感，网信事业发展</w:t>
      </w:r>
      <w:r>
        <w:rPr>
          <w:spacing w:val="-55"/>
        </w:rPr>
        <w:t> </w:t>
      </w:r>
      <w:r>
        <w:rPr>
          <w:spacing w:val="-55"/>
        </w:rPr>
      </w:r>
      <w:r>
        <w:rPr/>
        <w:t>取得重大成就。</w:t>
      </w:r>
    </w:p>
    <w:p>
      <w:pPr>
        <w:pStyle w:val="BodyText"/>
        <w:spacing w:line="350" w:lineRule="auto" w:before="29"/>
        <w:ind w:right="128" w:firstLine="419"/>
        <w:jc w:val="both"/>
      </w:pPr>
      <w:r>
        <w:rPr>
          <w:spacing w:val="-2"/>
        </w:rPr>
        <w:t>未来三十年，是中国互联网大有可为的重大战略机遇期。站在新的历史起点上，中国互联网</w:t>
      </w:r>
      <w:r>
        <w:rPr>
          <w:w w:val="100"/>
        </w:rPr>
        <w:t> </w:t>
      </w:r>
      <w:r>
        <w:rPr>
          <w:spacing w:val="-1"/>
        </w:rPr>
        <w:t>坚持以习近平新时代中国特色社会主义思想为指导，全面贯彻落实党的十九大精神，贯彻以人民</w:t>
      </w:r>
      <w:r>
        <w:rPr>
          <w:spacing w:val="-55"/>
        </w:rPr>
        <w:t> </w:t>
      </w:r>
      <w:r>
        <w:rPr>
          <w:spacing w:val="-55"/>
        </w:rPr>
      </w:r>
      <w:r>
        <w:rPr>
          <w:spacing w:val="-1"/>
        </w:rPr>
        <w:t>为中心的发展思想，加快实施网络强国战略，大力推进数字中国建设，努力实现中国互联网更全</w:t>
      </w:r>
      <w:r>
        <w:rPr>
          <w:spacing w:val="-55"/>
        </w:rPr>
        <w:t> </w:t>
      </w:r>
      <w:r>
        <w:rPr>
          <w:spacing w:val="-55"/>
        </w:rPr>
      </w:r>
      <w:r>
        <w:rPr/>
        <w:t>面、更平衡、更充分、更高质量的可持续发展，让互联网更好地造福国家和人民。</w:t>
      </w:r>
    </w:p>
    <w:p>
      <w:pPr>
        <w:pStyle w:val="BodyText"/>
        <w:spacing w:line="350" w:lineRule="auto" w:before="27"/>
        <w:ind w:right="127" w:firstLine="419"/>
        <w:jc w:val="both"/>
      </w:pPr>
      <w:r>
        <w:rPr>
          <w:spacing w:val="-2"/>
        </w:rPr>
        <w:t>在此大环境下，新华网将全面深入贯彻落实中央精神，结合公司实际情况，坚持加强网络内</w:t>
      </w:r>
      <w:r>
        <w:rPr>
          <w:w w:val="100"/>
        </w:rPr>
        <w:t> </w:t>
      </w:r>
      <w:r>
        <w:rPr>
          <w:spacing w:val="-1"/>
        </w:rPr>
        <w:t>容建设，坚持正确导向，确保网络意识形态安全，坚持马克思主义为指导，坚持网络内容建设的</w:t>
      </w:r>
      <w:r>
        <w:rPr>
          <w:spacing w:val="-55"/>
        </w:rPr>
        <w:t> </w:t>
      </w:r>
      <w:r>
        <w:rPr>
          <w:spacing w:val="-55"/>
        </w:rPr>
      </w:r>
      <w:r>
        <w:rPr>
          <w:spacing w:val="-1"/>
        </w:rPr>
        <w:t>社会主义性质，做大做强主流舆论，发挥好新华社建设“网上通讯社的主平台作用”，服务好新</w:t>
      </w:r>
      <w:r>
        <w:rPr>
          <w:spacing w:val="-55"/>
        </w:rPr>
        <w:t> </w:t>
      </w:r>
      <w:r>
        <w:rPr>
          <w:spacing w:val="-55"/>
        </w:rPr>
      </w:r>
      <w:r>
        <w:rPr>
          <w:spacing w:val="-6"/>
          <w:w w:val="100"/>
        </w:rPr>
        <w:t>华社加快建设国际一流新型世界性通讯社的战略目标。未来，公司将进一步增强责任感和使命感，</w:t>
      </w:r>
      <w:r>
        <w:rPr>
          <w:w w:val="100"/>
        </w:rPr>
        <w:t> </w:t>
      </w:r>
      <w:r>
        <w:rPr>
          <w:spacing w:val="-1"/>
        </w:rPr>
        <w:t>站在服务党和国家事业大局的高度，一切工作以更好地履职履责为出发点和落脚点；勇于创新、</w:t>
      </w:r>
      <w:r>
        <w:rPr>
          <w:spacing w:val="-55"/>
        </w:rPr>
        <w:t> </w:t>
      </w:r>
      <w:r>
        <w:rPr>
          <w:spacing w:val="-55"/>
        </w:rPr>
      </w:r>
      <w:r>
        <w:rPr>
          <w:spacing w:val="-1"/>
        </w:rPr>
        <w:t>善于创新，以具有传媒属性的互联网科技文化公司的视角，加快探索事业发展的新模式新路径，</w:t>
      </w:r>
      <w:r>
        <w:rPr>
          <w:spacing w:val="-54"/>
        </w:rPr>
        <w:t> </w:t>
      </w:r>
      <w:r>
        <w:rPr>
          <w:spacing w:val="-54"/>
        </w:rPr>
      </w:r>
      <w:r>
        <w:rPr/>
        <w:t>努力开创新华网事业发展的新篇章、新格局。</w:t>
      </w:r>
    </w:p>
    <w:p>
      <w:pPr>
        <w:pStyle w:val="Heading3"/>
        <w:spacing w:line="240" w:lineRule="auto" w:before="3"/>
        <w:ind w:left="138" w:right="125"/>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BodyText"/>
        <w:tabs>
          <w:tab w:pos="980" w:val="left" w:leader="none"/>
        </w:tabs>
        <w:spacing w:line="348" w:lineRule="auto" w:before="97"/>
        <w:ind w:left="558" w:right="133" w:hanging="420"/>
        <w:jc w:val="left"/>
      </w:pPr>
      <w:r>
        <w:rPr>
          <w:spacing w:val="-1"/>
        </w:rPr>
        <w:t>√适用</w:t>
        <w:tab/>
      </w:r>
      <w:r>
        <w:rPr>
          <w:spacing w:val="-2"/>
        </w:rPr>
        <w:t>□不适用</w:t>
      </w:r>
      <w:r>
        <w:rPr>
          <w:spacing w:val="-99"/>
        </w:rPr>
        <w:t> </w:t>
      </w:r>
      <w:r>
        <w:rPr>
          <w:spacing w:val="-99"/>
        </w:rPr>
      </w:r>
      <w:r>
        <w:rPr>
          <w:spacing w:val="-2"/>
        </w:rPr>
        <w:t>新华网的发展目标是建成具有广泛国际影响的一流新闻网站和拥有强大实力的互联网文化企</w:t>
      </w:r>
    </w:p>
    <w:p>
      <w:pPr>
        <w:pStyle w:val="BodyText"/>
        <w:spacing w:line="350" w:lineRule="auto" w:before="31"/>
        <w:ind w:right="128"/>
        <w:jc w:val="both"/>
      </w:pPr>
      <w:r>
        <w:rPr>
          <w:spacing w:val="-1"/>
        </w:rPr>
        <w:t>业。公司作为新华社所属唯一的国家级综合新闻类经营性门户网站，将大力推进内容建设、经营</w:t>
      </w:r>
      <w:r>
        <w:rPr>
          <w:spacing w:val="-55"/>
        </w:rPr>
        <w:t> </w:t>
      </w:r>
      <w:r>
        <w:rPr>
          <w:spacing w:val="-55"/>
        </w:rPr>
      </w:r>
      <w:r>
        <w:rPr>
          <w:spacing w:val="-1"/>
        </w:rPr>
        <w:t>模式、技术研发和管理机制的创新升级，巩固中央重点新闻网站排头兵地位，巩固并扩大具有全</w:t>
      </w:r>
      <w:r>
        <w:rPr>
          <w:spacing w:val="-55"/>
        </w:rPr>
        <w:t> </w:t>
      </w:r>
      <w:r>
        <w:rPr>
          <w:spacing w:val="-55"/>
        </w:rPr>
      </w:r>
      <w:r>
        <w:rPr>
          <w:spacing w:val="-1"/>
        </w:rPr>
        <w:t>球影响力中文网站的领先优势，成为最具权威性和公信力的以新闻信息服务为主、多种业务线并</w:t>
      </w:r>
      <w:r>
        <w:rPr>
          <w:spacing w:val="-55"/>
        </w:rPr>
        <w:t> </w:t>
      </w:r>
      <w:r>
        <w:rPr>
          <w:spacing w:val="-55"/>
        </w:rPr>
      </w:r>
      <w:r>
        <w:rPr/>
        <w:t>存的“多语种、多终端、全媒体、全覆盖”的综合信息服务提供商。</w:t>
      </w:r>
    </w:p>
    <w:p>
      <w:pPr>
        <w:spacing w:after="0" w:line="350" w:lineRule="auto"/>
        <w:jc w:val="both"/>
        <w:sectPr>
          <w:headerReference w:type="default" r:id="rId28"/>
          <w:footerReference w:type="default" r:id="rId29"/>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08" w:firstLine="419"/>
        <w:jc w:val="both"/>
      </w:pPr>
      <w:r>
        <w:rPr>
          <w:spacing w:val="-2"/>
        </w:rPr>
        <w:t>围绕整体发展目标，公司制定了与当前发展阶段、未来规划及互联网发展规律相适应的基本</w:t>
      </w:r>
      <w:r>
        <w:rPr>
          <w:w w:val="100"/>
        </w:rPr>
        <w:t> </w:t>
      </w:r>
      <w:r>
        <w:rPr>
          <w:spacing w:val="-1"/>
        </w:rPr>
        <w:t>战略：围绕增强新华网影响力、传播力、舆论引导力和拓展市场竞争力两条生命线，按照“做强</w:t>
      </w:r>
      <w:r>
        <w:rPr>
          <w:spacing w:val="-55"/>
        </w:rPr>
        <w:t> </w:t>
      </w:r>
      <w:r>
        <w:rPr>
          <w:spacing w:val="-55"/>
        </w:rPr>
      </w:r>
      <w:r>
        <w:rPr>
          <w:spacing w:val="-1"/>
        </w:rPr>
        <w:t>新闻网、做特社交网、做优移动互联网、追踪物联网、服务信息化”的发展思路，不断加快战略</w:t>
      </w:r>
      <w:r>
        <w:rPr>
          <w:spacing w:val="-55"/>
        </w:rPr>
        <w:t> </w:t>
      </w:r>
      <w:r>
        <w:rPr>
          <w:spacing w:val="-55"/>
        </w:rPr>
      </w:r>
      <w:r>
        <w:rPr>
          <w:spacing w:val="-1"/>
        </w:rPr>
        <w:t>转型步伐，推进事业科学发展，在互联网行业的激烈博弈中获得新的优势，逐步确立新华网的行</w:t>
      </w:r>
      <w:r>
        <w:rPr>
          <w:spacing w:val="-55"/>
        </w:rPr>
        <w:t> </w:t>
      </w:r>
      <w:r>
        <w:rPr>
          <w:spacing w:val="-55"/>
        </w:rPr>
      </w:r>
      <w:r>
        <w:rPr/>
        <w:t>业引领地位。</w:t>
      </w:r>
    </w:p>
    <w:p>
      <w:pPr>
        <w:pStyle w:val="Heading3"/>
        <w:spacing w:line="240" w:lineRule="auto" w:before="3"/>
        <w:ind w:left="138" w:right="101"/>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BodyText"/>
        <w:tabs>
          <w:tab w:pos="980" w:val="left" w:leader="none"/>
        </w:tabs>
        <w:spacing w:line="240" w:lineRule="auto" w:before="97"/>
        <w:ind w:right="101"/>
        <w:jc w:val="left"/>
      </w:pPr>
      <w:r>
        <w:rPr>
          <w:spacing w:val="-1"/>
        </w:rPr>
        <w:t>√适用</w:t>
        <w:tab/>
      </w:r>
      <w:r>
        <w:rPr>
          <w:spacing w:val="-2"/>
        </w:rPr>
        <w:t>□不适用</w:t>
      </w:r>
    </w:p>
    <w:p>
      <w:pPr>
        <w:pStyle w:val="BodyText"/>
        <w:spacing w:line="350" w:lineRule="auto" w:before="123"/>
        <w:ind w:right="208" w:firstLine="419"/>
        <w:jc w:val="both"/>
      </w:pPr>
      <w:r>
        <w:rPr>
          <w:rFonts w:ascii="宋体" w:hAnsi="宋体" w:cs="宋体" w:eastAsia="宋体" w:hint="default"/>
        </w:rPr>
        <w:t>2018</w:t>
      </w:r>
      <w:r>
        <w:rPr>
          <w:rFonts w:ascii="宋体" w:hAnsi="宋体" w:cs="宋体" w:eastAsia="宋体" w:hint="default"/>
          <w:spacing w:val="-9"/>
        </w:rPr>
        <w:t> </w:t>
      </w:r>
      <w:r>
        <w:rPr>
          <w:spacing w:val="-3"/>
        </w:rPr>
        <w:t>年，新华网主要任务是：以习近平新时代中国特色社会主义思想为指导，全面落实党的</w:t>
      </w:r>
      <w:r>
        <w:rPr>
          <w:w w:val="100"/>
        </w:rPr>
        <w:t> </w:t>
      </w:r>
      <w:r>
        <w:rPr>
          <w:spacing w:val="-1"/>
        </w:rPr>
        <w:t>十九大对网络新闻舆论工作提出的新部署新要求，坚持正确政治方向和舆论导向，坚持以改革创</w:t>
      </w:r>
      <w:r>
        <w:rPr>
          <w:spacing w:val="-55"/>
        </w:rPr>
        <w:t> </w:t>
      </w:r>
      <w:r>
        <w:rPr>
          <w:spacing w:val="-55"/>
        </w:rPr>
      </w:r>
      <w:r>
        <w:rPr>
          <w:spacing w:val="-1"/>
        </w:rPr>
        <w:t>新带动事业发展，坚持科技、资本、人才与传媒深度融合，形成网上舆论引导新优势，开创系统</w:t>
      </w:r>
      <w:r>
        <w:rPr>
          <w:spacing w:val="-55"/>
        </w:rPr>
        <w:t> </w:t>
      </w:r>
      <w:r>
        <w:rPr>
          <w:spacing w:val="-55"/>
        </w:rPr>
      </w:r>
      <w:r>
        <w:rPr>
          <w:spacing w:val="-6"/>
        </w:rPr>
        <w:t>化创新新局面，力争国际传播能力新突破，拓展互联网化经营新格局，培育技术引领发展新动能，</w:t>
      </w:r>
      <w:r>
        <w:rPr>
          <w:spacing w:val="-54"/>
        </w:rPr>
        <w:t> </w:t>
      </w:r>
      <w:r>
        <w:rPr>
          <w:spacing w:val="-54"/>
        </w:rPr>
      </w:r>
      <w:r>
        <w:rPr>
          <w:spacing w:val="-1"/>
        </w:rPr>
        <w:t>打造集团管理体系新模式，构建人才队伍建设新体系，落实全面从严治党新要求，努力构筑新时</w:t>
      </w:r>
      <w:r>
        <w:rPr>
          <w:spacing w:val="-55"/>
        </w:rPr>
        <w:t> </w:t>
      </w:r>
      <w:r>
        <w:rPr>
          <w:spacing w:val="-55"/>
        </w:rPr>
      </w:r>
      <w:r>
        <w:rPr/>
        <w:t>代网络宣传的高地和重镇。</w:t>
      </w:r>
    </w:p>
    <w:p>
      <w:pPr>
        <w:pStyle w:val="BodyText"/>
        <w:spacing w:line="348" w:lineRule="auto" w:before="29"/>
        <w:ind w:left="558" w:right="101"/>
        <w:jc w:val="left"/>
      </w:pPr>
      <w:r>
        <w:rPr/>
        <w:t>围绕上述任务，重点做好以下五项工作。</w:t>
      </w:r>
      <w:r>
        <w:rPr>
          <w:w w:val="100"/>
        </w:rPr>
        <w:t> </w:t>
      </w:r>
      <w:r>
        <w:rPr>
          <w:rFonts w:ascii="宋体" w:hAnsi="宋体" w:cs="宋体" w:eastAsia="宋体" w:hint="default"/>
          <w:spacing w:val="-4"/>
        </w:rPr>
        <w:t>1</w:t>
      </w:r>
      <w:r>
        <w:rPr>
          <w:spacing w:val="-4"/>
        </w:rPr>
        <w:t>、大力宣传习近平新时代中国特色社会主义思想和十九大精神。将宣传好阐释好习近平新时</w:t>
      </w:r>
    </w:p>
    <w:p>
      <w:pPr>
        <w:pStyle w:val="BodyText"/>
        <w:spacing w:line="350" w:lineRule="auto" w:before="31"/>
        <w:ind w:right="98"/>
        <w:jc w:val="left"/>
      </w:pPr>
      <w:r>
        <w:rPr/>
        <w:t>代中国特色社会主义思想和十九大精神作为头等大事，有力发挥网上宣传“龙头压阵”作用，旗</w:t>
      </w:r>
      <w:r>
        <w:rPr>
          <w:spacing w:val="-96"/>
        </w:rPr>
        <w:t> </w:t>
      </w:r>
      <w:r>
        <w:rPr>
          <w:spacing w:val="-96"/>
        </w:rPr>
      </w:r>
      <w:r>
        <w:rPr/>
        <w:t>帜鲜明地奏响新时代网上宣传最强音，推动新思想深入人心。突出做好习近平总书记重要活动、</w:t>
      </w:r>
      <w:r>
        <w:rPr>
          <w:spacing w:val="-97"/>
        </w:rPr>
        <w:t> </w:t>
      </w:r>
      <w:r>
        <w:rPr>
          <w:spacing w:val="-97"/>
        </w:rPr>
      </w:r>
      <w:r>
        <w:rPr/>
        <w:t>重要讲话网上宣传，充分发挥“学习进行时”品牌优势，紧紧围绕《习近平谈治国理政》第一、</w:t>
      </w:r>
      <w:r>
        <w:rPr>
          <w:spacing w:val="-98"/>
        </w:rPr>
        <w:t> </w:t>
      </w:r>
      <w:r>
        <w:rPr>
          <w:spacing w:val="-98"/>
        </w:rPr>
      </w:r>
      <w:r>
        <w:rPr/>
        <w:t>二卷制作适合多终端多语种传播的系列微视频产品，全面、深入、系统、生动宣传解读习近平新</w:t>
      </w:r>
      <w:r>
        <w:rPr>
          <w:spacing w:val="-97"/>
        </w:rPr>
        <w:t> </w:t>
      </w:r>
      <w:r>
        <w:rPr>
          <w:spacing w:val="-97"/>
        </w:rPr>
      </w:r>
      <w:r>
        <w:rPr/>
        <w:t>时代中国特色社会主义思想，巩固网上最具影响力“学习”平台地位。持续做好党的十九大精神</w:t>
      </w:r>
      <w:r>
        <w:rPr>
          <w:spacing w:val="-97"/>
        </w:rPr>
        <w:t> </w:t>
      </w:r>
      <w:r>
        <w:rPr>
          <w:spacing w:val="-97"/>
        </w:rPr>
      </w:r>
      <w:r>
        <w:rPr/>
        <w:t>学习宣传，开设专题专栏，组织“新时代，再出发”系列访谈，制作“新时代来了”系列短视频</w:t>
      </w:r>
      <w:r>
        <w:rPr>
          <w:spacing w:val="-97"/>
        </w:rPr>
        <w:t> </w:t>
      </w:r>
      <w:r>
        <w:rPr>
          <w:spacing w:val="-97"/>
        </w:rPr>
      </w:r>
      <w:r>
        <w:rPr/>
        <w:t>评论，打造</w:t>
      </w:r>
      <w:r>
        <w:rPr>
          <w:spacing w:val="-50"/>
        </w:rPr>
        <w:t> </w:t>
      </w:r>
      <w:r>
        <w:rPr>
          <w:rFonts w:ascii="宋体" w:hAnsi="宋体" w:cs="宋体" w:eastAsia="宋体" w:hint="default"/>
        </w:rPr>
        <w:t>H5</w:t>
      </w:r>
      <w:r>
        <w:rPr>
          <w:rFonts w:ascii="宋体" w:hAnsi="宋体" w:cs="宋体" w:eastAsia="宋体" w:hint="default"/>
          <w:spacing w:val="-50"/>
        </w:rPr>
        <w:t> </w:t>
      </w:r>
      <w:r>
        <w:rPr/>
        <w:t>轻应用、图刊、图解等系列融媒体产品，努力成为网上宣传十九大精神的主阵地、</w:t>
      </w:r>
      <w:r>
        <w:rPr>
          <w:w w:val="100"/>
        </w:rPr>
        <w:t> </w:t>
      </w:r>
      <w:r>
        <w:rPr/>
        <w:t>主平台、主信源。</w:t>
      </w:r>
    </w:p>
    <w:p>
      <w:pPr>
        <w:pStyle w:val="BodyText"/>
        <w:spacing w:line="350" w:lineRule="auto" w:before="27"/>
        <w:ind w:right="208" w:firstLine="419"/>
        <w:jc w:val="right"/>
      </w:pPr>
      <w:r>
        <w:rPr>
          <w:rFonts w:ascii="宋体" w:hAnsi="宋体" w:cs="宋体" w:eastAsia="宋体" w:hint="default"/>
          <w:spacing w:val="-4"/>
        </w:rPr>
        <w:t>2</w:t>
      </w:r>
      <w:r>
        <w:rPr>
          <w:spacing w:val="-4"/>
        </w:rPr>
        <w:t>、坚定推进全面从严治党。贯彻政治家办网原则，坚持和完善党的领导，用更高标准、更高</w:t>
      </w:r>
      <w:r>
        <w:rPr>
          <w:w w:val="100"/>
        </w:rPr>
        <w:t> </w:t>
      </w:r>
      <w:r>
        <w:rPr>
          <w:spacing w:val="-1"/>
        </w:rPr>
        <w:t>要求落实从严治党、从严治网，为事业发展提供坚强的政治保证。全面深入学习贯彻党的十九大</w:t>
      </w:r>
      <w:r>
        <w:rPr>
          <w:spacing w:val="-70"/>
        </w:rPr>
        <w:t> </w:t>
      </w:r>
      <w:r>
        <w:rPr>
          <w:spacing w:val="-70"/>
        </w:rPr>
      </w:r>
      <w:r>
        <w:rPr>
          <w:spacing w:val="-1"/>
        </w:rPr>
        <w:t>精神，把学习领会习近平新时代中国特色社会主义思想作为重中之重，制定“学习型企业”实施</w:t>
      </w:r>
      <w:r>
        <w:rPr>
          <w:spacing w:val="-70"/>
        </w:rPr>
        <w:t> </w:t>
      </w:r>
      <w:r>
        <w:rPr>
          <w:spacing w:val="-70"/>
        </w:rPr>
      </w:r>
      <w:r>
        <w:rPr>
          <w:spacing w:val="-1"/>
        </w:rPr>
        <w:t>措施，结合“两学一做”推进学习教育常态化制度化，持续学、系统学、深入学，切实用以武装</w:t>
      </w:r>
      <w:r>
        <w:rPr>
          <w:spacing w:val="-72"/>
        </w:rPr>
        <w:t> </w:t>
      </w:r>
      <w:r>
        <w:rPr>
          <w:spacing w:val="-72"/>
        </w:rPr>
      </w:r>
      <w:r>
        <w:rPr>
          <w:spacing w:val="-1"/>
        </w:rPr>
        <w:t>头脑、指导实践、推动工作。坚持和加强党的全面领导，加强党委自身建设，严格落实全面从严</w:t>
      </w:r>
      <w:r>
        <w:rPr>
          <w:spacing w:val="-70"/>
        </w:rPr>
        <w:t> </w:t>
      </w:r>
      <w:r>
        <w:rPr>
          <w:spacing w:val="-70"/>
        </w:rPr>
      </w:r>
      <w:r>
        <w:rPr>
          <w:spacing w:val="-1"/>
        </w:rPr>
        <w:t>治党主体责任，强化对新闻报道和事业发展的政治领导，把管党治党的政治责任和领导责任落到</w:t>
      </w:r>
      <w:r>
        <w:rPr>
          <w:spacing w:val="-70"/>
        </w:rPr>
        <w:t> </w:t>
      </w:r>
      <w:r>
        <w:rPr>
          <w:spacing w:val="-70"/>
        </w:rPr>
      </w:r>
      <w:r>
        <w:rPr>
          <w:spacing w:val="-1"/>
        </w:rPr>
        <w:t>实处。坚持贯彻落实好采编经营“两分开、两加强”工作要求，严格划清经营底线和纪律红线。</w:t>
      </w:r>
      <w:r>
        <w:rPr>
          <w:spacing w:val="-72"/>
        </w:rPr>
        <w:t> </w:t>
      </w:r>
      <w:r>
        <w:rPr>
          <w:spacing w:val="-72"/>
        </w:rPr>
      </w:r>
      <w:r>
        <w:rPr>
          <w:spacing w:val="-2"/>
        </w:rPr>
        <w:t>把加强党风廉政建设和反腐败斗争引向深入，严明廉洁从业纪律，坚决查处各种违法违纪行为。</w:t>
      </w:r>
      <w:r>
        <w:rPr>
          <w:spacing w:val="-52"/>
        </w:rPr>
        <w:t> </w:t>
      </w:r>
      <w:r>
        <w:rPr>
          <w:spacing w:val="-52"/>
        </w:rPr>
      </w:r>
      <w:r>
        <w:rPr>
          <w:rFonts w:ascii="宋体" w:hAnsi="宋体" w:cs="宋体" w:eastAsia="宋体" w:hint="default"/>
          <w:spacing w:val="-3"/>
        </w:rPr>
        <w:t>3</w:t>
      </w:r>
      <w:r>
        <w:rPr>
          <w:spacing w:val="-3"/>
        </w:rPr>
        <w:t>、全面推进内容建设系统化创新。完善采编架构顶层设计，构建超级编辑部 </w:t>
      </w:r>
      <w:r>
        <w:rPr>
          <w:rFonts w:ascii="宋体" w:hAnsi="宋体" w:cs="宋体" w:eastAsia="宋体" w:hint="default"/>
        </w:rPr>
        <w:t>3.0</w:t>
      </w:r>
      <w:r>
        <w:rPr/>
        <w:t>，加快建立</w:t>
      </w:r>
      <w:r>
        <w:rPr>
          <w:w w:val="100"/>
        </w:rPr>
        <w:t> </w:t>
      </w:r>
      <w:r>
        <w:rPr>
          <w:spacing w:val="-1"/>
        </w:rPr>
        <w:t>高效顺畅的新华网一体化报道组织指挥体系，推动智能化编辑部建设取得阶段性进展。借助项目</w:t>
      </w:r>
      <w:r>
        <w:rPr>
          <w:spacing w:val="-70"/>
        </w:rPr>
        <w:t> </w:t>
      </w:r>
      <w:r>
        <w:rPr>
          <w:spacing w:val="-70"/>
        </w:rPr>
      </w:r>
      <w:r>
        <w:rPr>
          <w:spacing w:val="-1"/>
        </w:rPr>
        <w:t>制、工作室等方式激发创新活力、释放生产潜力，在“新华访谈”“新华网评”“数据新闻”等</w:t>
      </w:r>
    </w:p>
    <w:p>
      <w:pPr>
        <w:spacing w:after="0" w:line="350" w:lineRule="auto"/>
        <w:jc w:val="right"/>
        <w:sectPr>
          <w:footerReference w:type="default" r:id="rId30"/>
          <w:pgSz w:w="11910" w:h="16840"/>
          <w:pgMar w:footer="1195" w:header="882" w:top="1120" w:bottom="1380" w:left="1660" w:right="1060"/>
          <w:pgNumType w:start="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98"/>
        <w:jc w:val="left"/>
      </w:pPr>
      <w:r>
        <w:rPr/>
        <w:t>栏目基础上再打造几个精品栏目，形成品牌栏目集群。加快媒体创意工场建设，打造融合多种媒</w:t>
      </w:r>
      <w:r>
        <w:rPr>
          <w:spacing w:val="-97"/>
        </w:rPr>
        <w:t> </w:t>
      </w:r>
      <w:r>
        <w:rPr>
          <w:spacing w:val="-97"/>
        </w:rPr>
      </w:r>
      <w:r>
        <w:rPr/>
        <w:t>介形态的新型技术平台。大力实施原创报道供给侧改革，加大视频产品供给力。强化</w:t>
      </w:r>
      <w:r>
        <w:rPr>
          <w:spacing w:val="-50"/>
        </w:rPr>
        <w:t> </w:t>
      </w:r>
      <w:r>
        <w:rPr>
          <w:rFonts w:ascii="宋体" w:hAnsi="宋体" w:cs="宋体" w:eastAsia="宋体" w:hint="default"/>
        </w:rPr>
        <w:t>H5</w:t>
      </w:r>
      <w:r>
        <w:rPr>
          <w:rFonts w:ascii="宋体" w:hAnsi="宋体" w:cs="宋体" w:eastAsia="宋体" w:hint="default"/>
          <w:spacing w:val="-50"/>
        </w:rPr>
        <w:t> </w:t>
      </w:r>
      <w:r>
        <w:rPr/>
        <w:t>轻应用、</w:t>
      </w:r>
      <w:r>
        <w:rPr>
          <w:w w:val="100"/>
        </w:rPr>
        <w:t> </w:t>
      </w:r>
      <w:r>
        <w:rPr/>
        <w:t>无人机航拍、虚拟现实、混合现实等媒介手段融合运用，进一步提升可互动、可分享、可体验产</w:t>
      </w:r>
      <w:r>
        <w:rPr>
          <w:spacing w:val="-97"/>
        </w:rPr>
        <w:t> </w:t>
      </w:r>
      <w:r>
        <w:rPr>
          <w:spacing w:val="-97"/>
        </w:rPr>
      </w:r>
      <w:r>
        <w:rPr/>
        <w:t>品的生产力。做大做强“思客”媒体型智库平台，进一步拓展专家与机构数据库，树立媒体型智</w:t>
      </w:r>
      <w:r>
        <w:rPr>
          <w:spacing w:val="-97"/>
        </w:rPr>
        <w:t> </w:t>
      </w:r>
      <w:r>
        <w:rPr>
          <w:spacing w:val="-97"/>
        </w:rPr>
      </w:r>
      <w:r>
        <w:rPr/>
        <w:t>库新标杆。强化专业信息内容采集加工能力，进一步提升垂直频道的专业性和影响力。多措并举</w:t>
      </w:r>
      <w:r>
        <w:rPr>
          <w:spacing w:val="-97"/>
        </w:rPr>
        <w:t> </w:t>
      </w:r>
      <w:r>
        <w:rPr>
          <w:spacing w:val="-97"/>
        </w:rPr>
      </w:r>
      <w:r>
        <w:rPr/>
        <w:t>强化报道安全管理，加强质量监控员队伍建设，为系统化创新筑牢安全防线。按照“两端并重、</w:t>
      </w:r>
      <w:r>
        <w:rPr>
          <w:spacing w:val="-97"/>
        </w:rPr>
        <w:t> </w:t>
      </w:r>
      <w:r>
        <w:rPr>
          <w:spacing w:val="-97"/>
        </w:rPr>
      </w:r>
      <w:r>
        <w:rPr/>
        <w:t>移动优先、做特做强”的思路，统筹加强移动传播矩阵建设，推动移动端全面升级。</w:t>
      </w:r>
    </w:p>
    <w:p>
      <w:pPr>
        <w:pStyle w:val="BodyText"/>
        <w:spacing w:line="350" w:lineRule="auto" w:before="29"/>
        <w:ind w:right="101" w:firstLine="419"/>
        <w:jc w:val="left"/>
      </w:pPr>
      <w:r>
        <w:rPr>
          <w:rFonts w:ascii="宋体" w:hAnsi="宋体" w:cs="宋体" w:eastAsia="宋体" w:hint="default"/>
          <w:spacing w:val="-4"/>
        </w:rPr>
        <w:t>4</w:t>
      </w:r>
      <w:r>
        <w:rPr>
          <w:spacing w:val="-4"/>
        </w:rPr>
        <w:t>、着力提升互联网化经营品质。深化采编经营“两分开、两加强”制度要求，完善新型经营</w:t>
      </w:r>
      <w:r>
        <w:rPr>
          <w:w w:val="100"/>
        </w:rPr>
        <w:t> </w:t>
      </w:r>
      <w:r>
        <w:rPr/>
        <w:t>工作格局。进一步加强一体化垂直管理能力，强化对地方和海外公司的全方位、全流程管理。推</w:t>
      </w:r>
      <w:r>
        <w:rPr>
          <w:spacing w:val="-97"/>
        </w:rPr>
        <w:t> </w:t>
      </w:r>
      <w:r>
        <w:rPr>
          <w:spacing w:val="-97"/>
        </w:rPr>
      </w:r>
      <w:r>
        <w:rPr/>
        <w:t>动传统业务板块转型升级，广告经营实现精准营销、挖潜增效，移动增值业务加快尝试拓展知识</w:t>
      </w:r>
      <w:r>
        <w:rPr>
          <w:spacing w:val="-97"/>
        </w:rPr>
        <w:t> </w:t>
      </w:r>
      <w:r>
        <w:rPr>
          <w:spacing w:val="-97"/>
        </w:rPr>
      </w:r>
      <w:r>
        <w:rPr>
          <w:spacing w:val="-15"/>
        </w:rPr>
        <w:t>付费，推动</w:t>
      </w:r>
      <w:r>
        <w:rPr>
          <w:spacing w:val="-44"/>
        </w:rPr>
        <w:t> </w:t>
      </w:r>
      <w:r>
        <w:rPr>
          <w:rFonts w:ascii="宋体" w:hAnsi="宋体" w:cs="宋体" w:eastAsia="宋体" w:hint="default"/>
        </w:rPr>
        <w:t>4G</w:t>
      </w:r>
      <w:r>
        <w:rPr>
          <w:rFonts w:ascii="宋体" w:hAnsi="宋体" w:cs="宋体" w:eastAsia="宋体" w:hint="default"/>
          <w:spacing w:val="-44"/>
        </w:rPr>
        <w:t> </w:t>
      </w:r>
      <w:r>
        <w:rPr/>
        <w:t>入口向</w:t>
      </w:r>
      <w:r>
        <w:rPr>
          <w:spacing w:val="-44"/>
        </w:rPr>
        <w:t> </w:t>
      </w:r>
      <w:r>
        <w:rPr>
          <w:rFonts w:ascii="宋体" w:hAnsi="宋体" w:cs="宋体" w:eastAsia="宋体" w:hint="default"/>
        </w:rPr>
        <w:t>5G</w:t>
      </w:r>
      <w:r>
        <w:rPr>
          <w:rFonts w:ascii="宋体" w:hAnsi="宋体" w:cs="宋体" w:eastAsia="宋体" w:hint="default"/>
          <w:spacing w:val="-43"/>
        </w:rPr>
        <w:t> </w:t>
      </w:r>
      <w:r>
        <w:rPr>
          <w:spacing w:val="-6"/>
        </w:rPr>
        <w:t>入口升级。打造重点创新型业务板块，无人机业务向综合产业方向转型，</w:t>
      </w:r>
      <w:r>
        <w:rPr>
          <w:spacing w:val="-83"/>
        </w:rPr>
        <w:t> </w:t>
      </w:r>
      <w:r>
        <w:rPr>
          <w:spacing w:val="-83"/>
        </w:rPr>
      </w:r>
      <w:r>
        <w:rPr>
          <w:spacing w:val="-4"/>
        </w:rPr>
        <w:t>数字影视和数字视觉进入行业领先水平，继续推进溯源中国、医保药品鉴证核查等“互联网</w:t>
      </w:r>
      <w:r>
        <w:rPr>
          <w:rFonts w:ascii="宋体" w:hAnsi="宋体" w:cs="宋体" w:eastAsia="宋体" w:hint="default"/>
          <w:spacing w:val="-4"/>
        </w:rPr>
        <w:t>+</w:t>
      </w:r>
      <w:r>
        <w:rPr>
          <w:spacing w:val="-4"/>
        </w:rPr>
        <w:t>垂直</w:t>
      </w:r>
      <w:r>
        <w:rPr>
          <w:spacing w:val="-40"/>
        </w:rPr>
        <w:t> </w:t>
      </w:r>
      <w:r>
        <w:rPr>
          <w:spacing w:val="-1"/>
        </w:rPr>
        <w:t>行业”项目规模化发展，依托“地球科学科普平台”探索科普产业新业态，依托“互联网</w:t>
      </w:r>
      <w:r>
        <w:rPr>
          <w:rFonts w:ascii="宋体" w:hAnsi="宋体" w:cs="宋体" w:eastAsia="宋体" w:hint="default"/>
          <w:spacing w:val="-1"/>
        </w:rPr>
        <w:t>+</w:t>
      </w:r>
      <w:r>
        <w:rPr>
          <w:spacing w:val="-1"/>
        </w:rPr>
        <w:t>党建”</w:t>
      </w:r>
      <w:r>
        <w:rPr>
          <w:spacing w:val="-55"/>
        </w:rPr>
        <w:t> </w:t>
      </w:r>
      <w:r>
        <w:rPr/>
        <w:t>平台实现政务市场规模化覆盖，加快布局物联网业务。</w:t>
      </w:r>
    </w:p>
    <w:p>
      <w:pPr>
        <w:pStyle w:val="BodyText"/>
        <w:spacing w:line="350" w:lineRule="auto" w:before="29"/>
        <w:ind w:right="207" w:firstLine="419"/>
        <w:jc w:val="both"/>
      </w:pPr>
      <w:r>
        <w:rPr>
          <w:rFonts w:ascii="宋体" w:hAnsi="宋体" w:cs="宋体" w:eastAsia="宋体" w:hint="default"/>
          <w:spacing w:val="-4"/>
        </w:rPr>
        <w:t>5</w:t>
      </w:r>
      <w:r>
        <w:rPr>
          <w:spacing w:val="-4"/>
        </w:rPr>
        <w:t>、持续探索技术引领发展模式。进一步完善互联网平台化技术体系，推进技术与内容、经营</w:t>
      </w:r>
      <w:r>
        <w:rPr>
          <w:w w:val="100"/>
        </w:rPr>
        <w:t> </w:t>
      </w:r>
      <w:r>
        <w:rPr>
          <w:spacing w:val="-1"/>
        </w:rPr>
        <w:t>的深度融合，提高服务和引领业务发展的能力水平。提升智能编辑部支撑能力，有效聚合内容生</w:t>
      </w:r>
      <w:r>
        <w:rPr>
          <w:spacing w:val="-55"/>
        </w:rPr>
        <w:t> </w:t>
      </w:r>
      <w:r>
        <w:rPr>
          <w:spacing w:val="-55"/>
        </w:rPr>
      </w:r>
      <w:r>
        <w:rPr>
          <w:spacing w:val="-1"/>
        </w:rPr>
        <w:t>产工具，全面升级内容管理平台，以新华云视频服务平台项目建设提升视频、直播业务的支撑能</w:t>
      </w:r>
      <w:r>
        <w:rPr>
          <w:spacing w:val="-56"/>
        </w:rPr>
        <w:t> </w:t>
      </w:r>
      <w:r>
        <w:rPr>
          <w:spacing w:val="-56"/>
        </w:rPr>
      </w:r>
      <w:r>
        <w:rPr/>
        <w:t>力，以移动采编</w:t>
      </w:r>
      <w:r>
        <w:rPr>
          <w:spacing w:val="-49"/>
        </w:rPr>
        <w:t> </w:t>
      </w:r>
      <w:r>
        <w:rPr>
          <w:rFonts w:ascii="宋体" w:hAnsi="宋体" w:cs="宋体" w:eastAsia="宋体" w:hint="default"/>
        </w:rPr>
        <w:t>APP</w:t>
      </w:r>
      <w:r>
        <w:rPr>
          <w:rFonts w:ascii="宋体" w:hAnsi="宋体" w:cs="宋体" w:eastAsia="宋体" w:hint="default"/>
          <w:spacing w:val="-51"/>
        </w:rPr>
        <w:t> </w:t>
      </w:r>
      <w:r>
        <w:rPr/>
        <w:t>建设提升内容采编、审核、发布的移动生产能力，以“思客”新技术系统建</w:t>
      </w:r>
      <w:r>
        <w:rPr>
          <w:w w:val="100"/>
        </w:rPr>
        <w:t> </w:t>
      </w:r>
      <w:r>
        <w:rPr>
          <w:spacing w:val="-1"/>
        </w:rPr>
        <w:t>设带动互动业务服务功能升级，构建扁平式、开放式、全融合的新闻生产运作平台。推动新华云</w:t>
      </w:r>
      <w:r>
        <w:rPr>
          <w:spacing w:val="-55"/>
        </w:rPr>
        <w:t> </w:t>
      </w:r>
      <w:r>
        <w:rPr>
          <w:spacing w:val="-55"/>
        </w:rPr>
      </w:r>
      <w:r>
        <w:rPr>
          <w:spacing w:val="-1"/>
        </w:rPr>
        <w:t>迭代优化和市场推广，进一步打造新型互联网产品和面向媒体、政府、企业的应用解决方案。加</w:t>
      </w:r>
      <w:r>
        <w:rPr>
          <w:spacing w:val="-55"/>
        </w:rPr>
        <w:t> </w:t>
      </w:r>
      <w:r>
        <w:rPr>
          <w:spacing w:val="-55"/>
        </w:rPr>
      </w:r>
      <w:r>
        <w:rPr>
          <w:spacing w:val="-1"/>
        </w:rPr>
        <w:t>大前沿技术研发应用，重点发展大数据、生物传感、人工智能等领域。强化安全体系建设，改造</w:t>
      </w:r>
      <w:r>
        <w:rPr>
          <w:spacing w:val="-56"/>
        </w:rPr>
        <w:t> </w:t>
      </w:r>
      <w:r>
        <w:rPr>
          <w:spacing w:val="-56"/>
        </w:rPr>
      </w:r>
      <w:r>
        <w:rPr>
          <w:spacing w:val="-1"/>
        </w:rPr>
        <w:t>优化核心网络，进一步增强网络承载能力和安全防御能力。建设数据服务平台，形成针对媒体、</w:t>
      </w:r>
      <w:r>
        <w:rPr>
          <w:spacing w:val="-55"/>
        </w:rPr>
        <w:t> </w:t>
      </w:r>
      <w:r>
        <w:rPr>
          <w:spacing w:val="-55"/>
        </w:rPr>
      </w:r>
      <w:r>
        <w:rPr/>
        <w:t>政府和企业的数据服务解决方案和市场能力。</w:t>
      </w:r>
    </w:p>
    <w:p>
      <w:pPr>
        <w:pStyle w:val="Heading3"/>
        <w:spacing w:line="240" w:lineRule="auto" w:before="3"/>
        <w:ind w:left="138" w:right="101"/>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pStyle w:val="BodyText"/>
        <w:tabs>
          <w:tab w:pos="980" w:val="left" w:leader="none"/>
        </w:tabs>
        <w:spacing w:line="348" w:lineRule="auto" w:before="97"/>
        <w:ind w:left="558" w:right="217"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9"/>
        </w:rPr>
        <w:t>1</w:t>
      </w:r>
      <w:r>
        <w:rPr>
          <w:spacing w:val="-9"/>
        </w:rPr>
        <w:t>、商业模式风险：与传统经济和传统行业相比，互联网行业作为新经济、新服务的典型代表，</w:t>
      </w:r>
    </w:p>
    <w:p>
      <w:pPr>
        <w:pStyle w:val="BodyText"/>
        <w:spacing w:line="350" w:lineRule="auto" w:before="29"/>
        <w:ind w:right="208"/>
        <w:jc w:val="both"/>
      </w:pPr>
      <w:r>
        <w:rPr>
          <w:spacing w:val="-1"/>
        </w:rPr>
        <w:t>用户需求转化快，盈利模式创新多。互联网企业既有的盈利手段可能随着用户需求转变难以继续</w:t>
      </w:r>
      <w:r>
        <w:rPr>
          <w:spacing w:val="-55"/>
        </w:rPr>
        <w:t> </w:t>
      </w:r>
      <w:r>
        <w:rPr>
          <w:spacing w:val="-55"/>
        </w:rPr>
      </w:r>
      <w:r>
        <w:rPr>
          <w:spacing w:val="-1"/>
        </w:rPr>
        <w:t>推广适用，创新盈利模式的出现也可能在短时间内迅速抢占市场份额，并对原有市场竞争主体产</w:t>
      </w:r>
      <w:r>
        <w:rPr>
          <w:spacing w:val="-55"/>
        </w:rPr>
        <w:t> </w:t>
      </w:r>
      <w:r>
        <w:rPr>
          <w:spacing w:val="-55"/>
        </w:rPr>
      </w:r>
      <w:r>
        <w:rPr>
          <w:spacing w:val="-1"/>
        </w:rPr>
        <w:t>生冲击。若本公司在未来经营过程中，不能及时准确地把握新闻、资讯服务业的市场动态和发展</w:t>
      </w:r>
      <w:r>
        <w:rPr>
          <w:spacing w:val="-55"/>
        </w:rPr>
        <w:t> </w:t>
      </w:r>
      <w:r>
        <w:rPr>
          <w:spacing w:val="-55"/>
        </w:rPr>
      </w:r>
      <w:r>
        <w:rPr>
          <w:spacing w:val="-1"/>
        </w:rPr>
        <w:t>趋势，或者不能及时捕捉和快速响应用户需求的变化进而不断对现有盈利模式进行相应完善和创</w:t>
      </w:r>
      <w:r>
        <w:rPr>
          <w:spacing w:val="-55"/>
        </w:rPr>
        <w:t> </w:t>
      </w:r>
      <w:r>
        <w:rPr>
          <w:spacing w:val="-55"/>
        </w:rPr>
      </w:r>
      <w:r>
        <w:rPr/>
        <w:t>新，公司盈利模式的有效性将可能受到削弱，从而对公司未来业绩成长性带来不利影响。</w:t>
      </w:r>
    </w:p>
    <w:p>
      <w:pPr>
        <w:pStyle w:val="BodyText"/>
        <w:spacing w:line="348" w:lineRule="auto" w:before="29"/>
        <w:ind w:right="208" w:firstLine="419"/>
        <w:jc w:val="both"/>
      </w:pPr>
      <w:r>
        <w:rPr>
          <w:rFonts w:ascii="宋体" w:hAnsi="宋体" w:cs="宋体" w:eastAsia="宋体" w:hint="default"/>
          <w:spacing w:val="-4"/>
        </w:rPr>
        <w:t>2</w:t>
      </w:r>
      <w:r>
        <w:rPr>
          <w:spacing w:val="-4"/>
        </w:rPr>
        <w:t>、网络广告业务风险：新华网主要营业收入来自于网络广告。网络广告服务具有明显的“注</w:t>
      </w:r>
      <w:r>
        <w:rPr>
          <w:w w:val="100"/>
        </w:rPr>
        <w:t> </w:t>
      </w:r>
      <w:r>
        <w:rPr>
          <w:spacing w:val="-1"/>
        </w:rPr>
        <w:t>意力经济”特征，网站用户规模越大、受众面越广，越容易吸引广告客户的关注，从而获得相关</w:t>
      </w:r>
      <w:r>
        <w:rPr>
          <w:spacing w:val="-55"/>
        </w:rPr>
        <w:t> </w:t>
      </w:r>
      <w:r>
        <w:rPr>
          <w:spacing w:val="-55"/>
        </w:rPr>
      </w:r>
      <w:r>
        <w:rPr/>
        <w:t>客户广告投入。“新华网</w:t>
      </w:r>
      <w:r>
        <w:rPr>
          <w:spacing w:val="4"/>
        </w:rPr>
        <w:t> </w:t>
      </w:r>
      <w:r>
        <w:rPr/>
        <w:t>xinhuanet”作为中央重点新闻网站之一，拥有庞大的用户规模和领先</w:t>
      </w:r>
    </w:p>
    <w:p>
      <w:pPr>
        <w:spacing w:after="0" w:line="348"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08"/>
        <w:jc w:val="both"/>
      </w:pPr>
      <w:r>
        <w:rPr>
          <w:spacing w:val="-1"/>
        </w:rPr>
        <w:t>的用户黏性，在重点新闻网站中名列前茅。但是，如果公司无法采取有效措施，继续将“新华网</w:t>
      </w:r>
      <w:r>
        <w:rPr>
          <w:spacing w:val="-55"/>
        </w:rPr>
        <w:t> </w:t>
      </w:r>
      <w:r>
        <w:rPr>
          <w:spacing w:val="-55"/>
        </w:rPr>
      </w:r>
      <w:r>
        <w:rPr>
          <w:spacing w:val="-4"/>
          <w:w w:val="100"/>
        </w:rPr>
        <w:t>xinhuanet”的媒体价值转化为经济价值，则公司的网络广告业务收入存在无法达到预期增长水平</w:t>
      </w:r>
      <w:r>
        <w:rPr>
          <w:spacing w:val="-71"/>
          <w:w w:val="100"/>
        </w:rPr>
        <w:t> </w:t>
      </w:r>
      <w:r>
        <w:rPr>
          <w:spacing w:val="-71"/>
          <w:w w:val="100"/>
        </w:rPr>
      </w:r>
      <w:r>
        <w:rPr/>
        <w:t>的风险，从而影响本公司的业绩。</w:t>
      </w:r>
    </w:p>
    <w:p>
      <w:pPr>
        <w:pStyle w:val="BodyText"/>
        <w:spacing w:line="350" w:lineRule="auto" w:before="27"/>
        <w:ind w:right="207" w:firstLine="419"/>
        <w:jc w:val="both"/>
      </w:pPr>
      <w:r>
        <w:rPr>
          <w:rFonts w:ascii="宋体" w:hAnsi="宋体" w:cs="宋体" w:eastAsia="宋体" w:hint="default"/>
          <w:spacing w:val="-15"/>
          <w:w w:val="100"/>
        </w:rPr>
        <w:t>3</w:t>
      </w:r>
      <w:r>
        <w:rPr>
          <w:spacing w:val="-15"/>
          <w:w w:val="100"/>
        </w:rPr>
        <w:t>、应收账款余额较大的风险：截至</w:t>
      </w:r>
      <w:r>
        <w:rPr>
          <w:spacing w:val="-73"/>
          <w:w w:val="100"/>
        </w:rPr>
        <w:t> </w:t>
      </w:r>
      <w:r>
        <w:rPr>
          <w:rFonts w:ascii="宋体" w:hAnsi="宋体" w:cs="宋体" w:eastAsia="宋体" w:hint="default"/>
          <w:w w:val="100"/>
        </w:rPr>
        <w:t>2017</w:t>
      </w:r>
      <w:r>
        <w:rPr>
          <w:rFonts w:ascii="宋体" w:hAnsi="宋体" w:cs="宋体" w:eastAsia="宋体" w:hint="default"/>
          <w:spacing w:val="-71"/>
          <w:w w:val="100"/>
        </w:rPr>
        <w:t> </w:t>
      </w:r>
      <w:r>
        <w:rPr>
          <w:w w:val="100"/>
        </w:rPr>
        <w:t>年</w:t>
      </w:r>
      <w:r>
        <w:rPr>
          <w:spacing w:val="-75"/>
          <w:w w:val="100"/>
        </w:rPr>
        <w:t> </w:t>
      </w:r>
      <w:r>
        <w:rPr>
          <w:rFonts w:ascii="宋体" w:hAnsi="宋体" w:cs="宋体" w:eastAsia="宋体" w:hint="default"/>
          <w:w w:val="100"/>
        </w:rPr>
        <w:t>12</w:t>
      </w:r>
      <w:r>
        <w:rPr>
          <w:rFonts w:ascii="宋体" w:hAnsi="宋体" w:cs="宋体" w:eastAsia="宋体" w:hint="default"/>
          <w:spacing w:val="-71"/>
          <w:w w:val="100"/>
        </w:rPr>
        <w:t> </w:t>
      </w:r>
      <w:r>
        <w:rPr>
          <w:w w:val="100"/>
        </w:rPr>
        <w:t>月</w:t>
      </w:r>
      <w:r>
        <w:rPr>
          <w:spacing w:val="-71"/>
          <w:w w:val="100"/>
        </w:rPr>
        <w:t> </w:t>
      </w:r>
      <w:r>
        <w:rPr>
          <w:rFonts w:ascii="宋体" w:hAnsi="宋体" w:cs="宋体" w:eastAsia="宋体" w:hint="default"/>
          <w:w w:val="100"/>
        </w:rPr>
        <w:t>31</w:t>
      </w:r>
      <w:r>
        <w:rPr>
          <w:rFonts w:ascii="宋体" w:hAnsi="宋体" w:cs="宋体" w:eastAsia="宋体" w:hint="default"/>
          <w:spacing w:val="-75"/>
          <w:w w:val="100"/>
        </w:rPr>
        <w:t> </w:t>
      </w:r>
      <w:r>
        <w:rPr>
          <w:spacing w:val="-11"/>
          <w:w w:val="100"/>
        </w:rPr>
        <w:t>日，本公司应收账款余额为</w:t>
      </w:r>
      <w:r>
        <w:rPr>
          <w:spacing w:val="-71"/>
          <w:w w:val="100"/>
        </w:rPr>
        <w:t> </w:t>
      </w:r>
      <w:r>
        <w:rPr>
          <w:rFonts w:ascii="宋体" w:hAnsi="宋体" w:cs="宋体" w:eastAsia="宋体" w:hint="default"/>
          <w:spacing w:val="-1"/>
          <w:w w:val="100"/>
        </w:rPr>
        <w:t>619,899,857.36</w:t>
      </w:r>
      <w:r>
        <w:rPr>
          <w:rFonts w:ascii="宋体" w:hAnsi="宋体" w:cs="宋体" w:eastAsia="宋体" w:hint="default"/>
          <w:w w:val="100"/>
        </w:rPr>
        <w:t> </w:t>
      </w:r>
      <w:r>
        <w:rPr>
          <w:spacing w:val="-1"/>
        </w:rPr>
        <w:t>元。公司报告期末应收账款余额较大的主要原因系收入尚未到结算期，故部分业务的销售款截至</w:t>
      </w:r>
      <w:r>
        <w:rPr>
          <w:spacing w:val="-55"/>
        </w:rPr>
        <w:t> </w:t>
      </w:r>
      <w:r>
        <w:rPr>
          <w:spacing w:val="-55"/>
        </w:rPr>
      </w:r>
      <w:r>
        <w:rPr/>
        <w:t>报告期末未收回。如果应收账款无法收回，将可能对公司经营业绩造成影响。</w:t>
      </w:r>
    </w:p>
    <w:p>
      <w:pPr>
        <w:pStyle w:val="BodyText"/>
        <w:spacing w:line="350" w:lineRule="auto" w:before="27"/>
        <w:ind w:right="208" w:firstLine="419"/>
        <w:jc w:val="both"/>
      </w:pPr>
      <w:r>
        <w:rPr>
          <w:rFonts w:ascii="宋体" w:hAnsi="宋体" w:cs="宋体" w:eastAsia="宋体" w:hint="default"/>
          <w:spacing w:val="-4"/>
        </w:rPr>
        <w:t>4</w:t>
      </w:r>
      <w:r>
        <w:rPr>
          <w:spacing w:val="-4"/>
        </w:rPr>
        <w:t>、人才流失风险：互联网信息服务业属人力资本和技术密集型行业，公司商业模式的有效应</w:t>
      </w:r>
      <w:r>
        <w:rPr>
          <w:w w:val="100"/>
        </w:rPr>
        <w:t> </w:t>
      </w:r>
      <w:r>
        <w:rPr>
          <w:spacing w:val="-1"/>
        </w:rPr>
        <w:t>用、经营业务的顺利开展、服务能力的不断提高，均有赖于公司核心管理和专业人才。本公司近</w:t>
      </w:r>
      <w:r>
        <w:rPr>
          <w:spacing w:val="-55"/>
        </w:rPr>
        <w:t> </w:t>
      </w:r>
      <w:r>
        <w:rPr>
          <w:spacing w:val="-55"/>
        </w:rPr>
      </w:r>
      <w:r>
        <w:rPr>
          <w:spacing w:val="-1"/>
        </w:rPr>
        <w:t>年来依靠一批管理和专业人才，取得了持续快速发展。尽管公司重视人才的培养与管理、建立了</w:t>
      </w:r>
      <w:r>
        <w:rPr>
          <w:spacing w:val="-55"/>
        </w:rPr>
        <w:t> </w:t>
      </w:r>
      <w:r>
        <w:rPr>
          <w:spacing w:val="-55"/>
        </w:rPr>
      </w:r>
      <w:r>
        <w:rPr>
          <w:spacing w:val="-1"/>
        </w:rPr>
        <w:t>有效的考核与激励机制，为管理和专业人才创造了良好的工作环境和发展前景，但随着各互联网</w:t>
      </w:r>
      <w:r>
        <w:rPr>
          <w:spacing w:val="-55"/>
        </w:rPr>
        <w:t> </w:t>
      </w:r>
      <w:r>
        <w:rPr>
          <w:spacing w:val="-55"/>
        </w:rPr>
      </w:r>
      <w:r>
        <w:rPr>
          <w:spacing w:val="-1"/>
        </w:rPr>
        <w:t>企业对人才争夺的加剧，上述人才存在一定的流失风险，从而会对公司未来发展产生一定的不利</w:t>
      </w:r>
      <w:r>
        <w:rPr>
          <w:spacing w:val="-55"/>
        </w:rPr>
        <w:t> </w:t>
      </w:r>
      <w:r>
        <w:rPr>
          <w:spacing w:val="-55"/>
        </w:rPr>
      </w:r>
      <w:r>
        <w:rPr/>
        <w:t>影响。</w:t>
      </w:r>
    </w:p>
    <w:p>
      <w:pPr>
        <w:pStyle w:val="BodyText"/>
        <w:spacing w:line="350" w:lineRule="auto" w:before="27"/>
        <w:ind w:right="101" w:firstLine="419"/>
        <w:jc w:val="left"/>
      </w:pPr>
      <w:r>
        <w:rPr>
          <w:rFonts w:ascii="宋体" w:hAnsi="宋体" w:cs="宋体" w:eastAsia="宋体" w:hint="default"/>
          <w:spacing w:val="-1"/>
        </w:rPr>
        <w:t>5</w:t>
      </w:r>
      <w:r>
        <w:rPr>
          <w:spacing w:val="-1"/>
        </w:rPr>
        <w:t>、成本上升导致利润下滑的风险：公司营业成本主要来源于主营业务网络广告、信息服务、</w:t>
      </w:r>
      <w:r>
        <w:rPr>
          <w:w w:val="100"/>
        </w:rPr>
        <w:t> </w:t>
      </w:r>
      <w:r>
        <w:rPr/>
        <w:t>网站建设及技术服务、移动互联网等的人工成本、内容采购成本、资产折旧摊销以及线路费等，</w:t>
      </w:r>
      <w:r>
        <w:rPr>
          <w:spacing w:val="-98"/>
        </w:rPr>
        <w:t> </w:t>
      </w:r>
      <w:r>
        <w:rPr>
          <w:spacing w:val="-98"/>
        </w:rPr>
      </w:r>
      <w:r>
        <w:rPr>
          <w:spacing w:val="-6"/>
        </w:rPr>
        <w:t>公司的营业成本面临不断增长的风险，主要表现为：网络广告、移动互联网等市场竞争日趋激烈，</w:t>
      </w:r>
      <w:r>
        <w:rPr>
          <w:spacing w:val="-54"/>
        </w:rPr>
        <w:t> </w:t>
      </w:r>
      <w:r>
        <w:rPr>
          <w:spacing w:val="-54"/>
        </w:rPr>
      </w:r>
      <w:r>
        <w:rPr/>
        <w:t>相关业务成本持续上升；为吸引优质互联网行业技术人才与销售人才，人工成本不断增加。如果</w:t>
      </w:r>
      <w:r>
        <w:rPr>
          <w:spacing w:val="-97"/>
        </w:rPr>
        <w:t> </w:t>
      </w:r>
      <w:r>
        <w:rPr>
          <w:spacing w:val="-97"/>
        </w:rPr>
      </w:r>
      <w:r>
        <w:rPr/>
        <w:t>公司主营业务网络广告、信息服务、网站建设及技术服务、移动互联网等产品服务的收入不能同</w:t>
      </w:r>
      <w:r>
        <w:rPr>
          <w:spacing w:val="-97"/>
        </w:rPr>
        <w:t> </w:t>
      </w:r>
      <w:r>
        <w:rPr>
          <w:spacing w:val="-97"/>
        </w:rPr>
      </w:r>
      <w:r>
        <w:rPr/>
        <w:t>步上涨以抵消成本上升的压力，公司将面临成本上升而导致的利润下滑的风险。</w:t>
      </w:r>
    </w:p>
    <w:p>
      <w:pPr>
        <w:pStyle w:val="BodyText"/>
        <w:spacing w:line="350" w:lineRule="auto" w:before="27"/>
        <w:ind w:right="208" w:firstLine="419"/>
        <w:jc w:val="both"/>
      </w:pPr>
      <w:r>
        <w:rPr>
          <w:rFonts w:ascii="宋体" w:hAnsi="宋体" w:cs="宋体" w:eastAsia="宋体" w:hint="default"/>
          <w:spacing w:val="-4"/>
        </w:rPr>
        <w:t>6</w:t>
      </w:r>
      <w:r>
        <w:rPr>
          <w:spacing w:val="-4"/>
        </w:rPr>
        <w:t>、网络技术风险：互联网技术的发展日新月异，整个互联网行业以快速发展为主要特征，互</w:t>
      </w:r>
      <w:r>
        <w:rPr>
          <w:w w:val="100"/>
        </w:rPr>
        <w:t> </w:t>
      </w:r>
      <w:r>
        <w:rPr>
          <w:spacing w:val="-1"/>
        </w:rPr>
        <w:t>联网技术的发展更是日新月异。互联网技术革新在不断满足互联网用户需求变化和不断降低互联</w:t>
      </w:r>
      <w:r>
        <w:rPr>
          <w:spacing w:val="-55"/>
        </w:rPr>
        <w:t> </w:t>
      </w:r>
      <w:r>
        <w:rPr>
          <w:spacing w:val="-55"/>
        </w:rPr>
      </w:r>
      <w:r>
        <w:rPr>
          <w:spacing w:val="-1"/>
        </w:rPr>
        <w:t>网企业运营成本的同时，也丰富了互联网内容和互联网企业的盈利模式。本公司需要不断跟进和</w:t>
      </w:r>
      <w:r>
        <w:rPr>
          <w:spacing w:val="-55"/>
        </w:rPr>
        <w:t> </w:t>
      </w:r>
      <w:r>
        <w:rPr>
          <w:spacing w:val="-55"/>
        </w:rPr>
      </w:r>
      <w:r>
        <w:rPr>
          <w:spacing w:val="-1"/>
        </w:rPr>
        <w:t>采用最新的互联网技术，以应对互联网行业的发展趋势和公司自身业务发展的需求；同时，这也</w:t>
      </w:r>
      <w:r>
        <w:rPr>
          <w:spacing w:val="-55"/>
        </w:rPr>
        <w:t> </w:t>
      </w:r>
      <w:r>
        <w:rPr>
          <w:spacing w:val="-55"/>
        </w:rPr>
      </w:r>
      <w:r>
        <w:rPr>
          <w:spacing w:val="-1"/>
        </w:rPr>
        <w:t>将有利于公司在激烈的市场竞争中开拓新的商业机会，巩固现有的市场份额。如果公司无法及时</w:t>
      </w:r>
      <w:r>
        <w:rPr>
          <w:spacing w:val="-55"/>
        </w:rPr>
        <w:t> </w:t>
      </w:r>
      <w:r>
        <w:rPr>
          <w:spacing w:val="-55"/>
        </w:rPr>
      </w:r>
      <w:r>
        <w:rPr>
          <w:spacing w:val="-1"/>
        </w:rPr>
        <w:t>跟进互联网技术的革新，公司将可能面临技术水平落后、业务模式和产品服务缺乏创新、运营成</w:t>
      </w:r>
      <w:r>
        <w:rPr>
          <w:spacing w:val="-55"/>
        </w:rPr>
        <w:t> </w:t>
      </w:r>
      <w:r>
        <w:rPr>
          <w:spacing w:val="-55"/>
        </w:rPr>
      </w:r>
      <w:r>
        <w:rPr/>
        <w:t>本升高等风险，从而在一定程度上影响本公司的市场竞争地位。</w:t>
      </w:r>
    </w:p>
    <w:p>
      <w:pPr>
        <w:pStyle w:val="BodyText"/>
        <w:spacing w:line="345" w:lineRule="auto" w:before="29"/>
        <w:ind w:right="208" w:firstLine="419"/>
        <w:jc w:val="both"/>
        <w:rPr>
          <w:rFonts w:ascii="宋体" w:hAnsi="宋体" w:cs="宋体" w:eastAsia="宋体" w:hint="default"/>
        </w:rPr>
      </w:pPr>
      <w:r>
        <w:rPr>
          <w:rFonts w:ascii="宋体" w:hAnsi="宋体" w:cs="宋体" w:eastAsia="宋体" w:hint="default"/>
          <w:spacing w:val="-4"/>
        </w:rPr>
        <w:t>7</w:t>
      </w:r>
      <w:r>
        <w:rPr>
          <w:spacing w:val="-4"/>
        </w:rPr>
        <w:t>、系统安全风险：作为互联网新闻、资讯信息服务商，本公司必须确保计算机系统的稳定和</w:t>
      </w:r>
      <w:r>
        <w:rPr>
          <w:w w:val="100"/>
        </w:rPr>
        <w:t> </w:t>
      </w:r>
      <w:r>
        <w:rPr>
          <w:spacing w:val="-1"/>
        </w:rPr>
        <w:t>数据的安全，因此公司在日常经营中十分注重计算机系统和数据安全保障工作。虽然公司已经采</w:t>
      </w:r>
      <w:r>
        <w:rPr>
          <w:spacing w:val="-55"/>
        </w:rPr>
        <w:t> </w:t>
      </w:r>
      <w:r>
        <w:rPr>
          <w:spacing w:val="-55"/>
        </w:rPr>
      </w:r>
      <w:r>
        <w:rPr>
          <w:spacing w:val="-1"/>
        </w:rPr>
        <w:t>取了一系列措施确保公司的系统以及数据安全，但是，由于自然灾害、电力供应等不可抗力或主</w:t>
      </w:r>
      <w:r>
        <w:rPr>
          <w:spacing w:val="-55"/>
        </w:rPr>
        <w:t> </w:t>
      </w:r>
      <w:r>
        <w:rPr>
          <w:spacing w:val="-55"/>
        </w:rPr>
      </w:r>
      <w:r>
        <w:rPr>
          <w:spacing w:val="-1"/>
        </w:rPr>
        <w:t>观操作失误，公司存在计算机系统、数据安全性方面的风险。上述风险因素一旦发生，将造成公</w:t>
      </w:r>
      <w:r>
        <w:rPr>
          <w:spacing w:val="-55"/>
        </w:rPr>
        <w:t> </w:t>
      </w:r>
      <w:r>
        <w:rPr>
          <w:spacing w:val="-55"/>
        </w:rPr>
      </w:r>
      <w:r>
        <w:rPr>
          <w:spacing w:val="-6"/>
          <w:w w:val="100"/>
        </w:rPr>
        <w:t>司业务数据丢失或系统崩溃的严重后果，从而导致公司服务中断，严重的可能造成公司业务停顿。</w:t>
      </w:r>
      <w:r>
        <w:rPr>
          <w:w w:val="100"/>
        </w:rPr>
        <w:t> </w:t>
      </w:r>
      <w:r>
        <w:rPr>
          <w:rFonts w:ascii="宋体" w:hAnsi="宋体" w:cs="宋体" w:eastAsia="宋体" w:hint="default"/>
          <w:b/>
          <w:bCs/>
        </w:rPr>
        <w:t>(</w:t>
      </w:r>
      <w:r>
        <w:rPr>
          <w:rFonts w:ascii="宋体" w:hAnsi="宋体" w:cs="宋体" w:eastAsia="宋体" w:hint="default"/>
          <w:b/>
          <w:bCs/>
        </w:rPr>
        <w:t>五</w:t>
      </w:r>
      <w:r>
        <w:rPr>
          <w:rFonts w:ascii="宋体" w:hAnsi="宋体" w:cs="宋体" w:eastAsia="宋体" w:hint="default"/>
          <w:b/>
          <w:bCs/>
        </w:rPr>
        <w:t>)</w:t>
      </w:r>
      <w:r>
        <w:rPr>
          <w:rFonts w:ascii="宋体" w:hAnsi="宋体" w:cs="宋体" w:eastAsia="宋体" w:hint="default"/>
          <w:b/>
          <w:bCs/>
          <w:spacing w:val="-50"/>
        </w:rPr>
        <w:t> </w:t>
      </w:r>
      <w:r>
        <w:rPr>
          <w:rFonts w:ascii="宋体" w:hAnsi="宋体" w:cs="宋体" w:eastAsia="宋体" w:hint="default"/>
          <w:b/>
          <w:bCs/>
        </w:rPr>
        <w:t>其他</w:t>
      </w:r>
      <w:r>
        <w:rPr>
          <w:rFonts w:ascii="宋体" w:hAnsi="宋体" w:cs="宋体" w:eastAsia="宋体" w:hint="default"/>
        </w:rPr>
      </w:r>
    </w:p>
    <w:p>
      <w:pPr>
        <w:pStyle w:val="Heading3"/>
        <w:spacing w:line="324" w:lineRule="auto" w:before="4"/>
        <w:ind w:left="138" w:right="208"/>
        <w:jc w:val="both"/>
        <w:rPr>
          <w:b w:val="0"/>
          <w:bCs w:val="0"/>
        </w:rPr>
      </w:pPr>
      <w:r>
        <w:rPr>
          <w:rFonts w:ascii="宋体" w:hAnsi="宋体" w:cs="宋体" w:eastAsia="宋体" w:hint="default"/>
          <w:b w:val="0"/>
          <w:bCs w:val="0"/>
        </w:rPr>
        <w:t>□适用</w:t>
      </w:r>
      <w:r>
        <w:rPr>
          <w:rFonts w:ascii="宋体" w:hAnsi="宋体" w:cs="宋体" w:eastAsia="宋体" w:hint="default"/>
          <w:b w:val="0"/>
          <w:bCs w:val="0"/>
          <w:spacing w:val="103"/>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四、公司因不适用准则规定或国家秘密、商业秘密等特殊原因，未按准则披露的情况和原因说明</w:t>
      </w:r>
      <w:r>
        <w:rPr>
          <w:b w:val="0"/>
          <w:bCs w:val="0"/>
          <w:spacing w:val="-1"/>
        </w:rPr>
      </w:r>
    </w:p>
    <w:p>
      <w:pPr>
        <w:pStyle w:val="BodyText"/>
        <w:spacing w:line="240" w:lineRule="auto" w:before="24"/>
        <w:ind w:right="0"/>
        <w:jc w:val="both"/>
      </w:pPr>
      <w:r>
        <w:rPr/>
        <w:t>□适用</w:t>
      </w:r>
      <w:r>
        <w:rPr>
          <w:spacing w:val="104"/>
        </w:rPr>
        <w:t> </w:t>
      </w:r>
      <w:r>
        <w:rPr/>
        <w:t>√不适用</w:t>
      </w:r>
    </w:p>
    <w:p>
      <w:pPr>
        <w:spacing w:after="0" w:line="240" w:lineRule="auto"/>
        <w:jc w:val="both"/>
        <w:sectPr>
          <w:footerReference w:type="default" r:id="rId31"/>
          <w:pgSz w:w="11910" w:h="16840"/>
          <w:pgMar w:footer="1195" w:header="882" w:top="1120" w:bottom="1380" w:left="1660" w:right="1060"/>
          <w:pgNumType w:start="3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tabs>
          <w:tab w:pos="1422" w:val="left" w:leader="none"/>
        </w:tabs>
        <w:spacing w:line="240" w:lineRule="auto"/>
        <w:ind w:left="162" w:right="0"/>
        <w:jc w:val="center"/>
        <w:rPr>
          <w:b w:val="0"/>
          <w:bCs w:val="0"/>
        </w:rPr>
      </w:pPr>
      <w:bookmarkStart w:name="_TOC_250007" w:id="5"/>
      <w:r>
        <w:rPr>
          <w:w w:val="95"/>
        </w:rPr>
        <w:t>第五节</w:t>
        <w:tab/>
      </w:r>
      <w:r>
        <w:rPr/>
        <w:t>重要事项</w:t>
      </w:r>
      <w:bookmarkEnd w:id="5"/>
      <w:r>
        <w:rPr>
          <w:b w:val="0"/>
          <w:bCs w:val="0"/>
        </w:rPr>
      </w:r>
    </w:p>
    <w:p>
      <w:pPr>
        <w:pStyle w:val="Heading3"/>
        <w:spacing w:line="240" w:lineRule="auto" w:before="219"/>
        <w:ind w:left="398" w:right="0"/>
        <w:jc w:val="both"/>
        <w:rPr>
          <w:b w:val="0"/>
          <w:bCs w:val="0"/>
        </w:rPr>
      </w:pPr>
      <w:r>
        <w:rPr/>
        <w:t>一、普通股利润分配或资本公积金转增预案</w:t>
      </w:r>
      <w:r>
        <w:rPr>
          <w:b w:val="0"/>
          <w:bCs w:val="0"/>
        </w:rPr>
      </w:r>
    </w:p>
    <w:p>
      <w:pPr>
        <w:pStyle w:val="Heading3"/>
        <w:spacing w:line="240" w:lineRule="auto" w:before="97"/>
        <w:ind w:left="39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240" w:val="left" w:leader="none"/>
        </w:tabs>
        <w:spacing w:line="348" w:lineRule="auto" w:before="70"/>
        <w:ind w:left="818" w:right="230" w:hanging="420"/>
        <w:jc w:val="left"/>
      </w:pPr>
      <w:r>
        <w:rPr>
          <w:spacing w:val="-1"/>
        </w:rPr>
        <w:t>√适用</w:t>
        <w:tab/>
      </w:r>
      <w:r>
        <w:rPr>
          <w:spacing w:val="-2"/>
        </w:rPr>
        <w:t>□不适用</w:t>
      </w:r>
      <w:r>
        <w:rPr>
          <w:spacing w:val="-99"/>
        </w:rPr>
        <w:t> </w:t>
      </w:r>
      <w:r>
        <w:rPr>
          <w:spacing w:val="-99"/>
        </w:rPr>
      </w:r>
      <w:r>
        <w:rPr>
          <w:spacing w:val="-2"/>
        </w:rPr>
        <w:t>为进一步促进新华网建立完善的现金分红机制，更好地维护投资者合法利益，根据中国证监</w:t>
      </w:r>
    </w:p>
    <w:p>
      <w:pPr>
        <w:pStyle w:val="BodyText"/>
        <w:spacing w:line="240" w:lineRule="auto" w:before="31"/>
        <w:ind w:left="398" w:right="0"/>
        <w:jc w:val="both"/>
      </w:pPr>
      <w:r>
        <w:rPr>
          <w:spacing w:val="-3"/>
        </w:rPr>
        <w:t>会《上市公司监管指引第 </w:t>
      </w:r>
      <w:r>
        <w:rPr>
          <w:rFonts w:ascii="宋体" w:hAnsi="宋体" w:cs="宋体" w:eastAsia="宋体" w:hint="default"/>
        </w:rPr>
        <w:t>3</w:t>
      </w:r>
      <w:r>
        <w:rPr>
          <w:rFonts w:ascii="宋体" w:hAnsi="宋体" w:cs="宋体" w:eastAsia="宋体" w:hint="default"/>
          <w:spacing w:val="-48"/>
        </w:rPr>
        <w:t> </w:t>
      </w:r>
      <w:r>
        <w:rPr>
          <w:spacing w:val="-4"/>
        </w:rPr>
        <w:t>号</w:t>
      </w:r>
      <w:r>
        <w:rPr>
          <w:rFonts w:ascii="宋体" w:hAnsi="宋体" w:cs="宋体" w:eastAsia="宋体" w:hint="default"/>
          <w:spacing w:val="-4"/>
        </w:rPr>
        <w:t>-</w:t>
      </w:r>
      <w:r>
        <w:rPr>
          <w:spacing w:val="-4"/>
        </w:rPr>
        <w:t>上市公司现金分红》等相关规定，公司对《公司章程》中利润分配</w:t>
      </w:r>
    </w:p>
    <w:p>
      <w:pPr>
        <w:pStyle w:val="BodyText"/>
        <w:spacing w:line="350" w:lineRule="auto" w:before="126"/>
        <w:ind w:left="398" w:right="227"/>
        <w:jc w:val="both"/>
      </w:pPr>
      <w:r>
        <w:rPr/>
        <w:t>政策相关条款内容进行了修订。公司于</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6"/>
        </w:rPr>
        <w:t> </w:t>
      </w:r>
      <w:r>
        <w:rPr>
          <w:rFonts w:ascii="宋体" w:hAnsi="宋体" w:cs="宋体" w:eastAsia="宋体" w:hint="default"/>
        </w:rPr>
        <w:t>17</w:t>
      </w:r>
      <w:r>
        <w:rPr>
          <w:rFonts w:ascii="宋体" w:hAnsi="宋体" w:cs="宋体" w:eastAsia="宋体" w:hint="default"/>
          <w:spacing w:val="-48"/>
        </w:rPr>
        <w:t> </w:t>
      </w:r>
      <w:r>
        <w:rPr/>
        <w:t>日、</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8"/>
        </w:rPr>
        <w:t> </w:t>
      </w:r>
      <w:r>
        <w:rPr>
          <w:rFonts w:ascii="宋体" w:hAnsi="宋体" w:cs="宋体" w:eastAsia="宋体" w:hint="default"/>
        </w:rPr>
        <w:t>11</w:t>
      </w:r>
      <w:r>
        <w:rPr>
          <w:rFonts w:ascii="宋体" w:hAnsi="宋体" w:cs="宋体" w:eastAsia="宋体" w:hint="default"/>
          <w:spacing w:val="-50"/>
        </w:rPr>
        <w:t> </w:t>
      </w:r>
      <w:r>
        <w:rPr/>
        <w:t>日分别召开了第二届</w:t>
      </w:r>
      <w:r>
        <w:rPr>
          <w:w w:val="100"/>
        </w:rPr>
        <w:t> </w:t>
      </w:r>
      <w:r>
        <w:rPr/>
        <w:t>董事会第二十次会议、</w:t>
      </w:r>
      <w:r>
        <w:rPr>
          <w:rFonts w:ascii="宋体" w:hAnsi="宋体" w:cs="宋体" w:eastAsia="宋体" w:hint="default"/>
        </w:rPr>
        <w:t>2016</w:t>
      </w:r>
      <w:r>
        <w:rPr>
          <w:rFonts w:ascii="宋体" w:hAnsi="宋体" w:cs="宋体" w:eastAsia="宋体" w:hint="default"/>
          <w:spacing w:val="5"/>
        </w:rPr>
        <w:t> </w:t>
      </w:r>
      <w:r>
        <w:rPr/>
        <w:t>年年度股东大会审议通过了《关于修订</w:t>
      </w:r>
      <w:r>
        <w:rPr>
          <w:rFonts w:ascii="宋体" w:hAnsi="宋体" w:cs="宋体" w:eastAsia="宋体" w:hint="default"/>
        </w:rPr>
        <w:t>&lt;</w:t>
      </w:r>
      <w:r>
        <w:rPr/>
        <w:t>新华网股份有限公司公司章</w:t>
      </w:r>
      <w:r>
        <w:rPr>
          <w:w w:val="100"/>
        </w:rPr>
        <w:t> </w:t>
      </w:r>
      <w:r>
        <w:rPr>
          <w:spacing w:val="-7"/>
        </w:rPr>
        <w:t>程</w:t>
      </w:r>
      <w:r>
        <w:rPr>
          <w:rFonts w:ascii="宋体" w:hAnsi="宋体" w:cs="宋体" w:eastAsia="宋体" w:hint="default"/>
          <w:spacing w:val="-7"/>
        </w:rPr>
        <w:t>&gt;</w:t>
      </w:r>
      <w:r>
        <w:rPr>
          <w:spacing w:val="-7"/>
        </w:rPr>
        <w:t>的议案》，具体详见</w:t>
      </w:r>
      <w:r>
        <w:rPr>
          <w:spacing w:val="-44"/>
        </w:rPr>
        <w:t> </w:t>
      </w:r>
      <w:r>
        <w:rPr>
          <w:rFonts w:ascii="宋体" w:hAnsi="宋体" w:cs="宋体" w:eastAsia="宋体" w:hint="default"/>
        </w:rPr>
        <w:t>2017</w:t>
      </w:r>
      <w:r>
        <w:rPr>
          <w:rFonts w:ascii="宋体" w:hAnsi="宋体" w:cs="宋体" w:eastAsia="宋体" w:hint="default"/>
          <w:spacing w:val="-45"/>
        </w:rPr>
        <w:t> </w:t>
      </w:r>
      <w:r>
        <w:rPr/>
        <w:t>年</w:t>
      </w:r>
      <w:r>
        <w:rPr>
          <w:spacing w:val="-48"/>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18</w:t>
      </w:r>
      <w:r>
        <w:rPr>
          <w:rFonts w:ascii="宋体" w:hAnsi="宋体" w:cs="宋体" w:eastAsia="宋体" w:hint="default"/>
          <w:spacing w:val="-45"/>
        </w:rPr>
        <w:t> </w:t>
      </w:r>
      <w:r>
        <w:rPr>
          <w:spacing w:val="-3"/>
        </w:rPr>
        <w:t>日刊登于上海证券交易所网站的《新华网股份有限公司关</w:t>
      </w:r>
      <w:r>
        <w:rPr>
          <w:spacing w:val="-102"/>
        </w:rPr>
        <w:t> </w:t>
      </w:r>
      <w:r>
        <w:rPr>
          <w:spacing w:val="-102"/>
        </w:rPr>
      </w:r>
      <w:r>
        <w:rPr/>
        <w:t>于修订公司章程的公告》。</w:t>
      </w:r>
    </w:p>
    <w:p>
      <w:pPr>
        <w:pStyle w:val="BodyText"/>
        <w:spacing w:line="350" w:lineRule="auto" w:before="27"/>
        <w:ind w:left="398" w:right="227" w:firstLine="419"/>
        <w:jc w:val="right"/>
      </w:pPr>
      <w:r>
        <w:rPr>
          <w:w w:val="100"/>
        </w:rPr>
        <w:t>公司</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spacing w:val="-4"/>
          <w:w w:val="100"/>
        </w:rPr>
        <w:t>年度的利润分配方案拟定如下：公司以本次利润分配方案实施前的公司总股本为基</w:t>
      </w:r>
      <w:r>
        <w:rPr>
          <w:w w:val="100"/>
        </w:rPr>
        <w:t> </w:t>
      </w:r>
      <w:r>
        <w:rPr>
          <w:spacing w:val="-9"/>
        </w:rPr>
        <w:t>数，向全体股东每</w:t>
      </w:r>
      <w:r>
        <w:rPr>
          <w:spacing w:val="-48"/>
        </w:rPr>
        <w:t> </w:t>
      </w:r>
      <w:r>
        <w:rPr>
          <w:rFonts w:ascii="宋体" w:hAnsi="宋体" w:cs="宋体" w:eastAsia="宋体" w:hint="default"/>
        </w:rPr>
        <w:t>10</w:t>
      </w:r>
      <w:r>
        <w:rPr>
          <w:rFonts w:ascii="宋体" w:hAnsi="宋体" w:cs="宋体" w:eastAsia="宋体" w:hint="default"/>
          <w:spacing w:val="-48"/>
        </w:rPr>
        <w:t> </w:t>
      </w:r>
      <w:r>
        <w:rPr/>
        <w:t>股拟派发现金股利人民币</w:t>
      </w:r>
      <w:r>
        <w:rPr>
          <w:spacing w:val="-48"/>
        </w:rPr>
        <w:t> </w:t>
      </w:r>
      <w:r>
        <w:rPr>
          <w:rFonts w:ascii="宋体" w:hAnsi="宋体" w:cs="宋体" w:eastAsia="宋体" w:hint="default"/>
        </w:rPr>
        <w:t>2</w:t>
      </w:r>
      <w:r>
        <w:rPr>
          <w:rFonts w:ascii="宋体" w:hAnsi="宋体" w:cs="宋体" w:eastAsia="宋体" w:hint="default"/>
          <w:spacing w:val="-48"/>
        </w:rPr>
        <w:t> </w:t>
      </w:r>
      <w:r>
        <w:rPr>
          <w:spacing w:val="-16"/>
        </w:rPr>
        <w:t>元（含税），共派发红利总额</w:t>
      </w:r>
      <w:r>
        <w:rPr>
          <w:spacing w:val="-50"/>
        </w:rPr>
        <w:t> </w:t>
      </w:r>
      <w:r>
        <w:rPr>
          <w:rFonts w:ascii="宋体" w:hAnsi="宋体" w:cs="宋体" w:eastAsia="宋体" w:hint="default"/>
        </w:rPr>
        <w:t>103,805,872</w:t>
      </w:r>
      <w:r>
        <w:rPr>
          <w:rFonts w:ascii="宋体" w:hAnsi="宋体" w:cs="宋体" w:eastAsia="宋体" w:hint="default"/>
          <w:spacing w:val="-47"/>
        </w:rPr>
        <w:t> </w:t>
      </w:r>
      <w:r>
        <w:rPr>
          <w:spacing w:val="-21"/>
        </w:rPr>
        <w:t>元（含</w:t>
      </w:r>
      <w:r>
        <w:rPr>
          <w:w w:val="100"/>
        </w:rPr>
        <w:t> </w:t>
      </w:r>
      <w:r>
        <w:rPr>
          <w:spacing w:val="-2"/>
        </w:rPr>
        <w:t>税），剩余未分配利润将结转入下一年度。上述利润分配方案尚需提交公司股东大会审议通过。</w:t>
      </w:r>
      <w:r>
        <w:rPr>
          <w:spacing w:val="-55"/>
        </w:rPr>
        <w:t> </w:t>
      </w:r>
      <w:r>
        <w:rPr>
          <w:spacing w:val="-55"/>
        </w:rPr>
      </w:r>
      <w:r>
        <w:rPr>
          <w:spacing w:val="-2"/>
        </w:rPr>
        <w:t>公司严格按照法律法规、《公司章程》及股东大会决议的要求实行利润分配，决策程序和机</w:t>
      </w:r>
      <w:r>
        <w:rPr>
          <w:w w:val="100"/>
        </w:rPr>
        <w:t> </w:t>
      </w:r>
      <w:r>
        <w:rPr>
          <w:spacing w:val="-6"/>
        </w:rPr>
        <w:t>制完备，分红标准和比例明确和清晰，独立董事对公司利润分配情况发表客观、公正的独立意见，</w:t>
      </w:r>
    </w:p>
    <w:p>
      <w:pPr>
        <w:pStyle w:val="BodyText"/>
        <w:spacing w:line="240" w:lineRule="auto" w:before="29"/>
        <w:ind w:left="398" w:right="0"/>
        <w:jc w:val="both"/>
      </w:pPr>
      <w:r>
        <w:rPr/>
        <w:t>能够充分保护中小投资者的合法权益。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240" w:lineRule="auto" w:before="0"/>
        <w:ind w:left="39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157" w:val="left" w:leader="none"/>
        </w:tabs>
        <w:spacing w:line="240" w:lineRule="auto" w:before="70"/>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106"/>
        <w:gridCol w:w="1128"/>
        <w:gridCol w:w="1085"/>
        <w:gridCol w:w="1130"/>
        <w:gridCol w:w="1685"/>
        <w:gridCol w:w="1688"/>
        <w:gridCol w:w="1402"/>
      </w:tblGrid>
      <w:tr>
        <w:trPr>
          <w:trHeight w:val="1882"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5" w:right="336"/>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5"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7"/>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65"/>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2"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103,805,872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283,961,280.93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36.56</w:t>
            </w:r>
          </w:p>
        </w:tc>
      </w:tr>
      <w:tr>
        <w:trPr>
          <w:trHeight w:val="32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1"/>
                <w:szCs w:val="21"/>
              </w:rPr>
            </w:pPr>
            <w:r>
              <w:rPr>
                <w:rFonts w:ascii="宋体"/>
                <w:w w:val="100"/>
                <w:sz w:val="21"/>
              </w:rPr>
              <w:t>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w:t>
            </w:r>
          </w:p>
        </w:tc>
      </w:tr>
      <w:tr>
        <w:trPr>
          <w:trHeight w:val="634"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年前</w:t>
            </w:r>
            <w:r>
              <w:rPr>
                <w:rFonts w:ascii="宋体" w:hAnsi="宋体" w:cs="宋体" w:eastAsia="宋体" w:hint="default"/>
                <w:w w:val="100"/>
                <w:sz w:val="21"/>
                <w:szCs w:val="21"/>
              </w:rPr>
              <w:t> </w:t>
            </w:r>
            <w:r>
              <w:rPr>
                <w:rFonts w:ascii="宋体" w:hAnsi="宋体" w:cs="宋体" w:eastAsia="宋体" w:hint="default"/>
                <w:sz w:val="21"/>
                <w:szCs w:val="21"/>
              </w:rPr>
              <w:t>三季度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sz w:val="21"/>
              </w:rPr>
              <w:t>17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352,939,964.80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160,791,856.39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z w:val="21"/>
              </w:rPr>
              <w:t>219.50</w:t>
            </w:r>
          </w:p>
        </w:tc>
      </w:tr>
      <w:tr>
        <w:trPr>
          <w:trHeight w:val="322"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4"/>
          <w:szCs w:val="24"/>
        </w:rPr>
      </w:pPr>
    </w:p>
    <w:p>
      <w:pPr>
        <w:pStyle w:val="Heading3"/>
        <w:spacing w:line="240" w:lineRule="auto"/>
        <w:ind w:left="398" w:right="23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398" w:right="230"/>
        <w:jc w:val="left"/>
      </w:pPr>
      <w:r>
        <w:rPr/>
        <w:t>□适用</w:t>
      </w:r>
      <w:r>
        <w:rPr>
          <w:spacing w:val="-1"/>
        </w:rPr>
        <w:t> </w:t>
      </w:r>
      <w:r>
        <w:rPr/>
        <w:t>√不适用</w:t>
      </w:r>
    </w:p>
    <w:p>
      <w:pPr>
        <w:pStyle w:val="Heading3"/>
        <w:spacing w:line="247" w:lineRule="auto" w:before="97"/>
        <w:ind w:left="81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91"/>
        <w:ind w:left="398" w:right="230"/>
        <w:jc w:val="left"/>
      </w:pPr>
      <w:r>
        <w:rPr/>
        <w:t>□适用</w:t>
      </w:r>
      <w:r>
        <w:rPr>
          <w:spacing w:val="-1"/>
        </w:rPr>
        <w:t> </w:t>
      </w:r>
      <w:r>
        <w:rPr/>
        <w:t>√不适用</w:t>
      </w:r>
    </w:p>
    <w:p>
      <w:pPr>
        <w:spacing w:after="0" w:line="240" w:lineRule="auto"/>
        <w:jc w:val="left"/>
        <w:sectPr>
          <w:pgSz w:w="11910" w:h="16840"/>
          <w:pgMar w:header="882" w:footer="1195" w:top="1120" w:bottom="1380" w:left="140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680" w:right="0"/>
        <w:jc w:val="left"/>
        <w:rPr>
          <w:b w:val="0"/>
          <w:bCs w:val="0"/>
        </w:rPr>
      </w:pPr>
      <w:r>
        <w:rPr/>
        <w:t>二、承诺事项履行情况</w:t>
      </w:r>
      <w:r>
        <w:rPr>
          <w:b w:val="0"/>
          <w:bCs w:val="0"/>
        </w:rPr>
      </w:r>
    </w:p>
    <w:p>
      <w:pPr>
        <w:pStyle w:val="Heading3"/>
        <w:tabs>
          <w:tab w:pos="1246" w:val="left" w:leader="none"/>
        </w:tabs>
        <w:spacing w:line="240" w:lineRule="auto" w:before="97"/>
        <w:ind w:left="68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70"/>
        <w:ind w:left="680" w:right="0"/>
        <w:jc w:val="left"/>
      </w:pPr>
      <w:r>
        <w:rPr/>
        <w:t>√适用 □不适用</w:t>
      </w: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12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9" w:right="13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22" w:right="419"/>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974" w:right="2973"/>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4" w:right="137"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5" w:right="170"/>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75" w:right="170"/>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03"/>
              <w:jc w:val="both"/>
              <w:rPr>
                <w:rFonts w:ascii="宋体" w:hAnsi="宋体" w:cs="宋体" w:eastAsia="宋体" w:hint="default"/>
                <w:sz w:val="21"/>
                <w:szCs w:val="21"/>
              </w:rPr>
            </w:pPr>
            <w:r>
              <w:rPr>
                <w:rFonts w:ascii="宋体" w:hAnsi="宋体" w:cs="宋体" w:eastAsia="宋体" w:hint="default"/>
                <w:sz w:val="21"/>
                <w:szCs w:val="21"/>
              </w:rPr>
              <w:t>如未能及时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39"/>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3130" w:hRule="exact"/>
        </w:trPr>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3" w:right="173"/>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03" w:right="41"/>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息社有限公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司、中国新闻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发展深圳有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1"/>
              <w:jc w:val="left"/>
              <w:rPr>
                <w:rFonts w:ascii="宋体" w:hAnsi="宋体" w:cs="宋体" w:eastAsia="宋体" w:hint="default"/>
                <w:sz w:val="21"/>
                <w:szCs w:val="21"/>
              </w:rPr>
            </w:pPr>
            <w:r>
              <w:rPr>
                <w:rFonts w:ascii="宋体" w:hAnsi="宋体" w:cs="宋体" w:eastAsia="宋体" w:hint="default"/>
                <w:sz w:val="21"/>
                <w:szCs w:val="21"/>
              </w:rPr>
              <w:t>发行人控股股东及其一致行动人关于股份锁定的承诺：</w:t>
            </w:r>
            <w:r>
              <w:rPr>
                <w:rFonts w:ascii="宋体" w:hAnsi="宋体" w:cs="宋体" w:eastAsia="宋体" w:hint="default"/>
                <w:w w:val="100"/>
                <w:sz w:val="21"/>
                <w:szCs w:val="21"/>
              </w:rPr>
              <w:t> </w:t>
            </w:r>
            <w:r>
              <w:rPr>
                <w:rFonts w:ascii="宋体" w:hAnsi="宋体" w:cs="宋体" w:eastAsia="宋体" w:hint="default"/>
                <w:spacing w:val="-8"/>
                <w:sz w:val="21"/>
                <w:szCs w:val="21"/>
              </w:rPr>
              <w:t>1</w:t>
            </w:r>
            <w:r>
              <w:rPr>
                <w:rFonts w:ascii="宋体" w:hAnsi="宋体" w:cs="宋体" w:eastAsia="宋体" w:hint="default"/>
                <w:spacing w:val="-8"/>
                <w:sz w:val="21"/>
                <w:szCs w:val="21"/>
              </w:rPr>
              <w:t>、自发行人股票上市之日起三十六个月内（以下简称“锁定期”），</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不转让或者委托他人管理其本次发行前已持有的发行人股份，也不</w:t>
            </w:r>
            <w:r>
              <w:rPr>
                <w:rFonts w:ascii="宋体" w:hAnsi="宋体" w:cs="宋体" w:eastAsia="宋体" w:hint="default"/>
                <w:w w:val="100"/>
                <w:sz w:val="21"/>
                <w:szCs w:val="21"/>
              </w:rPr>
              <w:t> </w:t>
            </w:r>
            <w:r>
              <w:rPr>
                <w:rFonts w:ascii="宋体" w:hAnsi="宋体" w:cs="宋体" w:eastAsia="宋体" w:hint="default"/>
                <w:sz w:val="21"/>
                <w:szCs w:val="21"/>
              </w:rPr>
              <w:t>由发行人回购该部分股份。</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、承诺方直接或间接所持发行人股票在锁定期满后两年内减持的，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其减持价格不低于发行价；发行人上市后</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个月内如发行人股票连</w:t>
            </w:r>
          </w:p>
          <w:p>
            <w:pPr>
              <w:pStyle w:val="TableParagraph"/>
              <w:spacing w:line="273" w:lineRule="auto" w:before="8"/>
              <w:ind w:left="103" w:right="98"/>
              <w:jc w:val="left"/>
              <w:rPr>
                <w:rFonts w:ascii="宋体" w:hAnsi="宋体" w:cs="宋体" w:eastAsia="宋体" w:hint="default"/>
                <w:sz w:val="21"/>
                <w:szCs w:val="21"/>
              </w:rPr>
            </w:pPr>
            <w:r>
              <w:rPr>
                <w:rFonts w:ascii="宋体" w:hAnsi="宋体" w:cs="宋体" w:eastAsia="宋体" w:hint="default"/>
                <w:sz w:val="21"/>
                <w:szCs w:val="21"/>
              </w:rPr>
              <w:t>续</w:t>
            </w:r>
            <w:r>
              <w:rPr>
                <w:rFonts w:ascii="宋体" w:hAnsi="宋体" w:cs="宋体" w:eastAsia="宋体" w:hint="default"/>
                <w:spacing w:val="-43"/>
                <w:sz w:val="21"/>
                <w:szCs w:val="21"/>
              </w:rPr>
              <w:t> </w:t>
            </w:r>
            <w:r>
              <w:rPr>
                <w:rFonts w:ascii="宋体" w:hAnsi="宋体" w:cs="宋体" w:eastAsia="宋体" w:hint="default"/>
                <w:sz w:val="21"/>
                <w:szCs w:val="21"/>
              </w:rPr>
              <w:t>20</w:t>
            </w:r>
            <w:r>
              <w:rPr>
                <w:rFonts w:ascii="宋体" w:hAnsi="宋体" w:cs="宋体" w:eastAsia="宋体" w:hint="default"/>
                <w:spacing w:val="-44"/>
                <w:sz w:val="21"/>
                <w:szCs w:val="21"/>
              </w:rPr>
              <w:t> </w:t>
            </w:r>
            <w:r>
              <w:rPr>
                <w:rFonts w:ascii="宋体" w:hAnsi="宋体" w:cs="宋体" w:eastAsia="宋体" w:hint="default"/>
                <w:spacing w:val="-4"/>
                <w:sz w:val="21"/>
                <w:szCs w:val="21"/>
              </w:rPr>
              <w:t>个交易日的收盘价均低于发行价，或者上市后</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个月期末收盘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价低于发行价，直接或间接持有发行人股票的锁定期限自动延长至</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个月。新华网发生派发股利、转增股本等除息、除权行为的，</w:t>
            </w:r>
            <w:r>
              <w:rPr>
                <w:rFonts w:ascii="宋体" w:hAnsi="宋体" w:cs="宋体" w:eastAsia="宋体" w:hint="default"/>
                <w:w w:val="100"/>
                <w:sz w:val="21"/>
                <w:szCs w:val="21"/>
              </w:rPr>
              <w:t> </w:t>
            </w:r>
            <w:r>
              <w:rPr>
                <w:rFonts w:ascii="宋体" w:hAnsi="宋体" w:cs="宋体" w:eastAsia="宋体" w:hint="default"/>
                <w:sz w:val="21"/>
                <w:szCs w:val="21"/>
              </w:rPr>
              <w:t>上述发行价格亦将作相应调整。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41"/>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息社有限公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司、中国新闻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发展深圳有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发行人控股股东及其一致行动人关于持有及减持股份意向的承诺：</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1</w:t>
            </w:r>
            <w:r>
              <w:rPr>
                <w:rFonts w:ascii="宋体" w:hAnsi="宋体" w:cs="宋体" w:eastAsia="宋体" w:hint="default"/>
                <w:sz w:val="21"/>
                <w:szCs w:val="21"/>
              </w:rPr>
              <w:t>、减持数量</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锁定期满后第</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至第</w:t>
            </w:r>
            <w:r>
              <w:rPr>
                <w:rFonts w:ascii="宋体" w:hAnsi="宋体" w:cs="宋体" w:eastAsia="宋体" w:hint="default"/>
                <w:spacing w:val="-44"/>
                <w:sz w:val="21"/>
                <w:szCs w:val="21"/>
              </w:rPr>
              <w:t> </w:t>
            </w:r>
            <w:r>
              <w:rPr>
                <w:rFonts w:ascii="宋体" w:hAnsi="宋体" w:cs="宋体" w:eastAsia="宋体" w:hint="default"/>
                <w:sz w:val="21"/>
                <w:szCs w:val="21"/>
              </w:rPr>
              <w:t>24</w:t>
            </w:r>
            <w:r>
              <w:rPr>
                <w:rFonts w:ascii="宋体" w:hAnsi="宋体" w:cs="宋体" w:eastAsia="宋体" w:hint="default"/>
                <w:spacing w:val="-46"/>
                <w:sz w:val="21"/>
                <w:szCs w:val="21"/>
              </w:rPr>
              <w:t> </w:t>
            </w:r>
            <w:r>
              <w:rPr>
                <w:rFonts w:ascii="宋体" w:hAnsi="宋体" w:cs="宋体" w:eastAsia="宋体" w:hint="default"/>
                <w:spacing w:val="-4"/>
                <w:sz w:val="21"/>
                <w:szCs w:val="21"/>
              </w:rPr>
              <w:t>个月，承诺方累计净转让股份（累计转让股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份扣除累计增持股份后的余额）的比例应不超过承诺方直接或间接</w:t>
            </w:r>
            <w:r>
              <w:rPr>
                <w:rFonts w:ascii="宋体" w:hAnsi="宋体" w:cs="宋体" w:eastAsia="宋体" w:hint="default"/>
                <w:w w:val="100"/>
                <w:sz w:val="21"/>
                <w:szCs w:val="21"/>
              </w:rPr>
              <w:t> </w:t>
            </w:r>
            <w:r>
              <w:rPr>
                <w:rFonts w:ascii="宋体" w:hAnsi="宋体" w:cs="宋体" w:eastAsia="宋体" w:hint="default"/>
                <w:sz w:val="21"/>
                <w:szCs w:val="21"/>
              </w:rPr>
              <w:t>持有新华网股票数量的</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z w:val="21"/>
                <w:szCs w:val="21"/>
              </w:rPr>
              <w:t>。自锁定期满后第</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个月开始，承诺方</w:t>
            </w:r>
            <w:r>
              <w:rPr>
                <w:rFonts w:ascii="宋体" w:hAnsi="宋体" w:cs="宋体" w:eastAsia="宋体" w:hint="default"/>
                <w:w w:val="100"/>
                <w:sz w:val="21"/>
                <w:szCs w:val="21"/>
              </w:rPr>
              <w:t> </w:t>
            </w:r>
            <w:r>
              <w:rPr>
                <w:rFonts w:ascii="宋体" w:hAnsi="宋体" w:cs="宋体" w:eastAsia="宋体" w:hint="default"/>
                <w:sz w:val="21"/>
                <w:szCs w:val="21"/>
              </w:rPr>
              <w:t>可视情况自行决定减持。</w:t>
            </w:r>
          </w:p>
          <w:p>
            <w:pPr>
              <w:pStyle w:val="TableParagraph"/>
              <w:spacing w:line="273" w:lineRule="auto" w:before="7"/>
              <w:ind w:left="103" w:right="16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、减持方式</w:t>
            </w:r>
            <w:r>
              <w:rPr>
                <w:rFonts w:ascii="宋体" w:hAnsi="宋体" w:cs="宋体" w:eastAsia="宋体" w:hint="default"/>
                <w:w w:val="100"/>
                <w:sz w:val="21"/>
                <w:szCs w:val="21"/>
              </w:rPr>
              <w:t> </w:t>
            </w:r>
            <w:r>
              <w:rPr>
                <w:rFonts w:ascii="宋体" w:hAnsi="宋体" w:cs="宋体" w:eastAsia="宋体" w:hint="default"/>
                <w:spacing w:val="-2"/>
                <w:sz w:val="21"/>
                <w:szCs w:val="21"/>
              </w:rPr>
              <w:t>承诺方减持新华网股份将通过大宗交易和二级市场集中竞价相结合</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等法律法规允许的方式进行。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2"/>
          <w:footerReference w:type="default" r:id="rId33"/>
          <w:pgSz w:w="16840" w:h="11910" w:orient="landscape"/>
          <w:pgMar w:header="882" w:footer="1195" w:top="1120" w:bottom="1380" w:left="760" w:right="540"/>
          <w:pgNumType w:start="3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6251" w:hRule="exact"/>
        </w:trPr>
        <w:tc>
          <w:tcPr>
            <w:tcW w:w="710"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、减持价格</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承诺方在锁定期满后第</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至第</w:t>
            </w:r>
            <w:r>
              <w:rPr>
                <w:rFonts w:ascii="宋体" w:hAnsi="宋体" w:cs="宋体" w:eastAsia="宋体" w:hint="default"/>
                <w:spacing w:val="-47"/>
                <w:sz w:val="21"/>
                <w:szCs w:val="21"/>
              </w:rPr>
              <w:t> </w:t>
            </w:r>
            <w:r>
              <w:rPr>
                <w:rFonts w:ascii="宋体" w:hAnsi="宋体" w:cs="宋体" w:eastAsia="宋体" w:hint="default"/>
                <w:sz w:val="21"/>
                <w:szCs w:val="21"/>
              </w:rPr>
              <w:t>24</w:t>
            </w:r>
            <w:r>
              <w:rPr>
                <w:rFonts w:ascii="宋体" w:hAnsi="宋体" w:cs="宋体" w:eastAsia="宋体" w:hint="default"/>
                <w:spacing w:val="-47"/>
                <w:sz w:val="21"/>
                <w:szCs w:val="21"/>
              </w:rPr>
              <w:t> </w:t>
            </w:r>
            <w:r>
              <w:rPr>
                <w:rFonts w:ascii="宋体" w:hAnsi="宋体" w:cs="宋体" w:eastAsia="宋体" w:hint="default"/>
                <w:spacing w:val="-4"/>
                <w:sz w:val="21"/>
                <w:szCs w:val="21"/>
              </w:rPr>
              <w:t>个月内减持的，每次减持价格不低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于新华网首次公开发行股票的股票发行价。新华网发生派发股利、</w:t>
            </w:r>
            <w:r>
              <w:rPr>
                <w:rFonts w:ascii="宋体" w:hAnsi="宋体" w:cs="宋体" w:eastAsia="宋体" w:hint="default"/>
                <w:w w:val="100"/>
                <w:sz w:val="21"/>
                <w:szCs w:val="21"/>
              </w:rPr>
              <w:t> </w:t>
            </w:r>
            <w:r>
              <w:rPr>
                <w:rFonts w:ascii="宋体" w:hAnsi="宋体" w:cs="宋体" w:eastAsia="宋体" w:hint="default"/>
                <w:sz w:val="21"/>
                <w:szCs w:val="21"/>
              </w:rPr>
              <w:t>转增股本等除息、除权行为的，上述发行价格亦将作相应调整。</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、其他事项</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）承诺方所做该等减持计划不对抗现行证监会、交易所等监管部</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门对控股股东股份减持所做的相关规定。若未来监管部门对控股股</w:t>
            </w:r>
            <w:r>
              <w:rPr>
                <w:rFonts w:ascii="宋体" w:hAnsi="宋体" w:cs="宋体" w:eastAsia="宋体" w:hint="default"/>
                <w:w w:val="100"/>
                <w:sz w:val="21"/>
                <w:szCs w:val="21"/>
              </w:rPr>
              <w:t> </w:t>
            </w:r>
            <w:r>
              <w:rPr>
                <w:rFonts w:ascii="宋体" w:hAnsi="宋体" w:cs="宋体" w:eastAsia="宋体" w:hint="default"/>
                <w:sz w:val="21"/>
                <w:szCs w:val="21"/>
              </w:rPr>
              <w:t>东股份减持所出台的相关规定比本减持计划更为严格，承诺方将严</w:t>
            </w:r>
            <w:r>
              <w:rPr>
                <w:rFonts w:ascii="宋体" w:hAnsi="宋体" w:cs="宋体" w:eastAsia="宋体" w:hint="default"/>
                <w:w w:val="100"/>
                <w:sz w:val="21"/>
                <w:szCs w:val="21"/>
              </w:rPr>
              <w:t> </w:t>
            </w:r>
            <w:r>
              <w:rPr>
                <w:rFonts w:ascii="宋体" w:hAnsi="宋体" w:cs="宋体" w:eastAsia="宋体" w:hint="default"/>
                <w:sz w:val="21"/>
                <w:szCs w:val="21"/>
              </w:rPr>
              <w:t>格按照监管部门相关规定修改减持计划。</w:t>
            </w:r>
          </w:p>
          <w:p>
            <w:pPr>
              <w:pStyle w:val="TableParagraph"/>
              <w:spacing w:line="273" w:lineRule="auto" w:before="7"/>
              <w:ind w:left="103" w:right="1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）承诺方将及时、充分履行股份减持的信息披露义务，减持前</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个工作日将通过新华网发布减持提示性公告。</w:t>
            </w:r>
          </w:p>
          <w:p>
            <w:pPr>
              <w:pStyle w:val="TableParagraph"/>
              <w:spacing w:line="273" w:lineRule="auto" w:before="7"/>
              <w:ind w:left="103" w:right="-5"/>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）若承诺方发生需向新华网或投资者赔偿，且必须减持股份以进</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3"/>
                <w:sz w:val="21"/>
                <w:szCs w:val="21"/>
              </w:rPr>
              <w:t>行赔偿的情形，在该等情况下发生的减持行为无需遵守本减持计划。</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3"/>
                <w:sz w:val="21"/>
                <w:szCs w:val="21"/>
              </w:rPr>
              <w:t>）承诺方承诺未来将严格按照本减持计划进行股份减持。若其未</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履行上述承诺，将在中国证监会指定报刊上公开说明未履行的具体</w:t>
            </w:r>
            <w:r>
              <w:rPr>
                <w:rFonts w:ascii="宋体" w:hAnsi="宋体" w:cs="宋体" w:eastAsia="宋体" w:hint="default"/>
                <w:w w:val="100"/>
                <w:sz w:val="21"/>
                <w:szCs w:val="21"/>
              </w:rPr>
              <w:t> </w:t>
            </w:r>
            <w:r>
              <w:rPr>
                <w:rFonts w:ascii="宋体" w:hAnsi="宋体" w:cs="宋体" w:eastAsia="宋体" w:hint="default"/>
                <w:sz w:val="21"/>
                <w:szCs w:val="21"/>
              </w:rPr>
              <w:t>原因并向股东和社会公众投资者道歉；若承诺方因未履行上述承诺</w:t>
            </w:r>
            <w:r>
              <w:rPr>
                <w:rFonts w:ascii="宋体" w:hAnsi="宋体" w:cs="宋体" w:eastAsia="宋体" w:hint="default"/>
                <w:w w:val="100"/>
                <w:sz w:val="21"/>
                <w:szCs w:val="21"/>
              </w:rPr>
              <w:t> </w:t>
            </w:r>
            <w:r>
              <w:rPr>
                <w:rFonts w:ascii="宋体" w:hAnsi="宋体" w:cs="宋体" w:eastAsia="宋体" w:hint="default"/>
                <w:sz w:val="21"/>
                <w:szCs w:val="21"/>
              </w:rPr>
              <w:t>而获得收入的，所得收入归公司所有，其将在获得收入的</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日内将</w:t>
            </w:r>
            <w:r>
              <w:rPr>
                <w:rFonts w:ascii="宋体" w:hAnsi="宋体" w:cs="宋体" w:eastAsia="宋体" w:hint="default"/>
                <w:w w:val="100"/>
                <w:sz w:val="21"/>
                <w:szCs w:val="21"/>
              </w:rPr>
              <w:t> </w:t>
            </w:r>
            <w:r>
              <w:rPr>
                <w:rFonts w:ascii="宋体" w:hAnsi="宋体" w:cs="宋体" w:eastAsia="宋体" w:hint="default"/>
                <w:sz w:val="21"/>
                <w:szCs w:val="21"/>
              </w:rPr>
              <w:t>前述收入支付给公司指定账户。如果因其未履行上述承诺事项给公</w:t>
            </w:r>
            <w:r>
              <w:rPr>
                <w:rFonts w:ascii="宋体" w:hAnsi="宋体" w:cs="宋体" w:eastAsia="宋体" w:hint="default"/>
                <w:w w:val="100"/>
                <w:sz w:val="21"/>
                <w:szCs w:val="21"/>
              </w:rPr>
              <w:t> </w:t>
            </w:r>
            <w:r>
              <w:rPr>
                <w:rFonts w:ascii="宋体" w:hAnsi="宋体" w:cs="宋体" w:eastAsia="宋体" w:hint="default"/>
                <w:sz w:val="21"/>
                <w:szCs w:val="21"/>
              </w:rPr>
              <w:t>司或者其他投资者造成损失的，其将向公司或者其他投资者依法承</w:t>
            </w:r>
            <w:r>
              <w:rPr>
                <w:rFonts w:ascii="宋体" w:hAnsi="宋体" w:cs="宋体" w:eastAsia="宋体" w:hint="default"/>
                <w:w w:val="100"/>
                <w:sz w:val="21"/>
                <w:szCs w:val="21"/>
              </w:rPr>
              <w:t> </w:t>
            </w:r>
            <w:r>
              <w:rPr>
                <w:rFonts w:ascii="宋体" w:hAnsi="宋体" w:cs="宋体" w:eastAsia="宋体" w:hint="default"/>
                <w:sz w:val="21"/>
                <w:szCs w:val="21"/>
              </w:rPr>
              <w:t>担赔偿责任。</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41"/>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息社有限公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司、中国新闻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发展深圳有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both"/>
              <w:rPr>
                <w:rFonts w:ascii="宋体" w:hAnsi="宋体" w:cs="宋体" w:eastAsia="宋体" w:hint="default"/>
                <w:sz w:val="21"/>
                <w:szCs w:val="21"/>
              </w:rPr>
            </w:pPr>
            <w:r>
              <w:rPr>
                <w:rFonts w:ascii="宋体" w:hAnsi="宋体" w:cs="宋体" w:eastAsia="宋体" w:hint="default"/>
                <w:spacing w:val="-2"/>
                <w:sz w:val="21"/>
                <w:szCs w:val="21"/>
              </w:rPr>
              <w:t>发行人控股股东及其一致行动人对因虚假承诺导致的回购、赔偿义</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务的承诺：对因发行人首次公开发行招股说明书有虚假记载、误导</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性陈述或重大遗漏，对判断发行人是否符合法律规定的发行条件构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成重大、实质影响，致使投资者在证券交易中遭受损失，并已由有</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权部门作出行政处罚或人民法院作出最终判决的，本单位将依法赔</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偿投资者损失。与此同时，本单位将依法购回已转让的发行人原限</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售股份，购回价格按照发行价（若发行人股票在此期间发生派息、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1570" w:hRule="exact"/>
        </w:trPr>
        <w:tc>
          <w:tcPr>
            <w:tcW w:w="710"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送股、资本公积转增股本等除权除息事项的，发行价应相应调整）</w:t>
            </w:r>
            <w:r>
              <w:rPr>
                <w:rFonts w:ascii="宋体" w:hAnsi="宋体" w:cs="宋体" w:eastAsia="宋体" w:hint="default"/>
                <w:w w:val="100"/>
                <w:sz w:val="21"/>
                <w:szCs w:val="21"/>
              </w:rPr>
              <w:t> </w:t>
            </w:r>
            <w:r>
              <w:rPr>
                <w:rFonts w:ascii="宋体" w:hAnsi="宋体" w:cs="宋体" w:eastAsia="宋体" w:hint="default"/>
                <w:spacing w:val="-3"/>
                <w:sz w:val="21"/>
                <w:szCs w:val="21"/>
              </w:rPr>
              <w:t>加算银行同期存款利息确定，并根据相关法律法规规定的程序实施。</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本单位同时承诺将督促发行人履行股份回购事宜的决策程序，并在</w:t>
            </w:r>
            <w:r>
              <w:rPr>
                <w:rFonts w:ascii="宋体" w:hAnsi="宋体" w:cs="宋体" w:eastAsia="宋体" w:hint="default"/>
                <w:w w:val="100"/>
                <w:sz w:val="21"/>
                <w:szCs w:val="21"/>
              </w:rPr>
              <w:t> </w:t>
            </w:r>
            <w:r>
              <w:rPr>
                <w:rFonts w:ascii="宋体" w:hAnsi="宋体" w:cs="宋体" w:eastAsia="宋体" w:hint="default"/>
                <w:sz w:val="21"/>
                <w:szCs w:val="21"/>
              </w:rPr>
              <w:t>发行人召开股东大会对回购股份事宜进行审议时，就该等回购股份</w:t>
            </w:r>
            <w:r>
              <w:rPr>
                <w:rFonts w:ascii="宋体" w:hAnsi="宋体" w:cs="宋体" w:eastAsia="宋体" w:hint="default"/>
                <w:w w:val="100"/>
                <w:sz w:val="21"/>
                <w:szCs w:val="21"/>
              </w:rPr>
              <w:t> </w:t>
            </w:r>
            <w:r>
              <w:rPr>
                <w:rFonts w:ascii="宋体" w:hAnsi="宋体" w:cs="宋体" w:eastAsia="宋体" w:hint="default"/>
                <w:sz w:val="21"/>
                <w:szCs w:val="21"/>
              </w:rPr>
              <w:t>的相关议案投赞成票。</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6875"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103" w:right="41"/>
              <w:jc w:val="left"/>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息社有限公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司、中国新闻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发展深圳有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发行人控股股东及其一致行动人关于未履行承诺相关事宜的承诺：</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、如本单位承诺未能履行、确已无法履行或无法按期履行的（因相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关法律法规、政策变化、自然灾害及其他不可抗力等本单位无法控</w:t>
            </w:r>
            <w:r>
              <w:rPr>
                <w:rFonts w:ascii="宋体" w:hAnsi="宋体" w:cs="宋体" w:eastAsia="宋体" w:hint="default"/>
                <w:w w:val="100"/>
                <w:sz w:val="21"/>
                <w:szCs w:val="21"/>
              </w:rPr>
              <w:t> </w:t>
            </w:r>
            <w:r>
              <w:rPr>
                <w:rFonts w:ascii="宋体" w:hAnsi="宋体" w:cs="宋体" w:eastAsia="宋体" w:hint="default"/>
                <w:sz w:val="21"/>
                <w:szCs w:val="21"/>
              </w:rPr>
              <w:t>制的客观原因导致的除外），本单位将采取以下措施：</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）通过发行人及时、充分披露本单位承诺未能履行、无法履行或</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无法按期履行的具体原因；</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）向发行人及其投资者提出补充承诺或替代承诺，以尽可能保护</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发行人及其投资者的权益；</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）本单位违反本单位承诺所得收益将归属于发行人。因本单位违</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反承诺给发行人或投资者造成损失、并已由有权部门作出行政处罚</w:t>
            </w:r>
            <w:r>
              <w:rPr>
                <w:rFonts w:ascii="宋体" w:hAnsi="宋体" w:cs="宋体" w:eastAsia="宋体" w:hint="default"/>
                <w:w w:val="100"/>
                <w:sz w:val="21"/>
                <w:szCs w:val="21"/>
              </w:rPr>
              <w:t> </w:t>
            </w:r>
            <w:r>
              <w:rPr>
                <w:rFonts w:ascii="宋体" w:hAnsi="宋体" w:cs="宋体" w:eastAsia="宋体" w:hint="default"/>
                <w:sz w:val="21"/>
                <w:szCs w:val="21"/>
              </w:rPr>
              <w:t>或人民法院作出最终判决的，本单位将依法对发行人或投资者进行</w:t>
            </w:r>
            <w:r>
              <w:rPr>
                <w:rFonts w:ascii="宋体" w:hAnsi="宋体" w:cs="宋体" w:eastAsia="宋体" w:hint="default"/>
                <w:w w:val="100"/>
                <w:sz w:val="21"/>
                <w:szCs w:val="21"/>
              </w:rPr>
              <w:t> </w:t>
            </w:r>
            <w:r>
              <w:rPr>
                <w:rFonts w:ascii="宋体" w:hAnsi="宋体" w:cs="宋体" w:eastAsia="宋体" w:hint="default"/>
                <w:sz w:val="21"/>
                <w:szCs w:val="21"/>
              </w:rPr>
              <w:t>赔偿，并按照下述程序进行赔偿：</w:t>
            </w:r>
          </w:p>
          <w:p>
            <w:pPr>
              <w:pStyle w:val="TableParagraph"/>
              <w:spacing w:line="273" w:lineRule="auto" w:before="7"/>
              <w:ind w:left="103" w:right="168"/>
              <w:jc w:val="left"/>
              <w:rPr>
                <w:rFonts w:ascii="宋体" w:hAnsi="宋体" w:cs="宋体" w:eastAsia="宋体" w:hint="default"/>
                <w:sz w:val="21"/>
                <w:szCs w:val="21"/>
              </w:rPr>
            </w:pPr>
            <w:r>
              <w:rPr>
                <w:rFonts w:ascii="宋体" w:hAnsi="宋体" w:cs="宋体" w:eastAsia="宋体" w:hint="default"/>
                <w:spacing w:val="-2"/>
                <w:sz w:val="21"/>
                <w:szCs w:val="21"/>
              </w:rPr>
              <w:t>①将本单位应得的现金分红由发行人直接用于执行未履行的承诺或</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用于赔偿因未履行承诺而给发行人或投资者带来的损失；</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②若本单位在赔偿完毕前进行股份减持，则减持所获资金交由发行</w:t>
            </w:r>
            <w:r>
              <w:rPr>
                <w:rFonts w:ascii="宋体" w:hAnsi="宋体" w:cs="宋体" w:eastAsia="宋体" w:hint="default"/>
                <w:w w:val="100"/>
                <w:sz w:val="21"/>
                <w:szCs w:val="21"/>
              </w:rPr>
              <w:t> </w:t>
            </w:r>
            <w:r>
              <w:rPr>
                <w:rFonts w:ascii="宋体" w:hAnsi="宋体" w:cs="宋体" w:eastAsia="宋体" w:hint="default"/>
                <w:sz w:val="21"/>
                <w:szCs w:val="21"/>
              </w:rPr>
              <w:t>人董事会监管并专项用于履行承诺或用于赔偿，直至本单位承诺履</w:t>
            </w:r>
            <w:r>
              <w:rPr>
                <w:rFonts w:ascii="宋体" w:hAnsi="宋体" w:cs="宋体" w:eastAsia="宋体" w:hint="default"/>
                <w:w w:val="100"/>
                <w:sz w:val="21"/>
                <w:szCs w:val="21"/>
              </w:rPr>
              <w:t> </w:t>
            </w:r>
            <w:r>
              <w:rPr>
                <w:rFonts w:ascii="宋体" w:hAnsi="宋体" w:cs="宋体" w:eastAsia="宋体" w:hint="default"/>
                <w:sz w:val="21"/>
                <w:szCs w:val="21"/>
              </w:rPr>
              <w:t>行完毕或弥补完发行人、投资者的损失为止。</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、如因相关法律法规、政策变化、自然灾害及其他不可抗力等本单</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位无法控制的客观原因导致本单位承诺未能履行、确已无法履行或</w:t>
            </w:r>
            <w:r>
              <w:rPr>
                <w:rFonts w:ascii="宋体" w:hAnsi="宋体" w:cs="宋体" w:eastAsia="宋体" w:hint="default"/>
                <w:w w:val="100"/>
                <w:sz w:val="21"/>
                <w:szCs w:val="21"/>
              </w:rPr>
              <w:t> </w:t>
            </w:r>
            <w:r>
              <w:rPr>
                <w:rFonts w:ascii="宋体" w:hAnsi="宋体" w:cs="宋体" w:eastAsia="宋体" w:hint="default"/>
                <w:sz w:val="21"/>
                <w:szCs w:val="21"/>
              </w:rPr>
              <w:t>无法按期履行的，本单位将采取以下措施：</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）通过发行人及时、充分披露本单位承诺未能履行、无法履行或</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无法按期履行的具体原因；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634" w:hRule="exact"/>
        </w:trPr>
        <w:tc>
          <w:tcPr>
            <w:tcW w:w="710"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）向发行人及其投资者提出补充承诺或替代承诺，以尽可能保护</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发行人及其投资者的权益。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811"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公司控股股东关于稳定新华网股份有限公司上市后三年内股价的承</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诺：</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、自发行人上市之日起三年内，发行人股票如出现连续</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w:t>
            </w:r>
            <w:r>
              <w:rPr>
                <w:rFonts w:ascii="宋体" w:hAnsi="宋体" w:cs="宋体" w:eastAsia="宋体" w:hint="default"/>
                <w:w w:val="100"/>
                <w:sz w:val="21"/>
                <w:szCs w:val="21"/>
              </w:rPr>
              <w:t> </w:t>
            </w:r>
            <w:r>
              <w:rPr>
                <w:rFonts w:ascii="宋体" w:hAnsi="宋体" w:cs="宋体" w:eastAsia="宋体" w:hint="default"/>
                <w:sz w:val="21"/>
                <w:szCs w:val="21"/>
              </w:rPr>
              <w:t>日的收盘价低于发行人最近一期经审计的每股净资产（最近一期审</w:t>
            </w:r>
            <w:r>
              <w:rPr>
                <w:rFonts w:ascii="宋体" w:hAnsi="宋体" w:cs="宋体" w:eastAsia="宋体" w:hint="default"/>
                <w:w w:val="100"/>
                <w:sz w:val="21"/>
                <w:szCs w:val="21"/>
              </w:rPr>
              <w:t> </w:t>
            </w:r>
            <w:r>
              <w:rPr>
                <w:rFonts w:ascii="宋体" w:hAnsi="宋体" w:cs="宋体" w:eastAsia="宋体" w:hint="default"/>
                <w:sz w:val="21"/>
                <w:szCs w:val="21"/>
              </w:rPr>
              <w:t>计基准日后，因利润分配、资本公积金转增股本、增发、配股等情</w:t>
            </w:r>
            <w:r>
              <w:rPr>
                <w:rFonts w:ascii="宋体" w:hAnsi="宋体" w:cs="宋体" w:eastAsia="宋体" w:hint="default"/>
                <w:w w:val="100"/>
                <w:sz w:val="21"/>
                <w:szCs w:val="21"/>
              </w:rPr>
              <w:t> </w:t>
            </w:r>
            <w:r>
              <w:rPr>
                <w:rFonts w:ascii="宋体" w:hAnsi="宋体" w:cs="宋体" w:eastAsia="宋体" w:hint="default"/>
                <w:sz w:val="21"/>
                <w:szCs w:val="21"/>
              </w:rPr>
              <w:t>况导致公司净资产或股份总数出现变化的，每股净资产相应进行调</w:t>
            </w:r>
            <w:r>
              <w:rPr>
                <w:rFonts w:ascii="宋体" w:hAnsi="宋体" w:cs="宋体" w:eastAsia="宋体" w:hint="default"/>
                <w:w w:val="100"/>
                <w:sz w:val="21"/>
                <w:szCs w:val="21"/>
              </w:rPr>
              <w:t> </w:t>
            </w:r>
            <w:r>
              <w:rPr>
                <w:rFonts w:ascii="宋体" w:hAnsi="宋体" w:cs="宋体" w:eastAsia="宋体" w:hint="default"/>
                <w:sz w:val="21"/>
                <w:szCs w:val="21"/>
              </w:rPr>
              <w:t>整），且非因不可抗力因素所致，本单位将根据《稳定股价预案》</w:t>
            </w:r>
            <w:r>
              <w:rPr>
                <w:rFonts w:ascii="宋体" w:hAnsi="宋体" w:cs="宋体" w:eastAsia="宋体" w:hint="default"/>
                <w:w w:val="100"/>
                <w:sz w:val="21"/>
                <w:szCs w:val="21"/>
              </w:rPr>
              <w:t> </w:t>
            </w:r>
            <w:r>
              <w:rPr>
                <w:rFonts w:ascii="宋体" w:hAnsi="宋体" w:cs="宋体" w:eastAsia="宋体" w:hint="default"/>
                <w:sz w:val="21"/>
                <w:szCs w:val="21"/>
              </w:rPr>
              <w:t>的要求，采取包括但不限于增持发行人股票的方式稳定公司股价。</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、如发行人拟采取回购公司股份的方式稳定公司股价，本单位承诺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就该等回购事宜在股东大会上投赞成票。</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、如本单位因主观原因未按《稳定股价预案》及届时公告的增持计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划等公开披露文件实施股价稳定措施，且在发行人告知本单位在限</w:t>
            </w:r>
            <w:r>
              <w:rPr>
                <w:rFonts w:ascii="宋体" w:hAnsi="宋体" w:cs="宋体" w:eastAsia="宋体" w:hint="default"/>
                <w:w w:val="100"/>
                <w:sz w:val="21"/>
                <w:szCs w:val="21"/>
              </w:rPr>
              <w:t> </w:t>
            </w:r>
            <w:r>
              <w:rPr>
                <w:rFonts w:ascii="宋体" w:hAnsi="宋体" w:cs="宋体" w:eastAsia="宋体" w:hint="default"/>
                <w:sz w:val="21"/>
                <w:szCs w:val="21"/>
              </w:rPr>
              <w:t>期内履行增持股票义务后仍不履行的，本单位将采取如下措施：</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）本单位持有的公司股份将不得转让，直至本单位按《稳定股价</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预案》采取相应的稳定股价措施并实施完毕。</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）发行人有权扣留其应向本单位支付的现金分红，直至本单位按</w:t>
            </w:r>
          </w:p>
          <w:p>
            <w:pPr>
              <w:pStyle w:val="TableParagraph"/>
              <w:spacing w:line="273" w:lineRule="auto" w:before="37"/>
              <w:ind w:left="103" w:right="-6"/>
              <w:jc w:val="left"/>
              <w:rPr>
                <w:rFonts w:ascii="宋体" w:hAnsi="宋体" w:cs="宋体" w:eastAsia="宋体" w:hint="default"/>
                <w:sz w:val="21"/>
                <w:szCs w:val="21"/>
              </w:rPr>
            </w:pPr>
            <w:r>
              <w:rPr>
                <w:rFonts w:ascii="宋体" w:hAnsi="宋体" w:cs="宋体" w:eastAsia="宋体" w:hint="default"/>
                <w:sz w:val="21"/>
                <w:szCs w:val="21"/>
              </w:rPr>
              <w:t>《稳定股价预案》采取相应的稳定股价措施并实施完毕。</w:t>
            </w:r>
            <w:r>
              <w:rPr>
                <w:rFonts w:ascii="宋体" w:hAnsi="宋体" w:cs="宋体" w:eastAsia="宋体" w:hint="default"/>
                <w:w w:val="100"/>
                <w:sz w:val="21"/>
                <w:szCs w:val="21"/>
              </w:rPr>
              <w:t> </w:t>
            </w:r>
            <w:r>
              <w:rPr>
                <w:rFonts w:ascii="宋体" w:hAnsi="宋体" w:cs="宋体" w:eastAsia="宋体" w:hint="default"/>
                <w:spacing w:val="-3"/>
                <w:sz w:val="21"/>
                <w:szCs w:val="21"/>
              </w:rPr>
              <w:t>上述承诺为本单位的真实意思表示，本单位自愿接受证券监管部门、</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自律组织及社会公众的监督，若违反上述承诺本单位将依法承担相</w:t>
            </w:r>
            <w:r>
              <w:rPr>
                <w:rFonts w:ascii="宋体" w:hAnsi="宋体" w:cs="宋体" w:eastAsia="宋体" w:hint="default"/>
                <w:w w:val="100"/>
                <w:sz w:val="21"/>
                <w:szCs w:val="21"/>
              </w:rPr>
              <w:t> </w:t>
            </w:r>
            <w:r>
              <w:rPr>
                <w:rFonts w:ascii="宋体" w:hAnsi="宋体" w:cs="宋体" w:eastAsia="宋体" w:hint="default"/>
                <w:sz w:val="21"/>
                <w:szCs w:val="21"/>
              </w:rPr>
              <w:t>应责任。</w:t>
            </w:r>
          </w:p>
          <w:p>
            <w:pPr>
              <w:pStyle w:val="TableParagraph"/>
              <w:spacing w:line="273" w:lineRule="auto" w:before="8"/>
              <w:ind w:left="103" w:right="3951"/>
              <w:jc w:val="left"/>
              <w:rPr>
                <w:rFonts w:ascii="宋体" w:hAnsi="宋体" w:cs="宋体" w:eastAsia="宋体" w:hint="default"/>
                <w:sz w:val="21"/>
                <w:szCs w:val="21"/>
              </w:rPr>
            </w:pPr>
            <w:r>
              <w:rPr>
                <w:rFonts w:ascii="宋体" w:hAnsi="宋体" w:cs="宋体" w:eastAsia="宋体" w:hint="default"/>
                <w:spacing w:val="-2"/>
                <w:sz w:val="21"/>
                <w:szCs w:val="21"/>
              </w:rPr>
              <w:t>稳定股价措施的启动程序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控股股东增持</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pacing w:val="-4"/>
                <w:sz w:val="21"/>
                <w:szCs w:val="21"/>
              </w:rPr>
              <w:t>下列任一条件被满足时，公司董事会应在</w:t>
            </w:r>
            <w:r>
              <w:rPr>
                <w:rFonts w:ascii="宋体" w:hAnsi="宋体" w:cs="宋体" w:eastAsia="宋体" w:hint="default"/>
                <w:spacing w:val="-36"/>
                <w:sz w:val="21"/>
                <w:szCs w:val="21"/>
              </w:rPr>
              <w:t>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z w:val="21"/>
                <w:szCs w:val="21"/>
              </w:rPr>
              <w:t>个交易日内向控股股东</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发出书面通知，要求其采取增持股份的方式稳定公司股价，控股股</w:t>
            </w:r>
            <w:r>
              <w:rPr>
                <w:rFonts w:ascii="宋体" w:hAnsi="宋体" w:cs="宋体" w:eastAsia="宋体" w:hint="default"/>
                <w:w w:val="100"/>
                <w:sz w:val="21"/>
                <w:szCs w:val="21"/>
              </w:rPr>
              <w:t> </w:t>
            </w:r>
            <w:r>
              <w:rPr>
                <w:rFonts w:ascii="宋体" w:hAnsi="宋体" w:cs="宋体" w:eastAsia="宋体" w:hint="default"/>
                <w:sz w:val="21"/>
                <w:szCs w:val="21"/>
              </w:rPr>
              <w:t>东应在接到通知之日起</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72"/>
                <w:sz w:val="21"/>
                <w:szCs w:val="21"/>
              </w:rPr>
              <w:t> </w:t>
            </w:r>
            <w:r>
              <w:rPr>
                <w:rFonts w:ascii="宋体" w:hAnsi="宋体" w:cs="宋体" w:eastAsia="宋体" w:hint="default"/>
                <w:sz w:val="21"/>
                <w:szCs w:val="21"/>
              </w:rPr>
              <w:t>个交易日内将具体增持计划书面告知董事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1570" w:hRule="exact"/>
        </w:trPr>
        <w:tc>
          <w:tcPr>
            <w:tcW w:w="710"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会，并由公司公告：</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）公司未如期公告回购股份方案或该等方案因未获股东大会审议</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通过等任何原因未获实施。</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）公司根据本预案要求制定并实施回购方案，将导致公司违反相</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关法律法规或公司股权分布不再符合上市条件。</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6563" w:hRule="exact"/>
        </w:trPr>
        <w:tc>
          <w:tcPr>
            <w:tcW w:w="710"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解决同业竞</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
              <w:jc w:val="left"/>
              <w:rPr>
                <w:rFonts w:ascii="宋体" w:hAnsi="宋体" w:cs="宋体" w:eastAsia="宋体" w:hint="default"/>
                <w:sz w:val="21"/>
                <w:szCs w:val="21"/>
              </w:rPr>
            </w:pPr>
            <w:r>
              <w:rPr>
                <w:rFonts w:ascii="宋体" w:hAnsi="宋体" w:cs="宋体" w:eastAsia="宋体" w:hint="default"/>
                <w:sz w:val="21"/>
                <w:szCs w:val="21"/>
              </w:rPr>
              <w:t>发行人控股股东新华社出具了《新华通讯社关于避免与新华网股份</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有限公司同业竞争有关事项的承诺函》，承诺如下：</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、确定“新华网</w:t>
            </w:r>
            <w:r>
              <w:rPr>
                <w:rFonts w:ascii="宋体" w:hAnsi="宋体" w:cs="宋体" w:eastAsia="宋体" w:hint="default"/>
                <w:spacing w:val="-35"/>
                <w:sz w:val="21"/>
                <w:szCs w:val="21"/>
              </w:rPr>
              <w:t> </w:t>
            </w:r>
            <w:r>
              <w:rPr>
                <w:rFonts w:ascii="宋体" w:hAnsi="宋体" w:cs="宋体" w:eastAsia="宋体" w:hint="default"/>
                <w:sz w:val="21"/>
                <w:szCs w:val="21"/>
              </w:rPr>
              <w:t>xinhuanet”为新华社所属唯一的国家级综合新闻</w:t>
            </w:r>
            <w:r>
              <w:rPr>
                <w:rFonts w:ascii="宋体" w:hAnsi="宋体" w:cs="宋体" w:eastAsia="宋体" w:hint="default"/>
                <w:w w:val="100"/>
                <w:sz w:val="21"/>
                <w:szCs w:val="21"/>
              </w:rPr>
              <w:t> </w:t>
            </w:r>
            <w:r>
              <w:rPr>
                <w:rFonts w:ascii="宋体" w:hAnsi="宋体" w:cs="宋体" w:eastAsia="宋体" w:hint="default"/>
                <w:sz w:val="21"/>
                <w:szCs w:val="21"/>
              </w:rPr>
              <w:t>类经营性门户网站（搜索引擎除外），新华网基于和依托“新华网</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xinhuanet”开展网络广告、信息服务、网站建设及技术服务、移动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增值业务，形成以“新华网</w:t>
            </w:r>
            <w:r>
              <w:rPr>
                <w:rFonts w:ascii="宋体" w:hAnsi="宋体" w:cs="宋体" w:eastAsia="宋体" w:hint="default"/>
                <w:spacing w:val="-55"/>
                <w:sz w:val="21"/>
                <w:szCs w:val="21"/>
              </w:rPr>
              <w:t> </w:t>
            </w:r>
            <w:r>
              <w:rPr>
                <w:rFonts w:ascii="宋体" w:hAnsi="宋体" w:cs="宋体" w:eastAsia="宋体" w:hint="default"/>
                <w:sz w:val="21"/>
                <w:szCs w:val="21"/>
              </w:rPr>
              <w:t>xinhuanet”为核心和基础的盈利模式，</w:t>
            </w:r>
            <w:r>
              <w:rPr>
                <w:rFonts w:ascii="宋体" w:hAnsi="宋体" w:cs="宋体" w:eastAsia="宋体" w:hint="default"/>
                <w:w w:val="100"/>
                <w:sz w:val="21"/>
                <w:szCs w:val="21"/>
              </w:rPr>
              <w:t> </w:t>
            </w:r>
            <w:r>
              <w:rPr>
                <w:rFonts w:ascii="宋体" w:hAnsi="宋体" w:cs="宋体" w:eastAsia="宋体" w:hint="default"/>
                <w:sz w:val="21"/>
                <w:szCs w:val="21"/>
              </w:rPr>
              <w:t>建立具有市场竞争力的产品链。</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、基于新华社业务与新华网主营业务差异性的说明，新华社及下属</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机构没有直接或间接从事与新华网主营业务构成同业竞争的业务，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也没有投资与新华网主营业务存在直接或间接竞争的公司（企业）</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或项目。新华社下属机构不存在未予披露的与新华网主营业务相同</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或类似的经营性资产以及从事该业务的其他机构。</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、新华社及下属机构如从任何第三方获得的商业机会与新华网的主</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营业务构成竞争，则新华社将尽力协调相关机构将该商业机会按合</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理的条款和条件优先提供给新华网。新华社将促使下属机构不会直</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接或间接从事可能与新华网主营业务存在同业竞争的业务。</w:t>
            </w:r>
            <w:r>
              <w:rPr>
                <w:rFonts w:ascii="宋体" w:hAnsi="宋体" w:cs="宋体" w:eastAsia="宋体" w:hint="default"/>
                <w:w w:val="100"/>
                <w:sz w:val="21"/>
                <w:szCs w:val="21"/>
              </w:rPr>
              <w:t> </w:t>
            </w:r>
            <w:r>
              <w:rPr>
                <w:rFonts w:ascii="宋体" w:hAnsi="宋体" w:cs="宋体" w:eastAsia="宋体" w:hint="default"/>
                <w:spacing w:val="-6"/>
                <w:sz w:val="21"/>
                <w:szCs w:val="21"/>
              </w:rPr>
              <w:t>4</w:t>
            </w:r>
            <w:r>
              <w:rPr>
                <w:rFonts w:ascii="宋体" w:hAnsi="宋体" w:cs="宋体" w:eastAsia="宋体" w:hint="default"/>
                <w:spacing w:val="-6"/>
                <w:sz w:val="21"/>
                <w:szCs w:val="21"/>
              </w:rPr>
              <w:t>、新华社及下属机构如与新华网开展交易或共同投资、联营等合作，</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均会以一般商业性原则及市场公平的条款和价格进行。</w:t>
            </w:r>
            <w:r>
              <w:rPr>
                <w:rFonts w:ascii="宋体" w:hAnsi="宋体" w:cs="宋体" w:eastAsia="宋体" w:hint="default"/>
                <w:w w:val="100"/>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、如因新华社未履行本承诺函的承诺而造成新华网损失的，将补偿</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新华网因此遭受的实际损失。</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、以上承诺于新华社作为新华网控股股东期间持续有效。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7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公司、公司董</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公司、公司董事、监事、高级管理人员对因虚假承诺导致的回购、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5627" w:hRule="exact"/>
        </w:trPr>
        <w:tc>
          <w:tcPr>
            <w:tcW w:w="710"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1"/>
                <w:sz w:val="21"/>
                <w:szCs w:val="21"/>
              </w:rPr>
              <w:t>事、监事及高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级管理人员</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582"/>
              <w:jc w:val="left"/>
              <w:rPr>
                <w:rFonts w:ascii="宋体" w:hAnsi="宋体" w:cs="宋体" w:eastAsia="宋体" w:hint="default"/>
                <w:sz w:val="21"/>
                <w:szCs w:val="21"/>
              </w:rPr>
            </w:pPr>
            <w:r>
              <w:rPr>
                <w:rFonts w:ascii="宋体" w:hAnsi="宋体" w:cs="宋体" w:eastAsia="宋体" w:hint="default"/>
                <w:sz w:val="21"/>
                <w:szCs w:val="21"/>
              </w:rPr>
              <w:t>赔偿义务的承诺：</w:t>
            </w:r>
            <w:r>
              <w:rPr>
                <w:rFonts w:ascii="宋体" w:hAnsi="宋体" w:cs="宋体" w:eastAsia="宋体" w:hint="default"/>
                <w:w w:val="100"/>
                <w:sz w:val="21"/>
                <w:szCs w:val="21"/>
              </w:rPr>
              <w:t> </w:t>
            </w:r>
            <w:r>
              <w:rPr>
                <w:rFonts w:ascii="宋体" w:hAnsi="宋体" w:cs="宋体" w:eastAsia="宋体" w:hint="default"/>
                <w:sz w:val="21"/>
                <w:szCs w:val="21"/>
              </w:rPr>
              <w:t>公司承诺：</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“如因发行人首次公开发行招股说明书有虚假记载、误导性陈述或</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重大遗漏，对判断发行人是否符合法律规定的发行条件构成重大、</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实质影响，致使投资者在证券交易中遭受损失，并已由有权部门作</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出行政处罚或人民法院作出最终判决的，发行人将依法赔偿投资者</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损失，并在相关行政处罚或判决作出之日起 </w:t>
            </w:r>
            <w:r>
              <w:rPr>
                <w:rFonts w:ascii="宋体" w:hAnsi="宋体" w:cs="宋体" w:eastAsia="宋体" w:hint="default"/>
                <w:sz w:val="21"/>
                <w:szCs w:val="21"/>
              </w:rPr>
              <w:t>5</w:t>
            </w:r>
            <w:r>
              <w:rPr>
                <w:rFonts w:ascii="宋体" w:hAnsi="宋体" w:cs="宋体" w:eastAsia="宋体" w:hint="default"/>
                <w:spacing w:val="-34"/>
                <w:sz w:val="21"/>
                <w:szCs w:val="21"/>
              </w:rPr>
              <w:t> </w:t>
            </w:r>
            <w:r>
              <w:rPr>
                <w:rFonts w:ascii="宋体" w:hAnsi="宋体" w:cs="宋体" w:eastAsia="宋体" w:hint="default"/>
                <w:sz w:val="21"/>
                <w:szCs w:val="21"/>
              </w:rPr>
              <w:t>个交易日内，召开董</w:t>
            </w:r>
            <w:r>
              <w:rPr>
                <w:rFonts w:ascii="宋体" w:hAnsi="宋体" w:cs="宋体" w:eastAsia="宋体" w:hint="default"/>
                <w:w w:val="100"/>
                <w:sz w:val="21"/>
                <w:szCs w:val="21"/>
              </w:rPr>
              <w:t> </w:t>
            </w:r>
            <w:r>
              <w:rPr>
                <w:rFonts w:ascii="宋体" w:hAnsi="宋体" w:cs="宋体" w:eastAsia="宋体" w:hint="default"/>
                <w:sz w:val="21"/>
                <w:szCs w:val="21"/>
              </w:rPr>
              <w:t>事会并作出决议，通过股份回购的具体方案，并进行公告。发行人</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将按照股份回购的具体方案回购首次公开发行的全部新股，回购价</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格按照发行价（若发行人股票在此期间发生派息、送股、资本公积</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转增股本等除权除息事项的，发行价应相应调整）加算银行同期存</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款利息确定，并根据相关法律法规规定的程序实施。”</w:t>
            </w:r>
            <w:r>
              <w:rPr>
                <w:rFonts w:ascii="宋体" w:hAnsi="宋体" w:cs="宋体" w:eastAsia="宋体" w:hint="default"/>
                <w:w w:val="100"/>
                <w:sz w:val="21"/>
                <w:szCs w:val="21"/>
              </w:rPr>
              <w:t> </w:t>
            </w:r>
            <w:r>
              <w:rPr>
                <w:rFonts w:ascii="宋体" w:hAnsi="宋体" w:cs="宋体" w:eastAsia="宋体" w:hint="default"/>
                <w:sz w:val="21"/>
                <w:szCs w:val="21"/>
              </w:rPr>
              <w:t>公司全体董事、监事、高级管理人员承诺：</w:t>
            </w:r>
            <w:r>
              <w:rPr>
                <w:rFonts w:ascii="宋体" w:hAnsi="宋体" w:cs="宋体" w:eastAsia="宋体" w:hint="default"/>
                <w:w w:val="100"/>
                <w:sz w:val="21"/>
                <w:szCs w:val="21"/>
              </w:rPr>
              <w:t> </w:t>
            </w:r>
            <w:r>
              <w:rPr>
                <w:rFonts w:ascii="宋体" w:hAnsi="宋体" w:cs="宋体" w:eastAsia="宋体" w:hint="default"/>
                <w:sz w:val="21"/>
                <w:szCs w:val="21"/>
              </w:rPr>
              <w:t>“发行人首次公开发行招股说明书及其摘要不存在虚假记载、误导</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性陈述或重大遗漏，并对其真实性、准确性、完整性承担个别和连</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带的法律责任。如因招股说明书有虚假记载、误导性陈述或者重大</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遗漏，致使投资者在证券交易中遭受损失，并已由有权部门做出行</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政处罚或人民法院做出最终判决的，将依法赔偿投资者损失。”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1"/>
                <w:sz w:val="21"/>
                <w:szCs w:val="21"/>
              </w:rPr>
              <w:t>公司、公司董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事、监事及高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级管理人员</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公司、公司董事、监事及高级管理人员关于未履行承诺相关事宜的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承诺：</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公司承诺：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1</w:t>
            </w:r>
            <w:r>
              <w:rPr>
                <w:rFonts w:ascii="宋体" w:hAnsi="宋体" w:cs="宋体" w:eastAsia="宋体" w:hint="default"/>
                <w:spacing w:val="-3"/>
                <w:sz w:val="21"/>
                <w:szCs w:val="21"/>
              </w:rPr>
              <w:t>、如本公司承诺未能履行、确已无法履行或无法按期履行的（因相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关法律法规、政策变化、自然灾害及其他不可抗力等本公司无法控</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制的客观原因导致的除外），本公司将采取以下措施：</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）及时、充分披露本公司承诺未能履行、无法履行或无法按期履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行的具体原因；</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）向本公司投资者提出补充承诺或替代承诺，以尽可能保护投资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318" w:hRule="exact"/>
        </w:trPr>
        <w:tc>
          <w:tcPr>
            <w:tcW w:w="710"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638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者的权益；</w:t>
            </w:r>
          </w:p>
        </w:tc>
        <w:tc>
          <w:tcPr>
            <w:tcW w:w="113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）将上述补充承诺或替代承诺提交股东大会审议。</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、如因相关法律法规、政策变化、自然灾害及其他不可抗力等本公</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司无法控制的客观原因导致本公司承诺未能履行、确已无法履行或</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无法按期履行的，本公司将采取以下措施：</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）及时、充分披露本公司承诺未能履行、无法履行或无法按期履</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行的具体原因；</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）向本公司投资者提出补充承诺或替代承诺，以尽可能保护本公</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司投资者的权益。</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、如因本公司未能履行承诺，致使投资者在证券交易中遭受损失，</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并已由有权部门做出行政处罚或人民法院作出最终判决的，本公司</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将依法赔偿投资者损失。</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公司董事、监事、高级管理人员承诺</w:t>
            </w:r>
            <w:r>
              <w:rPr>
                <w:rFonts w:ascii="宋体" w:hAnsi="宋体" w:cs="宋体" w:eastAsia="宋体" w:hint="default"/>
                <w:sz w:val="21"/>
                <w:szCs w:val="21"/>
              </w:rPr>
              <w:t>:</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、如本人承诺未能履行、确已无法履行或无法按期履行的（因相关</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法律法规、政策变化、自然灾害及其他不可抗力等本人无法控制的</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客观原因导致的除外），本人将采取以下措施：</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）通过发行人及时、充分披露本人承诺未能履行、无法履行或无</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法按期履行的具体原因；</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）向发行人及其投资者提出补充承诺或替代承诺，以尽可能保护</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发行人及其投资者的权益；</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）本人违反本人承诺所得收益将归属于发行人。因本人违反承诺</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给发行人或投资者造成损失、并已由有权部门作出行政处罚或人民</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法院作出最终判决的，将依法对该等实际损失进行赔偿。</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、如因相关法律法规、政策变化、自然灾害及其他不可抗力等本人</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无法控制的客观原因导致本人承诺未能履行、确已无法履行或无法</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按期履行，本人将采取以下措施：</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6" w:hRule="exact"/>
        </w:trPr>
        <w:tc>
          <w:tcPr>
            <w:tcW w:w="7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38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）通过发行人及时、充分披露本人承诺未能履行、无法履行或无</w:t>
            </w: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946" w:hRule="exact"/>
        </w:trPr>
        <w:tc>
          <w:tcPr>
            <w:tcW w:w="710"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法按期履行的具体原因；</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）向发行人及其投资者提出补充承诺或替代承诺，以尽可能保护</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发行人及其投资者的权益。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499"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1"/>
                <w:sz w:val="21"/>
                <w:szCs w:val="21"/>
              </w:rPr>
              <w:t>公司、公司董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事、监事及高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级管理人员</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19"/>
              <w:jc w:val="left"/>
              <w:rPr>
                <w:rFonts w:ascii="宋体" w:hAnsi="宋体" w:cs="宋体" w:eastAsia="宋体" w:hint="default"/>
                <w:sz w:val="21"/>
                <w:szCs w:val="21"/>
              </w:rPr>
            </w:pPr>
            <w:r>
              <w:rPr>
                <w:rFonts w:ascii="宋体" w:hAnsi="宋体" w:cs="宋体" w:eastAsia="宋体" w:hint="default"/>
                <w:spacing w:val="-2"/>
                <w:sz w:val="21"/>
                <w:szCs w:val="21"/>
              </w:rPr>
              <w:t>公司、董事、监事、高级管理人员失信补救措施的承诺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公司承诺：</w:t>
            </w:r>
          </w:p>
          <w:p>
            <w:pPr>
              <w:pStyle w:val="TableParagraph"/>
              <w:spacing w:line="273" w:lineRule="auto" w:before="7"/>
              <w:ind w:left="103" w:right="100"/>
              <w:jc w:val="both"/>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、如本公司承诺未能履行、确已无法履行或无法按期履行的（因相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关法律法规、政策变化、自然灾害及其他不可抗力等本公司无法控</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制的客观原因导致的除外），本公司将采取以下措施：</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）及时、充分披露本公司承诺未能履行、无法履行或无法按期履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行的具体原因；</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）向本公司投资者提出补充承诺或替代承诺，以尽可能保护投资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者的权益；</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）将上述补充承诺或替代承诺提交股东大会审议。</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、如因相关法律法规、政策变化、自然灾害及其他不可抗力等本公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司无法控制的客观原因导致本公司承诺未能履行、确已无法履行或</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无法按期履行的，本公司将采取以下措施：</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）及时、充分披露本公司承诺未能履行、无法履行或无法按期履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行的具体原因；</w:t>
            </w:r>
          </w:p>
          <w:p>
            <w:pPr>
              <w:pStyle w:val="TableParagraph"/>
              <w:spacing w:line="273" w:lineRule="auto" w:before="7"/>
              <w:ind w:left="103" w:right="65"/>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）向本公司的投资者提出补充承诺或替代承诺，以尽可能保护本</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公司投资者的权益。</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、如因本公司未能履行承诺，致使投资者在证券交易中遭受损失，</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并已由有权部门做出行政处罚或人民法院作出最终判决的，本公司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将依法赔偿投资者损失。公司董事、监事及高级管理人员承诺：</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、如本人承诺未能履行、确已无法履行或无法按期履行的（因相关</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法律法规、政策变化、自然灾害及其他不可抗力等本人无法控制的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客观原因导致的除外），本人将采取以下措施：</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）通过发行人及时、充分披露本人承诺未能履行、无法履行或无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6840" w:h="11910" w:orient="landscape"/>
          <w:pgMar w:footer="1195" w:header="882"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4066" w:hRule="exact"/>
        </w:trPr>
        <w:tc>
          <w:tcPr>
            <w:tcW w:w="710"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法按期履行的具体原因；</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）向发行人及其投资者提出补充承诺或替代承诺，以尽可能保护</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发行人及其投资者的权益；</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）本人违反本人承诺所得收益将归属于发行人。因本人违反承诺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给发行人或投资者造成损失、并已由有权部门作出行政处罚或人民</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法院作出最终判决的，将依法对该等实际损失进行赔偿。</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、如因相关法律法规、政策变化、自然灾害及其他不可抗力等本人</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无法控制的客观原因导致本人承诺未能履行、确已无法履行或无法</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按期履行的，本人将采取以下措施：</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）通过发行人及时、充分披露本人承诺未能履行、无法履行或无</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法按期履行的具体原因；</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）向发行人及其投资者提出补充承诺或替代承诺，以尽可能保护</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发行人及其投资者的权益。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379"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11"/>
                <w:sz w:val="21"/>
                <w:szCs w:val="21"/>
              </w:rPr>
              <w:t>公司、公司董</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事、监事及高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级管理人员</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51"/>
              <w:jc w:val="left"/>
              <w:rPr>
                <w:rFonts w:ascii="宋体" w:hAnsi="宋体" w:cs="宋体" w:eastAsia="宋体" w:hint="default"/>
                <w:sz w:val="21"/>
                <w:szCs w:val="21"/>
              </w:rPr>
            </w:pPr>
            <w:r>
              <w:rPr>
                <w:rFonts w:ascii="宋体" w:hAnsi="宋体" w:cs="宋体" w:eastAsia="宋体" w:hint="default"/>
                <w:spacing w:val="-2"/>
                <w:sz w:val="21"/>
                <w:szCs w:val="21"/>
              </w:rPr>
              <w:t>公司、公司董事、高级管理人员稳定股价的承诺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公司承诺：</w:t>
            </w:r>
          </w:p>
          <w:p>
            <w:pPr>
              <w:pStyle w:val="TableParagraph"/>
              <w:spacing w:line="273" w:lineRule="auto" w:before="7"/>
              <w:ind w:left="103" w:right="-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、自公司上市之日起三年内，公司股票如出现连续 </w:t>
            </w:r>
            <w:r>
              <w:rPr>
                <w:rFonts w:ascii="宋体" w:hAnsi="宋体" w:cs="宋体" w:eastAsia="宋体" w:hint="default"/>
                <w:sz w:val="21"/>
                <w:szCs w:val="21"/>
              </w:rPr>
              <w:t>20</w:t>
            </w:r>
            <w:r>
              <w:rPr>
                <w:rFonts w:ascii="宋体" w:hAnsi="宋体" w:cs="宋体" w:eastAsia="宋体" w:hint="default"/>
                <w:spacing w:val="-39"/>
                <w:sz w:val="21"/>
                <w:szCs w:val="21"/>
              </w:rPr>
              <w:t> </w:t>
            </w:r>
            <w:r>
              <w:rPr>
                <w:rFonts w:ascii="宋体" w:hAnsi="宋体" w:cs="宋体" w:eastAsia="宋体" w:hint="default"/>
                <w:sz w:val="21"/>
                <w:szCs w:val="21"/>
              </w:rPr>
              <w:t>个交易日的</w:t>
            </w:r>
            <w:r>
              <w:rPr>
                <w:rFonts w:ascii="宋体" w:hAnsi="宋体" w:cs="宋体" w:eastAsia="宋体" w:hint="default"/>
                <w:w w:val="100"/>
                <w:sz w:val="21"/>
                <w:szCs w:val="21"/>
              </w:rPr>
              <w:t> </w:t>
            </w:r>
            <w:r>
              <w:rPr>
                <w:rFonts w:ascii="宋体" w:hAnsi="宋体" w:cs="宋体" w:eastAsia="宋体" w:hint="default"/>
                <w:sz w:val="21"/>
                <w:szCs w:val="21"/>
              </w:rPr>
              <w:t>收盘价低于公司最近一期经审计的每股净资产（最近一期审计基准</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日后，因利润分配、资本公积金转增股本、增发、配股等情况导致</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公司净资产或股份总数出现变化的，每股净资产相应进行调整），</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且非因不可抗力因素所致，本公司将根据《稳定股价预案》的要求，</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开始采取如下一项或几项措施稳定股价：</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）公司回购公司股份；</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）公司控股股东增持公司股份；</w:t>
            </w:r>
          </w:p>
          <w:p>
            <w:pPr>
              <w:pStyle w:val="TableParagraph"/>
              <w:spacing w:line="273" w:lineRule="auto" w:before="37"/>
              <w:ind w:left="103" w:right="6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）公司董事（独立董事及未在公司领取薪酬的董事除外，下同）</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及高级管理人员增持公司股份；</w:t>
            </w:r>
          </w:p>
          <w:p>
            <w:pPr>
              <w:pStyle w:val="TableParagraph"/>
              <w:spacing w:line="273" w:lineRule="auto" w:before="7"/>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）届时有效的法律法规允许的其他合法、有效的措施。</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、如本公司因主观原因未按《稳定股价预案》及届时公告的回购方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6840" w:h="11910" w:orient="landscape"/>
          <w:pgMar w:footer="1195" w:header="882" w:top="1120" w:bottom="1380" w:left="760" w:right="54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318" w:hRule="exact"/>
        </w:trPr>
        <w:tc>
          <w:tcPr>
            <w:tcW w:w="710"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638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案等公开披露文件采取股价稳定措施，本公司将在股东大会及中国</w:t>
            </w:r>
          </w:p>
        </w:tc>
        <w:tc>
          <w:tcPr>
            <w:tcW w:w="113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证券监督管理委员会指定报刊上公开说明未采取稳定股价措施的具</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体原因并向公司股东和社会公众投资者道歉。</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、公司承诺并保证将接受本承诺的内容作为公司新选任董事、高级</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管理人员的标准之一，要求公司上市后三年内新选任的董事、高级</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管理人员应履行《稳定股价预案》规定的公司上市时董事、高级管</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理人员义务。</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上述承诺为本公司的真实意思表示，本公司自愿接受证券监管部门、</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自律组织及社会公众的监督，若违反上述承诺本公司将依法承担相</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应责任。</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公司董事、高级管理人员承诺：</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、自公司上市之日起三年内，公司股票如出现连续 </w:t>
            </w:r>
            <w:r>
              <w:rPr>
                <w:rFonts w:ascii="宋体" w:hAnsi="宋体" w:cs="宋体" w:eastAsia="宋体" w:hint="default"/>
                <w:sz w:val="21"/>
                <w:szCs w:val="21"/>
              </w:rPr>
              <w:t>20</w:t>
            </w:r>
            <w:r>
              <w:rPr>
                <w:rFonts w:ascii="宋体" w:hAnsi="宋体" w:cs="宋体" w:eastAsia="宋体" w:hint="default"/>
                <w:spacing w:val="-41"/>
                <w:sz w:val="21"/>
                <w:szCs w:val="21"/>
              </w:rPr>
              <w:t> </w:t>
            </w:r>
            <w:r>
              <w:rPr>
                <w:rFonts w:ascii="宋体" w:hAnsi="宋体" w:cs="宋体" w:eastAsia="宋体" w:hint="default"/>
                <w:sz w:val="21"/>
                <w:szCs w:val="21"/>
              </w:rPr>
              <w:t>个交易日的</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收盘价低于公司最近一期经审计的每股净资产（最近一期审计基准</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日后，因利润分配、资本公积金转增股本、增发、配股等情况导致</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公司净资产或股份总数出现变化的，每股净资产相应进行调整），</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且非因不可抗力因素所致，本人将根据《稳定股价预案》的要求，</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积极采取包括但不限于增持公司股票的方式稳定公司股价。</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、如发行人拟采取回购公司股份的方式稳定公司股价，本人承诺就</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该等回购事宜在董事会上投赞成票；如本人届时同时持有公司股票，</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本人承诺就该等回购事宜在股东大会上投赞成票。</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、如本人因主观原因未按《稳定股价预案》书面告知董事会具体增</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持计划，或已书面告知但未按《稳定股价预案》及届时公告的增持</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计划等公开披露文件实施稳定股价措施，且在发行人责令本人在限</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期内履行增持股票义务后仍不履行的，公司有权扣留其应向本人支</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付的扣除当地最低工资水平后的全年报酬。</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上述承诺为本人的真实意思表示，本人自愿接受证券监管部门、自</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6" w:hRule="exact"/>
        </w:trPr>
        <w:tc>
          <w:tcPr>
            <w:tcW w:w="7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38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律组织及社会公众的监督，若违反上述承诺本人将依法承担相应责</w:t>
            </w: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322" w:hRule="exact"/>
        </w:trPr>
        <w:tc>
          <w:tcPr>
            <w:tcW w:w="710"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710"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8"/>
              <w:ind w:left="103" w:right="98"/>
              <w:jc w:val="left"/>
              <w:rPr>
                <w:rFonts w:ascii="宋体" w:hAnsi="宋体" w:cs="宋体" w:eastAsia="宋体" w:hint="default"/>
                <w:sz w:val="21"/>
                <w:szCs w:val="21"/>
              </w:rPr>
            </w:pPr>
            <w:r>
              <w:rPr>
                <w:rFonts w:ascii="宋体" w:hAnsi="宋体" w:cs="宋体" w:eastAsia="宋体" w:hint="default"/>
                <w:spacing w:val="-11"/>
                <w:sz w:val="21"/>
                <w:szCs w:val="21"/>
              </w:rPr>
              <w:t>公司董事、高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级管理人员</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填补被摊薄即期回报措施的承诺</w:t>
            </w:r>
            <w:r>
              <w:rPr>
                <w:rFonts w:ascii="宋体" w:hAnsi="宋体" w:cs="宋体" w:eastAsia="宋体" w:hint="default"/>
                <w:w w:val="100"/>
                <w:sz w:val="21"/>
                <w:szCs w:val="21"/>
              </w:rPr>
              <w:t> </w:t>
            </w:r>
            <w:r>
              <w:rPr>
                <w:rFonts w:ascii="宋体" w:hAnsi="宋体" w:cs="宋体" w:eastAsia="宋体" w:hint="default"/>
                <w:sz w:val="21"/>
                <w:szCs w:val="21"/>
              </w:rPr>
              <w:t>新华网全体董事、高级管理人员承诺：</w:t>
            </w:r>
            <w:r>
              <w:rPr>
                <w:rFonts w:ascii="宋体" w:hAnsi="宋体" w:cs="宋体" w:eastAsia="宋体" w:hint="default"/>
                <w:w w:val="100"/>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、本人承诺将不无偿或以不公平条件向其他单位或者个人输送利</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益，也不采用其他方式损害公司利益；</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、本人将严格自律并积极使公司采取实际有效措施，对公司董事和</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高级管理人员的职务消费行为进行约束；</w:t>
            </w:r>
            <w:r>
              <w:rPr>
                <w:rFonts w:ascii="宋体" w:hAnsi="宋体" w:cs="宋体" w:eastAsia="宋体" w:hint="default"/>
                <w:w w:val="100"/>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、本人将不动用公司资产从事与本人履行职责无关的投资、消费活</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动；</w:t>
            </w:r>
            <w:r>
              <w:rPr>
                <w:rFonts w:ascii="宋体" w:hAnsi="宋体" w:cs="宋体" w:eastAsia="宋体" w:hint="default"/>
                <w:spacing w:val="-103"/>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、本人将积极促使由公司董事会或薪酬委员会制定、修改的薪酬制</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度与上述公司填补回报措施的执行情况相挂钩；</w:t>
            </w:r>
            <w:r>
              <w:rPr>
                <w:rFonts w:ascii="宋体" w:hAnsi="宋体" w:cs="宋体" w:eastAsia="宋体" w:hint="default"/>
                <w:w w:val="100"/>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、本人将积极促使公司未来制定、修改的股权激励的行权条件与上</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述公司填补回报措施的执行情况相挂钩。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379"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03"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文</w:t>
            </w:r>
            <w:r>
              <w:rPr>
                <w:rFonts w:ascii="宋体" w:hAnsi="宋体" w:cs="宋体" w:eastAsia="宋体" w:hint="default"/>
                <w:spacing w:val="-69"/>
                <w:sz w:val="21"/>
                <w:szCs w:val="21"/>
              </w:rPr>
              <w:t> </w:t>
            </w:r>
            <w:r>
              <w:rPr>
                <w:rFonts w:ascii="宋体" w:hAnsi="宋体" w:cs="宋体" w:eastAsia="宋体" w:hint="default"/>
                <w:sz w:val="21"/>
                <w:szCs w:val="21"/>
              </w:rPr>
              <w:t>化</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基</w:t>
            </w:r>
            <w:r>
              <w:rPr>
                <w:rFonts w:ascii="宋体" w:hAnsi="宋体" w:cs="宋体" w:eastAsia="宋体" w:hint="default"/>
                <w:spacing w:val="-66"/>
                <w:sz w:val="21"/>
                <w:szCs w:val="21"/>
              </w:rPr>
              <w:t> </w:t>
            </w:r>
            <w:r>
              <w:rPr>
                <w:rFonts w:ascii="宋体" w:hAnsi="宋体" w:cs="宋体" w:eastAsia="宋体" w:hint="default"/>
                <w:sz w:val="21"/>
                <w:szCs w:val="21"/>
              </w:rPr>
              <w:t>金</w:t>
            </w:r>
          </w:p>
          <w:p>
            <w:pPr>
              <w:pStyle w:val="TableParagraph"/>
              <w:spacing w:line="273" w:lineRule="auto" w:before="7"/>
              <w:ind w:left="103" w:right="41"/>
              <w:jc w:val="both"/>
              <w:rPr>
                <w:rFonts w:ascii="宋体" w:hAnsi="宋体" w:cs="宋体" w:eastAsia="宋体" w:hint="default"/>
                <w:sz w:val="21"/>
                <w:szCs w:val="21"/>
              </w:rPr>
            </w:pPr>
            <w:r>
              <w:rPr>
                <w:rFonts w:ascii="宋体" w:hAnsi="宋体" w:cs="宋体" w:eastAsia="宋体" w:hint="default"/>
                <w:sz w:val="21"/>
                <w:szCs w:val="21"/>
              </w:rPr>
              <w:t>（ 有 限</w:t>
            </w:r>
            <w:r>
              <w:rPr>
                <w:rFonts w:ascii="宋体" w:hAnsi="宋体" w:cs="宋体" w:eastAsia="宋体" w:hint="default"/>
                <w:spacing w:val="49"/>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pacing w:val="-11"/>
                <w:sz w:val="21"/>
                <w:szCs w:val="21"/>
              </w:rPr>
              <w:t>伙）、中国联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70"/>
                <w:sz w:val="21"/>
                <w:szCs w:val="21"/>
              </w:rPr>
              <w:t> </w:t>
            </w:r>
            <w:r>
              <w:rPr>
                <w:rFonts w:ascii="宋体" w:hAnsi="宋体" w:cs="宋体" w:eastAsia="宋体" w:hint="default"/>
                <w:sz w:val="21"/>
                <w:szCs w:val="21"/>
              </w:rPr>
              <w:t>络</w:t>
            </w:r>
            <w:r>
              <w:rPr>
                <w:rFonts w:ascii="宋体" w:hAnsi="宋体" w:cs="宋体" w:eastAsia="宋体" w:hint="default"/>
                <w:spacing w:val="-70"/>
                <w:sz w:val="21"/>
                <w:szCs w:val="21"/>
              </w:rPr>
              <w:t> </w:t>
            </w:r>
            <w:r>
              <w:rPr>
                <w:rFonts w:ascii="宋体" w:hAnsi="宋体" w:cs="宋体" w:eastAsia="宋体" w:hint="default"/>
                <w:sz w:val="21"/>
                <w:szCs w:val="21"/>
              </w:rPr>
              <w:t>通</w:t>
            </w:r>
            <w:r>
              <w:rPr>
                <w:rFonts w:ascii="宋体" w:hAnsi="宋体" w:cs="宋体" w:eastAsia="宋体" w:hint="default"/>
                <w:spacing w:val="-66"/>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团</w:t>
            </w:r>
            <w:r>
              <w:rPr>
                <w:rFonts w:ascii="宋体" w:hAnsi="宋体" w:cs="宋体" w:eastAsia="宋体" w:hint="default"/>
                <w:spacing w:val="-70"/>
                <w:sz w:val="21"/>
                <w:szCs w:val="21"/>
              </w:rPr>
              <w:t> </w:t>
            </w:r>
            <w:r>
              <w:rPr>
                <w:rFonts w:ascii="宋体" w:hAnsi="宋体" w:cs="宋体" w:eastAsia="宋体" w:hint="default"/>
                <w:sz w:val="21"/>
                <w:szCs w:val="21"/>
              </w:rPr>
              <w:t>有</w:t>
            </w:r>
            <w:r>
              <w:rPr>
                <w:rFonts w:ascii="宋体" w:hAnsi="宋体" w:cs="宋体" w:eastAsia="宋体" w:hint="default"/>
                <w:spacing w:val="-70"/>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pacing w:val="-11"/>
                <w:sz w:val="21"/>
                <w:szCs w:val="21"/>
              </w:rPr>
              <w:t>司、广东南方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spacing w:val="-70"/>
                <w:sz w:val="21"/>
                <w:szCs w:val="21"/>
              </w:rPr>
              <w:t> </w:t>
            </w:r>
            <w:r>
              <w:rPr>
                <w:rFonts w:ascii="宋体" w:hAnsi="宋体" w:cs="宋体" w:eastAsia="宋体" w:hint="default"/>
                <w:sz w:val="21"/>
                <w:szCs w:val="21"/>
              </w:rPr>
              <w:t>传</w:t>
            </w:r>
            <w:r>
              <w:rPr>
                <w:rFonts w:ascii="宋体" w:hAnsi="宋体" w:cs="宋体" w:eastAsia="宋体" w:hint="default"/>
                <w:spacing w:val="-70"/>
                <w:sz w:val="21"/>
                <w:szCs w:val="21"/>
              </w:rPr>
              <w:t> </w:t>
            </w:r>
            <w:r>
              <w:rPr>
                <w:rFonts w:ascii="宋体" w:hAnsi="宋体" w:cs="宋体" w:eastAsia="宋体" w:hint="default"/>
                <w:sz w:val="21"/>
                <w:szCs w:val="21"/>
              </w:rPr>
              <w:t>媒</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团有限公司、</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70"/>
                <w:sz w:val="21"/>
                <w:szCs w:val="21"/>
              </w:rPr>
              <w:t> </w:t>
            </w:r>
            <w:r>
              <w:rPr>
                <w:rFonts w:ascii="宋体" w:hAnsi="宋体" w:cs="宋体" w:eastAsia="宋体" w:hint="default"/>
                <w:sz w:val="21"/>
                <w:szCs w:val="21"/>
              </w:rPr>
              <w:t>电</w:t>
            </w:r>
            <w:r>
              <w:rPr>
                <w:rFonts w:ascii="宋体" w:hAnsi="宋体" w:cs="宋体" w:eastAsia="宋体" w:hint="default"/>
                <w:spacing w:val="-70"/>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团有限公司、</w:t>
            </w:r>
            <w:r>
              <w:rPr>
                <w:rFonts w:ascii="宋体" w:hAnsi="宋体" w:cs="宋体" w:eastAsia="宋体" w:hint="default"/>
                <w:w w:val="100"/>
                <w:sz w:val="21"/>
                <w:szCs w:val="21"/>
              </w:rPr>
              <w:t> </w:t>
            </w: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苏</w:t>
            </w:r>
            <w:r>
              <w:rPr>
                <w:rFonts w:ascii="宋体" w:hAnsi="宋体" w:cs="宋体" w:eastAsia="宋体" w:hint="default"/>
                <w:spacing w:val="-70"/>
                <w:sz w:val="21"/>
                <w:szCs w:val="21"/>
              </w:rPr>
              <w:t> </w:t>
            </w:r>
            <w:r>
              <w:rPr>
                <w:rFonts w:ascii="宋体" w:hAnsi="宋体" w:cs="宋体" w:eastAsia="宋体" w:hint="default"/>
                <w:sz w:val="21"/>
                <w:szCs w:val="21"/>
              </w:rPr>
              <w:t>省</w:t>
            </w:r>
            <w:r>
              <w:rPr>
                <w:rFonts w:ascii="宋体" w:hAnsi="宋体" w:cs="宋体" w:eastAsia="宋体" w:hint="default"/>
                <w:spacing w:val="-70"/>
                <w:sz w:val="21"/>
                <w:szCs w:val="21"/>
              </w:rPr>
              <w:t> </w:t>
            </w:r>
            <w:r>
              <w:rPr>
                <w:rFonts w:ascii="宋体" w:hAnsi="宋体" w:cs="宋体" w:eastAsia="宋体" w:hint="default"/>
                <w:sz w:val="21"/>
                <w:szCs w:val="21"/>
              </w:rPr>
              <w:t>广</w:t>
            </w:r>
            <w:r>
              <w:rPr>
                <w:rFonts w:ascii="宋体" w:hAnsi="宋体" w:cs="宋体" w:eastAsia="宋体" w:hint="default"/>
                <w:spacing w:val="-66"/>
                <w:sz w:val="21"/>
                <w:szCs w:val="21"/>
              </w:rPr>
              <w:t> </w:t>
            </w:r>
            <w:r>
              <w:rPr>
                <w:rFonts w:ascii="宋体" w:hAnsi="宋体" w:cs="宋体" w:eastAsia="宋体" w:hint="default"/>
                <w:sz w:val="21"/>
                <w:szCs w:val="21"/>
              </w:rPr>
              <w:t>播</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66"/>
                <w:sz w:val="21"/>
                <w:szCs w:val="21"/>
              </w:rPr>
              <w:t> </w:t>
            </w:r>
            <w:r>
              <w:rPr>
                <w:rFonts w:ascii="宋体" w:hAnsi="宋体" w:cs="宋体" w:eastAsia="宋体" w:hint="default"/>
                <w:sz w:val="21"/>
                <w:szCs w:val="21"/>
              </w:rPr>
              <w:t>视</w:t>
            </w:r>
            <w:r>
              <w:rPr>
                <w:rFonts w:ascii="宋体" w:hAnsi="宋体" w:cs="宋体" w:eastAsia="宋体" w:hint="default"/>
                <w:spacing w:val="-70"/>
                <w:sz w:val="21"/>
                <w:szCs w:val="21"/>
              </w:rPr>
              <w:t> </w:t>
            </w:r>
            <w:r>
              <w:rPr>
                <w:rFonts w:ascii="宋体" w:hAnsi="宋体" w:cs="宋体" w:eastAsia="宋体" w:hint="default"/>
                <w:sz w:val="21"/>
                <w:szCs w:val="21"/>
              </w:rPr>
              <w:t>集</w:t>
            </w:r>
            <w:r>
              <w:rPr>
                <w:rFonts w:ascii="宋体" w:hAnsi="宋体" w:cs="宋体" w:eastAsia="宋体" w:hint="default"/>
                <w:spacing w:val="-70"/>
                <w:sz w:val="21"/>
                <w:szCs w:val="21"/>
              </w:rPr>
              <w:t> </w:t>
            </w:r>
            <w:r>
              <w:rPr>
                <w:rFonts w:ascii="宋体" w:hAnsi="宋体" w:cs="宋体" w:eastAsia="宋体" w:hint="default"/>
                <w:sz w:val="21"/>
                <w:szCs w:val="21"/>
              </w:rPr>
              <w:t>团</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pacing w:val="-11"/>
                <w:sz w:val="21"/>
                <w:szCs w:val="21"/>
              </w:rPr>
              <w:t>限公司、中信</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在公司增资扩股的工商变更登记手续完成之日（</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auto" w:before="37"/>
              <w:ind w:left="103" w:right="-6"/>
              <w:jc w:val="left"/>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36"/>
                <w:sz w:val="21"/>
                <w:szCs w:val="21"/>
              </w:rPr>
              <w:t> </w:t>
            </w:r>
            <w:r>
              <w:rPr>
                <w:rFonts w:ascii="宋体" w:hAnsi="宋体" w:cs="宋体" w:eastAsia="宋体" w:hint="default"/>
                <w:sz w:val="21"/>
                <w:szCs w:val="21"/>
              </w:rPr>
              <w:t>36</w:t>
            </w:r>
            <w:r>
              <w:rPr>
                <w:rFonts w:ascii="宋体" w:hAnsi="宋体" w:cs="宋体" w:eastAsia="宋体" w:hint="default"/>
                <w:spacing w:val="-35"/>
                <w:sz w:val="21"/>
                <w:szCs w:val="21"/>
              </w:rPr>
              <w:t> </w:t>
            </w:r>
            <w:r>
              <w:rPr>
                <w:rFonts w:ascii="宋体" w:hAnsi="宋体" w:cs="宋体" w:eastAsia="宋体" w:hint="default"/>
                <w:sz w:val="21"/>
                <w:szCs w:val="21"/>
              </w:rPr>
              <w:t>个月内且自新华网股份有限公司股票上市交易之日起</w:t>
            </w:r>
            <w:r>
              <w:rPr>
                <w:rFonts w:ascii="宋体" w:hAnsi="宋体" w:cs="宋体" w:eastAsia="宋体" w:hint="default"/>
                <w:spacing w:val="-36"/>
                <w:sz w:val="21"/>
                <w:szCs w:val="21"/>
              </w:rPr>
              <w:t> </w:t>
            </w:r>
            <w:r>
              <w:rPr>
                <w:rFonts w:ascii="宋体" w:hAnsi="宋体" w:cs="宋体" w:eastAsia="宋体" w:hint="default"/>
                <w:sz w:val="21"/>
                <w:szCs w:val="21"/>
              </w:rPr>
              <w:t>12</w:t>
            </w:r>
            <w:r>
              <w:rPr>
                <w:rFonts w:ascii="宋体" w:hAnsi="宋体" w:cs="宋体" w:eastAsia="宋体" w:hint="default"/>
                <w:spacing w:val="-38"/>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内不转让或者委托他人管理其本次发行前已持有的公司股份，也不</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由公司回购该部分股份。</w:t>
            </w:r>
            <w:r>
              <w:rPr>
                <w:rFonts w:ascii="宋体" w:hAnsi="宋体" w:cs="宋体" w:eastAsia="宋体" w:hint="default"/>
                <w:w w:val="100"/>
                <w:sz w:val="21"/>
                <w:szCs w:val="21"/>
              </w:rPr>
              <w:t> </w:t>
            </w:r>
            <w:r>
              <w:rPr>
                <w:rFonts w:ascii="宋体" w:hAnsi="宋体" w:cs="宋体" w:eastAsia="宋体" w:hint="default"/>
                <w:sz w:val="21"/>
                <w:szCs w:val="21"/>
              </w:rPr>
              <w:t>根据《境内证券市场转持部分国有股充实全国社会保障基金实施办</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法》（财企</w:t>
            </w:r>
            <w:r>
              <w:rPr>
                <w:rFonts w:ascii="宋体" w:hAnsi="宋体" w:cs="宋体" w:eastAsia="宋体" w:hint="default"/>
                <w:sz w:val="21"/>
                <w:szCs w:val="21"/>
              </w:rPr>
              <w:t>[2009]94</w:t>
            </w:r>
            <w:r>
              <w:rPr>
                <w:rFonts w:ascii="宋体" w:hAnsi="宋体" w:cs="宋体" w:eastAsia="宋体" w:hint="default"/>
                <w:spacing w:val="-35"/>
                <w:sz w:val="21"/>
                <w:szCs w:val="21"/>
              </w:rPr>
              <w:t> </w:t>
            </w:r>
            <w:r>
              <w:rPr>
                <w:rFonts w:ascii="宋体" w:hAnsi="宋体" w:cs="宋体" w:eastAsia="宋体" w:hint="default"/>
                <w:sz w:val="21"/>
                <w:szCs w:val="21"/>
              </w:rPr>
              <w:t>号）以及《财政部关于批复新华网股份有限公</w:t>
            </w:r>
            <w:r>
              <w:rPr>
                <w:rFonts w:ascii="宋体" w:hAnsi="宋体" w:cs="宋体" w:eastAsia="宋体" w:hint="default"/>
                <w:w w:val="100"/>
                <w:sz w:val="21"/>
                <w:szCs w:val="21"/>
              </w:rPr>
              <w:t> </w:t>
            </w:r>
            <w:r>
              <w:rPr>
                <w:rFonts w:ascii="宋体" w:hAnsi="宋体" w:cs="宋体" w:eastAsia="宋体" w:hint="default"/>
                <w:sz w:val="21"/>
                <w:szCs w:val="21"/>
              </w:rPr>
              <w:t>司部分国有股权转由全国社会保障基金理事会持有的函》（财文资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函</w:t>
            </w:r>
            <w:r>
              <w:rPr>
                <w:rFonts w:ascii="宋体" w:hAnsi="宋体" w:cs="宋体" w:eastAsia="宋体" w:hint="default"/>
                <w:sz w:val="21"/>
                <w:szCs w:val="21"/>
              </w:rPr>
              <w:t>[2012]12</w:t>
            </w:r>
            <w:r>
              <w:rPr>
                <w:rFonts w:ascii="宋体" w:hAnsi="宋体" w:cs="宋体" w:eastAsia="宋体" w:hint="default"/>
                <w:spacing w:val="-27"/>
                <w:sz w:val="21"/>
                <w:szCs w:val="21"/>
              </w:rPr>
              <w:t> </w:t>
            </w:r>
            <w:r>
              <w:rPr>
                <w:rFonts w:ascii="宋体" w:hAnsi="宋体" w:cs="宋体" w:eastAsia="宋体" w:hint="default"/>
                <w:spacing w:val="-5"/>
                <w:sz w:val="21"/>
                <w:szCs w:val="21"/>
              </w:rPr>
              <w:t>号），本公司首次公开发行股票并上市后，新华通讯社、</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中国文化产业投资基金（有限合伙）、中国新闻发展深圳有限公司、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中国经济信息社、中国联合网络通信集团有限公司、广东南方报业</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传媒集团有限公司、中国电信集团公司、江苏省广播电视集团有限</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公司、中信信托有限责任公司、安徽新华传媒股份有限公司将履行</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国有股转持义务，全国社会保障基金理事会将承继采用直接划转股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份方式履行转持义务的原国有股东的股份锁定承诺。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1258" w:hRule="exact"/>
        </w:trPr>
        <w:tc>
          <w:tcPr>
            <w:tcW w:w="710"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托</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pacing w:val="-11"/>
                <w:sz w:val="21"/>
                <w:szCs w:val="21"/>
              </w:rPr>
              <w:t>任公司、安徽</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华</w:t>
            </w:r>
            <w:r>
              <w:rPr>
                <w:rFonts w:ascii="宋体" w:hAnsi="宋体" w:cs="宋体" w:eastAsia="宋体" w:hint="default"/>
                <w:spacing w:val="-69"/>
                <w:sz w:val="21"/>
                <w:szCs w:val="21"/>
              </w:rPr>
              <w:t> </w:t>
            </w:r>
            <w:r>
              <w:rPr>
                <w:rFonts w:ascii="宋体" w:hAnsi="宋体" w:cs="宋体" w:eastAsia="宋体" w:hint="default"/>
                <w:sz w:val="21"/>
                <w:szCs w:val="21"/>
              </w:rPr>
              <w:t>传</w:t>
            </w:r>
            <w:r>
              <w:rPr>
                <w:rFonts w:ascii="宋体" w:hAnsi="宋体" w:cs="宋体" w:eastAsia="宋体" w:hint="default"/>
                <w:spacing w:val="-69"/>
                <w:sz w:val="21"/>
                <w:szCs w:val="21"/>
              </w:rPr>
              <w:t> </w:t>
            </w:r>
            <w:r>
              <w:rPr>
                <w:rFonts w:ascii="宋体" w:hAnsi="宋体" w:cs="宋体" w:eastAsia="宋体" w:hint="default"/>
                <w:sz w:val="21"/>
                <w:szCs w:val="21"/>
              </w:rPr>
              <w:t>媒</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63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710"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际</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保荐机构中国国际金融股份有限公司承诺：</w:t>
            </w:r>
            <w:r>
              <w:rPr>
                <w:rFonts w:ascii="宋体" w:hAnsi="宋体" w:cs="宋体" w:eastAsia="宋体" w:hint="default"/>
                <w:w w:val="100"/>
                <w:sz w:val="21"/>
                <w:szCs w:val="21"/>
              </w:rPr>
              <w:t> </w:t>
            </w:r>
            <w:r>
              <w:rPr>
                <w:rFonts w:ascii="宋体" w:hAnsi="宋体" w:cs="宋体" w:eastAsia="宋体" w:hint="default"/>
                <w:sz w:val="21"/>
                <w:szCs w:val="21"/>
              </w:rPr>
              <w:t>如因本公司未能依照适用的法律法规、规范性文件及行业准则的要</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求勤勉尽责地履行法定职责而导致本公司为发行人首次公开发行制</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作、出具的文件有虚假记载、误导性陈述或者重大遗漏，给投资者</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造成实际损失的，本公司将按照有管辖权的人民法院依照法律程序</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作出的有效司法裁决，依法赔偿投资者损失。</w:t>
            </w:r>
            <w:r>
              <w:rPr>
                <w:rFonts w:ascii="宋体" w:hAnsi="宋体" w:cs="宋体" w:eastAsia="宋体" w:hint="default"/>
                <w:w w:val="100"/>
                <w:sz w:val="21"/>
                <w:szCs w:val="21"/>
              </w:rPr>
              <w:t> </w:t>
            </w:r>
            <w:r>
              <w:rPr>
                <w:rFonts w:ascii="宋体" w:hAnsi="宋体" w:cs="宋体" w:eastAsia="宋体" w:hint="default"/>
                <w:sz w:val="21"/>
                <w:szCs w:val="21"/>
              </w:rPr>
              <w:t>如果由于本机构为发行人首次公开发行股票制作、出具的文件有虚</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假记载、误导性陈述或者重大遗漏，给投资者造成损失的，本机构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将先行赔偿投资者损失。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710"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2"/>
              <w:ind w:left="103" w:right="99"/>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6"/>
                <w:sz w:val="21"/>
                <w:szCs w:val="21"/>
              </w:rPr>
              <w:t> </w:t>
            </w:r>
            <w:r>
              <w:rPr>
                <w:rFonts w:ascii="宋体" w:hAnsi="宋体" w:cs="宋体" w:eastAsia="宋体" w:hint="default"/>
                <w:sz w:val="21"/>
                <w:szCs w:val="21"/>
              </w:rPr>
              <w:t>京</w:t>
            </w:r>
            <w:r>
              <w:rPr>
                <w:rFonts w:ascii="宋体" w:hAnsi="宋体" w:cs="宋体" w:eastAsia="宋体" w:hint="default"/>
                <w:spacing w:val="-69"/>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杜</w:t>
            </w:r>
            <w:r>
              <w:rPr>
                <w:rFonts w:ascii="宋体" w:hAnsi="宋体" w:cs="宋体" w:eastAsia="宋体" w:hint="default"/>
                <w:w w:val="100"/>
                <w:sz w:val="21"/>
                <w:szCs w:val="21"/>
              </w:rPr>
              <w:t> </w:t>
            </w:r>
            <w:r>
              <w:rPr>
                <w:rFonts w:ascii="宋体" w:hAnsi="宋体" w:cs="宋体" w:eastAsia="宋体" w:hint="default"/>
                <w:sz w:val="21"/>
                <w:szCs w:val="21"/>
              </w:rPr>
              <w:t>律师事务所</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发行人律师北京市金杜律师事务所承诺：</w:t>
            </w:r>
            <w:r>
              <w:rPr>
                <w:rFonts w:ascii="宋体" w:hAnsi="宋体" w:cs="宋体" w:eastAsia="宋体" w:hint="default"/>
                <w:w w:val="100"/>
                <w:sz w:val="21"/>
                <w:szCs w:val="21"/>
              </w:rPr>
              <w:t> </w:t>
            </w:r>
            <w:r>
              <w:rPr>
                <w:rFonts w:ascii="宋体" w:hAnsi="宋体" w:cs="宋体" w:eastAsia="宋体" w:hint="default"/>
                <w:sz w:val="21"/>
                <w:szCs w:val="21"/>
              </w:rPr>
              <w:t>如因本所未能依照适用的法律法规、规范性文件及行业准则的要求</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勤勉尽责地履行法定职责而导致本所为发行人首次公开发行制作、</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出具的文件有虚假记载、误导性陈述或者重大遗漏，给投资者造成</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实际损失的，本所将按照有管辖权的人民法院依照法律程序作出的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有效司法裁决，依法赔偿投资者损失。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509" w:hRule="exact"/>
        </w:trPr>
        <w:tc>
          <w:tcPr>
            <w:tcW w:w="710"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瑞</w:t>
            </w:r>
            <w:r>
              <w:rPr>
                <w:rFonts w:ascii="宋体" w:hAnsi="宋体" w:cs="宋体" w:eastAsia="宋体" w:hint="default"/>
                <w:spacing w:val="-66"/>
                <w:sz w:val="21"/>
                <w:szCs w:val="21"/>
              </w:rPr>
              <w:t> </w:t>
            </w:r>
            <w:r>
              <w:rPr>
                <w:rFonts w:ascii="宋体" w:hAnsi="宋体" w:cs="宋体" w:eastAsia="宋体" w:hint="default"/>
                <w:sz w:val="21"/>
                <w:szCs w:val="21"/>
              </w:rPr>
              <w:t>华</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69"/>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师</w:t>
            </w:r>
            <w:r>
              <w:rPr>
                <w:rFonts w:ascii="宋体" w:hAnsi="宋体" w:cs="宋体" w:eastAsia="宋体" w:hint="default"/>
                <w:w w:val="100"/>
                <w:sz w:val="21"/>
                <w:szCs w:val="21"/>
              </w:rPr>
              <w:t> </w:t>
            </w:r>
            <w:r>
              <w:rPr>
                <w:rFonts w:ascii="宋体" w:hAnsi="宋体" w:cs="宋体" w:eastAsia="宋体" w:hint="default"/>
                <w:spacing w:val="-11"/>
                <w:sz w:val="21"/>
                <w:szCs w:val="21"/>
              </w:rPr>
              <w:t>事务所（特殊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普通合伙）</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会计师事务所瑞华会计师事务所（特殊普通合伙）承诺：</w:t>
            </w:r>
            <w:r>
              <w:rPr>
                <w:rFonts w:ascii="宋体" w:hAnsi="宋体" w:cs="宋体" w:eastAsia="宋体" w:hint="default"/>
                <w:w w:val="100"/>
                <w:sz w:val="21"/>
                <w:szCs w:val="21"/>
              </w:rPr>
              <w:t> </w:t>
            </w:r>
            <w:r>
              <w:rPr>
                <w:rFonts w:ascii="宋体" w:hAnsi="宋体" w:cs="宋体" w:eastAsia="宋体" w:hint="default"/>
                <w:sz w:val="21"/>
                <w:szCs w:val="21"/>
              </w:rPr>
              <w:t>“我们接受委托，为新华网股份有限公司首次公开发行股份出具了</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财务报表审计报告（报告编号：瑞华审字</w:t>
            </w:r>
            <w:r>
              <w:rPr>
                <w:rFonts w:ascii="宋体" w:hAnsi="宋体" w:cs="宋体" w:eastAsia="宋体" w:hint="default"/>
                <w:sz w:val="21"/>
                <w:szCs w:val="21"/>
              </w:rPr>
              <w:t>[2016]01520065</w:t>
            </w:r>
            <w:r>
              <w:rPr>
                <w:rFonts w:ascii="宋体" w:hAnsi="宋体" w:cs="宋体" w:eastAsia="宋体" w:hint="default"/>
                <w:spacing w:val="-37"/>
                <w:sz w:val="21"/>
                <w:szCs w:val="21"/>
              </w:rPr>
              <w:t> </w:t>
            </w:r>
            <w:r>
              <w:rPr>
                <w:rFonts w:ascii="宋体" w:hAnsi="宋体" w:cs="宋体" w:eastAsia="宋体" w:hint="default"/>
                <w:sz w:val="21"/>
                <w:szCs w:val="21"/>
              </w:rPr>
              <w:t>号）、内</w:t>
            </w:r>
            <w:r>
              <w:rPr>
                <w:rFonts w:ascii="宋体" w:hAnsi="宋体" w:cs="宋体" w:eastAsia="宋体" w:hint="default"/>
                <w:w w:val="100"/>
                <w:sz w:val="21"/>
                <w:szCs w:val="21"/>
              </w:rPr>
              <w:t> </w:t>
            </w:r>
            <w:r>
              <w:rPr>
                <w:rFonts w:ascii="宋体" w:hAnsi="宋体" w:cs="宋体" w:eastAsia="宋体" w:hint="default"/>
                <w:sz w:val="21"/>
                <w:szCs w:val="21"/>
              </w:rPr>
              <w:t>部控制鉴证报告（报告编号：瑞华核字</w:t>
            </w:r>
            <w:r>
              <w:rPr>
                <w:rFonts w:ascii="宋体" w:hAnsi="宋体" w:cs="宋体" w:eastAsia="宋体" w:hint="default"/>
                <w:sz w:val="21"/>
                <w:szCs w:val="21"/>
              </w:rPr>
              <w:t>[2016]01520027</w:t>
            </w:r>
            <w:r>
              <w:rPr>
                <w:rFonts w:ascii="宋体" w:hAnsi="宋体" w:cs="宋体" w:eastAsia="宋体" w:hint="default"/>
                <w:spacing w:val="-35"/>
                <w:sz w:val="21"/>
                <w:szCs w:val="21"/>
              </w:rPr>
              <w:t> </w:t>
            </w:r>
            <w:r>
              <w:rPr>
                <w:rFonts w:ascii="宋体" w:hAnsi="宋体" w:cs="宋体" w:eastAsia="宋体" w:hint="default"/>
                <w:sz w:val="21"/>
                <w:szCs w:val="21"/>
              </w:rPr>
              <w:t>号）、非经</w:t>
            </w:r>
            <w:r>
              <w:rPr>
                <w:rFonts w:ascii="宋体" w:hAnsi="宋体" w:cs="宋体" w:eastAsia="宋体" w:hint="default"/>
                <w:w w:val="100"/>
                <w:sz w:val="21"/>
                <w:szCs w:val="21"/>
              </w:rPr>
              <w:t> </w:t>
            </w:r>
            <w:r>
              <w:rPr>
                <w:rFonts w:ascii="宋体" w:hAnsi="宋体" w:cs="宋体" w:eastAsia="宋体" w:hint="default"/>
                <w:spacing w:val="-7"/>
                <w:w w:val="100"/>
                <w:sz w:val="21"/>
                <w:szCs w:val="21"/>
              </w:rPr>
              <w:t>常性损益的专项审核报告（报告编号：瑞华核字</w:t>
            </w:r>
            <w:r>
              <w:rPr>
                <w:rFonts w:ascii="宋体" w:hAnsi="宋体" w:cs="宋体" w:eastAsia="宋体" w:hint="default"/>
                <w:spacing w:val="-7"/>
                <w:w w:val="100"/>
                <w:sz w:val="21"/>
                <w:szCs w:val="21"/>
              </w:rPr>
              <w:t>[2016]01520024</w:t>
            </w:r>
            <w:r>
              <w:rPr>
                <w:rFonts w:ascii="宋体" w:hAnsi="宋体" w:cs="宋体" w:eastAsia="宋体" w:hint="default"/>
                <w:spacing w:val="-50"/>
                <w:w w:val="100"/>
                <w:sz w:val="21"/>
                <w:szCs w:val="21"/>
              </w:rPr>
              <w:t> </w:t>
            </w:r>
            <w:r>
              <w:rPr>
                <w:rFonts w:ascii="宋体" w:hAnsi="宋体" w:cs="宋体" w:eastAsia="宋体" w:hint="default"/>
                <w:spacing w:val="-33"/>
                <w:w w:val="100"/>
                <w:sz w:val="21"/>
                <w:szCs w:val="21"/>
              </w:rPr>
              <w:t>号）、</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主要税种纳税情况的专项审核报告（瑞华核字</w:t>
            </w:r>
            <w:r>
              <w:rPr>
                <w:rFonts w:ascii="宋体" w:hAnsi="宋体" w:cs="宋体" w:eastAsia="宋体" w:hint="default"/>
                <w:sz w:val="21"/>
                <w:szCs w:val="21"/>
              </w:rPr>
              <w:t>[2016]01520026</w:t>
            </w:r>
            <w:r>
              <w:rPr>
                <w:rFonts w:ascii="宋体" w:hAnsi="宋体" w:cs="宋体" w:eastAsia="宋体" w:hint="default"/>
                <w:spacing w:val="-37"/>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及原始财务报表与申报财务报表差异情况的专项审核报告（瑞华核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字</w:t>
            </w:r>
            <w:r>
              <w:rPr>
                <w:rFonts w:ascii="宋体" w:hAnsi="宋体" w:cs="宋体" w:eastAsia="宋体" w:hint="default"/>
                <w:sz w:val="21"/>
                <w:szCs w:val="21"/>
              </w:rPr>
              <w:t>[2016]01520025</w:t>
            </w:r>
            <w:r>
              <w:rPr>
                <w:rFonts w:ascii="宋体" w:hAnsi="宋体" w:cs="宋体" w:eastAsia="宋体" w:hint="default"/>
                <w:spacing w:val="-35"/>
                <w:sz w:val="21"/>
                <w:szCs w:val="21"/>
              </w:rPr>
              <w:t> </w:t>
            </w:r>
            <w:r>
              <w:rPr>
                <w:rFonts w:ascii="宋体" w:hAnsi="宋体" w:cs="宋体" w:eastAsia="宋体" w:hint="default"/>
                <w:sz w:val="21"/>
                <w:szCs w:val="21"/>
              </w:rPr>
              <w:t>号）。根据中国证券监督管理委员会《中国证监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7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710"/>
        <w:gridCol w:w="1275"/>
        <w:gridCol w:w="1418"/>
        <w:gridCol w:w="6380"/>
        <w:gridCol w:w="1133"/>
        <w:gridCol w:w="991"/>
        <w:gridCol w:w="991"/>
        <w:gridCol w:w="1277"/>
        <w:gridCol w:w="1135"/>
      </w:tblGrid>
      <w:tr>
        <w:trPr>
          <w:trHeight w:val="318" w:hRule="exact"/>
        </w:trPr>
        <w:tc>
          <w:tcPr>
            <w:tcW w:w="710"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6380"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进</w:t>
            </w:r>
            <w:r>
              <w:rPr>
                <w:rFonts w:ascii="宋体" w:hAnsi="宋体" w:cs="宋体" w:eastAsia="宋体" w:hint="default"/>
                <w:spacing w:val="-3"/>
                <w:w w:val="100"/>
                <w:sz w:val="21"/>
                <w:szCs w:val="21"/>
              </w:rPr>
              <w:t>一</w:t>
            </w:r>
            <w:r>
              <w:rPr>
                <w:rFonts w:ascii="宋体" w:hAnsi="宋体" w:cs="宋体" w:eastAsia="宋体" w:hint="default"/>
                <w:w w:val="100"/>
                <w:sz w:val="21"/>
                <w:szCs w:val="21"/>
              </w:rPr>
              <w:t>步</w:t>
            </w:r>
            <w:r>
              <w:rPr>
                <w:rFonts w:ascii="宋体" w:hAnsi="宋体" w:cs="宋体" w:eastAsia="宋体" w:hint="default"/>
                <w:spacing w:val="-3"/>
                <w:w w:val="100"/>
                <w:sz w:val="21"/>
                <w:szCs w:val="21"/>
              </w:rPr>
              <w:t>推</w:t>
            </w:r>
            <w:r>
              <w:rPr>
                <w:rFonts w:ascii="宋体" w:hAnsi="宋体" w:cs="宋体" w:eastAsia="宋体" w:hint="default"/>
                <w:w w:val="100"/>
                <w:sz w:val="21"/>
                <w:szCs w:val="21"/>
              </w:rPr>
              <w:t>进</w:t>
            </w:r>
            <w:r>
              <w:rPr>
                <w:rFonts w:ascii="宋体" w:hAnsi="宋体" w:cs="宋体" w:eastAsia="宋体" w:hint="default"/>
                <w:spacing w:val="-3"/>
                <w:w w:val="100"/>
                <w:sz w:val="21"/>
                <w:szCs w:val="21"/>
              </w:rPr>
              <w:t>新</w:t>
            </w:r>
            <w:r>
              <w:rPr>
                <w:rFonts w:ascii="宋体" w:hAnsi="宋体" w:cs="宋体" w:eastAsia="宋体" w:hint="default"/>
                <w:w w:val="100"/>
                <w:sz w:val="21"/>
                <w:szCs w:val="21"/>
              </w:rPr>
              <w:t>股</w:t>
            </w:r>
            <w:r>
              <w:rPr>
                <w:rFonts w:ascii="宋体" w:hAnsi="宋体" w:cs="宋体" w:eastAsia="宋体" w:hint="default"/>
                <w:spacing w:val="-3"/>
                <w:w w:val="100"/>
                <w:sz w:val="21"/>
                <w:szCs w:val="21"/>
              </w:rPr>
              <w:t>发</w:t>
            </w:r>
            <w:r>
              <w:rPr>
                <w:rFonts w:ascii="宋体" w:hAnsi="宋体" w:cs="宋体" w:eastAsia="宋体" w:hint="default"/>
                <w:w w:val="100"/>
                <w:sz w:val="21"/>
                <w:szCs w:val="21"/>
              </w:rPr>
              <w:t>行体</w:t>
            </w:r>
            <w:r>
              <w:rPr>
                <w:rFonts w:ascii="宋体" w:hAnsi="宋体" w:cs="宋体" w:eastAsia="宋体" w:hint="default"/>
                <w:spacing w:val="-3"/>
                <w:w w:val="100"/>
                <w:sz w:val="21"/>
                <w:szCs w:val="21"/>
              </w:rPr>
              <w:t>制</w:t>
            </w:r>
            <w:r>
              <w:rPr>
                <w:rFonts w:ascii="宋体" w:hAnsi="宋体" w:cs="宋体" w:eastAsia="宋体" w:hint="default"/>
                <w:w w:val="100"/>
                <w:sz w:val="21"/>
                <w:szCs w:val="21"/>
              </w:rPr>
              <w:t>改</w:t>
            </w:r>
            <w:r>
              <w:rPr>
                <w:rFonts w:ascii="宋体" w:hAnsi="宋体" w:cs="宋体" w:eastAsia="宋体" w:hint="default"/>
                <w:spacing w:val="-3"/>
                <w:w w:val="100"/>
                <w:sz w:val="21"/>
                <w:szCs w:val="21"/>
              </w:rPr>
              <w:t>革</w:t>
            </w:r>
            <w:r>
              <w:rPr>
                <w:rFonts w:ascii="宋体" w:hAnsi="宋体" w:cs="宋体" w:eastAsia="宋体" w:hint="default"/>
                <w:w w:val="100"/>
                <w:sz w:val="21"/>
                <w:szCs w:val="21"/>
              </w:rPr>
              <w:t>的</w:t>
            </w:r>
            <w:r>
              <w:rPr>
                <w:rFonts w:ascii="宋体" w:hAnsi="宋体" w:cs="宋体" w:eastAsia="宋体" w:hint="default"/>
                <w:spacing w:val="-3"/>
                <w:w w:val="100"/>
                <w:sz w:val="21"/>
                <w:szCs w:val="21"/>
              </w:rPr>
              <w:t>意</w:t>
            </w:r>
            <w:r>
              <w:rPr>
                <w:rFonts w:ascii="宋体" w:hAnsi="宋体" w:cs="宋体" w:eastAsia="宋体" w:hint="default"/>
                <w:w w:val="100"/>
                <w:sz w:val="21"/>
                <w:szCs w:val="21"/>
              </w:rPr>
              <w:t>见</w:t>
            </w:r>
            <w:r>
              <w:rPr>
                <w:rFonts w:ascii="宋体" w:hAnsi="宋体" w:cs="宋体" w:eastAsia="宋体" w:hint="default"/>
                <w:spacing w:val="-14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监</w:t>
            </w:r>
            <w:r>
              <w:rPr>
                <w:rFonts w:ascii="宋体" w:hAnsi="宋体" w:cs="宋体" w:eastAsia="宋体" w:hint="default"/>
                <w:w w:val="100"/>
                <w:sz w:val="21"/>
                <w:szCs w:val="21"/>
              </w:rPr>
              <w:t>会公</w:t>
            </w:r>
            <w:r>
              <w:rPr>
                <w:rFonts w:ascii="宋体" w:hAnsi="宋体" w:cs="宋体" w:eastAsia="宋体" w:hint="default"/>
                <w:spacing w:val="-3"/>
                <w:w w:val="100"/>
                <w:sz w:val="21"/>
                <w:szCs w:val="21"/>
              </w:rPr>
              <w:t>告</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3]42</w:t>
            </w:r>
          </w:p>
        </w:tc>
        <w:tc>
          <w:tcPr>
            <w:tcW w:w="113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号）及中国证券监督管理委员会《公开发行证券的公司信息披露编</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报规则第</w:t>
            </w:r>
            <w:r>
              <w:rPr>
                <w:rFonts w:ascii="宋体" w:hAnsi="宋体" w:cs="宋体" w:eastAsia="宋体" w:hint="default"/>
                <w:spacing w:val="-38"/>
                <w:sz w:val="21"/>
                <w:szCs w:val="21"/>
              </w:rPr>
              <w:t> </w:t>
            </w:r>
            <w:r>
              <w:rPr>
                <w:rFonts w:ascii="宋体" w:hAnsi="宋体" w:cs="宋体" w:eastAsia="宋体" w:hint="default"/>
                <w:sz w:val="21"/>
                <w:szCs w:val="21"/>
              </w:rPr>
              <w:t>15</w:t>
            </w:r>
            <w:r>
              <w:rPr>
                <w:rFonts w:ascii="宋体" w:hAnsi="宋体" w:cs="宋体" w:eastAsia="宋体" w:hint="default"/>
                <w:spacing w:val="-39"/>
                <w:sz w:val="21"/>
                <w:szCs w:val="21"/>
              </w:rPr>
              <w:t> </w:t>
            </w:r>
            <w:r>
              <w:rPr>
                <w:rFonts w:ascii="宋体" w:hAnsi="宋体" w:cs="宋体" w:eastAsia="宋体" w:hint="default"/>
                <w:spacing w:val="-3"/>
                <w:sz w:val="21"/>
                <w:szCs w:val="21"/>
              </w:rPr>
              <w:t>号——财务报告的一般规定（</w:t>
            </w:r>
            <w:r>
              <w:rPr>
                <w:rFonts w:ascii="宋体" w:hAnsi="宋体" w:cs="宋体" w:eastAsia="宋体" w:hint="default"/>
                <w:spacing w:val="-3"/>
                <w:sz w:val="21"/>
                <w:szCs w:val="21"/>
              </w:rPr>
              <w:t>2014</w:t>
            </w:r>
            <w:r>
              <w:rPr>
                <w:rFonts w:ascii="宋体" w:hAnsi="宋体" w:cs="宋体" w:eastAsia="宋体" w:hint="default"/>
                <w:spacing w:val="-42"/>
                <w:sz w:val="21"/>
                <w:szCs w:val="21"/>
              </w:rPr>
              <w:t> </w:t>
            </w:r>
            <w:r>
              <w:rPr>
                <w:rFonts w:ascii="宋体" w:hAnsi="宋体" w:cs="宋体" w:eastAsia="宋体" w:hint="default"/>
                <w:spacing w:val="-9"/>
                <w:sz w:val="21"/>
                <w:szCs w:val="21"/>
              </w:rPr>
              <w:t>年修订）》，我们承</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诺如下：“如果因我们出具上述文件的执业行为存在过错，违反了</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法律法规、中国注册会计师协会依法拟定并经国务院财政部门批准</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后施行的执业准则和规则以及诚信公允的原则，从而导致上述文件</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中存在虚假记载、误导性陈述或者重大遗漏，并由此给基于对该等</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文件的合理信赖而将其用于新华网股份有限公司股票投资决策的投</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3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资者造成损失的，我们将依照相关法律法规的规定对该等投资者承</w:t>
            </w: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r>
      <w:tr>
        <w:trPr>
          <w:trHeight w:val="316" w:hRule="exact"/>
        </w:trPr>
        <w:tc>
          <w:tcPr>
            <w:tcW w:w="7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38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担相应的法律责任。”</w:t>
            </w: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3"/>
        <w:tabs>
          <w:tab w:pos="784" w:val="left" w:leader="none"/>
        </w:tabs>
        <w:spacing w:line="264" w:lineRule="auto"/>
        <w:ind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218" w:right="2465"/>
        <w:jc w:val="left"/>
      </w:pPr>
      <w:r>
        <w:rPr/>
        <w:t>□已达到 □未达到 √不适用</w:t>
      </w:r>
    </w:p>
    <w:p>
      <w:pPr>
        <w:pStyle w:val="Heading3"/>
        <w:spacing w:line="240" w:lineRule="auto" w:before="56"/>
        <w:ind w:right="2465"/>
        <w:jc w:val="left"/>
        <w:rPr>
          <w:b w:val="0"/>
          <w:bCs w:val="0"/>
        </w:rPr>
      </w:pPr>
      <w:r>
        <w:rPr/>
        <w:t>三、报告期内资金被占用情况及清欠进展情况</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BodyText"/>
        <w:tabs>
          <w:tab w:pos="1577" w:val="left" w:leader="none"/>
        </w:tabs>
        <w:spacing w:line="271" w:lineRule="exact"/>
        <w:ind w:left="0" w:right="230"/>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07"/>
        <w:gridCol w:w="902"/>
        <w:gridCol w:w="709"/>
        <w:gridCol w:w="852"/>
        <w:gridCol w:w="850"/>
        <w:gridCol w:w="1133"/>
        <w:gridCol w:w="852"/>
        <w:gridCol w:w="708"/>
        <w:gridCol w:w="821"/>
        <w:gridCol w:w="1315"/>
      </w:tblGrid>
      <w:tr>
        <w:trPr>
          <w:trHeight w:val="554" w:hRule="exact"/>
        </w:trPr>
        <w:tc>
          <w:tcPr>
            <w:tcW w:w="42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控股股东及其关联方非经营性占用上市公司</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资金的余额</w:t>
            </w:r>
          </w:p>
        </w:tc>
        <w:tc>
          <w:tcPr>
            <w:tcW w:w="1133" w:type="dxa"/>
            <w:vMerge w:val="restart"/>
            <w:tcBorders>
              <w:top w:val="single" w:sz="4" w:space="0" w:color="000000"/>
              <w:left w:val="single" w:sz="4" w:space="0" w:color="000000"/>
              <w:right w:val="single" w:sz="4" w:space="0" w:color="000000"/>
            </w:tcBorders>
          </w:tcPr>
          <w:p>
            <w:pPr>
              <w:pStyle w:val="TableParagraph"/>
              <w:spacing w:line="244" w:lineRule="exact"/>
              <w:ind w:left="141"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37" w:lineRule="auto"/>
              <w:ind w:left="141" w:right="137"/>
              <w:jc w:val="both"/>
              <w:rPr>
                <w:rFonts w:ascii="宋体" w:hAnsi="宋体" w:cs="宋体" w:eastAsia="宋体" w:hint="default"/>
                <w:sz w:val="21"/>
                <w:szCs w:val="21"/>
              </w:rPr>
            </w:pPr>
            <w:r>
              <w:rPr>
                <w:rFonts w:ascii="宋体" w:hAnsi="宋体" w:cs="宋体" w:eastAsia="宋体" w:hint="default"/>
                <w:sz w:val="21"/>
                <w:szCs w:val="21"/>
              </w:rPr>
              <w:t>发生的期</w:t>
            </w:r>
            <w:r>
              <w:rPr>
                <w:rFonts w:ascii="宋体" w:hAnsi="宋体" w:cs="宋体" w:eastAsia="宋体" w:hint="default"/>
                <w:w w:val="100"/>
                <w:sz w:val="21"/>
                <w:szCs w:val="21"/>
              </w:rPr>
              <w:t> </w:t>
            </w:r>
            <w:r>
              <w:rPr>
                <w:rFonts w:ascii="宋体" w:hAnsi="宋体" w:cs="宋体" w:eastAsia="宋体" w:hint="default"/>
                <w:sz w:val="21"/>
                <w:szCs w:val="21"/>
              </w:rPr>
              <w:t>间占用、</w:t>
            </w:r>
            <w:r>
              <w:rPr>
                <w:rFonts w:ascii="宋体" w:hAnsi="宋体" w:cs="宋体" w:eastAsia="宋体" w:hint="default"/>
                <w:w w:val="100"/>
                <w:sz w:val="21"/>
                <w:szCs w:val="21"/>
              </w:rPr>
              <w:t> </w:t>
            </w:r>
            <w:r>
              <w:rPr>
                <w:rFonts w:ascii="宋体" w:hAnsi="宋体" w:cs="宋体" w:eastAsia="宋体" w:hint="default"/>
                <w:sz w:val="21"/>
                <w:szCs w:val="21"/>
              </w:rPr>
              <w:t>期末归还</w:t>
            </w:r>
            <w:r>
              <w:rPr>
                <w:rFonts w:ascii="宋体" w:hAnsi="宋体" w:cs="宋体" w:eastAsia="宋体" w:hint="default"/>
                <w:w w:val="100"/>
                <w:sz w:val="21"/>
                <w:szCs w:val="21"/>
              </w:rPr>
              <w:t> </w:t>
            </w:r>
            <w:r>
              <w:rPr>
                <w:rFonts w:ascii="宋体" w:hAnsi="宋体" w:cs="宋体" w:eastAsia="宋体" w:hint="default"/>
                <w:sz w:val="21"/>
                <w:szCs w:val="21"/>
              </w:rPr>
              <w:t>的总金额</w:t>
            </w:r>
          </w:p>
        </w:tc>
        <w:tc>
          <w:tcPr>
            <w:tcW w:w="36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97"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p>
        </w:tc>
      </w:tr>
      <w:tr>
        <w:trPr>
          <w:trHeight w:val="826" w:hRule="exact"/>
        </w:trPr>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43" w:right="129" w:hanging="212"/>
              <w:jc w:val="left"/>
              <w:rPr>
                <w:rFonts w:ascii="宋体" w:hAnsi="宋体" w:cs="宋体" w:eastAsia="宋体" w:hint="default"/>
                <w:sz w:val="21"/>
                <w:szCs w:val="21"/>
              </w:rPr>
            </w:pPr>
            <w:r>
              <w:rPr>
                <w:rFonts w:ascii="宋体" w:hAnsi="宋体" w:cs="宋体" w:eastAsia="宋体" w:hint="default"/>
                <w:sz w:val="21"/>
                <w:szCs w:val="21"/>
              </w:rPr>
              <w:t>期初金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7"/>
              <w:ind w:left="129" w:right="127" w:hanging="5"/>
              <w:jc w:val="center"/>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13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预计偿</w:t>
            </w:r>
            <w:r>
              <w:rPr>
                <w:rFonts w:ascii="宋体" w:hAnsi="宋体" w:cs="宋体" w:eastAsia="宋体" w:hint="default"/>
                <w:spacing w:val="-102"/>
                <w:sz w:val="21"/>
                <w:szCs w:val="21"/>
              </w:rPr>
              <w:t> </w:t>
            </w:r>
            <w:r>
              <w:rPr>
                <w:rFonts w:ascii="宋体" w:hAnsi="宋体" w:cs="宋体" w:eastAsia="宋体" w:hint="default"/>
                <w:sz w:val="21"/>
                <w:szCs w:val="21"/>
              </w:rPr>
              <w:t>还方式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4" w:right="101" w:hanging="212"/>
              <w:jc w:val="left"/>
              <w:rPr>
                <w:rFonts w:ascii="宋体" w:hAnsi="宋体" w:cs="宋体" w:eastAsia="宋体" w:hint="default"/>
                <w:sz w:val="21"/>
                <w:szCs w:val="21"/>
              </w:rPr>
            </w:pPr>
            <w:r>
              <w:rPr>
                <w:rFonts w:ascii="宋体" w:hAnsi="宋体" w:cs="宋体" w:eastAsia="宋体" w:hint="default"/>
                <w:sz w:val="21"/>
                <w:szCs w:val="21"/>
              </w:rPr>
              <w:t>清偿时</w:t>
            </w:r>
            <w:r>
              <w:rPr>
                <w:rFonts w:ascii="宋体" w:hAnsi="宋体" w:cs="宋体" w:eastAsia="宋体" w:hint="default"/>
                <w:spacing w:val="-102"/>
                <w:sz w:val="21"/>
                <w:szCs w:val="21"/>
              </w:rPr>
              <w:t> </w:t>
            </w:r>
            <w:r>
              <w:rPr>
                <w:rFonts w:ascii="宋体" w:hAnsi="宋体" w:cs="宋体" w:eastAsia="宋体" w:hint="default"/>
                <w:sz w:val="21"/>
                <w:szCs w:val="21"/>
              </w:rPr>
              <w:t>间</w:t>
            </w:r>
          </w:p>
        </w:tc>
        <w:tc>
          <w:tcPr>
            <w:tcW w:w="1133"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7"/>
              <w:ind w:left="211" w:right="101" w:hanging="106"/>
              <w:jc w:val="left"/>
              <w:rPr>
                <w:rFonts w:ascii="宋体" w:hAnsi="宋体" w:cs="宋体" w:eastAsia="宋体" w:hint="default"/>
                <w:sz w:val="21"/>
                <w:szCs w:val="21"/>
              </w:rPr>
            </w:pPr>
            <w:r>
              <w:rPr>
                <w:rFonts w:ascii="宋体" w:hAnsi="宋体" w:cs="宋体" w:eastAsia="宋体" w:hint="default"/>
                <w:sz w:val="21"/>
                <w:szCs w:val="21"/>
              </w:rPr>
              <w:t>内清欠</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134"/>
              <w:jc w:val="left"/>
              <w:rPr>
                <w:rFonts w:ascii="宋体" w:hAnsi="宋体" w:cs="宋体" w:eastAsia="宋体" w:hint="default"/>
                <w:sz w:val="21"/>
                <w:szCs w:val="21"/>
              </w:rPr>
            </w:pPr>
            <w:r>
              <w:rPr>
                <w:rFonts w:ascii="宋体" w:hAnsi="宋体" w:cs="宋体" w:eastAsia="宋体" w:hint="default"/>
                <w:sz w:val="21"/>
                <w:szCs w:val="21"/>
              </w:rPr>
              <w:t>清欠</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4" w:right="194"/>
              <w:jc w:val="left"/>
              <w:rPr>
                <w:rFonts w:ascii="宋体" w:hAnsi="宋体" w:cs="宋体" w:eastAsia="宋体" w:hint="default"/>
                <w:sz w:val="21"/>
                <w:szCs w:val="21"/>
              </w:rPr>
            </w:pPr>
            <w:r>
              <w:rPr>
                <w:rFonts w:ascii="宋体" w:hAnsi="宋体" w:cs="宋体" w:eastAsia="宋体" w:hint="default"/>
                <w:sz w:val="21"/>
                <w:szCs w:val="21"/>
              </w:rPr>
              <w:t>清欠</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30" w:right="0"/>
              <w:jc w:val="left"/>
              <w:rPr>
                <w:rFonts w:ascii="宋体" w:hAnsi="宋体" w:cs="宋体" w:eastAsia="宋体" w:hint="default"/>
                <w:sz w:val="21"/>
                <w:szCs w:val="21"/>
              </w:rPr>
            </w:pPr>
            <w:r>
              <w:rPr>
                <w:rFonts w:ascii="宋体" w:hAnsi="宋体" w:cs="宋体" w:eastAsia="宋体" w:hint="default"/>
                <w:sz w:val="21"/>
                <w:szCs w:val="21"/>
              </w:rPr>
              <w:t>清欠时间</w:t>
            </w:r>
          </w:p>
          <w:p>
            <w:pPr>
              <w:pStyle w:val="TableParagraph"/>
              <w:spacing w:line="273" w:lineRule="exact"/>
              <w:ind w:left="230" w:right="0"/>
              <w:jc w:val="left"/>
              <w:rPr>
                <w:rFonts w:ascii="宋体" w:hAnsi="宋体" w:cs="宋体" w:eastAsia="宋体" w:hint="default"/>
                <w:sz w:val="21"/>
                <w:szCs w:val="21"/>
              </w:rPr>
            </w:pPr>
            <w:r>
              <w:rPr>
                <w:rFonts w:ascii="宋体" w:hAnsi="宋体" w:cs="宋体" w:eastAsia="宋体" w:hint="default"/>
                <w:sz w:val="21"/>
                <w:szCs w:val="21"/>
              </w:rPr>
              <w:t>（月份）</w:t>
            </w:r>
          </w:p>
        </w:tc>
      </w:tr>
      <w:tr>
        <w:trPr>
          <w:trHeight w:val="557" w:hRule="exact"/>
        </w:trPr>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sz w:val="21"/>
              </w:rPr>
              <w:t>19.43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2017</w:t>
            </w:r>
          </w:p>
          <w:p>
            <w:pPr>
              <w:pStyle w:val="TableParagraph"/>
              <w:spacing w:line="273" w:lineRule="exact"/>
              <w:ind w:left="208"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0"/>
              <w:jc w:val="left"/>
              <w:rPr>
                <w:rFonts w:ascii="宋体" w:hAnsi="宋体" w:cs="宋体" w:eastAsia="宋体" w:hint="default"/>
                <w:sz w:val="21"/>
                <w:szCs w:val="21"/>
              </w:rPr>
            </w:pPr>
            <w:r>
              <w:rPr>
                <w:rFonts w:ascii="宋体"/>
                <w:sz w:val="21"/>
              </w:rPr>
              <w:t>19.43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19.43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偿还</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sz w:val="21"/>
              </w:rPr>
              <w:t>19.43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sz w:val="21"/>
              </w:rPr>
              <w:t>2017-12-31</w:t>
            </w:r>
          </w:p>
        </w:tc>
      </w:tr>
      <w:tr>
        <w:trPr>
          <w:trHeight w:val="554" w:hRule="exact"/>
        </w:trPr>
        <w:tc>
          <w:tcPr>
            <w:tcW w:w="3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控股股东及其关联方非经营性占用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资金的决策程序</w:t>
            </w:r>
          </w:p>
        </w:tc>
        <w:tc>
          <w:tcPr>
            <w:tcW w:w="5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3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报告期内新增非经营性资金占用的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5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导致新增资金占用的责任人</w:t>
            </w:r>
          </w:p>
        </w:tc>
        <w:tc>
          <w:tcPr>
            <w:tcW w:w="5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报告期末尚未完成清欠工作的原因</w:t>
            </w:r>
          </w:p>
        </w:tc>
        <w:tc>
          <w:tcPr>
            <w:tcW w:w="5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已采取的清欠措施</w:t>
            </w:r>
          </w:p>
        </w:tc>
        <w:tc>
          <w:tcPr>
            <w:tcW w:w="5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预计完成清欠的时间</w:t>
            </w:r>
          </w:p>
        </w:tc>
        <w:tc>
          <w:tcPr>
            <w:tcW w:w="5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7" w:hRule="exact"/>
        </w:trPr>
        <w:tc>
          <w:tcPr>
            <w:tcW w:w="3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控股股东及其关联方非经营性资金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占用及清欠情况的其他说明</w:t>
            </w:r>
          </w:p>
        </w:tc>
        <w:tc>
          <w:tcPr>
            <w:tcW w:w="56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已完成清欠</w:t>
            </w:r>
          </w:p>
        </w:tc>
      </w:tr>
    </w:tbl>
    <w:p>
      <w:pPr>
        <w:spacing w:line="240" w:lineRule="auto" w:before="8"/>
        <w:rPr>
          <w:rFonts w:ascii="宋体" w:hAnsi="宋体" w:cs="宋体" w:eastAsia="宋体" w:hint="default"/>
          <w:sz w:val="7"/>
          <w:szCs w:val="7"/>
        </w:rPr>
      </w:pPr>
    </w:p>
    <w:p>
      <w:pPr>
        <w:pStyle w:val="Heading3"/>
        <w:spacing w:line="240" w:lineRule="auto"/>
        <w:ind w:right="2465"/>
        <w:jc w:val="left"/>
        <w:rPr>
          <w:b w:val="0"/>
          <w:bCs w:val="0"/>
        </w:rPr>
      </w:pPr>
      <w:r>
        <w:rPr/>
        <w:t>四、公司对会计师事务所“非标准意见审计报告”的说明</w:t>
      </w:r>
      <w:r>
        <w:rPr>
          <w:b w:val="0"/>
          <w:bCs w:val="0"/>
        </w:rPr>
      </w:r>
    </w:p>
    <w:p>
      <w:pPr>
        <w:spacing w:line="290" w:lineRule="auto" w:before="58"/>
        <w:ind w:left="218" w:right="22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3"/>
        <w:tabs>
          <w:tab w:pos="1057" w:val="left" w:leader="none"/>
        </w:tabs>
        <w:spacing w:line="240" w:lineRule="auto" w:before="14"/>
        <w:ind w:right="2465"/>
        <w:jc w:val="left"/>
        <w:rPr>
          <w:b w:val="0"/>
          <w:bCs w:val="0"/>
        </w:rPr>
      </w:pPr>
      <w:r>
        <w:rPr/>
        <w:t>（一）</w:t>
        <w:tab/>
        <w:t>公司对会计政策、会计估计变更原因及影响的分析说明</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pStyle w:val="BodyText"/>
        <w:spacing w:line="240" w:lineRule="auto" w:before="138"/>
        <w:ind w:left="638" w:right="227"/>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日，中华人民共和国财政部（以下简称“财政部”）发布了《企业会计准则</w:t>
      </w:r>
    </w:p>
    <w:p>
      <w:pPr>
        <w:pStyle w:val="BodyText"/>
        <w:spacing w:line="240" w:lineRule="auto" w:before="166"/>
        <w:ind w:left="218" w:right="123"/>
        <w:jc w:val="left"/>
      </w:pPr>
      <w:r>
        <w:rPr/>
        <w:t>第</w:t>
      </w:r>
      <w:r>
        <w:rPr>
          <w:spacing w:val="-42"/>
        </w:rPr>
        <w:t> </w:t>
      </w:r>
      <w:r>
        <w:rPr>
          <w:rFonts w:ascii="宋体" w:hAnsi="宋体" w:cs="宋体" w:eastAsia="宋体" w:hint="default"/>
        </w:rPr>
        <w:t>42</w:t>
      </w:r>
      <w:r>
        <w:rPr>
          <w:rFonts w:ascii="宋体" w:hAnsi="宋体" w:cs="宋体" w:eastAsia="宋体" w:hint="default"/>
          <w:spacing w:val="-45"/>
        </w:rPr>
        <w:t> </w:t>
      </w:r>
      <w:r>
        <w:rPr>
          <w:spacing w:val="-3"/>
        </w:rPr>
        <w:t>号—持有待售的非流动资产、处置组和终止经营》（财会【</w:t>
      </w:r>
      <w:r>
        <w:rPr>
          <w:rFonts w:ascii="宋体" w:hAnsi="宋体" w:cs="宋体" w:eastAsia="宋体" w:hint="default"/>
          <w:spacing w:val="-3"/>
        </w:rPr>
        <w:t>2017</w:t>
      </w:r>
      <w:r>
        <w:rPr>
          <w:spacing w:val="-3"/>
        </w:rPr>
        <w:t>】</w:t>
      </w:r>
      <w:r>
        <w:rPr>
          <w:rFonts w:ascii="宋体" w:hAnsi="宋体" w:cs="宋体" w:eastAsia="宋体" w:hint="default"/>
          <w:spacing w:val="-3"/>
        </w:rPr>
        <w:t>13</w:t>
      </w:r>
      <w:r>
        <w:rPr>
          <w:rFonts w:ascii="宋体" w:hAnsi="宋体" w:cs="宋体" w:eastAsia="宋体" w:hint="default"/>
          <w:spacing w:val="-45"/>
        </w:rPr>
        <w:t> </w:t>
      </w:r>
      <w:r>
        <w:rPr>
          <w:spacing w:val="-4"/>
        </w:rPr>
        <w:t>号），自</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2"/>
        </w:rPr>
        <w:t> </w:t>
      </w:r>
      <w:r>
        <w:rPr>
          <w:rFonts w:ascii="宋体" w:hAnsi="宋体" w:cs="宋体" w:eastAsia="宋体" w:hint="default"/>
        </w:rPr>
        <w:t>5</w:t>
      </w:r>
      <w:r>
        <w:rPr>
          <w:rFonts w:ascii="宋体" w:hAnsi="宋体" w:cs="宋体" w:eastAsia="宋体" w:hint="default"/>
          <w:spacing w:val="-45"/>
        </w:rPr>
        <w:t> </w:t>
      </w:r>
      <w:r>
        <w:rPr/>
        <w:t>月</w:t>
      </w:r>
    </w:p>
    <w:p>
      <w:pPr>
        <w:pStyle w:val="BodyText"/>
        <w:spacing w:line="240" w:lineRule="auto" w:before="165"/>
        <w:ind w:left="218" w:right="227"/>
        <w:jc w:val="left"/>
      </w:pPr>
      <w:r>
        <w:rPr>
          <w:rFonts w:ascii="宋体" w:hAnsi="宋体" w:cs="宋体" w:eastAsia="宋体" w:hint="default"/>
        </w:rPr>
        <w:t>28</w:t>
      </w:r>
      <w:r>
        <w:rPr>
          <w:rFonts w:ascii="宋体" w:hAnsi="宋体" w:cs="宋体" w:eastAsia="宋体" w:hint="default"/>
          <w:spacing w:val="-53"/>
        </w:rPr>
        <w:t> </w:t>
      </w:r>
      <w:r>
        <w:rPr/>
        <w:t>日起执行；</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日，财政部发布了《企业会计准则第</w:t>
      </w:r>
      <w:r>
        <w:rPr>
          <w:spacing w:val="-53"/>
        </w:rPr>
        <w:t> </w:t>
      </w:r>
      <w:r>
        <w:rPr>
          <w:rFonts w:ascii="宋体" w:hAnsi="宋体" w:cs="宋体" w:eastAsia="宋体" w:hint="default"/>
        </w:rPr>
        <w:t>16</w:t>
      </w:r>
      <w:r>
        <w:rPr>
          <w:rFonts w:ascii="宋体" w:hAnsi="宋体" w:cs="宋体" w:eastAsia="宋体" w:hint="default"/>
          <w:spacing w:val="-55"/>
        </w:rPr>
        <w:t> </w:t>
      </w:r>
      <w:r>
        <w:rPr/>
        <w:t>号—政府补助（</w:t>
      </w:r>
      <w:r>
        <w:rPr>
          <w:rFonts w:ascii="宋体" w:hAnsi="宋体" w:cs="宋体" w:eastAsia="宋体" w:hint="default"/>
        </w:rPr>
        <w:t>2017</w:t>
      </w:r>
      <w:r>
        <w:rPr>
          <w:rFonts w:ascii="宋体" w:hAnsi="宋体" w:cs="宋体" w:eastAsia="宋体" w:hint="default"/>
          <w:spacing w:val="-55"/>
        </w:rPr>
        <w:t> </w:t>
      </w:r>
      <w:r>
        <w:rPr/>
        <w:t>年修</w:t>
      </w:r>
    </w:p>
    <w:p>
      <w:pPr>
        <w:pStyle w:val="BodyText"/>
        <w:spacing w:line="386" w:lineRule="auto" w:before="164"/>
        <w:ind w:left="218" w:right="227"/>
        <w:jc w:val="left"/>
      </w:pPr>
      <w:r>
        <w:rPr>
          <w:spacing w:val="-3"/>
        </w:rPr>
        <w:t>订）》（财会【</w:t>
      </w:r>
      <w:r>
        <w:rPr>
          <w:rFonts w:ascii="宋体" w:hAnsi="宋体" w:cs="宋体" w:eastAsia="宋体" w:hint="default"/>
          <w:spacing w:val="-3"/>
        </w:rPr>
        <w:t>2017</w:t>
      </w:r>
      <w:r>
        <w:rPr>
          <w:spacing w:val="-3"/>
        </w:rPr>
        <w:t>】</w:t>
      </w:r>
      <w:r>
        <w:rPr>
          <w:rFonts w:ascii="宋体" w:hAnsi="宋体" w:cs="宋体" w:eastAsia="宋体" w:hint="default"/>
          <w:spacing w:val="-3"/>
        </w:rPr>
        <w:t>15</w:t>
      </w:r>
      <w:r>
        <w:rPr>
          <w:rFonts w:ascii="宋体" w:hAnsi="宋体" w:cs="宋体" w:eastAsia="宋体" w:hint="default"/>
          <w:spacing w:val="-53"/>
        </w:rPr>
        <w:t> </w:t>
      </w:r>
      <w:r>
        <w:rPr>
          <w:spacing w:val="-4"/>
        </w:rPr>
        <w:t>号），自</w:t>
      </w:r>
      <w:r>
        <w:rPr>
          <w:spacing w:val="-51"/>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3"/>
        </w:rPr>
        <w:t> </w:t>
      </w:r>
      <w:r>
        <w:rPr/>
        <w:t>月</w:t>
      </w:r>
      <w:r>
        <w:rPr>
          <w:spacing w:val="-51"/>
        </w:rPr>
        <w:t> </w:t>
      </w:r>
      <w:r>
        <w:rPr>
          <w:rFonts w:ascii="宋体" w:hAnsi="宋体" w:cs="宋体" w:eastAsia="宋体" w:hint="default"/>
        </w:rPr>
        <w:t>12</w:t>
      </w:r>
      <w:r>
        <w:rPr>
          <w:rFonts w:ascii="宋体" w:hAnsi="宋体" w:cs="宋体" w:eastAsia="宋体" w:hint="default"/>
          <w:spacing w:val="-53"/>
        </w:rPr>
        <w:t> </w:t>
      </w:r>
      <w:r>
        <w:rPr/>
        <w:t>日起执行。按照上述企业会计准则的规定和要</w:t>
      </w:r>
      <w:r>
        <w:rPr>
          <w:w w:val="100"/>
        </w:rPr>
        <w:t> </w:t>
      </w:r>
      <w:r>
        <w:rPr/>
        <w:t>求，公司对原会计政策进行相应变更。</w:t>
      </w:r>
    </w:p>
    <w:p>
      <w:pPr>
        <w:pStyle w:val="BodyText"/>
        <w:spacing w:line="384" w:lineRule="auto" w:before="36"/>
        <w:ind w:left="218" w:right="227" w:firstLine="419"/>
        <w:jc w:val="left"/>
      </w:pPr>
      <w:r>
        <w:rPr/>
        <w:t>公司于</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25</w:t>
      </w:r>
      <w:r>
        <w:rPr>
          <w:rFonts w:ascii="宋体" w:hAnsi="宋体" w:cs="宋体" w:eastAsia="宋体" w:hint="default"/>
          <w:spacing w:val="-47"/>
        </w:rPr>
        <w:t> </w:t>
      </w:r>
      <w:r>
        <w:rPr>
          <w:spacing w:val="-5"/>
        </w:rPr>
        <w:t>日召开第三届董事会第四次（临时）会议、第三届监事会第三次（临</w:t>
      </w:r>
      <w:r>
        <w:rPr>
          <w:w w:val="100"/>
        </w:rPr>
        <w:t> </w:t>
      </w:r>
      <w:r>
        <w:rPr/>
        <w:t>时）会议，审议通过了《关于会计政策变更的议案》。</w:t>
      </w:r>
    </w:p>
    <w:p>
      <w:pPr>
        <w:pStyle w:val="BodyText"/>
        <w:spacing w:line="384" w:lineRule="auto" w:before="40"/>
        <w:ind w:left="218" w:right="123" w:firstLine="419"/>
        <w:jc w:val="left"/>
      </w:pPr>
      <w:r>
        <w:rPr/>
        <w:t>根据财政部制定的《企业会计准则第</w:t>
      </w:r>
      <w:r>
        <w:rPr>
          <w:spacing w:val="-54"/>
        </w:rPr>
        <w:t> </w:t>
      </w:r>
      <w:r>
        <w:rPr>
          <w:rFonts w:ascii="宋体" w:hAnsi="宋体" w:cs="宋体" w:eastAsia="宋体" w:hint="default"/>
        </w:rPr>
        <w:t>16</w:t>
      </w:r>
      <w:r>
        <w:rPr>
          <w:rFonts w:ascii="宋体" w:hAnsi="宋体" w:cs="宋体" w:eastAsia="宋体" w:hint="default"/>
          <w:spacing w:val="-56"/>
        </w:rPr>
        <w:t> </w:t>
      </w:r>
      <w:r>
        <w:rPr/>
        <w:t>号—政府补助（</w:t>
      </w:r>
      <w:r>
        <w:rPr>
          <w:rFonts w:ascii="宋体" w:hAnsi="宋体" w:cs="宋体" w:eastAsia="宋体" w:hint="default"/>
        </w:rPr>
        <w:t>2017</w:t>
      </w:r>
      <w:r>
        <w:rPr>
          <w:rFonts w:ascii="宋体" w:hAnsi="宋体" w:cs="宋体" w:eastAsia="宋体" w:hint="default"/>
          <w:spacing w:val="-56"/>
        </w:rPr>
        <w:t> </w:t>
      </w:r>
      <w:r>
        <w:rPr/>
        <w:t>年修订）》（财会【</w:t>
      </w:r>
      <w:r>
        <w:rPr>
          <w:rFonts w:ascii="宋体" w:hAnsi="宋体" w:cs="宋体" w:eastAsia="宋体" w:hint="default"/>
        </w:rPr>
        <w:t>2017</w:t>
      </w:r>
      <w:r>
        <w:rPr/>
        <w:t>】</w:t>
      </w:r>
      <w:r>
        <w:rPr>
          <w:rFonts w:ascii="宋体" w:hAnsi="宋体" w:cs="宋体" w:eastAsia="宋体" w:hint="default"/>
        </w:rPr>
        <w:t>15</w:t>
      </w:r>
      <w:r>
        <w:rPr>
          <w:rFonts w:ascii="宋体" w:hAnsi="宋体" w:cs="宋体" w:eastAsia="宋体" w:hint="default"/>
          <w:w w:val="100"/>
        </w:rPr>
        <w:t> </w:t>
      </w:r>
      <w:r>
        <w:rPr/>
        <w:t>号），公司对</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日已存在的政府补助采用未来适用法处理，无需进行列示项目调整；</w:t>
      </w:r>
    </w:p>
    <w:p>
      <w:pPr>
        <w:pStyle w:val="BodyText"/>
        <w:spacing w:line="240" w:lineRule="auto" w:before="38"/>
        <w:ind w:left="218" w:right="123"/>
        <w:jc w:val="left"/>
      </w:pPr>
      <w:r>
        <w:rPr/>
        <w:t>对</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1</w:t>
      </w:r>
      <w:r>
        <w:rPr>
          <w:rFonts w:ascii="宋体" w:hAnsi="宋体" w:cs="宋体" w:eastAsia="宋体" w:hint="default"/>
          <w:spacing w:val="-49"/>
        </w:rPr>
        <w:t> </w:t>
      </w:r>
      <w:r>
        <w:rPr>
          <w:spacing w:val="-6"/>
        </w:rPr>
        <w:t>日至该准则施行日（即</w:t>
      </w:r>
      <w:r>
        <w:rPr>
          <w:spacing w:val="-47"/>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12</w:t>
      </w:r>
      <w:r>
        <w:rPr>
          <w:rFonts w:ascii="宋体" w:hAnsi="宋体" w:cs="宋体" w:eastAsia="宋体" w:hint="default"/>
          <w:spacing w:val="-49"/>
        </w:rPr>
        <w:t> </w:t>
      </w:r>
      <w:r>
        <w:rPr>
          <w:spacing w:val="-5"/>
        </w:rPr>
        <w:t>日）期间新增的政府补助根据该准则进行</w:t>
      </w:r>
    </w:p>
    <w:p>
      <w:pPr>
        <w:pStyle w:val="BodyText"/>
        <w:spacing w:line="240" w:lineRule="auto" w:before="167"/>
        <w:ind w:left="218" w:right="123"/>
        <w:jc w:val="left"/>
      </w:pPr>
      <w:r>
        <w:rPr>
          <w:w w:val="100"/>
        </w:rPr>
        <w:t>调</w:t>
      </w:r>
      <w:r>
        <w:rPr>
          <w:spacing w:val="-3"/>
          <w:w w:val="100"/>
        </w:rPr>
        <w:t>整</w:t>
      </w:r>
      <w:r>
        <w:rPr>
          <w:spacing w:val="-92"/>
          <w:w w:val="100"/>
        </w:rPr>
        <w:t>，</w:t>
      </w:r>
      <w:r>
        <w:rPr>
          <w:spacing w:val="-3"/>
          <w:w w:val="100"/>
        </w:rPr>
        <w:t>将</w:t>
      </w:r>
      <w:r>
        <w:rPr>
          <w:w w:val="100"/>
        </w:rPr>
        <w:t>自</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1</w:t>
      </w:r>
      <w:r>
        <w:rPr>
          <w:rFonts w:ascii="宋体" w:hAnsi="宋体" w:cs="宋体" w:eastAsia="宋体" w:hint="default"/>
          <w:spacing w:val="-55"/>
        </w:rPr>
        <w:t> </w:t>
      </w:r>
      <w:r>
        <w:rPr>
          <w:w w:val="100"/>
        </w:rPr>
        <w:t>日起</w:t>
      </w:r>
      <w:r>
        <w:rPr>
          <w:spacing w:val="-3"/>
          <w:w w:val="100"/>
        </w:rPr>
        <w:t>收</w:t>
      </w:r>
      <w:r>
        <w:rPr>
          <w:w w:val="100"/>
        </w:rPr>
        <w:t>到</w:t>
      </w:r>
      <w:r>
        <w:rPr>
          <w:spacing w:val="-3"/>
          <w:w w:val="100"/>
        </w:rPr>
        <w:t>的</w:t>
      </w:r>
      <w:r>
        <w:rPr>
          <w:w w:val="100"/>
        </w:rPr>
        <w:t>与</w:t>
      </w:r>
      <w:r>
        <w:rPr>
          <w:spacing w:val="-3"/>
          <w:w w:val="100"/>
        </w:rPr>
        <w:t>企</w:t>
      </w:r>
      <w:r>
        <w:rPr>
          <w:w w:val="100"/>
        </w:rPr>
        <w:t>业</w:t>
      </w:r>
      <w:r>
        <w:rPr>
          <w:spacing w:val="-3"/>
          <w:w w:val="100"/>
        </w:rPr>
        <w:t>日</w:t>
      </w:r>
      <w:r>
        <w:rPr>
          <w:w w:val="100"/>
        </w:rPr>
        <w:t>常</w:t>
      </w:r>
      <w:r>
        <w:rPr>
          <w:spacing w:val="-3"/>
          <w:w w:val="100"/>
        </w:rPr>
        <w:t>活</w:t>
      </w:r>
      <w:r>
        <w:rPr>
          <w:w w:val="100"/>
        </w:rPr>
        <w:t>动相</w:t>
      </w:r>
      <w:r>
        <w:rPr>
          <w:spacing w:val="-3"/>
          <w:w w:val="100"/>
        </w:rPr>
        <w:t>关</w:t>
      </w:r>
      <w:r>
        <w:rPr>
          <w:w w:val="100"/>
        </w:rPr>
        <w:t>的</w:t>
      </w:r>
      <w:r>
        <w:rPr>
          <w:spacing w:val="-3"/>
          <w:w w:val="100"/>
        </w:rPr>
        <w:t>政</w:t>
      </w:r>
      <w:r>
        <w:rPr>
          <w:w w:val="100"/>
        </w:rPr>
        <w:t>府</w:t>
      </w:r>
      <w:r>
        <w:rPr>
          <w:spacing w:val="-3"/>
          <w:w w:val="100"/>
        </w:rPr>
        <w:t>补</w:t>
      </w:r>
      <w:r>
        <w:rPr>
          <w:w w:val="100"/>
        </w:rPr>
        <w:t>助</w:t>
      </w:r>
      <w:r>
        <w:rPr>
          <w:spacing w:val="-3"/>
          <w:w w:val="100"/>
        </w:rPr>
        <w:t>列</w:t>
      </w:r>
      <w:r>
        <w:rPr>
          <w:w w:val="100"/>
        </w:rPr>
        <w:t>示</w:t>
      </w:r>
      <w:r>
        <w:rPr>
          <w:spacing w:val="-3"/>
          <w:w w:val="100"/>
        </w:rPr>
        <w:t>项</w:t>
      </w:r>
      <w:r>
        <w:rPr>
          <w:w w:val="100"/>
        </w:rPr>
        <w:t>目由</w:t>
      </w:r>
      <w:r>
        <w:rPr>
          <w:spacing w:val="-3"/>
          <w:w w:val="100"/>
        </w:rPr>
        <w:t>“</w:t>
      </w:r>
      <w:r>
        <w:rPr>
          <w:w w:val="100"/>
        </w:rPr>
        <w:t>营</w:t>
      </w:r>
      <w:r>
        <w:rPr>
          <w:spacing w:val="-3"/>
          <w:w w:val="100"/>
        </w:rPr>
        <w:t>业</w:t>
      </w:r>
      <w:r>
        <w:rPr>
          <w:w w:val="100"/>
        </w:rPr>
        <w:t>外</w:t>
      </w:r>
      <w:r>
        <w:rPr>
          <w:spacing w:val="-3"/>
          <w:w w:val="100"/>
        </w:rPr>
        <w:t>收入</w:t>
      </w:r>
      <w:r>
        <w:rPr>
          <w:w w:val="100"/>
        </w:rPr>
        <w:t>”</w:t>
      </w:r>
    </w:p>
    <w:p>
      <w:pPr>
        <w:spacing w:after="0" w:line="240" w:lineRule="auto"/>
        <w:jc w:val="left"/>
        <w:sectPr>
          <w:headerReference w:type="default" r:id="rId36"/>
          <w:footerReference w:type="default" r:id="rId37"/>
          <w:pgSz w:w="11910" w:h="16840"/>
          <w:pgMar w:header="882" w:footer="1195" w:top="1120" w:bottom="1380" w:left="1580" w:right="1040"/>
          <w:pgNumType w:start="46"/>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left="218" w:right="123"/>
        <w:jc w:val="left"/>
      </w:pPr>
      <w:r>
        <w:rPr/>
        <w:t>调整至“其他收益”。本次会计政策变更仅对财务报表项目列示产生影响，不会对公司损益、总</w:t>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82" w:footer="1195" w:top="1120" w:bottom="1380" w:left="1580" w:right="1040"/>
        </w:sectPr>
      </w:pPr>
    </w:p>
    <w:p>
      <w:pPr>
        <w:pStyle w:val="BodyText"/>
        <w:spacing w:line="240" w:lineRule="auto" w:before="36"/>
        <w:ind w:left="218" w:right="0"/>
        <w:jc w:val="left"/>
      </w:pPr>
      <w:r>
        <w:rPr/>
        <w:t>资产、净资产产生影响，不涉及以前年度的追溯调整。</w:t>
      </w:r>
    </w:p>
    <w:p>
      <w:pPr>
        <w:pStyle w:val="Heading3"/>
        <w:tabs>
          <w:tab w:pos="1057" w:val="left" w:leader="none"/>
        </w:tabs>
        <w:spacing w:line="240" w:lineRule="auto" w:before="82"/>
        <w:ind w:right="0"/>
        <w:jc w:val="left"/>
        <w:rPr>
          <w:b w:val="0"/>
          <w:bCs w:val="0"/>
        </w:rPr>
      </w:pPr>
      <w:r>
        <w:rPr/>
        <w:t>（二）</w:t>
        <w:tab/>
      </w:r>
      <w:r>
        <w:rPr>
          <w:spacing w:val="-1"/>
        </w:rPr>
        <w:t>公司对重大会计差错更正原因及影响的分析说明</w:t>
      </w:r>
      <w:r>
        <w:rPr>
          <w:b w:val="0"/>
          <w:bCs w:val="0"/>
          <w:spacing w:val="-1"/>
        </w:rPr>
      </w:r>
    </w:p>
    <w:p>
      <w:pPr>
        <w:pStyle w:val="BodyText"/>
        <w:tabs>
          <w:tab w:pos="1060" w:val="left" w:leader="none"/>
        </w:tabs>
        <w:spacing w:line="240" w:lineRule="auto" w:before="58"/>
        <w:ind w:left="218" w:right="0"/>
        <w:jc w:val="left"/>
      </w:pPr>
      <w:r>
        <w:rPr>
          <w:spacing w:val="-1"/>
        </w:rPr>
        <w:t>□适用</w:t>
        <w:tab/>
      </w:r>
      <w:r>
        <w:rPr>
          <w:spacing w:val="-2"/>
        </w:rPr>
        <w:t>√不适用</w:t>
      </w:r>
    </w:p>
    <w:p>
      <w:pPr>
        <w:pStyle w:val="Heading3"/>
        <w:tabs>
          <w:tab w:pos="1057" w:val="left" w:leader="none"/>
        </w:tabs>
        <w:spacing w:line="240" w:lineRule="auto" w:before="56"/>
        <w:ind w:right="0"/>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pStyle w:val="Heading3"/>
        <w:tabs>
          <w:tab w:pos="1057" w:val="left" w:leader="none"/>
        </w:tabs>
        <w:spacing w:line="240" w:lineRule="auto" w:before="56"/>
        <w:ind w:right="0"/>
        <w:jc w:val="left"/>
        <w:rPr>
          <w:b w:val="0"/>
          <w:bCs w:val="0"/>
        </w:rPr>
      </w:pPr>
      <w:r>
        <w:rPr/>
        <w:t>（四）</w:t>
        <w:tab/>
        <w:t>其他说明</w:t>
      </w:r>
      <w:r>
        <w:rPr>
          <w:b w:val="0"/>
          <w:bCs w:val="0"/>
        </w:rPr>
      </w:r>
    </w:p>
    <w:p>
      <w:pPr>
        <w:tabs>
          <w:tab w:pos="1060" w:val="left" w:leader="none"/>
        </w:tabs>
        <w:spacing w:line="290" w:lineRule="auto" w:before="56"/>
        <w:ind w:left="218" w:right="21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六、聘任、解聘会计师事务所情况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pStyle w:val="BodyText"/>
        <w:tabs>
          <w:tab w:pos="1584" w:val="left" w:leader="none"/>
        </w:tabs>
        <w:spacing w:line="240" w:lineRule="auto"/>
        <w:ind w:left="218" w:right="0"/>
        <w:jc w:val="left"/>
      </w:pPr>
      <w:r>
        <w:rPr>
          <w:spacing w:val="-1"/>
        </w:rPr>
        <w:t>单位：万元</w:t>
        <w:tab/>
      </w:r>
      <w:r>
        <w:rPr>
          <w:spacing w:val="-2"/>
        </w:rPr>
        <w:t>币种：人民币</w:t>
      </w:r>
      <w:r>
        <w:rPr/>
      </w:r>
    </w:p>
    <w:p>
      <w:pPr>
        <w:spacing w:after="0" w:line="240" w:lineRule="auto"/>
        <w:jc w:val="left"/>
        <w:sectPr>
          <w:type w:val="continuous"/>
          <w:pgSz w:w="11910" w:h="16840"/>
          <w:pgMar w:top="1120" w:bottom="1380" w:left="1580" w:right="1040"/>
          <w:cols w:num="2" w:equalWidth="0">
            <w:col w:w="5487" w:space="720"/>
            <w:col w:w="308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612"/>
        <w:gridCol w:w="2420"/>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8" w:right="2465"/>
        <w:jc w:val="left"/>
      </w:pPr>
      <w:r>
        <w:rPr/>
        <w:t>聘任、解聘会计师事务所的情况说明</w:t>
      </w:r>
    </w:p>
    <w:p>
      <w:pPr>
        <w:pStyle w:val="BodyText"/>
        <w:spacing w:line="240" w:lineRule="auto"/>
        <w:ind w:left="218" w:right="4688"/>
        <w:jc w:val="left"/>
      </w:pPr>
      <w:r>
        <w:rPr/>
        <w:t>□适用</w:t>
      </w:r>
      <w:r>
        <w:rPr>
          <w:spacing w:val="-2"/>
        </w:rPr>
        <w:t> </w:t>
      </w:r>
      <w:r>
        <w:rPr/>
        <w:t>√不适用</w:t>
      </w:r>
      <w:r>
        <w:rPr>
          <w:w w:val="100"/>
        </w:rPr>
        <w:t> </w:t>
      </w:r>
      <w:r>
        <w:rPr>
          <w:spacing w:val="-2"/>
        </w:rPr>
        <w:t>审计期间改聘会计师事务所的情况说明</w:t>
      </w:r>
    </w:p>
    <w:p>
      <w:pPr>
        <w:tabs>
          <w:tab w:pos="1057" w:val="left" w:leader="none"/>
        </w:tabs>
        <w:spacing w:line="290" w:lineRule="auto" w:before="0"/>
        <w:ind w:left="218" w:right="632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tabs>
          <w:tab w:pos="1060" w:val="left" w:leader="none"/>
        </w:tabs>
        <w:spacing w:line="240" w:lineRule="auto" w:before="14"/>
        <w:ind w:left="218" w:right="2465"/>
        <w:jc w:val="left"/>
      </w:pPr>
      <w:r>
        <w:rPr>
          <w:spacing w:val="-1"/>
        </w:rPr>
        <w:t>□适用</w:t>
        <w:tab/>
      </w:r>
      <w:r>
        <w:rPr>
          <w:spacing w:val="-2"/>
        </w:rPr>
        <w:t>√不适用</w:t>
      </w:r>
    </w:p>
    <w:p>
      <w:pPr>
        <w:pStyle w:val="Heading3"/>
        <w:tabs>
          <w:tab w:pos="1057" w:val="left" w:leader="none"/>
        </w:tabs>
        <w:spacing w:line="240" w:lineRule="auto" w:before="56"/>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line="290" w:lineRule="auto" w:before="56"/>
        <w:ind w:left="218" w:right="61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tabs>
          <w:tab w:pos="1060" w:val="left" w:leader="none"/>
        </w:tabs>
        <w:spacing w:line="290" w:lineRule="auto" w:before="12"/>
        <w:ind w:left="218" w:right="695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spacing w:line="290" w:lineRule="auto" w:before="13"/>
        <w:ind w:left="218" w:right="67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十、重大诉讼、仲裁事项</w:t>
      </w:r>
      <w:r>
        <w:rPr>
          <w:rFonts w:ascii="宋体" w:hAnsi="宋体" w:cs="宋体" w:eastAsia="宋体" w:hint="default"/>
          <w:sz w:val="21"/>
          <w:szCs w:val="21"/>
        </w:rPr>
      </w:r>
    </w:p>
    <w:p>
      <w:pPr>
        <w:spacing w:line="290" w:lineRule="auto" w:before="12"/>
        <w:ind w:left="218" w:right="123"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w:t>
      </w:r>
      <w:r>
        <w:rPr>
          <w:rFonts w:ascii="宋体" w:hAnsi="宋体" w:cs="宋体" w:eastAsia="宋体" w:hint="default"/>
          <w:spacing w:val="-3"/>
          <w:sz w:val="21"/>
          <w:szCs w:val="21"/>
        </w:rPr>
        <w:t> </w:t>
      </w:r>
      <w:r>
        <w:rPr>
          <w:rFonts w:ascii="宋体" w:hAnsi="宋体" w:cs="宋体" w:eastAsia="宋体" w:hint="default"/>
          <w:sz w:val="21"/>
          <w:szCs w:val="21"/>
        </w:rPr>
        <w:t>√本年度公司无重大诉讼、仲裁事项</w:t>
      </w:r>
      <w:r>
        <w:rPr>
          <w:rFonts w:ascii="宋体" w:hAnsi="宋体" w:cs="宋体" w:eastAsia="宋体" w:hint="default"/>
          <w:w w:val="100"/>
          <w:sz w:val="21"/>
          <w:szCs w:val="21"/>
        </w:rPr>
        <w:t> </w:t>
      </w: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spacing w:val="-1"/>
          <w:sz w:val="21"/>
          <w:szCs w:val="21"/>
        </w:rPr>
      </w:r>
    </w:p>
    <w:p>
      <w:pPr>
        <w:pStyle w:val="Heading3"/>
        <w:spacing w:line="227" w:lineRule="exact" w:before="0"/>
        <w:ind w:left="638" w:right="2465"/>
        <w:jc w:val="left"/>
        <w:rPr>
          <w:b w:val="0"/>
          <w:bCs w:val="0"/>
        </w:rPr>
      </w:pPr>
      <w:r>
        <w:rPr>
          <w:w w:val="100"/>
        </w:rPr>
        <w:t>况</w:t>
      </w:r>
      <w:r>
        <w:rPr>
          <w:b w:val="0"/>
          <w:bCs w:val="0"/>
          <w:w w:val="100"/>
        </w:rPr>
      </w:r>
    </w:p>
    <w:p>
      <w:pPr>
        <w:spacing w:line="290" w:lineRule="auto" w:before="58"/>
        <w:ind w:left="218" w:right="2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BodyText"/>
        <w:tabs>
          <w:tab w:pos="1060" w:val="left" w:leader="none"/>
        </w:tabs>
        <w:spacing w:line="304" w:lineRule="auto" w:before="14"/>
        <w:ind w:left="638" w:right="239" w:hanging="420"/>
        <w:jc w:val="left"/>
      </w:pPr>
      <w:r>
        <w:rPr>
          <w:spacing w:val="-1"/>
        </w:rPr>
        <w:t>√适用</w:t>
        <w:tab/>
      </w:r>
      <w:r>
        <w:rPr>
          <w:spacing w:val="-2"/>
        </w:rPr>
        <w:t>□不适用</w:t>
      </w:r>
      <w:r>
        <w:rPr>
          <w:spacing w:val="-99"/>
        </w:rPr>
        <w:t> </w:t>
      </w:r>
      <w:r>
        <w:rPr>
          <w:spacing w:val="-99"/>
        </w:rPr>
      </w:r>
      <w:r>
        <w:rPr>
          <w:spacing w:val="-2"/>
        </w:rPr>
        <w:t>报告期内公司及其控股股东、实际控制人的诚信状况良好，不存在重大失信情况，包括但不</w:t>
      </w:r>
    </w:p>
    <w:p>
      <w:pPr>
        <w:pStyle w:val="BodyText"/>
        <w:spacing w:line="314" w:lineRule="auto" w:before="28"/>
        <w:ind w:left="218" w:right="227"/>
        <w:jc w:val="left"/>
      </w:pPr>
      <w:r>
        <w:rPr>
          <w:spacing w:val="-2"/>
        </w:rPr>
        <w:t>限于未履行法院生效判决、未按期偿还大额债务、未履行承诺、被证监会采取行政监管措施或受</w:t>
      </w:r>
      <w:r>
        <w:rPr>
          <w:spacing w:val="-25"/>
        </w:rPr>
        <w:t> </w:t>
      </w:r>
      <w:r>
        <w:rPr>
          <w:spacing w:val="-25"/>
        </w:rPr>
      </w:r>
      <w:r>
        <w:rPr/>
        <w:t>到证券交易所纪律处分的情况等。</w:t>
      </w:r>
    </w:p>
    <w:p>
      <w:pPr>
        <w:spacing w:after="0" w:line="314"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90" w:lineRule="auto"/>
        <w:ind w:right="1605"/>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left="218" w:right="2465"/>
        <w:jc w:val="left"/>
      </w:pPr>
      <w:r>
        <w:rPr/>
        <w:t>□适用</w:t>
      </w:r>
      <w:r>
        <w:rPr>
          <w:spacing w:val="-1"/>
        </w:rPr>
        <w:t> </w:t>
      </w:r>
      <w:r>
        <w:rPr/>
        <w:t>√不适用</w:t>
      </w:r>
    </w:p>
    <w:p>
      <w:pPr>
        <w:spacing w:line="290" w:lineRule="auto" w:before="58"/>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8" w:lineRule="exact"/>
        <w:ind w:left="218" w:right="2465"/>
        <w:jc w:val="left"/>
      </w:pPr>
      <w:r>
        <w:rPr/>
        <w:t>□适用</w:t>
      </w:r>
      <w:r>
        <w:rPr>
          <w:spacing w:val="-1"/>
        </w:rPr>
        <w:t> </w:t>
      </w:r>
      <w:r>
        <w:rPr/>
        <w:t>√不适用</w:t>
      </w:r>
    </w:p>
    <w:p>
      <w:pPr>
        <w:pStyle w:val="BodyText"/>
        <w:spacing w:line="272" w:lineRule="exact"/>
        <w:ind w:left="218" w:right="2465"/>
        <w:jc w:val="left"/>
      </w:pPr>
      <w:r>
        <w:rPr/>
        <w:t>其他说明</w:t>
      </w:r>
    </w:p>
    <w:p>
      <w:pPr>
        <w:pStyle w:val="BodyText"/>
        <w:tabs>
          <w:tab w:pos="1060" w:val="left" w:leader="none"/>
        </w:tabs>
        <w:spacing w:line="272" w:lineRule="exact" w:before="27"/>
        <w:ind w:left="218" w:right="7383"/>
        <w:jc w:val="left"/>
      </w:pPr>
      <w:r>
        <w:rPr>
          <w:spacing w:val="-1"/>
        </w:rPr>
        <w:t>□适用</w:t>
        <w:tab/>
      </w:r>
      <w:r>
        <w:rPr>
          <w:spacing w:val="-2"/>
        </w:rPr>
        <w:t>√不适用</w:t>
      </w:r>
      <w:r>
        <w:rPr>
          <w:spacing w:val="-99"/>
        </w:rPr>
        <w:t> </w:t>
      </w:r>
      <w:r>
        <w:rPr>
          <w:spacing w:val="-99"/>
        </w:rPr>
      </w:r>
      <w:r>
        <w:rPr>
          <w:spacing w:val="-2"/>
        </w:rPr>
        <w:t>员工持股计划情况</w:t>
      </w:r>
    </w:p>
    <w:p>
      <w:pPr>
        <w:pStyle w:val="BodyText"/>
        <w:tabs>
          <w:tab w:pos="1060" w:val="left" w:leader="none"/>
        </w:tabs>
        <w:spacing w:line="272" w:lineRule="exact" w:before="1"/>
        <w:ind w:left="218" w:right="7383"/>
        <w:jc w:val="left"/>
      </w:pPr>
      <w:r>
        <w:rPr>
          <w:spacing w:val="-1"/>
        </w:rPr>
        <w:t>□适用</w:t>
        <w:tab/>
      </w:r>
      <w:r>
        <w:rPr>
          <w:spacing w:val="-2"/>
        </w:rPr>
        <w:t>√不适用</w:t>
      </w:r>
      <w:r>
        <w:rPr>
          <w:spacing w:val="-99"/>
        </w:rPr>
        <w:t> </w:t>
      </w:r>
      <w:r>
        <w:rPr>
          <w:spacing w:val="-99"/>
        </w:rPr>
      </w:r>
      <w:r>
        <w:rPr/>
        <w:t>其他激励措施</w:t>
      </w:r>
    </w:p>
    <w:p>
      <w:pPr>
        <w:pStyle w:val="BodyText"/>
        <w:spacing w:line="249" w:lineRule="exact"/>
        <w:ind w:left="218" w:right="2465"/>
        <w:jc w:val="left"/>
      </w:pPr>
      <w:r>
        <w:rPr/>
        <w:t>□适用</w:t>
      </w:r>
      <w:r>
        <w:rPr>
          <w:spacing w:val="-1"/>
        </w:rPr>
        <w:t> </w:t>
      </w:r>
      <w:r>
        <w:rPr/>
        <w:t>√不适用</w:t>
      </w:r>
    </w:p>
    <w:p>
      <w:pPr>
        <w:pStyle w:val="Heading3"/>
        <w:spacing w:line="240" w:lineRule="auto" w:before="56"/>
        <w:ind w:right="2465"/>
        <w:jc w:val="left"/>
        <w:rPr>
          <w:b w:val="0"/>
          <w:bCs w:val="0"/>
        </w:rPr>
      </w:pPr>
      <w:r>
        <w:rPr/>
        <w:t>十四、重大关联交易</w:t>
      </w:r>
      <w:r>
        <w:rPr>
          <w:b w:val="0"/>
          <w:bCs w:val="0"/>
        </w:rPr>
      </w:r>
    </w:p>
    <w:p>
      <w:pPr>
        <w:pStyle w:val="Heading3"/>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both"/>
              <w:rPr>
                <w:rFonts w:ascii="Calibri" w:hAnsi="Calibri" w:cs="Calibri" w:eastAsia="Calibri" w:hint="default"/>
                <w:sz w:val="21"/>
                <w:szCs w:val="21"/>
              </w:rPr>
            </w:pPr>
            <w:r>
              <w:rPr>
                <w:rFonts w:ascii="宋体" w:hAnsi="宋体" w:cs="宋体" w:eastAsia="宋体" w:hint="default"/>
                <w:sz w:val="21"/>
                <w:szCs w:val="21"/>
              </w:rPr>
              <w:t>公司分别于</w:t>
            </w:r>
            <w:r>
              <w:rPr>
                <w:rFonts w:ascii="宋体" w:hAnsi="宋体" w:cs="宋体" w:eastAsia="宋体" w:hint="default"/>
                <w:spacing w:val="-62"/>
                <w:sz w:val="21"/>
                <w:szCs w:val="21"/>
              </w:rPr>
              <w:t> </w:t>
            </w: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Calibri" w:hAnsi="Calibri" w:cs="Calibri" w:eastAsia="Calibri" w:hint="default"/>
                <w:sz w:val="21"/>
                <w:szCs w:val="21"/>
              </w:rPr>
              <w:t>4</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Calibri" w:hAnsi="Calibri" w:cs="Calibri" w:eastAsia="Calibri" w:hint="default"/>
                <w:sz w:val="21"/>
                <w:szCs w:val="21"/>
              </w:rPr>
              <w:t>17</w:t>
            </w:r>
            <w:r>
              <w:rPr>
                <w:rFonts w:ascii="Calibri" w:hAnsi="Calibri" w:cs="Calibri" w:eastAsia="Calibri" w:hint="default"/>
                <w:spacing w:val="-1"/>
                <w:sz w:val="21"/>
                <w:szCs w:val="21"/>
              </w:rPr>
              <w:t> </w:t>
            </w:r>
            <w:r>
              <w:rPr>
                <w:rFonts w:ascii="宋体" w:hAnsi="宋体" w:cs="宋体" w:eastAsia="宋体" w:hint="default"/>
                <w:sz w:val="21"/>
                <w:szCs w:val="21"/>
              </w:rPr>
              <w:t>日和</w:t>
            </w:r>
            <w:r>
              <w:rPr>
                <w:rFonts w:ascii="宋体" w:hAnsi="宋体" w:cs="宋体" w:eastAsia="宋体" w:hint="default"/>
                <w:spacing w:val="-62"/>
                <w:sz w:val="21"/>
                <w:szCs w:val="21"/>
              </w:rPr>
              <w:t> </w:t>
            </w: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Calibri" w:hAnsi="Calibri" w:cs="Calibri" w:eastAsia="Calibri" w:hint="default"/>
                <w:sz w:val="21"/>
                <w:szCs w:val="21"/>
              </w:rPr>
              <w:t>5</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Calibri" w:hAnsi="Calibri" w:cs="Calibri" w:eastAsia="Calibri" w:hint="default"/>
                <w:sz w:val="21"/>
                <w:szCs w:val="21"/>
              </w:rPr>
              <w:t>11</w:t>
            </w:r>
          </w:p>
          <w:p>
            <w:pPr>
              <w:pStyle w:val="TableParagraph"/>
              <w:spacing w:line="228" w:lineRule="auto"/>
              <w:ind w:left="103" w:right="96"/>
              <w:jc w:val="both"/>
              <w:rPr>
                <w:rFonts w:ascii="宋体" w:hAnsi="宋体" w:cs="宋体" w:eastAsia="宋体" w:hint="default"/>
                <w:sz w:val="21"/>
                <w:szCs w:val="21"/>
              </w:rPr>
            </w:pPr>
            <w:r>
              <w:rPr>
                <w:rFonts w:ascii="宋体" w:hAnsi="宋体" w:cs="宋体" w:eastAsia="宋体" w:hint="default"/>
                <w:sz w:val="21"/>
                <w:szCs w:val="21"/>
              </w:rPr>
              <w:t>日召开的第二届董事会第二十次会议以及</w:t>
            </w:r>
            <w:r>
              <w:rPr>
                <w:rFonts w:ascii="宋体" w:hAnsi="宋体" w:cs="宋体" w:eastAsia="宋体" w:hint="default"/>
                <w:spacing w:val="-6"/>
                <w:sz w:val="21"/>
                <w:szCs w:val="21"/>
              </w:rPr>
              <w:t> </w:t>
            </w:r>
            <w:r>
              <w:rPr>
                <w:rFonts w:ascii="Calibri" w:hAnsi="Calibri" w:cs="Calibri" w:eastAsia="Calibri" w:hint="default"/>
                <w:sz w:val="21"/>
                <w:szCs w:val="21"/>
              </w:rPr>
              <w:t>2016</w:t>
            </w:r>
            <w:r>
              <w:rPr>
                <w:rFonts w:ascii="Calibri" w:hAnsi="Calibri" w:cs="Calibri" w:eastAsia="Calibri" w:hint="default"/>
                <w:w w:val="100"/>
                <w:sz w:val="21"/>
                <w:szCs w:val="21"/>
              </w:rPr>
              <w:t> </w:t>
            </w:r>
            <w:r>
              <w:rPr>
                <w:rFonts w:ascii="宋体" w:hAnsi="宋体" w:cs="宋体" w:eastAsia="宋体" w:hint="default"/>
                <w:spacing w:val="-7"/>
                <w:w w:val="100"/>
                <w:sz w:val="21"/>
                <w:szCs w:val="21"/>
              </w:rPr>
              <w:t>年年度股东大会审议通过了《新华网股份有限公</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司关于公司</w:t>
            </w:r>
            <w:r>
              <w:rPr>
                <w:rFonts w:ascii="宋体" w:hAnsi="宋体" w:cs="宋体" w:eastAsia="宋体" w:hint="default"/>
                <w:spacing w:val="-56"/>
                <w:sz w:val="21"/>
                <w:szCs w:val="21"/>
              </w:rPr>
              <w:t> </w:t>
            </w:r>
            <w:r>
              <w:rPr>
                <w:rFonts w:ascii="Calibri" w:hAnsi="Calibri" w:cs="Calibri" w:eastAsia="Calibri" w:hint="default"/>
                <w:sz w:val="21"/>
                <w:szCs w:val="21"/>
              </w:rPr>
              <w:t>2016</w:t>
            </w:r>
            <w:r>
              <w:rPr>
                <w:rFonts w:ascii="Calibri" w:hAnsi="Calibri" w:cs="Calibri" w:eastAsia="Calibri" w:hint="default"/>
                <w:spacing w:val="4"/>
                <w:sz w:val="21"/>
                <w:szCs w:val="21"/>
              </w:rPr>
              <w:t> </w:t>
            </w:r>
            <w:r>
              <w:rPr>
                <w:rFonts w:ascii="宋体" w:hAnsi="宋体" w:cs="宋体" w:eastAsia="宋体" w:hint="default"/>
                <w:sz w:val="21"/>
                <w:szCs w:val="21"/>
              </w:rPr>
              <w:t>年度日常关联交易履行情况及</w:t>
            </w:r>
          </w:p>
          <w:p>
            <w:pPr>
              <w:pStyle w:val="TableParagraph"/>
              <w:spacing w:line="272" w:lineRule="exact" w:before="2"/>
              <w:ind w:left="103" w:right="96"/>
              <w:jc w:val="both"/>
              <w:rPr>
                <w:rFonts w:ascii="宋体" w:hAnsi="宋体" w:cs="宋体" w:eastAsia="宋体" w:hint="default"/>
                <w:sz w:val="21"/>
                <w:szCs w:val="21"/>
              </w:rPr>
            </w:pPr>
            <w:r>
              <w:rPr>
                <w:rFonts w:ascii="宋体" w:hAnsi="宋体" w:cs="宋体" w:eastAsia="宋体" w:hint="default"/>
                <w:sz w:val="21"/>
                <w:szCs w:val="21"/>
              </w:rPr>
              <w:t>提请股东大会授权</w:t>
            </w:r>
            <w:r>
              <w:rPr>
                <w:rFonts w:ascii="宋体" w:hAnsi="宋体" w:cs="宋体" w:eastAsia="宋体" w:hint="default"/>
                <w:spacing w:val="-56"/>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年度日常关联交易预计</w:t>
            </w:r>
            <w:r>
              <w:rPr>
                <w:rFonts w:ascii="宋体" w:hAnsi="宋体" w:cs="宋体" w:eastAsia="宋体" w:hint="default"/>
                <w:w w:val="100"/>
                <w:sz w:val="21"/>
                <w:szCs w:val="21"/>
              </w:rPr>
              <w:t> </w:t>
            </w:r>
            <w:r>
              <w:rPr>
                <w:rFonts w:ascii="宋体" w:hAnsi="宋体" w:cs="宋体" w:eastAsia="宋体" w:hint="default"/>
                <w:sz w:val="21"/>
                <w:szCs w:val="21"/>
              </w:rPr>
              <w:t>额度的议案》。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具体内容详见公司于</w:t>
            </w:r>
            <w:r>
              <w:rPr>
                <w:rFonts w:ascii="宋体" w:hAnsi="宋体" w:cs="宋体" w:eastAsia="宋体" w:hint="default"/>
                <w:spacing w:val="-70"/>
                <w:sz w:val="21"/>
                <w:szCs w:val="21"/>
              </w:rPr>
              <w:t> </w:t>
            </w:r>
            <w:r>
              <w:rPr>
                <w:rFonts w:ascii="宋体" w:hAnsi="宋体" w:cs="宋体" w:eastAsia="宋体" w:hint="default"/>
                <w:sz w:val="21"/>
                <w:szCs w:val="21"/>
              </w:rPr>
              <w:t>2017</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4</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18</w:t>
            </w:r>
            <w:r>
              <w:rPr>
                <w:rFonts w:ascii="宋体" w:hAnsi="宋体" w:cs="宋体" w:eastAsia="宋体" w:hint="default"/>
                <w:spacing w:val="-70"/>
                <w:sz w:val="21"/>
                <w:szCs w:val="21"/>
              </w:rPr>
              <w:t> </w:t>
            </w:r>
            <w:r>
              <w:rPr>
                <w:rFonts w:ascii="宋体" w:hAnsi="宋体" w:cs="宋体" w:eastAsia="宋体" w:hint="default"/>
                <w:sz w:val="21"/>
                <w:szCs w:val="21"/>
              </w:rPr>
              <w:t>日刊登在上</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7"/>
                <w:w w:val="100"/>
                <w:sz w:val="21"/>
                <w:szCs w:val="21"/>
              </w:rPr>
              <w:t>海证券交易所网站上《新华网股份有限公司关于</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年度日常关联交易履行情况及提请股</w:t>
            </w:r>
          </w:p>
          <w:p>
            <w:pPr>
              <w:pStyle w:val="TableParagraph"/>
              <w:spacing w:line="218" w:lineRule="auto"/>
              <w:ind w:left="103" w:right="96"/>
              <w:jc w:val="left"/>
              <w:rPr>
                <w:rFonts w:ascii="宋体" w:hAnsi="宋体" w:cs="宋体" w:eastAsia="宋体" w:hint="default"/>
                <w:sz w:val="21"/>
                <w:szCs w:val="21"/>
              </w:rPr>
            </w:pPr>
            <w:r>
              <w:rPr>
                <w:rFonts w:ascii="宋体" w:hAnsi="宋体" w:cs="宋体" w:eastAsia="宋体" w:hint="default"/>
                <w:sz w:val="21"/>
                <w:szCs w:val="21"/>
              </w:rPr>
              <w:t>东大会授权</w:t>
            </w:r>
            <w:r>
              <w:rPr>
                <w:rFonts w:ascii="宋体" w:hAnsi="宋体" w:cs="宋体" w:eastAsia="宋体" w:hint="default"/>
                <w:spacing w:val="-56"/>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年度日常关联交易预计额度的</w:t>
            </w:r>
            <w:r>
              <w:rPr>
                <w:rFonts w:ascii="宋体" w:hAnsi="宋体" w:cs="宋体" w:eastAsia="宋体" w:hint="default"/>
                <w:w w:val="100"/>
                <w:sz w:val="21"/>
                <w:szCs w:val="21"/>
              </w:rPr>
              <w:t> </w:t>
            </w:r>
            <w:r>
              <w:rPr>
                <w:rFonts w:ascii="宋体" w:hAnsi="宋体" w:cs="宋体" w:eastAsia="宋体" w:hint="default"/>
                <w:sz w:val="21"/>
                <w:szCs w:val="21"/>
              </w:rPr>
              <w:t>公告》（公告编号：</w:t>
            </w:r>
            <w:r>
              <w:rPr>
                <w:rFonts w:ascii="宋体" w:hAnsi="宋体" w:cs="宋体" w:eastAsia="宋体" w:hint="default"/>
                <w:sz w:val="21"/>
                <w:szCs w:val="21"/>
              </w:rPr>
              <w:t>2017-012</w:t>
            </w:r>
            <w:r>
              <w:rPr>
                <w:rFonts w:ascii="宋体" w:hAnsi="宋体" w:cs="宋体" w:eastAsia="宋体" w:hint="default"/>
                <w:sz w:val="21"/>
                <w:szCs w:val="21"/>
              </w:rPr>
              <w:t>）。</w:t>
            </w:r>
          </w:p>
        </w:tc>
      </w:tr>
      <w:tr>
        <w:trPr>
          <w:trHeight w:val="109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15"/>
              <w:ind w:left="103" w:right="96"/>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7"/>
                <w:sz w:val="21"/>
                <w:szCs w:val="21"/>
              </w:rPr>
              <w:t> </w:t>
            </w: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25</w:t>
            </w:r>
            <w:r>
              <w:rPr>
                <w:rFonts w:ascii="Calibri" w:hAnsi="Calibri" w:cs="Calibri" w:eastAsia="Calibri" w:hint="default"/>
                <w:spacing w:val="5"/>
                <w:sz w:val="21"/>
                <w:szCs w:val="21"/>
              </w:rPr>
              <w:t> </w:t>
            </w:r>
            <w:r>
              <w:rPr>
                <w:rFonts w:ascii="宋体" w:hAnsi="宋体" w:cs="宋体" w:eastAsia="宋体" w:hint="default"/>
                <w:sz w:val="21"/>
                <w:szCs w:val="21"/>
              </w:rPr>
              <w:t>日召开的第三届董事会</w:t>
            </w:r>
            <w:r>
              <w:rPr>
                <w:rFonts w:ascii="宋体" w:hAnsi="宋体" w:cs="宋体" w:eastAsia="宋体" w:hint="default"/>
                <w:w w:val="100"/>
                <w:sz w:val="21"/>
                <w:szCs w:val="21"/>
              </w:rPr>
              <w:t> </w:t>
            </w:r>
            <w:r>
              <w:rPr>
                <w:rFonts w:ascii="宋体" w:hAnsi="宋体" w:cs="宋体" w:eastAsia="宋体" w:hint="default"/>
                <w:spacing w:val="-7"/>
                <w:sz w:val="21"/>
                <w:szCs w:val="21"/>
              </w:rPr>
              <w:t>第四次（临时）会议审议通过了《关于调整日常</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关联交易额度的议案》。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具体内容详见公司于</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日刊登在</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7"/>
                <w:w w:val="100"/>
                <w:sz w:val="21"/>
                <w:szCs w:val="21"/>
              </w:rPr>
              <w:t>上海证券交易所网站上《新华网股份有限公司关</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于调整日常关联交易额度的公告》（公告编号：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2017-075</w:t>
            </w:r>
            <w:r>
              <w:rPr>
                <w:rFonts w:ascii="宋体" w:hAnsi="宋体" w:cs="宋体" w:eastAsia="宋体" w:hint="default"/>
                <w:sz w:val="21"/>
                <w:szCs w:val="21"/>
              </w:rPr>
              <w:t>）。</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72" w:lineRule="exact" w:before="86"/>
        <w:ind w:left="638" w:right="239" w:hanging="420"/>
        <w:jc w:val="left"/>
      </w:pPr>
      <w:r>
        <w:rPr>
          <w:spacing w:val="-1"/>
        </w:rPr>
        <w:t>√适用</w:t>
        <w:tab/>
      </w:r>
      <w:r>
        <w:rPr>
          <w:spacing w:val="-2"/>
        </w:rPr>
        <w:t>□不适用</w:t>
      </w:r>
      <w:r>
        <w:rPr>
          <w:spacing w:val="-99"/>
        </w:rPr>
        <w:t> </w:t>
      </w:r>
      <w:r>
        <w:rPr>
          <w:spacing w:val="-99"/>
        </w:rPr>
      </w:r>
      <w:r>
        <w:rPr>
          <w:spacing w:val="-2"/>
        </w:rPr>
        <w:t>关于日常关联交易后续实际履行情况，请参见本报告“第十一节、财务报告之关联方及关联</w:t>
      </w:r>
    </w:p>
    <w:p>
      <w:pPr>
        <w:pStyle w:val="BodyText"/>
        <w:spacing w:line="249" w:lineRule="exact"/>
        <w:ind w:left="218" w:right="2465"/>
        <w:jc w:val="left"/>
      </w:pPr>
      <w:r>
        <w:rPr/>
        <w:t>交易”。</w:t>
      </w:r>
    </w:p>
    <w:p>
      <w:pPr>
        <w:pStyle w:val="Heading3"/>
        <w:spacing w:line="240" w:lineRule="auto" w:before="56"/>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9"/>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3"/>
        <w:spacing w:line="240" w:lineRule="auto" w:before="14"/>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2465"/>
        <w:jc w:val="left"/>
      </w:pPr>
      <w:r>
        <w:rPr/>
        <w:t>□适用</w:t>
      </w:r>
      <w:r>
        <w:rPr>
          <w:spacing w:val="-1"/>
        </w:rPr>
        <w:t> </w:t>
      </w:r>
      <w:r>
        <w:rPr/>
        <w:t>√不适用</w:t>
      </w:r>
    </w:p>
    <w:p>
      <w:pPr>
        <w:pStyle w:val="Heading3"/>
        <w:spacing w:line="240" w:lineRule="auto" w:before="58"/>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pStyle w:val="Heading3"/>
        <w:spacing w:line="240" w:lineRule="auto" w:before="58"/>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2465"/>
        <w:jc w:val="left"/>
      </w:pPr>
      <w:r>
        <w:rPr/>
        <w:t>□适用</w:t>
      </w:r>
      <w:r>
        <w:rPr>
          <w:spacing w:val="-1"/>
        </w:rPr>
        <w:t> </w:t>
      </w:r>
      <w:r>
        <w:rPr/>
        <w:t>√不适用</w:t>
      </w:r>
    </w:p>
    <w:p>
      <w:pPr>
        <w:pStyle w:val="Heading3"/>
        <w:spacing w:line="240" w:lineRule="auto" w:before="58"/>
        <w:ind w:right="246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9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新华网、新媒文化、中经社、阿里以及数问云共</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7"/>
                <w:w w:val="100"/>
                <w:sz w:val="21"/>
                <w:szCs w:val="21"/>
              </w:rPr>
              <w:t>同设立新华智云科技有限公司，新华智云科技有</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限公司的注册资本为人民币</w:t>
            </w:r>
            <w:r>
              <w:rPr>
                <w:rFonts w:ascii="宋体" w:hAnsi="宋体" w:cs="宋体" w:eastAsia="宋体" w:hint="default"/>
                <w:spacing w:val="-52"/>
                <w:sz w:val="21"/>
                <w:szCs w:val="21"/>
              </w:rPr>
              <w:t> </w:t>
            </w:r>
            <w:r>
              <w:rPr>
                <w:rFonts w:ascii="宋体" w:hAnsi="宋体" w:cs="宋体" w:eastAsia="宋体" w:hint="default"/>
                <w:sz w:val="21"/>
                <w:szCs w:val="21"/>
              </w:rPr>
              <w:t>49,019.6079</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其中新华网认缴出资人民币</w:t>
            </w:r>
            <w:r>
              <w:rPr>
                <w:rFonts w:ascii="宋体" w:hAnsi="宋体" w:cs="宋体" w:eastAsia="宋体" w:hint="default"/>
                <w:spacing w:val="-52"/>
                <w:sz w:val="21"/>
                <w:szCs w:val="21"/>
              </w:rPr>
              <w:t> </w:t>
            </w:r>
            <w:r>
              <w:rPr>
                <w:rFonts w:ascii="宋体" w:hAnsi="宋体" w:cs="宋体" w:eastAsia="宋体" w:hint="default"/>
                <w:sz w:val="21"/>
                <w:szCs w:val="21"/>
              </w:rPr>
              <w:t>20,000</w:t>
            </w:r>
            <w:r>
              <w:rPr>
                <w:rFonts w:ascii="宋体" w:hAnsi="宋体" w:cs="宋体" w:eastAsia="宋体" w:hint="default"/>
                <w:spacing w:val="-52"/>
                <w:sz w:val="21"/>
                <w:szCs w:val="21"/>
              </w:rPr>
              <w:t> </w:t>
            </w:r>
            <w:r>
              <w:rPr>
                <w:rFonts w:ascii="宋体" w:hAnsi="宋体" w:cs="宋体" w:eastAsia="宋体" w:hint="default"/>
                <w:sz w:val="21"/>
                <w:szCs w:val="21"/>
              </w:rPr>
              <w:t>万元，持股</w:t>
            </w:r>
            <w:r>
              <w:rPr>
                <w:rFonts w:ascii="宋体" w:hAnsi="宋体" w:cs="宋体" w:eastAsia="宋体" w:hint="default"/>
                <w:w w:val="100"/>
                <w:sz w:val="21"/>
                <w:szCs w:val="21"/>
              </w:rPr>
              <w:t> </w:t>
            </w:r>
            <w:r>
              <w:rPr>
                <w:rFonts w:ascii="宋体" w:hAnsi="宋体" w:cs="宋体" w:eastAsia="宋体" w:hint="default"/>
                <w:sz w:val="21"/>
                <w:szCs w:val="21"/>
              </w:rPr>
              <w:t>比例为</w:t>
            </w:r>
            <w:r>
              <w:rPr>
                <w:rFonts w:ascii="宋体" w:hAnsi="宋体" w:cs="宋体" w:eastAsia="宋体" w:hint="default"/>
                <w:spacing w:val="-33"/>
                <w:sz w:val="21"/>
                <w:szCs w:val="21"/>
              </w:rPr>
              <w:t> </w:t>
            </w:r>
            <w:r>
              <w:rPr>
                <w:rFonts w:ascii="宋体" w:hAnsi="宋体" w:cs="宋体" w:eastAsia="宋体" w:hint="default"/>
                <w:spacing w:val="-4"/>
                <w:sz w:val="21"/>
                <w:szCs w:val="21"/>
              </w:rPr>
              <w:t>40.8%</w:t>
            </w:r>
            <w:r>
              <w:rPr>
                <w:rFonts w:ascii="宋体" w:hAnsi="宋体" w:cs="宋体" w:eastAsia="宋体" w:hint="default"/>
                <w:spacing w:val="-4"/>
                <w:sz w:val="21"/>
                <w:szCs w:val="21"/>
              </w:rPr>
              <w:t>。报告期内，新华智云科技有限公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司已完成了工商注册登记手续，并领取了《营业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执照》。报告期内，新华网已出资人民币</w:t>
            </w:r>
            <w:r>
              <w:rPr>
                <w:rFonts w:ascii="宋体" w:hAnsi="宋体" w:cs="宋体" w:eastAsia="宋体" w:hint="default"/>
                <w:spacing w:val="48"/>
                <w:sz w:val="21"/>
                <w:szCs w:val="21"/>
              </w:rPr>
              <w:t> </w:t>
            </w:r>
            <w:r>
              <w:rPr>
                <w:rFonts w:ascii="宋体" w:hAnsi="宋体" w:cs="宋体" w:eastAsia="宋体" w:hint="default"/>
                <w:sz w:val="21"/>
                <w:szCs w:val="21"/>
              </w:rPr>
              <w:t>1.3</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亿元认缴其注册资本。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w w:val="100"/>
                <w:sz w:val="21"/>
                <w:szCs w:val="21"/>
              </w:rPr>
              <w:t> </w:t>
            </w:r>
            <w:r>
              <w:rPr>
                <w:rFonts w:ascii="宋体" w:hAnsi="宋体" w:cs="宋体" w:eastAsia="宋体" w:hint="default"/>
                <w:sz w:val="21"/>
                <w:szCs w:val="21"/>
              </w:rPr>
              <w:t>日 刊 登 在 上 海 证 券 交 易 所 网  </w:t>
            </w:r>
            <w:r>
              <w:rPr>
                <w:rFonts w:ascii="宋体" w:hAnsi="宋体" w:cs="宋体" w:eastAsia="宋体" w:hint="default"/>
                <w:spacing w:val="102"/>
                <w:sz w:val="21"/>
                <w:szCs w:val="21"/>
              </w:rPr>
              <w:t> </w:t>
            </w:r>
            <w:r>
              <w:rPr>
                <w:rFonts w:ascii="宋体" w:hAnsi="宋体" w:cs="宋体" w:eastAsia="宋体" w:hint="default"/>
                <w:sz w:val="21"/>
                <w:szCs w:val="21"/>
              </w:rPr>
              <w:t>站</w:t>
            </w:r>
          </w:p>
          <w:p>
            <w:pPr>
              <w:pStyle w:val="TableParagraph"/>
              <w:spacing w:line="274" w:lineRule="exact" w:before="22"/>
              <w:ind w:left="103" w:right="92"/>
              <w:jc w:val="left"/>
              <w:rPr>
                <w:rFonts w:ascii="宋体" w:hAnsi="宋体" w:cs="宋体" w:eastAsia="宋体" w:hint="default"/>
                <w:sz w:val="21"/>
                <w:szCs w:val="21"/>
              </w:rPr>
            </w:pPr>
            <w:r>
              <w:rPr>
                <w:rFonts w:ascii="宋体" w:hAnsi="宋体" w:cs="宋体" w:eastAsia="宋体" w:hint="default"/>
                <w:spacing w:val="-5"/>
                <w:sz w:val="21"/>
                <w:szCs w:val="21"/>
              </w:rPr>
              <w:t>（</w:t>
            </w:r>
            <w:hyperlink r:id="rId10">
              <w:r>
                <w:rPr>
                  <w:rFonts w:ascii="宋体" w:hAnsi="宋体" w:cs="宋体" w:eastAsia="宋体" w:hint="default"/>
                  <w:spacing w:val="-5"/>
                  <w:sz w:val="21"/>
                  <w:szCs w:val="21"/>
                </w:rPr>
                <w:t>www.sse.com.cn</w:t>
              </w:r>
            </w:hyperlink>
            <w:r>
              <w:rPr>
                <w:rFonts w:ascii="宋体" w:hAnsi="宋体" w:cs="宋体" w:eastAsia="宋体" w:hint="default"/>
                <w:spacing w:val="-5"/>
                <w:sz w:val="21"/>
                <w:szCs w:val="21"/>
              </w:rPr>
              <w:t>）的《新华网股份有限公司对</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外投资参股设立合资公司暨关联交易的公告》</w:t>
            </w:r>
            <w:r>
              <w:rPr>
                <w:rFonts w:ascii="宋体" w:hAnsi="宋体" w:cs="宋体" w:eastAsia="宋体" w:hint="default"/>
                <w:sz w:val="21"/>
                <w:szCs w:val="21"/>
              </w:rPr>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（公告编号：</w:t>
            </w:r>
            <w:r>
              <w:rPr>
                <w:rFonts w:ascii="宋体" w:hAnsi="宋体" w:cs="宋体" w:eastAsia="宋体" w:hint="default"/>
                <w:spacing w:val="-6"/>
                <w:sz w:val="21"/>
                <w:szCs w:val="21"/>
              </w:rPr>
              <w:t>2017-008</w:t>
            </w:r>
            <w:r>
              <w:rPr>
                <w:rFonts w:ascii="宋体" w:hAnsi="宋体" w:cs="宋体" w:eastAsia="宋体" w:hint="default"/>
                <w:spacing w:val="-6"/>
                <w:sz w:val="21"/>
                <w:szCs w:val="21"/>
              </w:rPr>
              <w:t>）及《新华网股份有限公</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7"/>
                <w:w w:val="100"/>
                <w:sz w:val="21"/>
                <w:szCs w:val="21"/>
              </w:rPr>
              <w:t>司关于参股公司完成工商注册登记的公告》（公</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告编号：</w:t>
            </w:r>
            <w:r>
              <w:rPr>
                <w:rFonts w:ascii="宋体" w:hAnsi="宋体" w:cs="宋体" w:eastAsia="宋体" w:hint="default"/>
                <w:sz w:val="21"/>
                <w:szCs w:val="21"/>
              </w:rPr>
              <w:t>2017-030</w:t>
            </w:r>
            <w:r>
              <w:rPr>
                <w:rFonts w:ascii="宋体" w:hAnsi="宋体" w:cs="宋体" w:eastAsia="宋体" w:hint="default"/>
                <w:sz w:val="21"/>
                <w:szCs w:val="21"/>
              </w:rPr>
              <w:t>）。</w:t>
            </w:r>
          </w:p>
        </w:tc>
      </w:tr>
    </w:tbl>
    <w:p>
      <w:pPr>
        <w:spacing w:after="0" w:line="272" w:lineRule="exact"/>
        <w:jc w:val="left"/>
        <w:rPr>
          <w:rFonts w:ascii="宋体" w:hAnsi="宋体" w:cs="宋体" w:eastAsia="宋体" w:hint="default"/>
          <w:sz w:val="21"/>
          <w:szCs w:val="21"/>
        </w:rPr>
        <w:sectPr>
          <w:pgSz w:w="11910" w:h="16840"/>
          <w:pgMar w:header="882" w:footer="1195" w:top="1120" w:bottom="1380" w:left="1580" w:right="1040"/>
        </w:sectPr>
      </w:pPr>
    </w:p>
    <w:p>
      <w:pPr>
        <w:pStyle w:val="Heading3"/>
        <w:spacing w:line="240" w:lineRule="auto" w:before="26"/>
        <w:ind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left="218" w:right="-17"/>
        <w:jc w:val="left"/>
      </w:pPr>
      <w:r>
        <w:rPr>
          <w:spacing w:val="-1"/>
        </w:rPr>
        <w:t>□适用</w:t>
        <w:tab/>
      </w:r>
      <w:r>
        <w:rPr>
          <w:spacing w:val="-2"/>
        </w:rPr>
        <w:t>√不适用</w:t>
      </w:r>
    </w:p>
    <w:p>
      <w:pPr>
        <w:pStyle w:val="Heading3"/>
        <w:spacing w:line="240" w:lineRule="auto" w:before="58"/>
        <w:ind w:right="-1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17"/>
        <w:jc w:val="left"/>
      </w:pPr>
      <w:r>
        <w:rPr/>
        <w:t>□适用</w:t>
      </w:r>
      <w:r>
        <w:rPr>
          <w:spacing w:val="-1"/>
        </w:rPr>
        <w:t> </w:t>
      </w:r>
      <w:r>
        <w:rPr/>
        <w:t>√不适用</w:t>
      </w:r>
    </w:p>
    <w:p>
      <w:pPr>
        <w:pStyle w:val="Heading3"/>
        <w:spacing w:line="240" w:lineRule="auto" w:before="58"/>
        <w:ind w:right="-1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29"/>
        <w:ind w:right="-1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17"/>
        <w:jc w:val="left"/>
      </w:pPr>
      <w:r>
        <w:rPr/>
        <w:t>□适用</w:t>
      </w:r>
      <w:r>
        <w:rPr>
          <w:spacing w:val="-1"/>
        </w:rPr>
        <w:t> </w:t>
      </w:r>
      <w:r>
        <w:rPr/>
        <w:t>√不适用</w:t>
      </w:r>
    </w:p>
    <w:p>
      <w:pPr>
        <w:pStyle w:val="Heading3"/>
        <w:spacing w:line="240" w:lineRule="auto" w:before="58"/>
        <w:ind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left="218" w:right="-17"/>
        <w:jc w:val="left"/>
      </w:pPr>
      <w:r>
        <w:rPr>
          <w:spacing w:val="-1"/>
        </w:rPr>
        <w:t>□适用</w:t>
        <w:tab/>
      </w:r>
      <w:r>
        <w:rPr>
          <w:spacing w:val="-2"/>
        </w:rPr>
        <w:t>√不适用</w:t>
      </w:r>
    </w:p>
    <w:p>
      <w:pPr>
        <w:pStyle w:val="Heading3"/>
        <w:spacing w:line="240" w:lineRule="auto" w:before="59"/>
        <w:ind w:right="-1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17"/>
        <w:jc w:val="left"/>
      </w:pPr>
      <w:r>
        <w:rPr/>
        <w:t>□适用</w:t>
      </w:r>
      <w:r>
        <w:rPr>
          <w:spacing w:val="-1"/>
        </w:rPr>
        <w:t> </w:t>
      </w:r>
      <w:r>
        <w:rPr/>
        <w:t>√不适用</w:t>
      </w:r>
    </w:p>
    <w:p>
      <w:pPr>
        <w:pStyle w:val="Heading3"/>
        <w:spacing w:line="240" w:lineRule="auto" w:before="85"/>
        <w:ind w:right="-1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3"/>
        <w:tabs>
          <w:tab w:pos="1057" w:val="left" w:leader="none"/>
        </w:tabs>
        <w:spacing w:line="290" w:lineRule="auto" w:before="32"/>
        <w:ind w:right="2527"/>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spacing w:line="290" w:lineRule="auto" w:before="14"/>
        <w:ind w:left="218" w:right="3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90" w:lineRule="auto" w:before="14"/>
        <w:ind w:left="218" w:right="3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14"/>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8"/>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698" w:space="929"/>
            <w:col w:w="266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8"/>
        <w:gridCol w:w="691"/>
        <w:gridCol w:w="1085"/>
        <w:gridCol w:w="1579"/>
        <w:gridCol w:w="802"/>
        <w:gridCol w:w="739"/>
        <w:gridCol w:w="612"/>
        <w:gridCol w:w="713"/>
        <w:gridCol w:w="716"/>
        <w:gridCol w:w="713"/>
        <w:gridCol w:w="571"/>
      </w:tblGrid>
      <w:tr>
        <w:trPr>
          <w:trHeight w:val="1373"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99" w:right="194"/>
              <w:jc w:val="both"/>
              <w:rPr>
                <w:rFonts w:ascii="宋体" w:hAnsi="宋体" w:cs="宋体" w:eastAsia="宋体" w:hint="default"/>
                <w:sz w:val="21"/>
                <w:szCs w:val="21"/>
              </w:rPr>
            </w:pPr>
            <w:r>
              <w:rPr>
                <w:rFonts w:ascii="宋体" w:hAnsi="宋体" w:cs="宋体" w:eastAsia="宋体" w:hint="default"/>
                <w:sz w:val="21"/>
                <w:szCs w:val="21"/>
              </w:rPr>
              <w:t>出租</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7" w:right="131"/>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方名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6" w:right="113" w:hanging="209"/>
              <w:jc w:val="left"/>
              <w:rPr>
                <w:rFonts w:ascii="宋体" w:hAnsi="宋体" w:cs="宋体" w:eastAsia="宋体" w:hint="default"/>
                <w:sz w:val="21"/>
                <w:szCs w:val="21"/>
              </w:rPr>
            </w:pPr>
            <w:r>
              <w:rPr>
                <w:rFonts w:ascii="宋体" w:hAnsi="宋体" w:cs="宋体" w:eastAsia="宋体" w:hint="default"/>
                <w:sz w:val="21"/>
                <w:szCs w:val="21"/>
              </w:rPr>
              <w:t>租赁资产</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73" w:right="151" w:hanging="420"/>
              <w:jc w:val="left"/>
              <w:rPr>
                <w:rFonts w:ascii="宋体" w:hAnsi="宋体" w:cs="宋体" w:eastAsia="宋体" w:hint="default"/>
                <w:sz w:val="21"/>
                <w:szCs w:val="21"/>
              </w:rPr>
            </w:pPr>
            <w:r>
              <w:rPr>
                <w:rFonts w:ascii="宋体" w:hAnsi="宋体" w:cs="宋体" w:eastAsia="宋体" w:hint="default"/>
                <w:sz w:val="21"/>
                <w:szCs w:val="21"/>
              </w:rPr>
              <w:t>租赁资产涉及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4" w:right="183"/>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4" w:right="194"/>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9"/>
              <w:jc w:val="both"/>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依据</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 w:right="0"/>
              <w:jc w:val="both"/>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37" w:lineRule="auto"/>
              <w:ind w:left="142" w:right="139"/>
              <w:jc w:val="both"/>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对公</w:t>
            </w:r>
            <w:r>
              <w:rPr>
                <w:rFonts w:ascii="宋体" w:hAnsi="宋体" w:cs="宋体" w:eastAsia="宋体" w:hint="default"/>
                <w:spacing w:val="-103"/>
                <w:sz w:val="21"/>
                <w:szCs w:val="21"/>
              </w:rPr>
              <w:t> </w:t>
            </w:r>
            <w:r>
              <w:rPr>
                <w:rFonts w:ascii="宋体" w:hAnsi="宋体" w:cs="宋体" w:eastAsia="宋体" w:hint="default"/>
                <w:sz w:val="21"/>
                <w:szCs w:val="21"/>
              </w:rPr>
              <w:t>司影</w:t>
            </w:r>
            <w:r>
              <w:rPr>
                <w:rFonts w:ascii="宋体" w:hAnsi="宋体" w:cs="宋体" w:eastAsia="宋体" w:hint="default"/>
                <w:spacing w:val="-103"/>
                <w:sz w:val="21"/>
                <w:szCs w:val="21"/>
              </w:rPr>
              <w:t> </w:t>
            </w:r>
            <w:r>
              <w:rPr>
                <w:rFonts w:ascii="宋体" w:hAnsi="宋体" w:cs="宋体" w:eastAsia="宋体" w:hint="default"/>
                <w:sz w:val="21"/>
                <w:szCs w:val="21"/>
              </w:rPr>
              <w:t>响</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9" w:right="13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3"/>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1644"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9" w:right="194"/>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金隅</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131"/>
              <w:jc w:val="both"/>
              <w:rPr>
                <w:rFonts w:ascii="宋体" w:hAnsi="宋体" w:cs="宋体" w:eastAsia="宋体" w:hint="default"/>
                <w:sz w:val="21"/>
                <w:szCs w:val="21"/>
              </w:rPr>
            </w:pPr>
            <w:r>
              <w:rPr>
                <w:rFonts w:ascii="宋体" w:hAnsi="宋体" w:cs="宋体" w:eastAsia="宋体" w:hint="default"/>
                <w:sz w:val="21"/>
                <w:szCs w:val="21"/>
              </w:rPr>
              <w:t>新华</w:t>
            </w:r>
            <w:r>
              <w:rPr>
                <w:rFonts w:ascii="宋体" w:hAnsi="宋体" w:cs="宋体" w:eastAsia="宋体" w:hint="default"/>
                <w:spacing w:val="-103"/>
                <w:sz w:val="21"/>
                <w:szCs w:val="21"/>
              </w:rPr>
              <w:t> </w:t>
            </w:r>
            <w:r>
              <w:rPr>
                <w:rFonts w:ascii="宋体" w:hAnsi="宋体" w:cs="宋体" w:eastAsia="宋体" w:hint="default"/>
                <w:sz w:val="21"/>
                <w:szCs w:val="21"/>
              </w:rPr>
              <w:t>网股</w:t>
            </w:r>
            <w:r>
              <w:rPr>
                <w:rFonts w:ascii="宋体" w:hAnsi="宋体" w:cs="宋体" w:eastAsia="宋体" w:hint="default"/>
                <w:spacing w:val="-103"/>
                <w:sz w:val="21"/>
                <w:szCs w:val="21"/>
              </w:rPr>
              <w:t> </w:t>
            </w: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both"/>
              <w:rPr>
                <w:rFonts w:ascii="宋体" w:hAnsi="宋体" w:cs="宋体" w:eastAsia="宋体" w:hint="default"/>
                <w:sz w:val="21"/>
                <w:szCs w:val="21"/>
              </w:rPr>
            </w:pPr>
            <w:r>
              <w:rPr>
                <w:rFonts w:ascii="宋体" w:hAnsi="宋体" w:cs="宋体" w:eastAsia="宋体" w:hint="default"/>
                <w:sz w:val="21"/>
                <w:szCs w:val="21"/>
              </w:rPr>
              <w:t>北京市西</w:t>
            </w:r>
          </w:p>
          <w:p>
            <w:pPr>
              <w:pStyle w:val="TableParagraph"/>
              <w:spacing w:line="237" w:lineRule="auto" w:before="2"/>
              <w:ind w:left="117" w:right="113"/>
              <w:jc w:val="both"/>
              <w:rPr>
                <w:rFonts w:ascii="宋体" w:hAnsi="宋体" w:cs="宋体" w:eastAsia="宋体" w:hint="default"/>
                <w:sz w:val="21"/>
                <w:szCs w:val="21"/>
              </w:rPr>
            </w:pPr>
            <w:r>
              <w:rPr>
                <w:rFonts w:ascii="宋体" w:hAnsi="宋体" w:cs="宋体" w:eastAsia="宋体" w:hint="default"/>
                <w:sz w:val="21"/>
                <w:szCs w:val="21"/>
              </w:rPr>
              <w:t>城区宣武</w:t>
            </w:r>
            <w:r>
              <w:rPr>
                <w:rFonts w:ascii="宋体" w:hAnsi="宋体" w:cs="宋体" w:eastAsia="宋体" w:hint="default"/>
                <w:w w:val="100"/>
                <w:sz w:val="21"/>
                <w:szCs w:val="21"/>
              </w:rPr>
              <w:t> </w:t>
            </w:r>
            <w:r>
              <w:rPr>
                <w:rFonts w:ascii="宋体" w:hAnsi="宋体" w:cs="宋体" w:eastAsia="宋体" w:hint="default"/>
                <w:sz w:val="21"/>
                <w:szCs w:val="21"/>
              </w:rPr>
              <w:t>门西大街</w:t>
            </w:r>
            <w:r>
              <w:rPr>
                <w:rFonts w:ascii="宋体" w:hAnsi="宋体" w:cs="宋体" w:eastAsia="宋体" w:hint="default"/>
                <w:w w:val="100"/>
                <w:sz w:val="21"/>
                <w:szCs w:val="21"/>
              </w:rPr>
              <w:t> </w:t>
            </w:r>
            <w:r>
              <w:rPr>
                <w:rFonts w:ascii="宋体" w:hAnsi="宋体" w:cs="宋体" w:eastAsia="宋体" w:hint="default"/>
                <w:sz w:val="21"/>
                <w:szCs w:val="21"/>
              </w:rPr>
              <w:t>甲</w:t>
            </w:r>
            <w:r>
              <w:rPr>
                <w:rFonts w:ascii="宋体" w:hAnsi="宋体" w:cs="宋体" w:eastAsia="宋体" w:hint="default"/>
                <w:spacing w:val="-52"/>
                <w:sz w:val="21"/>
                <w:szCs w:val="21"/>
              </w:rPr>
              <w:t> </w:t>
            </w:r>
            <w:r>
              <w:rPr>
                <w:rFonts w:ascii="宋体" w:hAnsi="宋体" w:cs="宋体" w:eastAsia="宋体" w:hint="default"/>
                <w:sz w:val="21"/>
                <w:szCs w:val="21"/>
              </w:rPr>
              <w:t>129</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金隅大厦</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层至</w:t>
            </w:r>
            <w:r>
              <w:rPr>
                <w:rFonts w:ascii="宋体" w:hAnsi="宋体" w:cs="宋体" w:eastAsia="宋体" w:hint="default"/>
                <w:spacing w:val="-53"/>
                <w:sz w:val="21"/>
                <w:szCs w:val="21"/>
              </w:rPr>
              <w:t> </w:t>
            </w:r>
            <w:r>
              <w:rPr>
                <w:rFonts w:ascii="宋体" w:hAnsi="宋体" w:cs="宋体" w:eastAsia="宋体" w:hint="default"/>
                <w:sz w:val="21"/>
                <w:szCs w:val="21"/>
              </w:rPr>
              <w:t>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47,436,253.08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84" w:right="0"/>
              <w:jc w:val="left"/>
              <w:rPr>
                <w:rFonts w:ascii="宋体" w:hAnsi="宋体" w:cs="宋体" w:eastAsia="宋体" w:hint="default"/>
                <w:sz w:val="21"/>
                <w:szCs w:val="21"/>
              </w:rPr>
            </w:pPr>
            <w:r>
              <w:rPr>
                <w:rFonts w:ascii="宋体"/>
                <w:sz w:val="21"/>
              </w:rPr>
              <w:t>2014</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9</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53" w:right="0"/>
              <w:jc w:val="left"/>
              <w:rPr>
                <w:rFonts w:ascii="宋体" w:hAnsi="宋体" w:cs="宋体" w:eastAsia="宋体" w:hint="default"/>
                <w:sz w:val="21"/>
                <w:szCs w:val="21"/>
              </w:rPr>
            </w:pPr>
            <w:r>
              <w:rPr>
                <w:rFonts w:ascii="宋体"/>
                <w:sz w:val="21"/>
              </w:rPr>
              <w:t>2022</w:t>
            </w:r>
          </w:p>
          <w:p>
            <w:pPr>
              <w:pStyle w:val="TableParagraph"/>
              <w:spacing w:line="272" w:lineRule="exact"/>
              <w:ind w:left="17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p>
          <w:p>
            <w:pPr>
              <w:pStyle w:val="TableParagraph"/>
              <w:spacing w:line="272" w:lineRule="exact" w:before="27"/>
              <w:ind w:left="259" w:right="125"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8"/>
        <w:gridCol w:w="691"/>
        <w:gridCol w:w="1085"/>
        <w:gridCol w:w="1579"/>
        <w:gridCol w:w="802"/>
        <w:gridCol w:w="739"/>
        <w:gridCol w:w="612"/>
        <w:gridCol w:w="713"/>
        <w:gridCol w:w="716"/>
        <w:gridCol w:w="713"/>
        <w:gridCol w:w="571"/>
      </w:tblGrid>
      <w:tr>
        <w:trPr>
          <w:trHeight w:val="557" w:hRule="exact"/>
        </w:trPr>
        <w:tc>
          <w:tcPr>
            <w:tcW w:w="82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center"/>
              <w:rPr>
                <w:rFonts w:ascii="宋体" w:hAnsi="宋体" w:cs="宋体" w:eastAsia="宋体" w:hint="default"/>
                <w:sz w:val="21"/>
                <w:szCs w:val="21"/>
              </w:rPr>
            </w:pPr>
            <w:r>
              <w:rPr>
                <w:rFonts w:ascii="宋体" w:hAnsi="宋体" w:cs="宋体" w:eastAsia="宋体" w:hint="default"/>
                <w:w w:val="100"/>
                <w:sz w:val="21"/>
                <w:szCs w:val="21"/>
              </w:rPr>
              <w:t>层</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r>
              <w:rPr>
                <w:rFonts w:ascii="宋体" w:hAnsi="宋体" w:cs="宋体" w:eastAsia="宋体" w:hint="default"/>
                <w:spacing w:val="-76"/>
                <w:sz w:val="21"/>
                <w:szCs w:val="21"/>
              </w:rPr>
              <w:t> </w:t>
            </w:r>
            <w:r>
              <w:rPr>
                <w:rFonts w:ascii="宋体" w:hAnsi="宋体" w:cs="宋体" w:eastAsia="宋体" w:hint="default"/>
                <w:w w:val="100"/>
                <w:sz w:val="21"/>
                <w:szCs w:val="21"/>
              </w:rPr>
              <w:t>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层</w:t>
            </w:r>
          </w:p>
        </w:tc>
        <w:tc>
          <w:tcPr>
            <w:tcW w:w="1579"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both"/>
              <w:rPr>
                <w:rFonts w:ascii="宋体" w:hAnsi="宋体" w:cs="宋体" w:eastAsia="宋体" w:hint="default"/>
                <w:sz w:val="21"/>
                <w:szCs w:val="21"/>
              </w:rPr>
            </w:pPr>
            <w:r>
              <w:rPr>
                <w:rFonts w:ascii="宋体" w:hAnsi="宋体" w:cs="宋体" w:eastAsia="宋体" w:hint="default"/>
                <w:sz w:val="21"/>
                <w:szCs w:val="21"/>
              </w:rPr>
              <w:t>新华</w:t>
            </w:r>
          </w:p>
          <w:p>
            <w:pPr>
              <w:pStyle w:val="TableParagraph"/>
              <w:spacing w:line="237" w:lineRule="auto"/>
              <w:ind w:left="199" w:right="194"/>
              <w:jc w:val="both"/>
              <w:rPr>
                <w:rFonts w:ascii="宋体" w:hAnsi="宋体" w:cs="宋体" w:eastAsia="宋体" w:hint="default"/>
                <w:sz w:val="21"/>
                <w:szCs w:val="21"/>
              </w:rPr>
            </w:pPr>
            <w:r>
              <w:rPr>
                <w:rFonts w:ascii="宋体" w:hAnsi="宋体" w:cs="宋体" w:eastAsia="宋体" w:hint="default"/>
                <w:sz w:val="21"/>
                <w:szCs w:val="21"/>
              </w:rPr>
              <w:t>社印</w:t>
            </w:r>
            <w:r>
              <w:rPr>
                <w:rFonts w:ascii="宋体" w:hAnsi="宋体" w:cs="宋体" w:eastAsia="宋体" w:hint="default"/>
                <w:spacing w:val="-103"/>
                <w:sz w:val="21"/>
                <w:szCs w:val="21"/>
              </w:rPr>
              <w:t> </w:t>
            </w:r>
            <w:r>
              <w:rPr>
                <w:rFonts w:ascii="宋体" w:hAnsi="宋体" w:cs="宋体" w:eastAsia="宋体" w:hint="default"/>
                <w:sz w:val="21"/>
                <w:szCs w:val="21"/>
              </w:rPr>
              <w:t>务有</w:t>
            </w:r>
            <w:r>
              <w:rPr>
                <w:rFonts w:ascii="宋体" w:hAnsi="宋体" w:cs="宋体" w:eastAsia="宋体" w:hint="default"/>
                <w:spacing w:val="-103"/>
                <w:sz w:val="21"/>
                <w:szCs w:val="21"/>
              </w:rPr>
              <w:t> </w:t>
            </w:r>
            <w:r>
              <w:rPr>
                <w:rFonts w:ascii="宋体" w:hAnsi="宋体" w:cs="宋体" w:eastAsia="宋体" w:hint="default"/>
                <w:sz w:val="21"/>
                <w:szCs w:val="21"/>
              </w:rPr>
              <w:t>限责</w:t>
            </w:r>
            <w:r>
              <w:rPr>
                <w:rFonts w:ascii="宋体" w:hAnsi="宋体" w:cs="宋体" w:eastAsia="宋体" w:hint="default"/>
                <w:spacing w:val="-103"/>
                <w:sz w:val="21"/>
                <w:szCs w:val="21"/>
              </w:rPr>
              <w:t> </w:t>
            </w:r>
            <w:r>
              <w:rPr>
                <w:rFonts w:ascii="宋体" w:hAnsi="宋体" w:cs="宋体" w:eastAsia="宋体" w:hint="default"/>
                <w:sz w:val="21"/>
                <w:szCs w:val="21"/>
              </w:rPr>
              <w:t>任公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27" w:right="131"/>
              <w:jc w:val="both"/>
              <w:rPr>
                <w:rFonts w:ascii="宋体" w:hAnsi="宋体" w:cs="宋体" w:eastAsia="宋体" w:hint="default"/>
                <w:sz w:val="21"/>
                <w:szCs w:val="21"/>
              </w:rPr>
            </w:pPr>
            <w:r>
              <w:rPr>
                <w:rFonts w:ascii="宋体" w:hAnsi="宋体" w:cs="宋体" w:eastAsia="宋体" w:hint="default"/>
                <w:sz w:val="21"/>
                <w:szCs w:val="21"/>
              </w:rPr>
              <w:t>新华</w:t>
            </w:r>
            <w:r>
              <w:rPr>
                <w:rFonts w:ascii="宋体" w:hAnsi="宋体" w:cs="宋体" w:eastAsia="宋体" w:hint="default"/>
                <w:spacing w:val="-103"/>
                <w:sz w:val="21"/>
                <w:szCs w:val="21"/>
              </w:rPr>
              <w:t> </w:t>
            </w:r>
            <w:r>
              <w:rPr>
                <w:rFonts w:ascii="宋体" w:hAnsi="宋体" w:cs="宋体" w:eastAsia="宋体" w:hint="default"/>
                <w:sz w:val="21"/>
                <w:szCs w:val="21"/>
              </w:rPr>
              <w:t>网股</w:t>
            </w:r>
            <w:r>
              <w:rPr>
                <w:rFonts w:ascii="宋体" w:hAnsi="宋体" w:cs="宋体" w:eastAsia="宋体" w:hint="default"/>
                <w:spacing w:val="-103"/>
                <w:sz w:val="21"/>
                <w:szCs w:val="21"/>
              </w:rPr>
              <w:t> </w:t>
            </w:r>
            <w:r>
              <w:rPr>
                <w:rFonts w:ascii="宋体" w:hAnsi="宋体" w:cs="宋体" w:eastAsia="宋体" w:hint="default"/>
                <w:sz w:val="21"/>
                <w:szCs w:val="21"/>
              </w:rPr>
              <w:t>份有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99" w:firstLine="14"/>
              <w:jc w:val="both"/>
              <w:rPr>
                <w:rFonts w:ascii="宋体" w:hAnsi="宋体" w:cs="宋体" w:eastAsia="宋体" w:hint="default"/>
                <w:sz w:val="21"/>
                <w:szCs w:val="21"/>
              </w:rPr>
            </w:pPr>
            <w:r>
              <w:rPr>
                <w:rFonts w:ascii="宋体" w:hAnsi="宋体" w:cs="宋体" w:eastAsia="宋体" w:hint="default"/>
                <w:sz w:val="21"/>
                <w:szCs w:val="21"/>
              </w:rPr>
              <w:t>北京市西</w:t>
            </w:r>
            <w:r>
              <w:rPr>
                <w:rFonts w:ascii="宋体" w:hAnsi="宋体" w:cs="宋体" w:eastAsia="宋体" w:hint="default"/>
                <w:w w:val="100"/>
                <w:sz w:val="21"/>
                <w:szCs w:val="21"/>
              </w:rPr>
              <w:t> </w:t>
            </w:r>
            <w:r>
              <w:rPr>
                <w:rFonts w:ascii="宋体" w:hAnsi="宋体" w:cs="宋体" w:eastAsia="宋体" w:hint="default"/>
                <w:sz w:val="21"/>
                <w:szCs w:val="21"/>
              </w:rPr>
              <w:t>城区宣武</w:t>
            </w:r>
            <w:r>
              <w:rPr>
                <w:rFonts w:ascii="宋体" w:hAnsi="宋体" w:cs="宋体" w:eastAsia="宋体" w:hint="default"/>
                <w:w w:val="100"/>
                <w:sz w:val="21"/>
                <w:szCs w:val="21"/>
              </w:rPr>
              <w:t> </w:t>
            </w:r>
            <w:r>
              <w:rPr>
                <w:rFonts w:ascii="宋体" w:hAnsi="宋体" w:cs="宋体" w:eastAsia="宋体" w:hint="default"/>
                <w:sz w:val="21"/>
                <w:szCs w:val="21"/>
              </w:rPr>
              <w:t>门西大街</w:t>
            </w:r>
            <w:r>
              <w:rPr>
                <w:rFonts w:ascii="宋体" w:hAnsi="宋体" w:cs="宋体" w:eastAsia="宋体" w:hint="default"/>
                <w:w w:val="100"/>
                <w:sz w:val="21"/>
                <w:szCs w:val="21"/>
              </w:rPr>
              <w:t> </w:t>
            </w:r>
            <w:r>
              <w:rPr>
                <w:rFonts w:ascii="宋体" w:hAnsi="宋体" w:cs="宋体" w:eastAsia="宋体" w:hint="default"/>
                <w:sz w:val="21"/>
                <w:szCs w:val="21"/>
              </w:rPr>
              <w:t>97</w:t>
            </w:r>
            <w:r>
              <w:rPr>
                <w:rFonts w:ascii="宋体" w:hAnsi="宋体" w:cs="宋体" w:eastAsia="宋体" w:hint="default"/>
                <w:spacing w:val="-76"/>
                <w:sz w:val="21"/>
                <w:szCs w:val="21"/>
              </w:rPr>
              <w:t> </w:t>
            </w:r>
            <w:r>
              <w:rPr>
                <w:rFonts w:ascii="宋体" w:hAnsi="宋体" w:cs="宋体" w:eastAsia="宋体" w:hint="default"/>
                <w:sz w:val="21"/>
                <w:szCs w:val="21"/>
              </w:rPr>
              <w:t>号南楼</w:t>
            </w:r>
            <w:r>
              <w:rPr>
                <w:rFonts w:ascii="宋体" w:hAnsi="宋体" w:cs="宋体" w:eastAsia="宋体" w:hint="default"/>
                <w:w w:val="100"/>
                <w:sz w:val="21"/>
                <w:szCs w:val="21"/>
              </w:rPr>
              <w:t> </w:t>
            </w:r>
            <w:r>
              <w:rPr>
                <w:rFonts w:ascii="宋体" w:hAnsi="宋体" w:cs="宋体" w:eastAsia="宋体" w:hint="default"/>
                <w:sz w:val="21"/>
                <w:szCs w:val="21"/>
              </w:rPr>
              <w:t>三、四层</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06" w:right="0"/>
              <w:jc w:val="left"/>
              <w:rPr>
                <w:rFonts w:ascii="宋体" w:hAnsi="宋体" w:cs="宋体" w:eastAsia="宋体" w:hint="default"/>
                <w:sz w:val="21"/>
                <w:szCs w:val="21"/>
              </w:rPr>
            </w:pPr>
            <w:r>
              <w:rPr>
                <w:rFonts w:ascii="宋体"/>
                <w:sz w:val="21"/>
              </w:rPr>
              <w:t>9,673,067.66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3" w:lineRule="exact"/>
              <w:ind w:left="184" w:right="0"/>
              <w:jc w:val="left"/>
              <w:rPr>
                <w:rFonts w:ascii="宋体" w:hAnsi="宋体" w:cs="宋体" w:eastAsia="宋体" w:hint="default"/>
                <w:sz w:val="21"/>
                <w:szCs w:val="21"/>
              </w:rPr>
            </w:pPr>
            <w:r>
              <w:rPr>
                <w:rFonts w:ascii="宋体"/>
                <w:sz w:val="21"/>
              </w:rPr>
              <w:t>2012</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7</w:t>
            </w:r>
            <w:r>
              <w:rPr>
                <w:rFonts w:ascii="宋体" w:hAnsi="宋体" w:cs="宋体" w:eastAsia="宋体" w:hint="default"/>
                <w:spacing w:val="-73"/>
                <w:sz w:val="21"/>
                <w:szCs w:val="21"/>
              </w:rPr>
              <w:t> </w:t>
            </w:r>
            <w:r>
              <w:rPr>
                <w:rFonts w:ascii="宋体" w:hAnsi="宋体" w:cs="宋体" w:eastAsia="宋体" w:hint="default"/>
                <w:sz w:val="21"/>
                <w:szCs w:val="21"/>
              </w:rPr>
              <w:t>月</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53" w:right="0"/>
              <w:jc w:val="left"/>
              <w:rPr>
                <w:rFonts w:ascii="宋体" w:hAnsi="宋体" w:cs="宋体" w:eastAsia="宋体" w:hint="default"/>
                <w:sz w:val="21"/>
                <w:szCs w:val="21"/>
              </w:rPr>
            </w:pPr>
            <w:r>
              <w:rPr>
                <w:rFonts w:ascii="宋体"/>
                <w:sz w:val="21"/>
              </w:rPr>
              <w:t>2018</w:t>
            </w:r>
          </w:p>
          <w:p>
            <w:pPr>
              <w:pStyle w:val="TableParagraph"/>
              <w:spacing w:line="272" w:lineRule="exact"/>
              <w:ind w:left="17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p>
          <w:p>
            <w:pPr>
              <w:pStyle w:val="TableParagraph"/>
              <w:spacing w:line="240" w:lineRule="auto"/>
              <w:ind w:left="259" w:right="125" w:hanging="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75" w:right="173"/>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人</w:t>
            </w:r>
          </w:p>
        </w:tc>
      </w:tr>
    </w:tbl>
    <w:p>
      <w:pPr>
        <w:pStyle w:val="BodyText"/>
        <w:spacing w:line="241" w:lineRule="exact"/>
        <w:ind w:left="218" w:right="2465"/>
        <w:jc w:val="left"/>
      </w:pPr>
      <w:r>
        <w:rPr/>
        <w:t>租赁情况说明</w:t>
      </w:r>
    </w:p>
    <w:p>
      <w:pPr>
        <w:pStyle w:val="BodyText"/>
        <w:spacing w:line="240" w:lineRule="auto" w:before="104"/>
        <w:ind w:left="638" w:right="227"/>
        <w:jc w:val="left"/>
        <w:rPr>
          <w:rFonts w:ascii="宋体" w:hAnsi="宋体" w:cs="宋体" w:eastAsia="宋体" w:hint="default"/>
        </w:rPr>
      </w:pPr>
      <w:r>
        <w:rPr/>
        <w:t>北京金隅股份有限公司的租赁资产涉及金额为</w:t>
      </w:r>
      <w:r>
        <w:rPr>
          <w:spacing w:val="-54"/>
        </w:rPr>
        <w:t> </w:t>
      </w:r>
      <w:r>
        <w:rPr>
          <w:rFonts w:ascii="宋体" w:hAnsi="宋体" w:cs="宋体" w:eastAsia="宋体" w:hint="default"/>
        </w:rPr>
        <w:t>2017</w:t>
      </w:r>
      <w:r>
        <w:rPr>
          <w:rFonts w:ascii="宋体" w:hAnsi="宋体" w:cs="宋体" w:eastAsia="宋体" w:hint="default"/>
          <w:spacing w:val="-57"/>
        </w:rPr>
        <w:t> </w:t>
      </w:r>
      <w:r>
        <w:rPr/>
        <w:t>年度北京市西城区宣武门西大街甲</w:t>
      </w:r>
      <w:r>
        <w:rPr>
          <w:spacing w:val="-55"/>
        </w:rPr>
        <w:t> </w:t>
      </w:r>
      <w:r>
        <w:rPr>
          <w:rFonts w:ascii="宋体" w:hAnsi="宋体" w:cs="宋体" w:eastAsia="宋体" w:hint="default"/>
        </w:rPr>
        <w:t>129</w:t>
      </w:r>
    </w:p>
    <w:p>
      <w:pPr>
        <w:pStyle w:val="BodyText"/>
        <w:tabs>
          <w:tab w:pos="1057" w:val="left" w:leader="none"/>
        </w:tabs>
        <w:spacing w:line="309" w:lineRule="auto" w:before="126"/>
        <w:ind w:left="218" w:right="3655"/>
        <w:jc w:val="left"/>
        <w:rPr>
          <w:rFonts w:ascii="宋体" w:hAnsi="宋体" w:cs="宋体" w:eastAsia="宋体" w:hint="default"/>
        </w:rPr>
      </w:pPr>
      <w:r>
        <w:rPr/>
        <w:t>号金隅大厦</w:t>
      </w:r>
      <w:r>
        <w:rPr>
          <w:spacing w:val="-53"/>
        </w:rPr>
        <w:t> </w:t>
      </w:r>
      <w:r>
        <w:rPr>
          <w:rFonts w:ascii="宋体" w:hAnsi="宋体" w:cs="宋体" w:eastAsia="宋体" w:hint="default"/>
        </w:rPr>
        <w:t>4</w:t>
      </w:r>
      <w:r>
        <w:rPr>
          <w:rFonts w:ascii="宋体" w:hAnsi="宋体" w:cs="宋体" w:eastAsia="宋体" w:hint="default"/>
          <w:spacing w:val="-53"/>
        </w:rPr>
        <w:t> </w:t>
      </w:r>
      <w:r>
        <w:rPr/>
        <w:t>层至</w:t>
      </w:r>
      <w:r>
        <w:rPr>
          <w:spacing w:val="-53"/>
        </w:rPr>
        <w:t> </w:t>
      </w:r>
      <w:r>
        <w:rPr>
          <w:rFonts w:ascii="宋体" w:hAnsi="宋体" w:cs="宋体" w:eastAsia="宋体" w:hint="default"/>
        </w:rPr>
        <w:t>8</w:t>
      </w:r>
      <w:r>
        <w:rPr>
          <w:rFonts w:ascii="宋体" w:hAnsi="宋体" w:cs="宋体" w:eastAsia="宋体" w:hint="default"/>
          <w:spacing w:val="-55"/>
        </w:rPr>
        <w:t> </w:t>
      </w:r>
      <w:r>
        <w:rPr/>
        <w:t>层、</w:t>
      </w:r>
      <w:r>
        <w:rPr>
          <w:rFonts w:ascii="宋体" w:hAnsi="宋体" w:cs="宋体" w:eastAsia="宋体" w:hint="default"/>
        </w:rPr>
        <w:t>15</w:t>
      </w:r>
      <w:r>
        <w:rPr>
          <w:rFonts w:ascii="宋体" w:hAnsi="宋体" w:cs="宋体" w:eastAsia="宋体" w:hint="default"/>
          <w:spacing w:val="-53"/>
        </w:rPr>
        <w:t> </w:t>
      </w:r>
      <w:r>
        <w:rPr/>
        <w:t>层及</w:t>
      </w:r>
      <w:r>
        <w:rPr>
          <w:spacing w:val="-55"/>
        </w:rPr>
        <w:t> </w:t>
      </w:r>
      <w:r>
        <w:rPr>
          <w:rFonts w:ascii="宋体" w:hAnsi="宋体" w:cs="宋体" w:eastAsia="宋体" w:hint="default"/>
        </w:rPr>
        <w:t>16</w:t>
      </w:r>
      <w:r>
        <w:rPr>
          <w:rFonts w:ascii="宋体" w:hAnsi="宋体" w:cs="宋体" w:eastAsia="宋体" w:hint="default"/>
          <w:spacing w:val="-55"/>
        </w:rPr>
        <w:t> </w:t>
      </w:r>
      <w:r>
        <w:rPr/>
        <w:t>层应支付租赁费金额。</w:t>
      </w:r>
      <w:r>
        <w:rPr>
          <w:w w:val="100"/>
        </w:rPr>
        <w:t> </w:t>
      </w:r>
      <w:r>
        <w:rPr>
          <w:rFonts w:ascii="宋体" w:hAnsi="宋体" w:cs="宋体" w:eastAsia="宋体" w:hint="default"/>
          <w:b/>
          <w:bCs/>
          <w:spacing w:val="-1"/>
        </w:rPr>
        <w:t>(</w:t>
      </w:r>
      <w:r>
        <w:rPr>
          <w:rFonts w:ascii="宋体" w:hAnsi="宋体" w:cs="宋体" w:eastAsia="宋体" w:hint="default"/>
          <w:b/>
          <w:bCs/>
          <w:spacing w:val="-1"/>
        </w:rPr>
        <w:t>二</w:t>
      </w:r>
      <w:r>
        <w:rPr>
          <w:rFonts w:ascii="宋体" w:hAnsi="宋体" w:cs="宋体" w:eastAsia="宋体" w:hint="default"/>
          <w:b/>
          <w:bCs/>
          <w:spacing w:val="-1"/>
        </w:rPr>
        <w:t>)</w:t>
        <w:tab/>
      </w:r>
      <w:r>
        <w:rPr>
          <w:rFonts w:ascii="宋体" w:hAnsi="宋体" w:cs="宋体" w:eastAsia="宋体" w:hint="default"/>
          <w:b/>
          <w:bCs/>
        </w:rPr>
        <w:t>担保情况</w:t>
      </w:r>
      <w:r>
        <w:rPr>
          <w:rFonts w:ascii="宋体" w:hAnsi="宋体" w:cs="宋体" w:eastAsia="宋体" w:hint="default"/>
        </w:rPr>
      </w:r>
    </w:p>
    <w:p>
      <w:pPr>
        <w:pStyle w:val="BodyText"/>
        <w:spacing w:line="270" w:lineRule="exact"/>
        <w:ind w:left="218" w:right="2465"/>
        <w:jc w:val="left"/>
      </w:pPr>
      <w:r>
        <w:rPr/>
        <w:t>□适用</w:t>
      </w:r>
      <w:r>
        <w:rPr>
          <w:spacing w:val="-1"/>
        </w:rPr>
        <w:t> </w:t>
      </w:r>
      <w:r>
        <w:rPr/>
        <w:t>√不适用</w:t>
      </w:r>
    </w:p>
    <w:p>
      <w:pPr>
        <w:pStyle w:val="Heading3"/>
        <w:tabs>
          <w:tab w:pos="1057" w:val="left" w:leader="none"/>
        </w:tabs>
        <w:spacing w:line="290" w:lineRule="auto" w:before="56"/>
        <w:ind w:right="506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3"/>
        <w:spacing w:line="274" w:lineRule="exact" w:before="12"/>
        <w:ind w:right="2465"/>
        <w:jc w:val="left"/>
        <w:rPr>
          <w:b w:val="0"/>
          <w:bCs w:val="0"/>
        </w:rPr>
      </w:pPr>
      <w:r>
        <w:rPr>
          <w:rFonts w:ascii="宋体" w:hAnsi="宋体" w:cs="宋体" w:eastAsia="宋体" w:hint="default"/>
        </w:rPr>
        <w:t>(1).</w:t>
      </w:r>
      <w:r>
        <w:rPr/>
        <w:t>委托理财总体情况</w:t>
      </w:r>
      <w:r>
        <w:rPr>
          <w:b w:val="0"/>
          <w:bCs w:val="0"/>
        </w:rPr>
      </w:r>
    </w:p>
    <w:p>
      <w:pPr>
        <w:pStyle w:val="BodyText"/>
        <w:tabs>
          <w:tab w:pos="1060" w:val="left" w:leader="none"/>
        </w:tabs>
        <w:spacing w:line="274" w:lineRule="exact"/>
        <w:ind w:left="218" w:right="2465"/>
        <w:jc w:val="left"/>
      </w:pPr>
      <w:r>
        <w:rPr>
          <w:spacing w:val="-1"/>
        </w:rPr>
        <w:t>√适用</w:t>
        <w:tab/>
      </w:r>
      <w:r>
        <w:rPr>
          <w:spacing w:val="-2"/>
        </w:rPr>
        <w:t>□不适用</w:t>
      </w:r>
    </w:p>
    <w:p>
      <w:pPr>
        <w:pStyle w:val="BodyText"/>
        <w:tabs>
          <w:tab w:pos="1157"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sz w:val="21"/>
              </w:rPr>
              <w:t>725,000,000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sz w:val="15"/>
          <w:szCs w:val="15"/>
        </w:rPr>
      </w:pPr>
    </w:p>
    <w:p>
      <w:pPr>
        <w:pStyle w:val="Heading3"/>
        <w:spacing w:line="273" w:lineRule="exact"/>
        <w:ind w:right="2465"/>
        <w:jc w:val="left"/>
        <w:rPr>
          <w:b w:val="0"/>
          <w:bCs w:val="0"/>
        </w:rPr>
      </w:pPr>
      <w:r>
        <w:rPr/>
        <w:t>其他情况</w:t>
      </w:r>
      <w:r>
        <w:rPr>
          <w:b w:val="0"/>
          <w:bCs w:val="0"/>
        </w:rPr>
      </w:r>
    </w:p>
    <w:p>
      <w:pPr>
        <w:pStyle w:val="BodyText"/>
        <w:tabs>
          <w:tab w:pos="1060" w:val="left" w:leader="none"/>
        </w:tabs>
        <w:spacing w:line="273" w:lineRule="exact"/>
        <w:ind w:left="218" w:right="2465"/>
        <w:jc w:val="left"/>
      </w:pPr>
      <w:r>
        <w:rPr>
          <w:spacing w:val="-1"/>
        </w:rPr>
        <w:t>□适用</w:t>
        <w:tab/>
      </w:r>
      <w:r>
        <w:rPr>
          <w:spacing w:val="-2"/>
        </w:rPr>
        <w:t>√不适用</w:t>
      </w:r>
    </w:p>
    <w:p>
      <w:pPr>
        <w:spacing w:after="0" w:line="273" w:lineRule="exact"/>
        <w:jc w:val="left"/>
        <w:sectPr>
          <w:footerReference w:type="default" r:id="rId38"/>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9"/>
          <w:footerReference w:type="default" r:id="rId40"/>
          <w:pgSz w:w="16840" w:h="11910" w:orient="landscape"/>
          <w:pgMar w:header="882" w:footer="1195" w:top="1120" w:bottom="1380" w:left="620" w:right="540"/>
          <w:pgNumType w:start="51"/>
        </w:sectPr>
      </w:pPr>
    </w:p>
    <w:p>
      <w:pPr>
        <w:pStyle w:val="Heading3"/>
        <w:spacing w:line="273" w:lineRule="exact"/>
        <w:ind w:left="820" w:right="-15"/>
        <w:jc w:val="left"/>
        <w:rPr>
          <w:b w:val="0"/>
          <w:bCs w:val="0"/>
        </w:rPr>
      </w:pPr>
      <w:r>
        <w:rPr>
          <w:rFonts w:ascii="宋体" w:hAnsi="宋体" w:cs="宋体" w:eastAsia="宋体" w:hint="default"/>
        </w:rPr>
        <w:t>(2).</w:t>
      </w:r>
      <w:r>
        <w:rPr/>
        <w:t>单项委托理财情况</w:t>
      </w:r>
      <w:r>
        <w:rPr>
          <w:b w:val="0"/>
          <w:bCs w:val="0"/>
        </w:rPr>
      </w:r>
    </w:p>
    <w:p>
      <w:pPr>
        <w:pStyle w:val="BodyText"/>
        <w:tabs>
          <w:tab w:pos="1662" w:val="left" w:leader="none"/>
        </w:tabs>
        <w:spacing w:line="273" w:lineRule="exact"/>
        <w:ind w:left="820" w:right="-15"/>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976" w:val="left" w:leader="none"/>
        </w:tabs>
        <w:spacing w:line="240" w:lineRule="auto"/>
        <w:ind w:left="8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620" w:right="540"/>
          <w:cols w:num="2" w:equalWidth="0">
            <w:col w:w="2935" w:space="8524"/>
            <w:col w:w="4221"/>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60"/>
        <w:gridCol w:w="703"/>
        <w:gridCol w:w="1370"/>
        <w:gridCol w:w="905"/>
        <w:gridCol w:w="847"/>
        <w:gridCol w:w="708"/>
        <w:gridCol w:w="2415"/>
        <w:gridCol w:w="677"/>
        <w:gridCol w:w="742"/>
        <w:gridCol w:w="710"/>
        <w:gridCol w:w="1558"/>
        <w:gridCol w:w="850"/>
        <w:gridCol w:w="708"/>
        <w:gridCol w:w="850"/>
        <w:gridCol w:w="847"/>
      </w:tblGrid>
      <w:tr>
        <w:trPr>
          <w:trHeight w:val="109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32"/>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73" w:right="151" w:hanging="420"/>
              <w:jc w:val="left"/>
              <w:rPr>
                <w:rFonts w:ascii="宋体" w:hAnsi="宋体" w:cs="宋体" w:eastAsia="宋体" w:hint="default"/>
                <w:sz w:val="21"/>
                <w:szCs w:val="21"/>
              </w:rPr>
            </w:pPr>
            <w:r>
              <w:rPr>
                <w:rFonts w:ascii="宋体" w:hAnsi="宋体" w:cs="宋体" w:eastAsia="宋体" w:hint="default"/>
                <w:sz w:val="21"/>
                <w:szCs w:val="21"/>
              </w:rPr>
              <w:t>委托理财金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1" w:right="128"/>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财起始</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财终止</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91" w:right="989"/>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2" w:right="120"/>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年化</w:t>
            </w:r>
          </w:p>
          <w:p>
            <w:pPr>
              <w:pStyle w:val="TableParagraph"/>
              <w:spacing w:line="272" w:lineRule="exact" w:before="27"/>
              <w:ind w:left="259" w:right="151" w:hanging="104"/>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预期</w:t>
            </w:r>
          </w:p>
          <w:p>
            <w:pPr>
              <w:pStyle w:val="TableParagraph"/>
              <w:spacing w:line="272" w:lineRule="exact" w:before="27"/>
              <w:ind w:left="192" w:right="137" w:hanging="53"/>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49" w:lineRule="exact"/>
              <w:ind w:left="192"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7" w:right="245" w:firstLine="316"/>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139" w:right="134"/>
              <w:jc w:val="both"/>
              <w:rPr>
                <w:rFonts w:ascii="宋体" w:hAnsi="宋体" w:cs="宋体" w:eastAsia="宋体" w:hint="default"/>
                <w:sz w:val="21"/>
                <w:szCs w:val="21"/>
              </w:rPr>
            </w:pP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未来是</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否有委</w:t>
            </w:r>
            <w:r>
              <w:rPr>
                <w:rFonts w:ascii="宋体" w:hAnsi="宋体" w:cs="宋体" w:eastAsia="宋体" w:hint="default"/>
                <w:spacing w:val="-102"/>
                <w:sz w:val="21"/>
                <w:szCs w:val="21"/>
              </w:rPr>
              <w:t> </w:t>
            </w:r>
            <w:r>
              <w:rPr>
                <w:rFonts w:ascii="宋体" w:hAnsi="宋体" w:cs="宋体" w:eastAsia="宋体" w:hint="default"/>
                <w:sz w:val="21"/>
                <w:szCs w:val="21"/>
              </w:rPr>
              <w:t>托理财</w:t>
            </w:r>
            <w:r>
              <w:rPr>
                <w:rFonts w:ascii="宋体" w:hAnsi="宋体" w:cs="宋体" w:eastAsia="宋体" w:hint="default"/>
                <w:spacing w:val="-102"/>
                <w:sz w:val="21"/>
                <w:szCs w:val="21"/>
              </w:rPr>
              <w:t> </w:t>
            </w:r>
            <w:r>
              <w:rPr>
                <w:rFonts w:ascii="宋体" w:hAnsi="宋体" w:cs="宋体" w:eastAsia="宋体" w:hint="default"/>
                <w:sz w:val="21"/>
                <w:szCs w:val="21"/>
              </w:rPr>
              <w:t>计划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37" w:lineRule="auto" w:before="2"/>
              <w:ind w:left="103" w:right="98"/>
              <w:jc w:val="center"/>
              <w:rPr>
                <w:rFonts w:ascii="宋体" w:hAnsi="宋体" w:cs="宋体" w:eastAsia="宋体" w:hint="default"/>
                <w:sz w:val="21"/>
                <w:szCs w:val="21"/>
              </w:rPr>
            </w:pPr>
            <w:r>
              <w:rPr>
                <w:rFonts w:ascii="宋体" w:hAnsi="宋体" w:cs="宋体" w:eastAsia="宋体" w:hint="default"/>
                <w:sz w:val="21"/>
                <w:szCs w:val="21"/>
              </w:rPr>
              <w:t>备计提</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w:t>
            </w:r>
          </w:p>
        </w:tc>
      </w:tr>
      <w:tr>
        <w:trPr>
          <w:trHeight w:val="11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中国建设银行</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11"/>
                <w:sz w:val="21"/>
                <w:szCs w:val="21"/>
              </w:rPr>
              <w:t>股份有限公司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北京东方广场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支行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1"/>
              <w:jc w:val="both"/>
              <w:rPr>
                <w:rFonts w:ascii="宋体" w:hAnsi="宋体" w:cs="宋体" w:eastAsia="宋体" w:hint="default"/>
                <w:sz w:val="21"/>
                <w:szCs w:val="21"/>
              </w:rPr>
            </w:pPr>
            <w:r>
              <w:rPr>
                <w:rFonts w:ascii="宋体" w:hAnsi="宋体" w:cs="宋体" w:eastAsia="宋体" w:hint="default"/>
                <w:spacing w:val="33"/>
                <w:sz w:val="21"/>
                <w:szCs w:val="21"/>
              </w:rPr>
              <w:t>银行</w:t>
            </w:r>
            <w:r>
              <w:rPr>
                <w:rFonts w:ascii="宋体" w:hAnsi="宋体" w:cs="宋体" w:eastAsia="宋体" w:hint="default"/>
                <w:spacing w:val="-102"/>
                <w:sz w:val="21"/>
                <w:szCs w:val="21"/>
              </w:rPr>
              <w:t> </w:t>
            </w:r>
            <w:r>
              <w:rPr>
                <w:rFonts w:ascii="宋体" w:hAnsi="宋体" w:cs="宋体" w:eastAsia="宋体" w:hint="default"/>
                <w:spacing w:val="33"/>
                <w:sz w:val="21"/>
                <w:szCs w:val="21"/>
              </w:rPr>
              <w:t>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725,000,000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76"/>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23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银行间债券市场各类债</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pacing w:val="-2"/>
                <w:sz w:val="21"/>
                <w:szCs w:val="21"/>
              </w:rPr>
              <w:t>券、回购、同业存款等，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以及其他监管机构允许</w:t>
            </w:r>
            <w:r>
              <w:rPr>
                <w:rFonts w:ascii="宋体" w:hAnsi="宋体" w:cs="宋体" w:eastAsia="宋体" w:hint="default"/>
                <w:w w:val="100"/>
                <w:sz w:val="21"/>
                <w:szCs w:val="21"/>
              </w:rPr>
              <w:t> </w:t>
            </w:r>
            <w:r>
              <w:rPr>
                <w:rFonts w:ascii="宋体" w:hAnsi="宋体" w:cs="宋体" w:eastAsia="宋体" w:hint="default"/>
                <w:sz w:val="21"/>
                <w:szCs w:val="21"/>
              </w:rPr>
              <w:t>交易的金融工具。</w:t>
            </w:r>
          </w:p>
        </w:tc>
        <w:tc>
          <w:tcPr>
            <w:tcW w:w="6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6,793,150.69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pacing w:val="11"/>
                <w:sz w:val="21"/>
                <w:szCs w:val="21"/>
              </w:rPr>
              <w:t>交通银行北京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宣武支行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银行</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31"/>
              <w:jc w:val="left"/>
              <w:rPr>
                <w:rFonts w:ascii="宋体" w:hAnsi="宋体" w:cs="宋体" w:eastAsia="宋体" w:hint="default"/>
                <w:sz w:val="21"/>
                <w:szCs w:val="21"/>
              </w:rPr>
            </w:pPr>
            <w:r>
              <w:rPr>
                <w:rFonts w:ascii="宋体" w:hAnsi="宋体" w:cs="宋体" w:eastAsia="宋体" w:hint="default"/>
                <w:spacing w:val="33"/>
                <w:sz w:val="21"/>
                <w:szCs w:val="21"/>
              </w:rPr>
              <w:t>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360,000,000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7"/>
              <w:ind w:left="103" w:right="263"/>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97"/>
              <w:jc w:val="left"/>
              <w:rPr>
                <w:rFonts w:ascii="宋体" w:hAnsi="宋体" w:cs="宋体" w:eastAsia="宋体" w:hint="default"/>
                <w:sz w:val="21"/>
                <w:szCs w:val="21"/>
              </w:rPr>
            </w:pPr>
            <w:r>
              <w:rPr>
                <w:rFonts w:ascii="宋体" w:hAnsi="宋体" w:cs="宋体" w:eastAsia="宋体" w:hint="default"/>
                <w:spacing w:val="-2"/>
                <w:sz w:val="21"/>
                <w:szCs w:val="21"/>
              </w:rPr>
              <w:t>货币市场工具及固定收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益工具</w:t>
            </w:r>
          </w:p>
        </w:tc>
        <w:tc>
          <w:tcPr>
            <w:tcW w:w="6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3,550,684.93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中国建设银行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股份有限公司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北京东方广场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支行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3" w:right="31"/>
              <w:jc w:val="both"/>
              <w:rPr>
                <w:rFonts w:ascii="宋体" w:hAnsi="宋体" w:cs="宋体" w:eastAsia="宋体" w:hint="default"/>
                <w:sz w:val="21"/>
                <w:szCs w:val="21"/>
              </w:rPr>
            </w:pPr>
            <w:r>
              <w:rPr>
                <w:rFonts w:ascii="宋体" w:hAnsi="宋体" w:cs="宋体" w:eastAsia="宋体" w:hint="default"/>
                <w:spacing w:val="33"/>
                <w:sz w:val="21"/>
                <w:szCs w:val="21"/>
              </w:rPr>
              <w:t>银行</w:t>
            </w:r>
            <w:r>
              <w:rPr>
                <w:rFonts w:ascii="宋体" w:hAnsi="宋体" w:cs="宋体" w:eastAsia="宋体" w:hint="default"/>
                <w:spacing w:val="-102"/>
                <w:sz w:val="21"/>
                <w:szCs w:val="21"/>
              </w:rPr>
              <w:t> </w:t>
            </w:r>
            <w:r>
              <w:rPr>
                <w:rFonts w:ascii="宋体" w:hAnsi="宋体" w:cs="宋体" w:eastAsia="宋体" w:hint="default"/>
                <w:spacing w:val="33"/>
                <w:sz w:val="21"/>
                <w:szCs w:val="21"/>
              </w:rPr>
              <w:t>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365,000,000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4"/>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before="27"/>
              <w:ind w:left="103" w:right="263"/>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4"/>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国债、金融债、央行票</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据、企业短期融资券、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超短期融资券、中期票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据、企业债、公司债、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私募债、债券逆回购、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资金拆借、存放同业等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债券和货币市场工具类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资产，债权类资产，以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及其他监管机构允许交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易的金融工具。</w:t>
            </w:r>
          </w:p>
        </w:tc>
        <w:tc>
          <w:tcPr>
            <w:tcW w:w="6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sz w:val="21"/>
              </w:rPr>
              <w:t>3.80%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3,458,000.00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中国光大银行</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1"/>
                <w:sz w:val="21"/>
                <w:szCs w:val="21"/>
              </w:rPr>
              <w:t>股份有限公司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北京分行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结构</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31"/>
              <w:jc w:val="left"/>
              <w:rPr>
                <w:rFonts w:ascii="宋体" w:hAnsi="宋体" w:cs="宋体" w:eastAsia="宋体" w:hint="default"/>
                <w:sz w:val="21"/>
                <w:szCs w:val="21"/>
              </w:rPr>
            </w:pPr>
            <w:r>
              <w:rPr>
                <w:rFonts w:ascii="宋体" w:hAnsi="宋体" w:cs="宋体" w:eastAsia="宋体" w:hint="default"/>
                <w:spacing w:val="33"/>
                <w:sz w:val="21"/>
                <w:szCs w:val="21"/>
              </w:rPr>
              <w:t>性存</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360,000,000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103" w:right="263"/>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4.13%</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2,973,600.00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中国光大银行</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1"/>
                <w:sz w:val="21"/>
                <w:szCs w:val="21"/>
              </w:rPr>
              <w:t>股份有限公司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北京分行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3"/>
                <w:sz w:val="21"/>
                <w:szCs w:val="21"/>
              </w:rPr>
              <w:t>结构</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40" w:lineRule="auto"/>
              <w:ind w:left="103" w:right="31"/>
              <w:jc w:val="left"/>
              <w:rPr>
                <w:rFonts w:ascii="宋体" w:hAnsi="宋体" w:cs="宋体" w:eastAsia="宋体" w:hint="default"/>
                <w:sz w:val="21"/>
                <w:szCs w:val="21"/>
              </w:rPr>
            </w:pPr>
            <w:r>
              <w:rPr>
                <w:rFonts w:ascii="宋体" w:hAnsi="宋体" w:cs="宋体" w:eastAsia="宋体" w:hint="default"/>
                <w:spacing w:val="33"/>
                <w:sz w:val="21"/>
                <w:szCs w:val="21"/>
              </w:rPr>
              <w:t>性存</w:t>
            </w:r>
            <w:r>
              <w:rPr>
                <w:rFonts w:ascii="宋体" w:hAnsi="宋体" w:cs="宋体" w:eastAsia="宋体" w:hint="default"/>
                <w:spacing w:val="-102"/>
                <w:sz w:val="21"/>
                <w:szCs w:val="21"/>
              </w:rPr>
              <w:t> </w:t>
            </w:r>
            <w:r>
              <w:rPr>
                <w:rFonts w:ascii="宋体" w:hAnsi="宋体" w:cs="宋体" w:eastAsia="宋体" w:hint="default"/>
                <w:sz w:val="21"/>
                <w:szCs w:val="21"/>
              </w:rPr>
              <w:t>款</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265,000,000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ind w:left="103" w:right="263"/>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4.13%</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2,067,294.44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62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560"/>
        <w:gridCol w:w="703"/>
        <w:gridCol w:w="1370"/>
        <w:gridCol w:w="905"/>
        <w:gridCol w:w="847"/>
        <w:gridCol w:w="708"/>
        <w:gridCol w:w="2415"/>
        <w:gridCol w:w="677"/>
        <w:gridCol w:w="742"/>
        <w:gridCol w:w="710"/>
        <w:gridCol w:w="1558"/>
        <w:gridCol w:w="850"/>
        <w:gridCol w:w="708"/>
        <w:gridCol w:w="850"/>
        <w:gridCol w:w="847"/>
      </w:tblGrid>
      <w:tr>
        <w:trPr>
          <w:trHeight w:val="2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中国建设银行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股份有限公司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北京东方广场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支行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31"/>
              <w:jc w:val="both"/>
              <w:rPr>
                <w:rFonts w:ascii="宋体" w:hAnsi="宋体" w:cs="宋体" w:eastAsia="宋体" w:hint="default"/>
                <w:sz w:val="21"/>
                <w:szCs w:val="21"/>
              </w:rPr>
            </w:pPr>
            <w:r>
              <w:rPr>
                <w:rFonts w:ascii="宋体" w:hAnsi="宋体" w:cs="宋体" w:eastAsia="宋体" w:hint="default"/>
                <w:spacing w:val="33"/>
                <w:sz w:val="21"/>
                <w:szCs w:val="21"/>
              </w:rPr>
              <w:t>银行</w:t>
            </w:r>
            <w:r>
              <w:rPr>
                <w:rFonts w:ascii="宋体" w:hAnsi="宋体" w:cs="宋体" w:eastAsia="宋体" w:hint="default"/>
                <w:spacing w:val="-102"/>
                <w:sz w:val="21"/>
                <w:szCs w:val="21"/>
              </w:rPr>
              <w:t> </w:t>
            </w:r>
            <w:r>
              <w:rPr>
                <w:rFonts w:ascii="宋体" w:hAnsi="宋体" w:cs="宋体" w:eastAsia="宋体" w:hint="default"/>
                <w:spacing w:val="33"/>
                <w:sz w:val="21"/>
                <w:szCs w:val="21"/>
              </w:rPr>
              <w:t>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4"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3"/>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国债、金融债、央行票</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据、企业短期融资券、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超短期融资券、中期票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据、企业债、公司债、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私募债、债券逆回购、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资金拆借、存放同业等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债券和货币市场工具类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资产，债权类资产，以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及其他监管机构允许交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易的金融工具。</w:t>
            </w:r>
          </w:p>
        </w:tc>
        <w:tc>
          <w:tcPr>
            <w:tcW w:w="6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3.85%</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949,315.07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中国建设银行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股份有限公司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北京东方广场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支行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03" w:right="31"/>
              <w:jc w:val="both"/>
              <w:rPr>
                <w:rFonts w:ascii="宋体" w:hAnsi="宋体" w:cs="宋体" w:eastAsia="宋体" w:hint="default"/>
                <w:sz w:val="21"/>
                <w:szCs w:val="21"/>
              </w:rPr>
            </w:pPr>
            <w:r>
              <w:rPr>
                <w:rFonts w:ascii="宋体" w:hAnsi="宋体" w:cs="宋体" w:eastAsia="宋体" w:hint="default"/>
                <w:spacing w:val="33"/>
                <w:sz w:val="21"/>
                <w:szCs w:val="21"/>
              </w:rPr>
              <w:t>银行</w:t>
            </w:r>
            <w:r>
              <w:rPr>
                <w:rFonts w:ascii="宋体" w:hAnsi="宋体" w:cs="宋体" w:eastAsia="宋体" w:hint="default"/>
                <w:spacing w:val="-102"/>
                <w:sz w:val="21"/>
                <w:szCs w:val="21"/>
              </w:rPr>
              <w:t> </w:t>
            </w:r>
            <w:r>
              <w:rPr>
                <w:rFonts w:ascii="宋体" w:hAnsi="宋体" w:cs="宋体" w:eastAsia="宋体" w:hint="default"/>
                <w:spacing w:val="33"/>
                <w:sz w:val="21"/>
                <w:szCs w:val="21"/>
              </w:rPr>
              <w:t>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295,000,000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4"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ind w:left="103" w:right="257"/>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3"/>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国债、金融债、央行票</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pacing w:val="-2"/>
                <w:sz w:val="21"/>
                <w:szCs w:val="21"/>
              </w:rPr>
              <w:t>据、企业短期融资券、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超短期融资券、中期票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据、企业债、公司债、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私募债、债券逆回购、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资金拆借、存放同业等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债券和货币市场工具类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资产，债权类资产，以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及其他监管机构允许交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易的金融工具。</w:t>
            </w:r>
          </w:p>
        </w:tc>
        <w:tc>
          <w:tcPr>
            <w:tcW w:w="6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3.80%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982,794.52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100"/>
              <w:jc w:val="both"/>
              <w:rPr>
                <w:rFonts w:ascii="宋体" w:hAnsi="宋体" w:cs="宋体" w:eastAsia="宋体" w:hint="default"/>
                <w:sz w:val="21"/>
                <w:szCs w:val="21"/>
              </w:rPr>
            </w:pPr>
            <w:r>
              <w:rPr>
                <w:rFonts w:ascii="宋体" w:hAnsi="宋体" w:cs="宋体" w:eastAsia="宋体" w:hint="default"/>
                <w:spacing w:val="11"/>
                <w:sz w:val="21"/>
                <w:szCs w:val="21"/>
              </w:rPr>
              <w:t>招商银行股份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有限公司北京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望京支行</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31"/>
              <w:jc w:val="both"/>
              <w:rPr>
                <w:rFonts w:ascii="宋体" w:hAnsi="宋体" w:cs="宋体" w:eastAsia="宋体" w:hint="default"/>
                <w:sz w:val="21"/>
                <w:szCs w:val="21"/>
              </w:rPr>
            </w:pPr>
            <w:r>
              <w:rPr>
                <w:rFonts w:ascii="宋体" w:hAnsi="宋体" w:cs="宋体" w:eastAsia="宋体" w:hint="default"/>
                <w:spacing w:val="33"/>
                <w:sz w:val="21"/>
                <w:szCs w:val="21"/>
              </w:rPr>
              <w:t>银行</w:t>
            </w:r>
            <w:r>
              <w:rPr>
                <w:rFonts w:ascii="宋体" w:hAnsi="宋体" w:cs="宋体" w:eastAsia="宋体" w:hint="default"/>
                <w:spacing w:val="-102"/>
                <w:sz w:val="21"/>
                <w:szCs w:val="21"/>
              </w:rPr>
              <w:t> </w:t>
            </w:r>
            <w:r>
              <w:rPr>
                <w:rFonts w:ascii="宋体" w:hAnsi="宋体" w:cs="宋体" w:eastAsia="宋体" w:hint="default"/>
                <w:spacing w:val="33"/>
                <w:sz w:val="21"/>
                <w:szCs w:val="21"/>
              </w:rPr>
              <w:t>理财</w:t>
            </w:r>
            <w:r>
              <w:rPr>
                <w:rFonts w:ascii="宋体" w:hAnsi="宋体" w:cs="宋体" w:eastAsia="宋体" w:hint="default"/>
                <w:spacing w:val="-102"/>
                <w:sz w:val="21"/>
                <w:szCs w:val="21"/>
              </w:rPr>
              <w:t> </w:t>
            </w:r>
            <w:r>
              <w:rPr>
                <w:rFonts w:ascii="宋体" w:hAnsi="宋体" w:cs="宋体" w:eastAsia="宋体" w:hint="default"/>
                <w:sz w:val="21"/>
                <w:szCs w:val="21"/>
              </w:rPr>
              <w:t>产品</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 w:right="0"/>
              <w:jc w:val="center"/>
              <w:rPr>
                <w:rFonts w:ascii="宋体" w:hAnsi="宋体" w:cs="宋体" w:eastAsia="宋体" w:hint="default"/>
                <w:sz w:val="21"/>
                <w:szCs w:val="21"/>
              </w:rPr>
            </w:pPr>
            <w:r>
              <w:rPr>
                <w:rFonts w:ascii="宋体"/>
                <w:sz w:val="21"/>
              </w:rPr>
              <w:t>300,000,000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35"/>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73" w:lineRule="exact"/>
              <w:ind w:left="103" w:right="0"/>
              <w:jc w:val="left"/>
              <w:rPr>
                <w:rFonts w:ascii="宋体" w:hAnsi="宋体" w:cs="宋体" w:eastAsia="宋体" w:hint="default"/>
                <w:sz w:val="21"/>
                <w:szCs w:val="21"/>
              </w:rPr>
            </w:pPr>
            <w:r>
              <w:rPr>
                <w:rFonts w:ascii="宋体"/>
                <w:sz w:val="21"/>
              </w:rPr>
              <w:t>2017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2" w:lineRule="exact" w:before="27"/>
              <w:ind w:left="103" w:right="257"/>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国债、金融债、央行票</w:t>
            </w:r>
          </w:p>
          <w:p>
            <w:pPr>
              <w:pStyle w:val="TableParagraph"/>
              <w:spacing w:line="237" w:lineRule="auto"/>
              <w:ind w:left="103" w:right="197"/>
              <w:jc w:val="left"/>
              <w:rPr>
                <w:rFonts w:ascii="宋体" w:hAnsi="宋体" w:cs="宋体" w:eastAsia="宋体" w:hint="default"/>
                <w:sz w:val="21"/>
                <w:szCs w:val="21"/>
              </w:rPr>
            </w:pPr>
            <w:r>
              <w:rPr>
                <w:rFonts w:ascii="宋体" w:hAnsi="宋体" w:cs="宋体" w:eastAsia="宋体" w:hint="default"/>
                <w:spacing w:val="-2"/>
                <w:sz w:val="21"/>
                <w:szCs w:val="21"/>
              </w:rPr>
              <w:t>据、债券回购、资金拆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借、银行存款以及高信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用级别的企业债、公司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债、短期融资券、中期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票据、资产支持证券、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次级债等其他金融资</w:t>
            </w:r>
            <w:r>
              <w:rPr>
                <w:rFonts w:ascii="宋体" w:hAnsi="宋体" w:cs="宋体" w:eastAsia="宋体" w:hint="default"/>
                <w:w w:val="100"/>
                <w:sz w:val="21"/>
                <w:szCs w:val="21"/>
              </w:rPr>
              <w:t> </w:t>
            </w:r>
            <w:r>
              <w:rPr>
                <w:rFonts w:ascii="宋体" w:hAnsi="宋体" w:cs="宋体" w:eastAsia="宋体" w:hint="default"/>
                <w:spacing w:val="-2"/>
                <w:sz w:val="21"/>
                <w:szCs w:val="21"/>
              </w:rPr>
              <w:t>产，并可投资于可转换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债券、可分离债、新股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申购、交易所债券等其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他金融资产。</w:t>
            </w:r>
          </w:p>
        </w:tc>
        <w:tc>
          <w:tcPr>
            <w:tcW w:w="67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 w:right="0"/>
              <w:jc w:val="center"/>
              <w:rPr>
                <w:rFonts w:ascii="宋体" w:hAnsi="宋体" w:cs="宋体" w:eastAsia="宋体" w:hint="default"/>
                <w:sz w:val="21"/>
                <w:szCs w:val="21"/>
              </w:rPr>
            </w:pPr>
            <w:r>
              <w:rPr>
                <w:rFonts w:ascii="宋体"/>
                <w:sz w:val="21"/>
              </w:rPr>
              <w:t>4.20%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3,141,300.00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62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73" w:lineRule="exact" w:before="178"/>
        <w:ind w:left="138" w:right="125"/>
        <w:jc w:val="left"/>
        <w:rPr>
          <w:b w:val="0"/>
          <w:bCs w:val="0"/>
        </w:rPr>
      </w:pPr>
      <w:r>
        <w:rPr/>
        <w:t>其他情况</w:t>
      </w:r>
      <w:r>
        <w:rPr>
          <w:b w:val="0"/>
          <w:bCs w:val="0"/>
        </w:rPr>
      </w:r>
    </w:p>
    <w:p>
      <w:pPr>
        <w:tabs>
          <w:tab w:pos="980" w:val="left" w:leader="none"/>
        </w:tabs>
        <w:spacing w:before="0"/>
        <w:ind w:left="138" w:right="685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委托理财减值准备</w:t>
      </w:r>
      <w:r>
        <w:rPr>
          <w:rFonts w:ascii="宋体" w:hAnsi="宋体" w:cs="宋体" w:eastAsia="宋体" w:hint="default"/>
          <w:sz w:val="21"/>
          <w:szCs w:val="21"/>
        </w:rPr>
      </w:r>
    </w:p>
    <w:p>
      <w:pPr>
        <w:tabs>
          <w:tab w:pos="980" w:val="left" w:leader="none"/>
        </w:tabs>
        <w:spacing w:line="290" w:lineRule="auto" w:before="0"/>
        <w:ind w:left="138" w:right="727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3"/>
        <w:spacing w:line="274" w:lineRule="exact" w:before="12"/>
        <w:ind w:left="138" w:right="125"/>
        <w:jc w:val="left"/>
        <w:rPr>
          <w:b w:val="0"/>
          <w:bCs w:val="0"/>
        </w:rPr>
      </w:pPr>
      <w:r>
        <w:rPr>
          <w:rFonts w:ascii="宋体" w:hAnsi="宋体" w:cs="宋体" w:eastAsia="宋体" w:hint="default"/>
        </w:rPr>
        <w:t>(1).</w:t>
      </w:r>
      <w:r>
        <w:rPr/>
        <w:t>委托贷款总体情况</w:t>
      </w:r>
      <w:r>
        <w:rPr>
          <w:b w:val="0"/>
          <w:bCs w:val="0"/>
        </w:rPr>
      </w:r>
    </w:p>
    <w:p>
      <w:pPr>
        <w:tabs>
          <w:tab w:pos="980" w:val="left" w:leader="none"/>
        </w:tabs>
        <w:spacing w:line="272" w:lineRule="exact" w:before="27"/>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tabs>
          <w:tab w:pos="980" w:val="left" w:leader="none"/>
        </w:tabs>
        <w:spacing w:line="272" w:lineRule="exact" w:before="1"/>
        <w:ind w:left="138" w:right="685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tabs>
          <w:tab w:pos="980" w:val="left" w:leader="none"/>
        </w:tabs>
        <w:spacing w:line="272" w:lineRule="exact" w:before="1"/>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tabs>
          <w:tab w:pos="980" w:val="left" w:leader="none"/>
        </w:tabs>
        <w:spacing w:line="272" w:lineRule="exact" w:before="1"/>
        <w:ind w:left="138" w:right="685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pStyle w:val="BodyText"/>
        <w:tabs>
          <w:tab w:pos="980" w:val="left" w:leader="none"/>
        </w:tabs>
        <w:spacing w:line="249" w:lineRule="exact"/>
        <w:ind w:right="125"/>
        <w:jc w:val="left"/>
      </w:pPr>
      <w:r>
        <w:rPr>
          <w:spacing w:val="-1"/>
        </w:rPr>
        <w:t>□适用</w:t>
        <w:tab/>
      </w:r>
      <w:r>
        <w:rPr>
          <w:spacing w:val="-2"/>
        </w:rPr>
        <w:t>√不适用</w:t>
      </w:r>
    </w:p>
    <w:p>
      <w:pPr>
        <w:pStyle w:val="Heading3"/>
        <w:spacing w:line="240" w:lineRule="auto" w:before="56"/>
        <w:ind w:left="138" w:right="125"/>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980" w:val="left" w:leader="none"/>
        </w:tabs>
        <w:spacing w:line="240" w:lineRule="auto" w:before="58"/>
        <w:ind w:right="125"/>
        <w:jc w:val="left"/>
      </w:pPr>
      <w:r>
        <w:rPr>
          <w:spacing w:val="-1"/>
        </w:rPr>
        <w:t>□适用</w:t>
        <w:tab/>
      </w:r>
      <w:r>
        <w:rPr>
          <w:spacing w:val="-2"/>
        </w:rPr>
        <w:t>√不适用</w:t>
      </w:r>
    </w:p>
    <w:p>
      <w:pPr>
        <w:pStyle w:val="Heading3"/>
        <w:tabs>
          <w:tab w:pos="977" w:val="left" w:leader="none"/>
        </w:tabs>
        <w:spacing w:line="240" w:lineRule="auto" w:before="56"/>
        <w:ind w:left="138" w:right="12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tabs>
          <w:tab w:pos="980" w:val="left" w:leader="none"/>
        </w:tabs>
        <w:spacing w:line="290" w:lineRule="auto" w:before="56"/>
        <w:ind w:left="138" w:right="643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tabs>
          <w:tab w:pos="781" w:val="left" w:leader="none"/>
        </w:tabs>
        <w:spacing w:line="290" w:lineRule="auto" w:before="12"/>
        <w:ind w:left="138" w:right="55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十七、积极履行社会责任的工作情况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spacing w:val="-1"/>
          <w:sz w:val="21"/>
          <w:szCs w:val="21"/>
        </w:rPr>
      </w:r>
    </w:p>
    <w:p>
      <w:pPr>
        <w:tabs>
          <w:tab w:pos="562" w:val="left" w:leader="none"/>
        </w:tabs>
        <w:spacing w:line="290" w:lineRule="auto" w:before="14"/>
        <w:ind w:left="138" w:right="72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348" w:lineRule="auto" w:before="122"/>
        <w:ind w:right="128" w:firstLine="419"/>
        <w:jc w:val="both"/>
      </w:pPr>
      <w:r>
        <w:rPr>
          <w:spacing w:val="-2"/>
        </w:rPr>
        <w:t>为深入贯彻落实中央扶贫开发战略和精神，推进精准扶贫、精准脱贫，公司制订了如下总体</w:t>
      </w:r>
      <w:r>
        <w:rPr>
          <w:w w:val="100"/>
        </w:rPr>
        <w:t> </w:t>
      </w:r>
      <w:r>
        <w:rPr>
          <w:spacing w:val="-1"/>
        </w:rPr>
        <w:t>扶贫规划：一是加强对口扶贫县精准扶贫、精准脱贫报道，展现干部群众脱贫攻坚精气神；二是</w:t>
      </w:r>
      <w:r>
        <w:rPr>
          <w:spacing w:val="-55"/>
        </w:rPr>
        <w:t> </w:t>
      </w:r>
      <w:r>
        <w:rPr>
          <w:spacing w:val="-55"/>
        </w:rPr>
      </w:r>
      <w:r>
        <w:rPr>
          <w:spacing w:val="-1"/>
        </w:rPr>
        <w:t>整合扶贫资源，围绕“精准教育扶贫”和“精准送温暖扶贫”两个重点建立脱贫致富长效机制；</w:t>
      </w:r>
      <w:r>
        <w:rPr>
          <w:spacing w:val="-55"/>
        </w:rPr>
        <w:t> </w:t>
      </w:r>
      <w:r>
        <w:rPr>
          <w:spacing w:val="-55"/>
        </w:rPr>
      </w:r>
      <w:r>
        <w:rPr>
          <w:spacing w:val="-1"/>
        </w:rPr>
        <w:t>三是发挥媒体优势，加强对口扶贫县造血能力，帮助搭建优化政府网站和开展培训，从信息和人</w:t>
      </w:r>
      <w:r>
        <w:rPr>
          <w:spacing w:val="-55"/>
        </w:rPr>
        <w:t> </w:t>
      </w:r>
      <w:r>
        <w:rPr>
          <w:spacing w:val="-55"/>
        </w:rPr>
      </w:r>
      <w:r>
        <w:rPr/>
        <w:t>才等方面助力精准扶贫、精准脱贫。</w:t>
      </w:r>
    </w:p>
    <w:p>
      <w:pPr>
        <w:pStyle w:val="Heading3"/>
        <w:tabs>
          <w:tab w:pos="562" w:val="left" w:leader="none"/>
        </w:tabs>
        <w:spacing w:line="259" w:lineRule="exact" w:before="0"/>
        <w:ind w:left="138" w:right="125"/>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348" w:lineRule="auto" w:before="166"/>
        <w:ind w:right="130" w:firstLine="419"/>
        <w:jc w:val="both"/>
      </w:pPr>
      <w:r>
        <w:rPr>
          <w:spacing w:val="-2"/>
        </w:rPr>
        <w:t>新华公益在线募捐服务平台发挥着新华网传播优势，将新华系全媒体传播矩阵与公益项目结</w:t>
      </w:r>
      <w:r>
        <w:rPr>
          <w:w w:val="100"/>
        </w:rPr>
        <w:t> </w:t>
      </w:r>
      <w:r>
        <w:rPr>
          <w:spacing w:val="-6"/>
        </w:rPr>
        <w:t>合，助推公益项目募集善款。自</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50"/>
        </w:rPr>
        <w:t> </w:t>
      </w:r>
      <w:r>
        <w:rPr/>
        <w:t>日至</w:t>
      </w:r>
      <w:r>
        <w:rPr>
          <w:spacing w:val="-50"/>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spacing w:val="-4"/>
        </w:rPr>
        <w:t>日，新华公益在线募捐服务平台筹款</w:t>
      </w:r>
      <w:r>
        <w:rPr>
          <w:spacing w:val="-103"/>
        </w:rPr>
        <w:t> </w:t>
      </w:r>
      <w:r>
        <w:rPr>
          <w:spacing w:val="-103"/>
        </w:rPr>
      </w:r>
      <w:r>
        <w:rPr/>
        <w:t>总额：</w:t>
      </w:r>
      <w:r>
        <w:rPr>
          <w:rFonts w:ascii="宋体" w:hAnsi="宋体" w:cs="宋体" w:eastAsia="宋体" w:hint="default"/>
        </w:rPr>
        <w:t>6,146,442.61</w:t>
      </w:r>
      <w:r>
        <w:rPr>
          <w:rFonts w:ascii="宋体" w:hAnsi="宋体" w:cs="宋体" w:eastAsia="宋体" w:hint="default"/>
          <w:spacing w:val="-55"/>
        </w:rPr>
        <w:t> </w:t>
      </w:r>
      <w:r>
        <w:rPr/>
        <w:t>元，在线筹款项目</w:t>
      </w:r>
      <w:r>
        <w:rPr>
          <w:spacing w:val="-54"/>
        </w:rPr>
        <w:t> </w:t>
      </w:r>
      <w:r>
        <w:rPr>
          <w:rFonts w:ascii="宋体" w:hAnsi="宋体" w:cs="宋体" w:eastAsia="宋体" w:hint="default"/>
        </w:rPr>
        <w:t>186</w:t>
      </w:r>
      <w:r>
        <w:rPr>
          <w:rFonts w:ascii="宋体" w:hAnsi="宋体" w:cs="宋体" w:eastAsia="宋体" w:hint="default"/>
          <w:spacing w:val="-55"/>
        </w:rPr>
        <w:t> </w:t>
      </w:r>
      <w:r>
        <w:rPr/>
        <w:t>个，捐款人数：</w:t>
      </w:r>
      <w:r>
        <w:rPr>
          <w:rFonts w:ascii="宋体" w:hAnsi="宋体" w:cs="宋体" w:eastAsia="宋体" w:hint="default"/>
        </w:rPr>
        <w:t>96,571</w:t>
      </w:r>
      <w:r>
        <w:rPr>
          <w:rFonts w:ascii="宋体" w:hAnsi="宋体" w:cs="宋体" w:eastAsia="宋体" w:hint="default"/>
          <w:spacing w:val="-55"/>
        </w:rPr>
        <w:t> </w:t>
      </w:r>
      <w:r>
        <w:rPr/>
        <w:t>人</w:t>
      </w:r>
      <w:r>
        <w:rPr>
          <w:rFonts w:ascii="宋体" w:hAnsi="宋体" w:cs="宋体" w:eastAsia="宋体" w:hint="default"/>
        </w:rPr>
        <w:t>/</w:t>
      </w:r>
      <w:r>
        <w:rPr/>
        <w:t>次。</w:t>
      </w:r>
    </w:p>
    <w:p>
      <w:pPr>
        <w:pStyle w:val="BodyText"/>
        <w:spacing w:line="348" w:lineRule="auto" w:before="31"/>
        <w:ind w:right="128" w:firstLine="419"/>
        <w:jc w:val="both"/>
      </w:pPr>
      <w:r>
        <w:rPr>
          <w:spacing w:val="-2"/>
        </w:rPr>
        <w:t>报告期内，公司积极落实扶贫工作，主要包括以下几个方面：一是新华公益在线募捐服务平</w:t>
      </w:r>
      <w:r>
        <w:rPr>
          <w:w w:val="100"/>
        </w:rPr>
        <w:t> </w:t>
      </w:r>
      <w:r>
        <w:rPr>
          <w:spacing w:val="-1"/>
        </w:rPr>
        <w:t>台联合中华儿慈会发起了“过年吃上肉是孩子最单纯的渴望”项目，项目上线后，通过多渠道推</w:t>
      </w:r>
      <w:r>
        <w:rPr>
          <w:spacing w:val="-55"/>
        </w:rPr>
        <w:t> </w:t>
      </w:r>
      <w:r>
        <w:rPr>
          <w:spacing w:val="-55"/>
        </w:rPr>
      </w:r>
      <w:r>
        <w:rPr>
          <w:spacing w:val="-1"/>
        </w:rPr>
        <w:t>广传播，受到社会各界爱心人士的关注和支持，为困难家庭的孩子送上肉和面；二是大灾大难面</w:t>
      </w:r>
      <w:r>
        <w:rPr>
          <w:spacing w:val="-55"/>
        </w:rPr>
        <w:t> </w:t>
      </w:r>
      <w:r>
        <w:rPr>
          <w:spacing w:val="-55"/>
        </w:rPr>
      </w:r>
      <w:r>
        <w:rPr>
          <w:spacing w:val="-1"/>
        </w:rPr>
        <w:t>前迅速行动，四川茂县山体垮塌，江西、湖南洪涝灾害，九寨沟地震，灾情发生后，新华公益在</w:t>
      </w:r>
      <w:r>
        <w:rPr>
          <w:spacing w:val="-55"/>
        </w:rPr>
        <w:t> </w:t>
      </w:r>
      <w:r>
        <w:rPr>
          <w:spacing w:val="-55"/>
        </w:rPr>
      </w:r>
      <w:r>
        <w:rPr>
          <w:spacing w:val="-1"/>
        </w:rPr>
        <w:t>线募捐服务平台第一时间协助公益机构筹款项目应对灾难；三是由新华公益支持的同心圆工程启</w:t>
      </w:r>
    </w:p>
    <w:p>
      <w:pPr>
        <w:spacing w:after="0" w:line="348" w:lineRule="auto"/>
        <w:jc w:val="both"/>
        <w:sectPr>
          <w:headerReference w:type="default" r:id="rId41"/>
          <w:footerReference w:type="default" r:id="rId42"/>
          <w:pgSz w:w="11910" w:h="16840"/>
          <w:pgMar w:header="882" w:footer="1195" w:top="1120" w:bottom="1380" w:left="1660" w:right="1140"/>
          <w:pgNumType w:start="53"/>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218" w:right="227"/>
        <w:jc w:val="left"/>
      </w:pPr>
      <w:r>
        <w:rPr>
          <w:spacing w:val="-8"/>
        </w:rPr>
        <w:t>动“村医培训粤西行项目”，</w:t>
      </w:r>
      <w:r>
        <w:rPr>
          <w:rFonts w:ascii="宋体" w:hAnsi="宋体" w:cs="宋体" w:eastAsia="宋体" w:hint="default"/>
          <w:spacing w:val="-8"/>
        </w:rPr>
        <w:t>6,300 </w:t>
      </w:r>
      <w:r>
        <w:rPr>
          <w:spacing w:val="-3"/>
        </w:rPr>
        <w:t>多名村医接受培训；四是新华网发起并联合主办“授渔计划”</w:t>
      </w:r>
      <w:r>
        <w:rPr>
          <w:spacing w:val="-78"/>
        </w:rPr>
        <w:t> </w:t>
      </w:r>
      <w:r>
        <w:rPr>
          <w:spacing w:val="-78"/>
        </w:rPr>
      </w:r>
      <w:r>
        <w:rPr/>
        <w:t>精准扶贫助学行动，所募善款已资助</w:t>
      </w:r>
      <w:r>
        <w:rPr>
          <w:spacing w:val="-53"/>
        </w:rPr>
        <w:t> </w:t>
      </w:r>
      <w:r>
        <w:rPr>
          <w:rFonts w:ascii="宋体" w:hAnsi="宋体" w:cs="宋体" w:eastAsia="宋体" w:hint="default"/>
        </w:rPr>
        <w:t>67</w:t>
      </w:r>
      <w:r>
        <w:rPr>
          <w:rFonts w:ascii="宋体" w:hAnsi="宋体" w:cs="宋体" w:eastAsia="宋体" w:hint="default"/>
          <w:spacing w:val="-55"/>
        </w:rPr>
        <w:t> </w:t>
      </w:r>
      <w:r>
        <w:rPr/>
        <w:t>名学子完成学业。</w:t>
      </w:r>
    </w:p>
    <w:p>
      <w:pPr>
        <w:pStyle w:val="Heading3"/>
        <w:tabs>
          <w:tab w:pos="642" w:val="left" w:leader="none"/>
        </w:tabs>
        <w:spacing w:line="256" w:lineRule="exact" w:before="0"/>
        <w:ind w:right="2465"/>
        <w:jc w:val="left"/>
        <w:rPr>
          <w:b w:val="0"/>
          <w:bCs w:val="0"/>
        </w:rPr>
      </w:pPr>
      <w:r>
        <w:rPr>
          <w:rFonts w:ascii="宋体" w:hAnsi="宋体" w:cs="宋体" w:eastAsia="宋体" w:hint="default"/>
          <w:w w:val="95"/>
        </w:rPr>
        <w:t>3.</w:t>
        <w:tab/>
      </w:r>
      <w:r>
        <w:rPr/>
        <w:t>精准扶贫成效</w:t>
      </w:r>
      <w:r>
        <w:rPr>
          <w:b w:val="0"/>
          <w:bCs w:val="0"/>
        </w:rPr>
      </w:r>
    </w:p>
    <w:p>
      <w:pPr>
        <w:pStyle w:val="BodyText"/>
        <w:tabs>
          <w:tab w:pos="1366" w:val="left" w:leader="none"/>
        </w:tabs>
        <w:spacing w:line="240" w:lineRule="auto" w:before="56"/>
        <w:ind w:left="0" w:right="235"/>
        <w:jc w:val="right"/>
      </w:pPr>
      <w:r>
        <w:rPr>
          <w:spacing w:val="-1"/>
        </w:rPr>
        <w:t>单位：万元</w:t>
        <w:tab/>
      </w:r>
      <w:r>
        <w:rPr>
          <w:spacing w:val="-2"/>
        </w:rPr>
        <w:t>币种：人民币</w:t>
      </w:r>
      <w:r>
        <w:rPr/>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303.32</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产业扶贫项目类型</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 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电商扶贫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资产收益扶贫</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 科技扶贫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产业扶贫项目个数（个）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3</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40.20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5.1</w:t>
            </w:r>
            <w:r>
              <w:rPr>
                <w:rFonts w:ascii="宋体" w:hAnsi="宋体" w:cs="宋体" w:eastAsia="宋体" w:hint="default"/>
                <w:spacing w:val="-54"/>
                <w:sz w:val="21"/>
                <w:szCs w:val="21"/>
              </w:rPr>
              <w:t> </w:t>
            </w:r>
            <w:r>
              <w:rPr>
                <w:rFonts w:ascii="宋体" w:hAnsi="宋体" w:cs="宋体" w:eastAsia="宋体" w:hint="default"/>
                <w:sz w:val="21"/>
                <w:szCs w:val="21"/>
              </w:rPr>
              <w:t>贫困地区医疗卫生资源投入金额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53.12</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中国妇女儿童慈善奖，中华儿慈会战略合作伙伴奖，壹基金十年致敬奖，中国慈善榜（</w:t>
            </w:r>
            <w:r>
              <w:rPr>
                <w:rFonts w:ascii="宋体" w:hAnsi="宋体" w:cs="宋体" w:eastAsia="宋体" w:hint="default"/>
                <w:sz w:val="21"/>
                <w:szCs w:val="21"/>
              </w:rPr>
              <w:t>2017</w:t>
            </w:r>
            <w:r>
              <w:rPr>
                <w:rFonts w:ascii="宋体" w:hAnsi="宋体" w:cs="宋体" w:eastAsia="宋体" w:hint="default"/>
                <w:sz w:val="21"/>
                <w:szCs w:val="21"/>
              </w:rPr>
              <w:t>）慈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善榜样奖。</w:t>
            </w:r>
          </w:p>
        </w:tc>
      </w:tr>
    </w:tbl>
    <w:p>
      <w:pPr>
        <w:spacing w:line="240" w:lineRule="auto" w:before="12"/>
        <w:rPr>
          <w:rFonts w:ascii="宋体" w:hAnsi="宋体" w:cs="宋体" w:eastAsia="宋体" w:hint="default"/>
          <w:sz w:val="19"/>
          <w:szCs w:val="19"/>
        </w:rPr>
      </w:pPr>
    </w:p>
    <w:p>
      <w:pPr>
        <w:pStyle w:val="Heading3"/>
        <w:tabs>
          <w:tab w:pos="642" w:val="left" w:leader="none"/>
        </w:tabs>
        <w:spacing w:line="240" w:lineRule="auto"/>
        <w:ind w:right="2465"/>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40" w:lineRule="auto" w:before="166"/>
        <w:ind w:left="638" w:right="2465"/>
        <w:jc w:val="left"/>
      </w:pPr>
      <w:r>
        <w:rPr/>
        <w:t>（一）对定点扶贫地区乡村医生、乡村教师进行培训。</w:t>
      </w:r>
    </w:p>
    <w:p>
      <w:pPr>
        <w:pStyle w:val="BodyText"/>
        <w:spacing w:line="240" w:lineRule="auto" w:before="123"/>
        <w:ind w:left="638" w:right="2465"/>
        <w:jc w:val="left"/>
      </w:pPr>
      <w:r>
        <w:rPr/>
        <w:t>（二）向定点扶贫地区儿童捐赠衣物，心暖新衣，呵护童年。</w:t>
      </w:r>
    </w:p>
    <w:p>
      <w:pPr>
        <w:pStyle w:val="BodyText"/>
        <w:spacing w:line="350" w:lineRule="auto" w:before="126"/>
        <w:ind w:left="218" w:right="228" w:firstLine="419"/>
        <w:jc w:val="both"/>
      </w:pPr>
      <w:r>
        <w:rPr>
          <w:spacing w:val="-2"/>
        </w:rPr>
        <w:t>（三）资助已完成九年义务教育的适龄孤儿和特困家庭初中学历有计划地完成职业教育和成</w:t>
      </w:r>
      <w:r>
        <w:rPr>
          <w:w w:val="100"/>
        </w:rPr>
        <w:t> </w:t>
      </w:r>
      <w:r>
        <w:rPr>
          <w:spacing w:val="-1"/>
        </w:rPr>
        <w:t>人高等教育，资助贫困家庭的高中</w:t>
      </w:r>
      <w:r>
        <w:rPr>
          <w:rFonts w:ascii="宋体" w:hAnsi="宋体" w:cs="宋体" w:eastAsia="宋体" w:hint="default"/>
          <w:spacing w:val="-1"/>
        </w:rPr>
        <w:t>(</w:t>
      </w:r>
      <w:r>
        <w:rPr>
          <w:spacing w:val="-1"/>
        </w:rPr>
        <w:t>含职高、中专、技校</w:t>
      </w:r>
      <w:r>
        <w:rPr>
          <w:rFonts w:ascii="宋体" w:hAnsi="宋体" w:cs="宋体" w:eastAsia="宋体" w:hint="default"/>
          <w:spacing w:val="-1"/>
        </w:rPr>
        <w:t>)</w:t>
      </w:r>
      <w:r>
        <w:rPr>
          <w:spacing w:val="-1"/>
        </w:rPr>
        <w:t>毕业学生和具有同等学历的适龄孤儿有</w:t>
      </w:r>
      <w:r>
        <w:rPr>
          <w:spacing w:val="-54"/>
        </w:rPr>
        <w:t> </w:t>
      </w:r>
      <w:r>
        <w:rPr>
          <w:spacing w:val="-54"/>
        </w:rPr>
      </w:r>
      <w:r>
        <w:rPr>
          <w:spacing w:val="-1"/>
        </w:rPr>
        <w:t>计划地完成成人高等教育，为孤儿和贫困家庭学生搭建一个有保障、可持续全面成长成才的公益</w:t>
      </w:r>
      <w:r>
        <w:rPr>
          <w:spacing w:val="-55"/>
        </w:rPr>
        <w:t> </w:t>
      </w:r>
      <w:r>
        <w:rPr>
          <w:spacing w:val="-55"/>
        </w:rPr>
      </w:r>
      <w:r>
        <w:rPr/>
        <w:t>平台。</w:t>
      </w:r>
    </w:p>
    <w:p>
      <w:pPr>
        <w:pStyle w:val="Heading3"/>
        <w:tabs>
          <w:tab w:pos="861" w:val="left" w:leader="none"/>
        </w:tabs>
        <w:spacing w:line="256" w:lineRule="exact" w:before="0"/>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pStyle w:val="BodyText"/>
        <w:spacing w:line="240" w:lineRule="auto" w:before="75"/>
        <w:ind w:left="638" w:right="227"/>
        <w:jc w:val="left"/>
      </w:pPr>
      <w:r>
        <w:rPr>
          <w:spacing w:val="14"/>
        </w:rPr>
        <w:t>公司报告期内履行社会责任的工作情况，请详见与本报告同时在上海证券交易所网站</w:t>
      </w:r>
      <w:r>
        <w:rPr/>
      </w:r>
    </w:p>
    <w:p>
      <w:pPr>
        <w:pStyle w:val="BodyText"/>
        <w:tabs>
          <w:tab w:pos="861" w:val="left" w:leader="none"/>
        </w:tabs>
        <w:spacing w:line="300" w:lineRule="auto" w:before="85"/>
        <w:ind w:left="218" w:right="1605"/>
        <w:jc w:val="left"/>
        <w:rPr>
          <w:rFonts w:ascii="宋体" w:hAnsi="宋体" w:cs="宋体" w:eastAsia="宋体" w:hint="default"/>
        </w:rPr>
      </w:pPr>
      <w:r>
        <w:rPr/>
        <w:t>（</w:t>
      </w:r>
      <w:hyperlink r:id="rId10">
        <w:r>
          <w:rPr>
            <w:rFonts w:ascii="宋体" w:hAnsi="宋体" w:cs="宋体" w:eastAsia="宋体" w:hint="default"/>
          </w:rPr>
          <w:t>www.sse.com.cn</w:t>
        </w:r>
      </w:hyperlink>
      <w:r>
        <w:rPr/>
        <w:t>）上披露的《新华网股份有限公司</w:t>
      </w:r>
      <w:r>
        <w:rPr>
          <w:spacing w:val="-56"/>
        </w:rPr>
        <w:t> </w:t>
      </w:r>
      <w:r>
        <w:rPr>
          <w:rFonts w:ascii="宋体" w:hAnsi="宋体" w:cs="宋体" w:eastAsia="宋体" w:hint="default"/>
        </w:rPr>
        <w:t>2017</w:t>
      </w:r>
      <w:r>
        <w:rPr>
          <w:rFonts w:ascii="宋体" w:hAnsi="宋体" w:cs="宋体" w:eastAsia="宋体" w:hint="default"/>
          <w:spacing w:val="-57"/>
        </w:rPr>
        <w:t> </w:t>
      </w:r>
      <w:r>
        <w:rPr/>
        <w:t>年度社会责任报告》。</w:t>
      </w:r>
      <w:r>
        <w:rPr>
          <w:w w:val="100"/>
        </w:rPr>
        <w:t> </w:t>
      </w:r>
      <w:r>
        <w:rPr>
          <w:rFonts w:ascii="宋体" w:hAnsi="宋体" w:cs="宋体" w:eastAsia="宋体" w:hint="default"/>
          <w:b/>
          <w:bCs/>
          <w:spacing w:val="-1"/>
        </w:rPr>
        <w:t>(</w:t>
      </w:r>
      <w:r>
        <w:rPr>
          <w:rFonts w:ascii="宋体" w:hAnsi="宋体" w:cs="宋体" w:eastAsia="宋体" w:hint="default"/>
          <w:b/>
          <w:bCs/>
          <w:spacing w:val="-1"/>
        </w:rPr>
        <w:t>三</w:t>
      </w:r>
      <w:r>
        <w:rPr>
          <w:rFonts w:ascii="宋体" w:hAnsi="宋体" w:cs="宋体" w:eastAsia="宋体" w:hint="default"/>
          <w:b/>
          <w:bCs/>
          <w:spacing w:val="-1"/>
        </w:rPr>
        <w:t>)</w:t>
        <w:tab/>
      </w:r>
      <w:r>
        <w:rPr>
          <w:rFonts w:ascii="宋体" w:hAnsi="宋体" w:cs="宋体" w:eastAsia="宋体" w:hint="default"/>
          <w:b/>
          <w:bCs/>
        </w:rPr>
        <w:t>环境信息情况</w:t>
      </w:r>
      <w:r>
        <w:rPr>
          <w:rFonts w:ascii="宋体" w:hAnsi="宋体" w:cs="宋体" w:eastAsia="宋体" w:hint="default"/>
        </w:rPr>
      </w:r>
    </w:p>
    <w:p>
      <w:pPr>
        <w:pStyle w:val="Heading3"/>
        <w:tabs>
          <w:tab w:pos="642" w:val="left" w:leader="none"/>
        </w:tabs>
        <w:spacing w:line="240" w:lineRule="auto" w:before="4"/>
        <w:ind w:right="227"/>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3"/>
        <w:tabs>
          <w:tab w:pos="642" w:val="left" w:leader="none"/>
        </w:tabs>
        <w:spacing w:line="240" w:lineRule="auto" w:before="56"/>
        <w:ind w:right="2465"/>
        <w:jc w:val="left"/>
        <w:rPr>
          <w:b w:val="0"/>
          <w:bCs w:val="0"/>
        </w:rPr>
      </w:pPr>
      <w:r>
        <w:rPr>
          <w:rFonts w:ascii="宋体" w:hAnsi="宋体" w:cs="宋体" w:eastAsia="宋体" w:hint="default"/>
          <w:w w:val="95"/>
        </w:rPr>
        <w:t>2.</w:t>
        <w:tab/>
      </w:r>
      <w:r>
        <w:rPr/>
        <w:t>重点排污单位之外的公司</w:t>
      </w:r>
      <w:r>
        <w:rPr>
          <w:b w:val="0"/>
          <w:bCs w:val="0"/>
        </w:rPr>
      </w:r>
    </w:p>
    <w:p>
      <w:pPr>
        <w:tabs>
          <w:tab w:pos="642" w:val="left" w:leader="none"/>
          <w:tab w:pos="1060" w:val="left" w:leader="none"/>
        </w:tabs>
        <w:spacing w:line="290" w:lineRule="auto" w:before="58"/>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3.</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060" w:val="left" w:leader="none"/>
        </w:tabs>
        <w:spacing w:line="240" w:lineRule="auto" w:before="14"/>
        <w:ind w:left="218" w:right="2465"/>
        <w:jc w:val="left"/>
      </w:pPr>
      <w:r>
        <w:rPr>
          <w:spacing w:val="-1"/>
        </w:rPr>
        <w:t>□适用</w:t>
        <w:tab/>
      </w:r>
      <w:r>
        <w:rPr>
          <w:spacing w:val="-2"/>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tabs>
          <w:tab w:pos="781" w:val="left" w:leader="none"/>
        </w:tabs>
        <w:spacing w:line="240" w:lineRule="auto"/>
        <w:ind w:left="138" w:right="12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tabs>
          <w:tab w:pos="980" w:val="left" w:leader="none"/>
        </w:tabs>
        <w:spacing w:line="362" w:lineRule="auto" w:before="58"/>
        <w:ind w:left="138" w:right="643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十八、可转换公司债券情况</w:t>
      </w:r>
      <w:r>
        <w:rPr>
          <w:rFonts w:ascii="宋体" w:hAnsi="宋体" w:cs="宋体" w:eastAsia="宋体" w:hint="default"/>
          <w:sz w:val="21"/>
          <w:szCs w:val="21"/>
        </w:rPr>
      </w:r>
    </w:p>
    <w:p>
      <w:pPr>
        <w:pStyle w:val="Heading3"/>
        <w:spacing w:line="253" w:lineRule="exact" w:before="0"/>
        <w:ind w:left="138" w:right="12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29"/>
        <w:ind w:right="125"/>
        <w:jc w:val="left"/>
      </w:pPr>
      <w:r>
        <w:rPr>
          <w:spacing w:val="-1"/>
        </w:rPr>
        <w:t>□适用</w:t>
        <w:tab/>
      </w:r>
      <w:r>
        <w:rPr>
          <w:spacing w:val="-2"/>
        </w:rPr>
        <w:t>√不适用</w:t>
      </w:r>
    </w:p>
    <w:p>
      <w:pPr>
        <w:pStyle w:val="Heading3"/>
        <w:spacing w:line="240" w:lineRule="auto" w:before="58"/>
        <w:ind w:left="138" w:right="12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right="125"/>
        <w:jc w:val="left"/>
      </w:pPr>
      <w:r>
        <w:rPr/>
        <w:t>□适用</w:t>
      </w:r>
      <w:r>
        <w:rPr>
          <w:spacing w:val="-1"/>
        </w:rPr>
        <w:t> </w:t>
      </w:r>
      <w:r>
        <w:rPr/>
        <w:t>√不适用</w:t>
      </w:r>
    </w:p>
    <w:p>
      <w:pPr>
        <w:pStyle w:val="Heading3"/>
        <w:spacing w:line="240" w:lineRule="auto" w:before="58"/>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right="5169"/>
        <w:jc w:val="left"/>
      </w:pPr>
      <w:r>
        <w:rPr/>
        <w:t>□适用</w:t>
      </w:r>
      <w:r>
        <w:rPr>
          <w:spacing w:val="-2"/>
        </w:rPr>
        <w:t> </w:t>
      </w:r>
      <w:r>
        <w:rPr/>
        <w:t>√不适用</w:t>
      </w:r>
      <w:r>
        <w:rPr>
          <w:w w:val="100"/>
        </w:rPr>
        <w:t> </w:t>
      </w:r>
      <w:r>
        <w:rPr>
          <w:spacing w:val="-2"/>
        </w:rPr>
        <w:t>报告期转债累计转股情况</w:t>
      </w:r>
    </w:p>
    <w:p>
      <w:pPr>
        <w:pStyle w:val="BodyText"/>
        <w:spacing w:line="272" w:lineRule="exact"/>
        <w:ind w:right="125"/>
        <w:jc w:val="left"/>
      </w:pPr>
      <w:r>
        <w:rPr/>
        <w:t>□适用</w:t>
      </w:r>
      <w:r>
        <w:rPr>
          <w:spacing w:val="-1"/>
        </w:rPr>
        <w:t> </w:t>
      </w:r>
      <w:r>
        <w:rPr/>
        <w:t>√不适用</w:t>
      </w:r>
    </w:p>
    <w:p>
      <w:pPr>
        <w:pStyle w:val="Heading3"/>
        <w:spacing w:line="240" w:lineRule="auto" w:before="58"/>
        <w:ind w:left="138" w:right="12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right="125"/>
        <w:jc w:val="left"/>
      </w:pPr>
      <w:r>
        <w:rPr/>
        <w:t>□适用</w:t>
      </w:r>
      <w:r>
        <w:rPr>
          <w:spacing w:val="-1"/>
        </w:rPr>
        <w:t> </w:t>
      </w:r>
      <w:r>
        <w:rPr/>
        <w:t>√不适用</w:t>
      </w:r>
    </w:p>
    <w:p>
      <w:pPr>
        <w:pStyle w:val="Heading3"/>
        <w:spacing w:line="240" w:lineRule="auto" w:before="58"/>
        <w:ind w:left="138" w:right="12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29"/>
        <w:ind w:right="125"/>
        <w:jc w:val="left"/>
      </w:pPr>
      <w:r>
        <w:rPr>
          <w:spacing w:val="-1"/>
        </w:rPr>
        <w:t>□适用</w:t>
        <w:tab/>
      </w:r>
      <w:r>
        <w:rPr>
          <w:spacing w:val="-2"/>
        </w:rPr>
        <w:t>√不适用</w:t>
      </w:r>
    </w:p>
    <w:p>
      <w:pPr>
        <w:pStyle w:val="Heading3"/>
        <w:spacing w:line="240" w:lineRule="auto" w:before="58"/>
        <w:ind w:left="138" w:right="12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29"/>
        <w:ind w:right="125"/>
        <w:jc w:val="left"/>
      </w:pPr>
      <w:r>
        <w:rPr>
          <w:spacing w:val="-1"/>
        </w:rPr>
        <w:t>□适用</w:t>
        <w:tab/>
      </w:r>
      <w:r>
        <w:rPr>
          <w:spacing w:val="-2"/>
        </w:rPr>
        <w:t>√不适用</w:t>
      </w:r>
    </w:p>
    <w:p>
      <w:pPr>
        <w:spacing w:after="0" w:line="240" w:lineRule="auto"/>
        <w:jc w:val="left"/>
        <w:sectPr>
          <w:pgSz w:w="11910" w:h="16840"/>
          <w:pgMar w:header="882" w:footer="1195" w:top="1120" w:bottom="1380" w:left="1660" w:right="1140"/>
        </w:sectPr>
      </w:pPr>
    </w:p>
    <w:p>
      <w:pPr>
        <w:spacing w:before="20"/>
        <w:ind w:left="0" w:right="2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5"/>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3"/>
          <w:footerReference w:type="default" r:id="rId44"/>
          <w:pgSz w:w="16840" w:h="11910" w:orient="landscape"/>
          <w:pgMar w:header="0" w:footer="0" w:top="800" w:bottom="280" w:left="1220" w:right="1300"/>
        </w:sectPr>
      </w:pPr>
    </w:p>
    <w:p>
      <w:pPr>
        <w:pStyle w:val="Heading3"/>
        <w:tabs>
          <w:tab w:pos="786" w:val="left" w:leader="none"/>
        </w:tabs>
        <w:spacing w:line="278" w:lineRule="auto"/>
        <w:ind w:left="220" w:right="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120" w:bottom="1380" w:left="1220" w:right="1300"/>
          <w:cols w:num="2" w:equalWidth="0">
            <w:col w:w="2897" w:space="10137"/>
            <w:col w:w="12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772"/>
        <w:gridCol w:w="1385"/>
        <w:gridCol w:w="965"/>
        <w:gridCol w:w="1068"/>
        <w:gridCol w:w="1385"/>
        <w:gridCol w:w="1387"/>
        <w:gridCol w:w="1385"/>
        <w:gridCol w:w="1392"/>
        <w:gridCol w:w="1387"/>
        <w:gridCol w:w="963"/>
      </w:tblGrid>
      <w:tr>
        <w:trPr>
          <w:trHeight w:val="281" w:hRule="exact"/>
        </w:trPr>
        <w:tc>
          <w:tcPr>
            <w:tcW w:w="2772" w:type="dxa"/>
            <w:vMerge w:val="restart"/>
            <w:tcBorders>
              <w:top w:val="single" w:sz="4" w:space="0" w:color="000000"/>
              <w:left w:val="single" w:sz="4" w:space="0" w:color="000000"/>
              <w:right w:val="single" w:sz="4" w:space="0" w:color="000000"/>
            </w:tcBorders>
          </w:tcPr>
          <w:p>
            <w:pP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66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283" w:hRule="exact"/>
        </w:trPr>
        <w:tc>
          <w:tcPr>
            <w:tcW w:w="2772"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公积金转股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155,708,808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155,708,808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77,854,404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-46,712,640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186,850,572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342,559,380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w:t>
            </w:r>
          </w:p>
        </w:tc>
      </w:tr>
      <w:tr>
        <w:trPr>
          <w:trHeight w:val="28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center"/>
              <w:rPr>
                <w:rFonts w:ascii="宋体" w:hAnsi="宋体" w:cs="宋体" w:eastAsia="宋体" w:hint="default"/>
                <w:sz w:val="21"/>
                <w:szCs w:val="21"/>
              </w:rPr>
            </w:pPr>
            <w:r>
              <w:rPr>
                <w:rFonts w:ascii="宋体"/>
                <w:sz w:val="21"/>
              </w:rPr>
              <w:t>155,708,808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155,708,808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sz w:val="21"/>
              </w:rPr>
              <w:t>77,854,404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-46,712,640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center"/>
              <w:rPr>
                <w:rFonts w:ascii="宋体" w:hAnsi="宋体" w:cs="宋体" w:eastAsia="宋体" w:hint="default"/>
                <w:sz w:val="21"/>
                <w:szCs w:val="21"/>
              </w:rPr>
            </w:pPr>
            <w:r>
              <w:rPr>
                <w:rFonts w:ascii="宋体"/>
                <w:sz w:val="21"/>
              </w:rPr>
              <w:t>186,850,572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 w:right="0"/>
              <w:jc w:val="center"/>
              <w:rPr>
                <w:rFonts w:ascii="宋体" w:hAnsi="宋体" w:cs="宋体" w:eastAsia="宋体" w:hint="default"/>
                <w:sz w:val="21"/>
                <w:szCs w:val="21"/>
              </w:rPr>
            </w:pPr>
            <w:r>
              <w:rPr>
                <w:rFonts w:ascii="宋体"/>
                <w:sz w:val="21"/>
              </w:rPr>
              <w:t>342,559,380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66</w:t>
            </w: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51,902,936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51,902,936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25,951,468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46,712,640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124,567,044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176,469,980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w:t>
            </w:r>
          </w:p>
        </w:tc>
      </w:tr>
      <w:tr>
        <w:trPr>
          <w:trHeight w:val="28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51,902,936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51,902,936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sz w:val="21"/>
              </w:rPr>
              <w:t>25,951,468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46,712,640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124,567,044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176,469,980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w:t>
            </w: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sz w:val="21"/>
              </w:rPr>
              <w:t>207,611,744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207,611,744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103,805,872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311,417,616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sz w:val="21"/>
              </w:rPr>
              <w:t>519,029,360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63"/>
        <w:ind w:left="0" w:right="4" w:firstLine="0"/>
        <w:jc w:val="center"/>
        <w:rPr>
          <w:rFonts w:ascii="Calibri" w:hAnsi="Calibri" w:cs="Calibri" w:eastAsia="Calibri" w:hint="default"/>
          <w:sz w:val="18"/>
          <w:szCs w:val="18"/>
        </w:rPr>
      </w:pPr>
      <w:r>
        <w:rPr>
          <w:rFonts w:ascii="Calibri"/>
          <w:b/>
          <w:sz w:val="18"/>
        </w:rPr>
        <w:t>56 </w:t>
      </w:r>
      <w:r>
        <w:rPr>
          <w:rFonts w:ascii="Calibri"/>
          <w:sz w:val="18"/>
        </w:rPr>
        <w:t>/</w:t>
      </w:r>
      <w:r>
        <w:rPr>
          <w:rFonts w:ascii="Calibri"/>
          <w:spacing w:val="-4"/>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3"/>
        <w:spacing w:line="240" w:lineRule="auto" w:before="0"/>
        <w:ind w:left="478" w:right="0"/>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320" w:val="left" w:leader="none"/>
        </w:tabs>
        <w:spacing w:line="240" w:lineRule="auto" w:before="56"/>
        <w:ind w:left="478" w:right="0"/>
        <w:jc w:val="left"/>
      </w:pPr>
      <w:r>
        <w:rPr>
          <w:spacing w:val="-1"/>
        </w:rPr>
        <w:t>√适用</w:t>
        <w:tab/>
      </w:r>
      <w:r>
        <w:rPr>
          <w:spacing w:val="-2"/>
        </w:rPr>
        <w:t>□不适用</w:t>
      </w:r>
    </w:p>
    <w:p>
      <w:pPr>
        <w:pStyle w:val="BodyText"/>
        <w:spacing w:line="240" w:lineRule="auto" w:before="75"/>
        <w:ind w:left="898" w:right="0"/>
        <w:jc w:val="left"/>
      </w:pPr>
      <w:r>
        <w:rPr>
          <w:spacing w:val="-5"/>
        </w:rPr>
        <w:t>（</w:t>
      </w:r>
      <w:r>
        <w:rPr>
          <w:rFonts w:ascii="宋体" w:hAnsi="宋体" w:cs="宋体" w:eastAsia="宋体" w:hint="default"/>
          <w:spacing w:val="-5"/>
        </w:rPr>
        <w:t>1</w:t>
      </w:r>
      <w:r>
        <w:rPr>
          <w:spacing w:val="-5"/>
        </w:rPr>
        <w:t>）报告期内，公司以本次利润分配及转增股本方案实施前的公司总股本 </w:t>
      </w:r>
      <w:r>
        <w:rPr>
          <w:rFonts w:ascii="宋体" w:hAnsi="宋体" w:cs="宋体" w:eastAsia="宋体" w:hint="default"/>
        </w:rPr>
        <w:t>207,611,744</w:t>
      </w:r>
      <w:r>
        <w:rPr>
          <w:rFonts w:ascii="宋体" w:hAnsi="宋体" w:cs="宋体" w:eastAsia="宋体" w:hint="default"/>
          <w:spacing w:val="-33"/>
        </w:rPr>
        <w:t> </w:t>
      </w:r>
      <w:r>
        <w:rPr/>
        <w:t>股为</w:t>
      </w:r>
    </w:p>
    <w:p>
      <w:pPr>
        <w:pStyle w:val="BodyText"/>
        <w:spacing w:line="240" w:lineRule="auto" w:before="85"/>
        <w:ind w:left="478" w:right="0"/>
        <w:jc w:val="left"/>
        <w:rPr>
          <w:rFonts w:ascii="宋体" w:hAnsi="宋体" w:cs="宋体" w:eastAsia="宋体" w:hint="default"/>
        </w:rPr>
      </w:pPr>
      <w:r>
        <w:rPr>
          <w:spacing w:val="-6"/>
        </w:rPr>
        <w:t>基数，以</w:t>
      </w:r>
      <w:r>
        <w:rPr>
          <w:spacing w:val="-53"/>
        </w:rPr>
        <w:t> </w:t>
      </w:r>
      <w:r>
        <w:rPr>
          <w:rFonts w:ascii="宋体" w:hAnsi="宋体" w:cs="宋体" w:eastAsia="宋体" w:hint="default"/>
        </w:rPr>
        <w:t>2016</w:t>
      </w:r>
      <w:r>
        <w:rPr>
          <w:rFonts w:ascii="宋体" w:hAnsi="宋体" w:cs="宋体" w:eastAsia="宋体" w:hint="default"/>
          <w:spacing w:val="-53"/>
        </w:rPr>
        <w:t> </w:t>
      </w:r>
      <w:r>
        <w:rPr/>
        <w:t>年末公司可供分配利润向全体股东每</w:t>
      </w:r>
      <w:r>
        <w:rPr>
          <w:spacing w:val="-53"/>
        </w:rPr>
        <w:t> </w:t>
      </w:r>
      <w:r>
        <w:rPr>
          <w:rFonts w:ascii="宋体" w:hAnsi="宋体" w:cs="宋体" w:eastAsia="宋体" w:hint="default"/>
        </w:rPr>
        <w:t>10</w:t>
      </w:r>
      <w:r>
        <w:rPr>
          <w:rFonts w:ascii="宋体" w:hAnsi="宋体" w:cs="宋体" w:eastAsia="宋体" w:hint="default"/>
          <w:spacing w:val="-51"/>
        </w:rPr>
        <w:t> </w:t>
      </w:r>
      <w:r>
        <w:rPr/>
        <w:t>股送红股</w:t>
      </w:r>
      <w:r>
        <w:rPr>
          <w:spacing w:val="-51"/>
        </w:rPr>
        <w:t> </w:t>
      </w:r>
      <w:r>
        <w:rPr>
          <w:rFonts w:ascii="宋体" w:hAnsi="宋体" w:cs="宋体" w:eastAsia="宋体" w:hint="default"/>
        </w:rPr>
        <w:t>10</w:t>
      </w:r>
      <w:r>
        <w:rPr>
          <w:rFonts w:ascii="宋体" w:hAnsi="宋体" w:cs="宋体" w:eastAsia="宋体" w:hint="default"/>
          <w:spacing w:val="-53"/>
        </w:rPr>
        <w:t> </w:t>
      </w:r>
      <w:r>
        <w:rPr>
          <w:spacing w:val="-5"/>
        </w:rPr>
        <w:t>股，送红股共计</w:t>
      </w:r>
      <w:r>
        <w:rPr>
          <w:spacing w:val="-50"/>
        </w:rPr>
        <w:t> </w:t>
      </w:r>
      <w:r>
        <w:rPr>
          <w:rFonts w:ascii="宋体" w:hAnsi="宋体" w:cs="宋体" w:eastAsia="宋体" w:hint="default"/>
        </w:rPr>
        <w:t>207,611,744</w:t>
      </w:r>
    </w:p>
    <w:p>
      <w:pPr>
        <w:pStyle w:val="BodyText"/>
        <w:spacing w:line="240" w:lineRule="auto" w:before="85"/>
        <w:ind w:left="478" w:right="0"/>
        <w:jc w:val="left"/>
      </w:pPr>
      <w:r>
        <w:rPr>
          <w:spacing w:val="-5"/>
        </w:rPr>
        <w:t>股；同时，以资本公积向全体股东每</w:t>
      </w:r>
      <w:r>
        <w:rPr>
          <w:spacing w:val="-44"/>
        </w:rPr>
        <w:t> </w:t>
      </w:r>
      <w:r>
        <w:rPr>
          <w:rFonts w:ascii="宋体" w:hAnsi="宋体" w:cs="宋体" w:eastAsia="宋体" w:hint="default"/>
        </w:rPr>
        <w:t>10</w:t>
      </w:r>
      <w:r>
        <w:rPr>
          <w:rFonts w:ascii="宋体" w:hAnsi="宋体" w:cs="宋体" w:eastAsia="宋体" w:hint="default"/>
          <w:spacing w:val="-47"/>
        </w:rPr>
        <w:t> </w:t>
      </w:r>
      <w:r>
        <w:rPr/>
        <w:t>股转增</w:t>
      </w:r>
      <w:r>
        <w:rPr>
          <w:spacing w:val="-44"/>
        </w:rPr>
        <w:t> </w:t>
      </w:r>
      <w:r>
        <w:rPr>
          <w:rFonts w:ascii="宋体" w:hAnsi="宋体" w:cs="宋体" w:eastAsia="宋体" w:hint="default"/>
        </w:rPr>
        <w:t>5</w:t>
      </w:r>
      <w:r>
        <w:rPr>
          <w:rFonts w:ascii="宋体" w:hAnsi="宋体" w:cs="宋体" w:eastAsia="宋体" w:hint="default"/>
          <w:spacing w:val="-47"/>
        </w:rPr>
        <w:t> </w:t>
      </w:r>
      <w:r>
        <w:rPr>
          <w:spacing w:val="-6"/>
        </w:rPr>
        <w:t>股，转增共计</w:t>
      </w:r>
      <w:r>
        <w:rPr>
          <w:spacing w:val="-43"/>
        </w:rPr>
        <w:t> </w:t>
      </w:r>
      <w:r>
        <w:rPr>
          <w:rFonts w:ascii="宋体" w:hAnsi="宋体" w:cs="宋体" w:eastAsia="宋体" w:hint="default"/>
        </w:rPr>
        <w:t>103,805,872</w:t>
      </w:r>
      <w:r>
        <w:rPr>
          <w:rFonts w:ascii="宋体" w:hAnsi="宋体" w:cs="宋体" w:eastAsia="宋体" w:hint="default"/>
          <w:spacing w:val="-47"/>
        </w:rPr>
        <w:t> </w:t>
      </w:r>
      <w:r>
        <w:rPr>
          <w:spacing w:val="-4"/>
        </w:rPr>
        <w:t>股，上述方案实施完</w:t>
      </w:r>
    </w:p>
    <w:p>
      <w:pPr>
        <w:pStyle w:val="BodyText"/>
        <w:spacing w:line="240" w:lineRule="auto" w:before="85"/>
        <w:ind w:left="478" w:right="0"/>
        <w:jc w:val="left"/>
      </w:pPr>
      <w:r>
        <w:rPr/>
        <w:t>毕后，公司总股本为</w:t>
      </w:r>
      <w:r>
        <w:rPr>
          <w:spacing w:val="-54"/>
        </w:rPr>
        <w:t> </w:t>
      </w:r>
      <w:r>
        <w:rPr>
          <w:rFonts w:ascii="宋体" w:hAnsi="宋体" w:cs="宋体" w:eastAsia="宋体" w:hint="default"/>
        </w:rPr>
        <w:t>519,029,360</w:t>
      </w:r>
      <w:r>
        <w:rPr>
          <w:rFonts w:ascii="宋体" w:hAnsi="宋体" w:cs="宋体" w:eastAsia="宋体" w:hint="default"/>
          <w:spacing w:val="-53"/>
        </w:rPr>
        <w:t> </w:t>
      </w:r>
      <w:r>
        <w:rPr>
          <w:spacing w:val="-3"/>
        </w:rPr>
        <w:t>股。</w:t>
      </w:r>
      <w:r>
        <w:rPr/>
      </w:r>
    </w:p>
    <w:p>
      <w:pPr>
        <w:pStyle w:val="BodyText"/>
        <w:spacing w:line="240" w:lineRule="auto" w:before="85"/>
        <w:ind w:left="898" w:right="0"/>
        <w:jc w:val="left"/>
      </w:pPr>
      <w:r>
        <w:rPr/>
        <w:t>（</w:t>
      </w:r>
      <w:r>
        <w:rPr>
          <w:rFonts w:ascii="宋体" w:hAnsi="宋体" w:cs="宋体" w:eastAsia="宋体" w:hint="default"/>
        </w:rPr>
        <w:t>2</w:t>
      </w:r>
      <w:r>
        <w:rPr/>
        <w:t>）报告期内，公司部分限售股于 </w:t>
      </w:r>
      <w:r>
        <w:rPr>
          <w:rFonts w:ascii="宋体" w:hAnsi="宋体" w:cs="宋体" w:eastAsia="宋体" w:hint="default"/>
        </w:rPr>
        <w:t>2017 </w:t>
      </w:r>
      <w:r>
        <w:rPr/>
        <w:t>年 </w:t>
      </w:r>
      <w:r>
        <w:rPr>
          <w:rFonts w:ascii="宋体" w:hAnsi="宋体" w:cs="宋体" w:eastAsia="宋体" w:hint="default"/>
        </w:rPr>
        <w:t>10 </w:t>
      </w:r>
      <w:r>
        <w:rPr/>
        <w:t>月 </w:t>
      </w:r>
      <w:r>
        <w:rPr>
          <w:rFonts w:ascii="宋体" w:hAnsi="宋体" w:cs="宋体" w:eastAsia="宋体" w:hint="default"/>
        </w:rPr>
        <w:t>30 </w:t>
      </w:r>
      <w:r>
        <w:rPr>
          <w:rFonts w:ascii="宋体" w:hAnsi="宋体" w:cs="宋体" w:eastAsia="宋体" w:hint="default"/>
          <w:spacing w:val="6"/>
        </w:rPr>
        <w:t> </w:t>
      </w:r>
      <w:r>
        <w:rPr/>
        <w:t>日起上市流通，上市流通限售股为</w:t>
      </w:r>
    </w:p>
    <w:p>
      <w:pPr>
        <w:pStyle w:val="BodyText"/>
        <w:spacing w:line="314" w:lineRule="auto" w:before="85"/>
        <w:ind w:left="478" w:right="488"/>
        <w:jc w:val="left"/>
      </w:pPr>
      <w:r>
        <w:rPr>
          <w:rFonts w:ascii="宋体" w:hAnsi="宋体" w:cs="宋体" w:eastAsia="宋体" w:hint="default"/>
        </w:rPr>
        <w:t>46,712,640</w:t>
      </w:r>
      <w:r>
        <w:rPr>
          <w:rFonts w:ascii="宋体" w:hAnsi="宋体" w:cs="宋体" w:eastAsia="宋体" w:hint="default"/>
          <w:spacing w:val="-44"/>
        </w:rPr>
        <w:t> </w:t>
      </w:r>
      <w:r>
        <w:rPr/>
        <w:t>股，详见公司于</w:t>
      </w:r>
      <w:r>
        <w:rPr>
          <w:spacing w:val="-44"/>
        </w:rPr>
        <w:t> </w:t>
      </w: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10</w:t>
      </w:r>
      <w:r>
        <w:rPr>
          <w:rFonts w:ascii="宋体" w:hAnsi="宋体" w:cs="宋体" w:eastAsia="宋体" w:hint="default"/>
          <w:spacing w:val="-46"/>
        </w:rPr>
        <w:t> </w:t>
      </w:r>
      <w:r>
        <w:rPr/>
        <w:t>月</w:t>
      </w:r>
      <w:r>
        <w:rPr>
          <w:spacing w:val="-44"/>
        </w:rPr>
        <w:t> </w:t>
      </w:r>
      <w:r>
        <w:rPr>
          <w:rFonts w:ascii="宋体" w:hAnsi="宋体" w:cs="宋体" w:eastAsia="宋体" w:hint="default"/>
        </w:rPr>
        <w:t>24</w:t>
      </w:r>
      <w:r>
        <w:rPr>
          <w:rFonts w:ascii="宋体" w:hAnsi="宋体" w:cs="宋体" w:eastAsia="宋体" w:hint="default"/>
          <w:spacing w:val="-44"/>
        </w:rPr>
        <w:t> </w:t>
      </w:r>
      <w:r>
        <w:rPr/>
        <w:t>日刊登在上海证券交易所网站的《首次公开发行限</w:t>
      </w:r>
      <w:r>
        <w:rPr>
          <w:w w:val="100"/>
        </w:rPr>
        <w:t> </w:t>
      </w:r>
      <w:r>
        <w:rPr/>
        <w:t>售股上市流通公告》（公告编号：</w:t>
      </w:r>
      <w:r>
        <w:rPr>
          <w:rFonts w:ascii="宋体" w:hAnsi="宋体" w:cs="宋体" w:eastAsia="宋体" w:hint="default"/>
        </w:rPr>
        <w:t>2017-065</w:t>
      </w:r>
      <w:r>
        <w:rPr/>
        <w:t>）。</w:t>
      </w:r>
    </w:p>
    <w:p>
      <w:pPr>
        <w:pStyle w:val="Heading3"/>
        <w:spacing w:line="240" w:lineRule="auto" w:before="3"/>
        <w:ind w:left="47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320" w:val="left" w:leader="none"/>
        </w:tabs>
        <w:spacing w:line="240" w:lineRule="auto" w:before="56"/>
        <w:ind w:left="478" w:right="0"/>
        <w:jc w:val="left"/>
      </w:pPr>
      <w:r>
        <w:rPr>
          <w:spacing w:val="-1"/>
        </w:rPr>
        <w:t>□适用</w:t>
        <w:tab/>
      </w:r>
      <w:r>
        <w:rPr>
          <w:spacing w:val="-2"/>
        </w:rPr>
        <w:t>√不适用</w:t>
      </w:r>
    </w:p>
    <w:p>
      <w:pPr>
        <w:pStyle w:val="Heading3"/>
        <w:spacing w:line="240" w:lineRule="auto" w:before="58"/>
        <w:ind w:left="478" w:right="0"/>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320" w:val="left" w:leader="none"/>
        </w:tabs>
        <w:spacing w:line="240" w:lineRule="auto" w:before="56"/>
        <w:ind w:left="478" w:right="0"/>
        <w:jc w:val="left"/>
      </w:pPr>
      <w:r>
        <w:rPr>
          <w:spacing w:val="-1"/>
        </w:rPr>
        <w:t>□适用</w:t>
        <w:tab/>
      </w:r>
      <w:r>
        <w:rPr>
          <w:spacing w:val="-2"/>
        </w:rPr>
        <w:t>√不适用</w:t>
      </w:r>
    </w:p>
    <w:p>
      <w:pPr>
        <w:pStyle w:val="Heading3"/>
        <w:tabs>
          <w:tab w:pos="1044" w:val="left" w:leader="none"/>
        </w:tabs>
        <w:spacing w:line="240" w:lineRule="auto" w:before="58"/>
        <w:ind w:left="47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478" w:right="0"/>
        <w:jc w:val="left"/>
      </w:pPr>
      <w:r>
        <w:rPr/>
        <w:t>√适用</w:t>
      </w:r>
      <w:r>
        <w:rPr>
          <w:spacing w:val="-1"/>
        </w:rPr>
        <w:t> </w:t>
      </w:r>
      <w:r>
        <w:rPr/>
        <w:t>□不适用</w:t>
      </w:r>
    </w:p>
    <w:p>
      <w:pPr>
        <w:pStyle w:val="BodyText"/>
        <w:spacing w:line="274" w:lineRule="exact"/>
        <w:ind w:left="0" w:right="490"/>
        <w:jc w:val="right"/>
      </w:pPr>
      <w:r>
        <w:rPr>
          <w:spacing w:val="-1"/>
        </w:rPr>
        <w:t>单位</w:t>
      </w:r>
      <w:r>
        <w:rPr>
          <w:rFonts w:ascii="宋体" w:hAnsi="宋体" w:cs="宋体" w:eastAsia="宋体" w:hint="default"/>
          <w:spacing w:val="-1"/>
        </w:rPr>
        <w:t>:</w:t>
      </w:r>
      <w:r>
        <w:rPr>
          <w:spacing w:val="-1"/>
        </w:rPr>
        <w:t>股</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02"/>
        <w:gridCol w:w="1493"/>
        <w:gridCol w:w="1289"/>
        <w:gridCol w:w="1472"/>
        <w:gridCol w:w="1418"/>
        <w:gridCol w:w="1417"/>
        <w:gridCol w:w="778"/>
      </w:tblGrid>
      <w:tr>
        <w:trPr>
          <w:trHeight w:val="82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110" w:hanging="212"/>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201" w:hanging="209"/>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7" w:right="175"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解除</w:t>
            </w:r>
          </w:p>
          <w:p>
            <w:pPr>
              <w:pStyle w:val="TableParagraph"/>
              <w:spacing w:line="272" w:lineRule="exact" w:before="27"/>
              <w:ind w:left="172" w:right="17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日期</w:t>
            </w:r>
          </w:p>
        </w:tc>
      </w:tr>
      <w:tr>
        <w:trPr>
          <w:trHeight w:val="11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124,120,968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186,181,452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310,302,420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增股份</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28</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中国文化产业投</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资基金（有限合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伙）</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6,087,250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15,218,125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9,130,875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pacing w:val="-11"/>
                <w:sz w:val="21"/>
                <w:szCs w:val="21"/>
              </w:rPr>
              <w:t>增股份、首次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中国新闻发展深</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圳有限公司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4,515,556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6,773,334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11,288,890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增股份</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28</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11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中国经济信息社</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3,819,716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5,729,574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9,549,290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增股份</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28</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广东南方报业传</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媒集团有限公司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3,010,371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7,525,928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4,515,557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pacing w:val="-11"/>
                <w:sz w:val="21"/>
                <w:szCs w:val="21"/>
              </w:rPr>
              <w:t>增股份、首次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11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中国联合网络通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信集团有限公司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3,010,371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7,525,927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4,515,556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pacing w:val="-11"/>
                <w:sz w:val="21"/>
                <w:szCs w:val="21"/>
              </w:rPr>
              <w:t>增股份、首次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安徽新华传媒股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1,534,156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3,835,390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2,301,234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tc>
      </w:tr>
    </w:tbl>
    <w:p>
      <w:pPr>
        <w:spacing w:after="0" w:line="274" w:lineRule="exact"/>
        <w:jc w:val="left"/>
        <w:rPr>
          <w:rFonts w:ascii="宋体" w:hAnsi="宋体" w:cs="宋体" w:eastAsia="宋体" w:hint="default"/>
          <w:sz w:val="21"/>
          <w:szCs w:val="21"/>
        </w:rPr>
        <w:sectPr>
          <w:footerReference w:type="default" r:id="rId45"/>
          <w:pgSz w:w="11910" w:h="16840"/>
          <w:pgMar w:footer="1195" w:header="0" w:top="1120" w:bottom="1380" w:left="1320" w:right="780"/>
          <w:pgNumType w:start="57"/>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702"/>
        <w:gridCol w:w="1493"/>
        <w:gridCol w:w="1289"/>
        <w:gridCol w:w="1472"/>
        <w:gridCol w:w="1418"/>
        <w:gridCol w:w="1417"/>
        <w:gridCol w:w="778"/>
      </w:tblGrid>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增股份、首次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中国电信集团有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1,505,186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3,762,965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2,257,779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pacing w:val="-11"/>
                <w:sz w:val="21"/>
                <w:szCs w:val="21"/>
              </w:rPr>
              <w:t>增股份、首次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中信信托有限责</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任公司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1,483,032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3,707,580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2,224,548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pacing w:val="-11"/>
                <w:sz w:val="21"/>
                <w:szCs w:val="21"/>
              </w:rPr>
              <w:t>增股份、首次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110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江苏省广播电视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集团有限公司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1,483,032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3,707,580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2,224,548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pacing w:val="-11"/>
                <w:sz w:val="21"/>
                <w:szCs w:val="21"/>
              </w:rPr>
              <w:t>增股份、首次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全国社会保障基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金理事会转持一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户</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571,658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1,429,145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857,487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pacing w:val="-11"/>
                <w:sz w:val="21"/>
                <w:szCs w:val="21"/>
              </w:rPr>
              <w:t>增股份、首次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30</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109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全国社会保障基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金理事会转持一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户</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4,567,512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6,851,268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11,418,780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获</w:t>
            </w:r>
            <w:r>
              <w:rPr>
                <w:rFonts w:ascii="宋体" w:hAnsi="宋体" w:cs="宋体" w:eastAsia="宋体" w:hint="default"/>
                <w:spacing w:val="-69"/>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送</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增股份</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28</w:t>
            </w:r>
            <w:r>
              <w:rPr>
                <w:rFonts w:ascii="宋体" w:hAnsi="宋体" w:cs="宋体" w:eastAsia="宋体" w:hint="default"/>
                <w:w w:val="100"/>
                <w:sz w:val="21"/>
                <w:szCs w:val="21"/>
              </w:rPr>
              <w:t> </w:t>
            </w:r>
            <w:r>
              <w:rPr>
                <w:rFonts w:ascii="宋体" w:hAnsi="宋体" w:cs="宋体" w:eastAsia="宋体" w:hint="default"/>
                <w:sz w:val="21"/>
                <w:szCs w:val="21"/>
              </w:rPr>
              <w:t>日</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155,708,808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46,712,640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233,563,212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342,559,380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19"/>
          <w:szCs w:val="19"/>
        </w:rPr>
      </w:pPr>
    </w:p>
    <w:p>
      <w:pPr>
        <w:pStyle w:val="Heading3"/>
        <w:spacing w:line="290" w:lineRule="auto"/>
        <w:ind w:left="478" w:right="635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2"/>
        <w:ind w:left="478" w:right="495"/>
        <w:jc w:val="left"/>
      </w:pPr>
      <w:r>
        <w:rPr/>
        <w:t>□适用</w:t>
      </w:r>
      <w:r>
        <w:rPr>
          <w:spacing w:val="-2"/>
        </w:rPr>
        <w:t> </w:t>
      </w:r>
      <w:r>
        <w:rPr/>
        <w:t>√不适用</w:t>
      </w:r>
      <w:r>
        <w:rPr>
          <w:w w:val="100"/>
        </w:rPr>
        <w:t> </w:t>
      </w:r>
      <w:r>
        <w:rPr>
          <w:spacing w:val="-2"/>
        </w:rPr>
        <w:t>截至报告期内证券发行情况的说明（存续期内利率不同的债券，请分别说明）：</w:t>
      </w:r>
    </w:p>
    <w:p>
      <w:pPr>
        <w:tabs>
          <w:tab w:pos="1320" w:val="left" w:leader="none"/>
        </w:tabs>
        <w:spacing w:line="290" w:lineRule="auto" w:before="0"/>
        <w:ind w:left="478" w:right="23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公司普通股股份总数及股东结构变动及公司资产和负债结构的变动情况</w:t>
      </w:r>
      <w:r>
        <w:rPr>
          <w:rFonts w:ascii="宋体" w:hAnsi="宋体" w:cs="宋体" w:eastAsia="宋体" w:hint="default"/>
          <w:spacing w:val="-1"/>
          <w:sz w:val="21"/>
          <w:szCs w:val="21"/>
        </w:rPr>
      </w:r>
    </w:p>
    <w:p>
      <w:pPr>
        <w:pStyle w:val="BodyText"/>
        <w:tabs>
          <w:tab w:pos="1320" w:val="left" w:leader="none"/>
        </w:tabs>
        <w:spacing w:line="240" w:lineRule="auto" w:before="12"/>
        <w:ind w:left="478" w:right="0"/>
        <w:jc w:val="left"/>
      </w:pPr>
      <w:r>
        <w:rPr>
          <w:spacing w:val="-1"/>
        </w:rPr>
        <w:t>√适用</w:t>
        <w:tab/>
      </w:r>
      <w:r>
        <w:rPr>
          <w:spacing w:val="-2"/>
        </w:rPr>
        <w:t>□不适用</w:t>
      </w:r>
    </w:p>
    <w:p>
      <w:pPr>
        <w:pStyle w:val="BodyText"/>
        <w:spacing w:line="240" w:lineRule="auto" w:before="75"/>
        <w:ind w:left="898" w:right="0"/>
        <w:jc w:val="left"/>
      </w:pPr>
      <w:r>
        <w:rPr>
          <w:w w:val="100"/>
        </w:rPr>
        <w:t>报告</w:t>
      </w:r>
      <w:r>
        <w:rPr>
          <w:spacing w:val="-3"/>
          <w:w w:val="100"/>
        </w:rPr>
        <w:t>期内</w:t>
      </w:r>
      <w:r>
        <w:rPr>
          <w:spacing w:val="-92"/>
          <w:w w:val="100"/>
        </w:rPr>
        <w:t>，</w:t>
      </w:r>
      <w:r>
        <w:rPr>
          <w:spacing w:val="-3"/>
          <w:w w:val="100"/>
        </w:rPr>
        <w:t>公</w:t>
      </w:r>
      <w:r>
        <w:rPr>
          <w:spacing w:val="-1"/>
          <w:w w:val="100"/>
        </w:rPr>
        <w:t>司</w:t>
      </w:r>
      <w:r>
        <w:rPr>
          <w:spacing w:val="-3"/>
          <w:w w:val="100"/>
        </w:rPr>
        <w:t>以</w:t>
      </w:r>
      <w:r>
        <w:rPr>
          <w:w w:val="100"/>
        </w:rPr>
        <w:t>本</w:t>
      </w:r>
      <w:r>
        <w:rPr>
          <w:spacing w:val="-3"/>
          <w:w w:val="100"/>
        </w:rPr>
        <w:t>次</w:t>
      </w:r>
      <w:r>
        <w:rPr>
          <w:w w:val="100"/>
        </w:rPr>
        <w:t>利</w:t>
      </w:r>
      <w:r>
        <w:rPr>
          <w:spacing w:val="-3"/>
          <w:w w:val="100"/>
        </w:rPr>
        <w:t>润</w:t>
      </w:r>
      <w:r>
        <w:rPr>
          <w:w w:val="100"/>
        </w:rPr>
        <w:t>分配</w:t>
      </w:r>
      <w:r>
        <w:rPr>
          <w:spacing w:val="-3"/>
          <w:w w:val="100"/>
        </w:rPr>
        <w:t>及</w:t>
      </w:r>
      <w:r>
        <w:rPr>
          <w:w w:val="100"/>
        </w:rPr>
        <w:t>转</w:t>
      </w:r>
      <w:r>
        <w:rPr>
          <w:spacing w:val="-3"/>
          <w:w w:val="100"/>
        </w:rPr>
        <w:t>增</w:t>
      </w:r>
      <w:r>
        <w:rPr>
          <w:w w:val="100"/>
        </w:rPr>
        <w:t>股</w:t>
      </w:r>
      <w:r>
        <w:rPr>
          <w:spacing w:val="-3"/>
          <w:w w:val="100"/>
        </w:rPr>
        <w:t>本</w:t>
      </w:r>
      <w:r>
        <w:rPr>
          <w:w w:val="100"/>
        </w:rPr>
        <w:t>方</w:t>
      </w:r>
      <w:r>
        <w:rPr>
          <w:spacing w:val="-3"/>
          <w:w w:val="100"/>
        </w:rPr>
        <w:t>案</w:t>
      </w:r>
      <w:r>
        <w:rPr>
          <w:w w:val="100"/>
        </w:rPr>
        <w:t>实</w:t>
      </w:r>
      <w:r>
        <w:rPr>
          <w:spacing w:val="-3"/>
          <w:w w:val="100"/>
        </w:rPr>
        <w:t>施</w:t>
      </w:r>
      <w:r>
        <w:rPr>
          <w:w w:val="100"/>
        </w:rPr>
        <w:t>前的</w:t>
      </w:r>
      <w:r>
        <w:rPr>
          <w:spacing w:val="-3"/>
          <w:w w:val="100"/>
        </w:rPr>
        <w:t>公</w:t>
      </w:r>
      <w:r>
        <w:rPr>
          <w:w w:val="100"/>
        </w:rPr>
        <w:t>司</w:t>
      </w:r>
      <w:r>
        <w:rPr>
          <w:spacing w:val="-3"/>
          <w:w w:val="100"/>
        </w:rPr>
        <w:t>总股</w:t>
      </w:r>
      <w:r>
        <w:rPr>
          <w:w w:val="100"/>
        </w:rPr>
        <w:t>本</w:t>
      </w:r>
      <w:r>
        <w:rPr>
          <w:spacing w:val="-53"/>
        </w:rPr>
        <w:t> </w:t>
      </w:r>
      <w:r>
        <w:rPr>
          <w:rFonts w:ascii="宋体" w:hAnsi="宋体" w:cs="宋体" w:eastAsia="宋体" w:hint="default"/>
          <w:w w:val="100"/>
        </w:rPr>
        <w:t>20</w:t>
      </w:r>
      <w:r>
        <w:rPr>
          <w:rFonts w:ascii="宋体" w:hAnsi="宋体" w:cs="宋体" w:eastAsia="宋体" w:hint="default"/>
          <w:spacing w:val="-3"/>
          <w:w w:val="100"/>
        </w:rPr>
        <w:t>7</w:t>
      </w:r>
      <w:r>
        <w:rPr>
          <w:rFonts w:ascii="宋体" w:hAnsi="宋体" w:cs="宋体" w:eastAsia="宋体" w:hint="default"/>
          <w:w w:val="100"/>
        </w:rPr>
        <w:t>,61</w:t>
      </w:r>
      <w:r>
        <w:rPr>
          <w:rFonts w:ascii="宋体" w:hAnsi="宋体" w:cs="宋体" w:eastAsia="宋体" w:hint="default"/>
          <w:spacing w:val="-3"/>
          <w:w w:val="100"/>
        </w:rPr>
        <w:t>1,</w:t>
      </w:r>
      <w:r>
        <w:rPr>
          <w:rFonts w:ascii="宋体" w:hAnsi="宋体" w:cs="宋体" w:eastAsia="宋体" w:hint="default"/>
          <w:w w:val="100"/>
        </w:rPr>
        <w:t>744</w:t>
      </w:r>
      <w:r>
        <w:rPr>
          <w:rFonts w:ascii="宋体" w:hAnsi="宋体" w:cs="宋体" w:eastAsia="宋体" w:hint="default"/>
          <w:spacing w:val="-52"/>
        </w:rPr>
        <w:t> </w:t>
      </w:r>
      <w:r>
        <w:rPr>
          <w:spacing w:val="-3"/>
          <w:w w:val="100"/>
        </w:rPr>
        <w:t>股</w:t>
      </w:r>
      <w:r>
        <w:rPr>
          <w:w w:val="100"/>
        </w:rPr>
        <w:t>为</w:t>
      </w:r>
      <w:r>
        <w:rPr>
          <w:spacing w:val="-3"/>
          <w:w w:val="100"/>
        </w:rPr>
        <w:t>基</w:t>
      </w:r>
      <w:r>
        <w:rPr>
          <w:w w:val="100"/>
        </w:rPr>
        <w:t>数，</w:t>
      </w:r>
    </w:p>
    <w:p>
      <w:pPr>
        <w:pStyle w:val="BodyText"/>
        <w:spacing w:line="240" w:lineRule="auto" w:before="85"/>
        <w:ind w:left="478" w:right="0"/>
        <w:jc w:val="left"/>
      </w:pPr>
      <w:r>
        <w:rPr/>
        <w:t>以</w:t>
      </w:r>
      <w:r>
        <w:rPr>
          <w:spacing w:val="-53"/>
        </w:rPr>
        <w:t> </w:t>
      </w:r>
      <w:r>
        <w:rPr>
          <w:rFonts w:ascii="宋体" w:hAnsi="宋体" w:cs="宋体" w:eastAsia="宋体" w:hint="default"/>
        </w:rPr>
        <w:t>2016</w:t>
      </w:r>
      <w:r>
        <w:rPr>
          <w:rFonts w:ascii="宋体" w:hAnsi="宋体" w:cs="宋体" w:eastAsia="宋体" w:hint="default"/>
          <w:spacing w:val="-53"/>
        </w:rPr>
        <w:t> </w:t>
      </w:r>
      <w:r>
        <w:rPr/>
        <w:t>年末公司可供分配利润向全体股东每</w:t>
      </w:r>
      <w:r>
        <w:rPr>
          <w:spacing w:val="-53"/>
        </w:rPr>
        <w:t> </w:t>
      </w:r>
      <w:r>
        <w:rPr>
          <w:rFonts w:ascii="宋体" w:hAnsi="宋体" w:cs="宋体" w:eastAsia="宋体" w:hint="default"/>
        </w:rPr>
        <w:t>10</w:t>
      </w:r>
      <w:r>
        <w:rPr>
          <w:rFonts w:ascii="宋体" w:hAnsi="宋体" w:cs="宋体" w:eastAsia="宋体" w:hint="default"/>
          <w:spacing w:val="-53"/>
        </w:rPr>
        <w:t> </w:t>
      </w:r>
      <w:r>
        <w:rPr/>
        <w:t>股送红股</w:t>
      </w:r>
      <w:r>
        <w:rPr>
          <w:spacing w:val="-52"/>
        </w:rPr>
        <w:t> </w:t>
      </w:r>
      <w:r>
        <w:rPr>
          <w:rFonts w:ascii="宋体" w:hAnsi="宋体" w:cs="宋体" w:eastAsia="宋体" w:hint="default"/>
        </w:rPr>
        <w:t>10</w:t>
      </w:r>
      <w:r>
        <w:rPr>
          <w:rFonts w:ascii="宋体" w:hAnsi="宋体" w:cs="宋体" w:eastAsia="宋体" w:hint="default"/>
          <w:spacing w:val="-53"/>
        </w:rPr>
        <w:t> </w:t>
      </w:r>
      <w:r>
        <w:rPr>
          <w:spacing w:val="-8"/>
        </w:rPr>
        <w:t>股，送红股共计</w:t>
      </w:r>
      <w:r>
        <w:rPr>
          <w:spacing w:val="-55"/>
        </w:rPr>
        <w:t> </w:t>
      </w:r>
      <w:r>
        <w:rPr>
          <w:rFonts w:ascii="宋体" w:hAnsi="宋体" w:cs="宋体" w:eastAsia="宋体" w:hint="default"/>
        </w:rPr>
        <w:t>207,611,744</w:t>
      </w:r>
      <w:r>
        <w:rPr>
          <w:rFonts w:ascii="宋体" w:hAnsi="宋体" w:cs="宋体" w:eastAsia="宋体" w:hint="default"/>
          <w:spacing w:val="-55"/>
        </w:rPr>
        <w:t> </w:t>
      </w:r>
      <w:r>
        <w:rPr>
          <w:spacing w:val="-16"/>
        </w:rPr>
        <w:t>股；同</w:t>
      </w:r>
    </w:p>
    <w:p>
      <w:pPr>
        <w:pStyle w:val="BodyText"/>
        <w:spacing w:line="240" w:lineRule="auto" w:before="85"/>
        <w:ind w:left="478" w:right="0"/>
        <w:jc w:val="left"/>
      </w:pPr>
      <w:r>
        <w:rPr/>
        <w:t>时，以资本公积向全体股东每</w:t>
      </w:r>
      <w:r>
        <w:rPr>
          <w:spacing w:val="-51"/>
        </w:rPr>
        <w:t> </w:t>
      </w:r>
      <w:r>
        <w:rPr>
          <w:rFonts w:ascii="宋体" w:hAnsi="宋体" w:cs="宋体" w:eastAsia="宋体" w:hint="default"/>
        </w:rPr>
        <w:t>10</w:t>
      </w:r>
      <w:r>
        <w:rPr>
          <w:rFonts w:ascii="宋体" w:hAnsi="宋体" w:cs="宋体" w:eastAsia="宋体" w:hint="default"/>
          <w:spacing w:val="-51"/>
        </w:rPr>
        <w:t> </w:t>
      </w:r>
      <w:r>
        <w:rPr/>
        <w:t>股转增</w:t>
      </w:r>
      <w:r>
        <w:rPr>
          <w:spacing w:val="-51"/>
        </w:rPr>
        <w:t> </w:t>
      </w:r>
      <w:r>
        <w:rPr>
          <w:rFonts w:ascii="宋体" w:hAnsi="宋体" w:cs="宋体" w:eastAsia="宋体" w:hint="default"/>
        </w:rPr>
        <w:t>5</w:t>
      </w:r>
      <w:r>
        <w:rPr>
          <w:rFonts w:ascii="宋体" w:hAnsi="宋体" w:cs="宋体" w:eastAsia="宋体" w:hint="default"/>
          <w:spacing w:val="-54"/>
        </w:rPr>
        <w:t> </w:t>
      </w:r>
      <w:r>
        <w:rPr/>
        <w:t>股，转增共计</w:t>
      </w:r>
      <w:r>
        <w:rPr>
          <w:spacing w:val="-51"/>
        </w:rPr>
        <w:t> </w:t>
      </w:r>
      <w:r>
        <w:rPr>
          <w:rFonts w:ascii="宋体" w:hAnsi="宋体" w:cs="宋体" w:eastAsia="宋体" w:hint="default"/>
        </w:rPr>
        <w:t>103,805,872</w:t>
      </w:r>
      <w:r>
        <w:rPr>
          <w:rFonts w:ascii="宋体" w:hAnsi="宋体" w:cs="宋体" w:eastAsia="宋体" w:hint="default"/>
          <w:spacing w:val="-54"/>
        </w:rPr>
        <w:t> </w:t>
      </w:r>
      <w:r>
        <w:rPr/>
        <w:t>股，上述方案实施完毕后，</w:t>
      </w:r>
    </w:p>
    <w:p>
      <w:pPr>
        <w:spacing w:line="300" w:lineRule="auto" w:before="85"/>
        <w:ind w:left="478" w:right="6370" w:firstLine="0"/>
        <w:jc w:val="left"/>
        <w:rPr>
          <w:rFonts w:ascii="宋体" w:hAnsi="宋体" w:cs="宋体" w:eastAsia="宋体" w:hint="default"/>
          <w:sz w:val="21"/>
          <w:szCs w:val="21"/>
        </w:rPr>
      </w:pPr>
      <w:r>
        <w:rPr>
          <w:rFonts w:ascii="宋体" w:hAnsi="宋体" w:cs="宋体" w:eastAsia="宋体" w:hint="default"/>
          <w:sz w:val="21"/>
          <w:szCs w:val="21"/>
        </w:rPr>
        <w:t>公司总股本为</w:t>
      </w:r>
      <w:r>
        <w:rPr>
          <w:rFonts w:ascii="宋体" w:hAnsi="宋体" w:cs="宋体" w:eastAsia="宋体" w:hint="default"/>
          <w:spacing w:val="-54"/>
          <w:sz w:val="21"/>
          <w:szCs w:val="21"/>
        </w:rPr>
        <w:t> </w:t>
      </w:r>
      <w:r>
        <w:rPr>
          <w:rFonts w:ascii="宋体" w:hAnsi="宋体" w:cs="宋体" w:eastAsia="宋体" w:hint="default"/>
          <w:sz w:val="21"/>
          <w:szCs w:val="21"/>
        </w:rPr>
        <w:t>519,029,360</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spacing w:line="240" w:lineRule="auto" w:before="4"/>
        <w:ind w:left="478" w:right="0"/>
        <w:jc w:val="left"/>
      </w:pPr>
      <w:r>
        <w:rPr/>
        <w:t>□适用</w:t>
      </w:r>
      <w:r>
        <w:rPr>
          <w:spacing w:val="-1"/>
        </w:rPr>
        <w:t> </w:t>
      </w:r>
      <w:r>
        <w:rPr/>
        <w:t>√不适用</w:t>
      </w:r>
    </w:p>
    <w:p>
      <w:pPr>
        <w:spacing w:line="240" w:lineRule="auto" w:before="5"/>
        <w:rPr>
          <w:rFonts w:ascii="宋体" w:hAnsi="宋体" w:cs="宋体" w:eastAsia="宋体" w:hint="default"/>
          <w:sz w:val="27"/>
          <w:szCs w:val="27"/>
        </w:rPr>
      </w:pPr>
    </w:p>
    <w:p>
      <w:pPr>
        <w:pStyle w:val="Heading3"/>
        <w:spacing w:line="240" w:lineRule="auto" w:before="0"/>
        <w:ind w:left="478" w:right="0"/>
        <w:jc w:val="left"/>
        <w:rPr>
          <w:b w:val="0"/>
          <w:bCs w:val="0"/>
        </w:rPr>
      </w:pPr>
      <w:r>
        <w:rPr/>
        <w:t>三、</w:t>
      </w:r>
      <w:r>
        <w:rPr>
          <w:spacing w:val="-80"/>
        </w:rPr>
        <w:t> </w:t>
      </w:r>
      <w:r>
        <w:rPr/>
        <w:t>股东和实际控制人情况</w:t>
      </w:r>
      <w:r>
        <w:rPr>
          <w:b w:val="0"/>
          <w:bCs w:val="0"/>
        </w:rPr>
      </w:r>
    </w:p>
    <w:p>
      <w:pPr>
        <w:pStyle w:val="Heading3"/>
        <w:spacing w:line="240" w:lineRule="auto" w:before="58"/>
        <w:ind w:left="47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10" w:type="dxa"/>
        <w:tblLayout w:type="fixed"/>
        <w:tblCellMar>
          <w:top w:w="0" w:type="dxa"/>
          <w:left w:w="0" w:type="dxa"/>
          <w:bottom w:w="0" w:type="dxa"/>
          <w:right w:w="0" w:type="dxa"/>
        </w:tblCellMar>
        <w:tblLook w:val="01E0"/>
      </w:tblPr>
      <w:tblGrid>
        <w:gridCol w:w="6176"/>
        <w:gridCol w:w="3382"/>
      </w:tblGrid>
      <w:tr>
        <w:trPr>
          <w:trHeight w:val="283" w:hRule="exact"/>
        </w:trPr>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33,320</w:t>
            </w:r>
          </w:p>
        </w:tc>
      </w:tr>
      <w:tr>
        <w:trPr>
          <w:trHeight w:val="281" w:hRule="exact"/>
        </w:trPr>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33,258</w:t>
            </w:r>
          </w:p>
        </w:tc>
      </w:tr>
      <w:tr>
        <w:trPr>
          <w:trHeight w:val="283" w:hRule="exact"/>
        </w:trPr>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3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40"/>
          <w:pgMar w:header="0" w:footer="1195" w:top="1120" w:bottom="1380" w:left="132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1195" w:top="1120" w:bottom="1380" w:left="920" w:right="400"/>
        </w:sectPr>
      </w:pPr>
    </w:p>
    <w:p>
      <w:pPr>
        <w:pStyle w:val="Heading3"/>
        <w:spacing w:line="240" w:lineRule="auto" w:before="175"/>
        <w:ind w:left="87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18"/>
          <w:szCs w:val="18"/>
        </w:rPr>
      </w:pPr>
    </w:p>
    <w:p>
      <w:pPr>
        <w:pStyle w:val="BodyText"/>
        <w:spacing w:line="240" w:lineRule="auto"/>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920" w:right="400"/>
          <w:cols w:num="2" w:equalWidth="0">
            <w:col w:w="8473" w:space="40"/>
            <w:col w:w="2077"/>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127"/>
        <w:gridCol w:w="1467"/>
        <w:gridCol w:w="94"/>
        <w:gridCol w:w="1560"/>
        <w:gridCol w:w="708"/>
        <w:gridCol w:w="283"/>
        <w:gridCol w:w="1418"/>
        <w:gridCol w:w="709"/>
        <w:gridCol w:w="142"/>
        <w:gridCol w:w="566"/>
        <w:gridCol w:w="1277"/>
      </w:tblGrid>
      <w:tr>
        <w:trPr>
          <w:trHeight w:val="281" w:hRule="exact"/>
        </w:trPr>
        <w:tc>
          <w:tcPr>
            <w:tcW w:w="103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7"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4" w:lineRule="exact"/>
              <w:ind w:left="638"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638"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561"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92"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18" w:type="dxa"/>
            <w:vMerge w:val="restart"/>
            <w:tcBorders>
              <w:top w:val="single" w:sz="4" w:space="0" w:color="000000"/>
              <w:left w:val="single" w:sz="4" w:space="0" w:color="000000"/>
              <w:right w:val="single" w:sz="4" w:space="0" w:color="000000"/>
            </w:tcBorders>
          </w:tcPr>
          <w:p>
            <w:pPr>
              <w:pStyle w:val="TableParagraph"/>
              <w:spacing w:line="237" w:lineRule="auto" w:before="110"/>
              <w:ind w:left="177" w:right="175"/>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42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2127" w:type="dxa"/>
            <w:vMerge/>
            <w:tcBorders>
              <w:left w:val="single" w:sz="4" w:space="0" w:color="000000"/>
              <w:bottom w:val="single" w:sz="4" w:space="0" w:color="000000"/>
              <w:right w:val="single" w:sz="4" w:space="0" w:color="000000"/>
            </w:tcBorders>
          </w:tcPr>
          <w:p>
            <w:pPr/>
          </w:p>
        </w:tc>
        <w:tc>
          <w:tcPr>
            <w:tcW w:w="1561" w:type="dxa"/>
            <w:gridSpan w:val="2"/>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92" w:type="dxa"/>
            <w:gridSpan w:val="2"/>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9"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09"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1277" w:type="dxa"/>
            <w:vMerge/>
            <w:tcBorders>
              <w:left w:val="single" w:sz="4" w:space="0" w:color="000000"/>
              <w:bottom w:val="single" w:sz="4" w:space="0" w:color="000000"/>
              <w:right w:val="single" w:sz="4" w:space="0" w:color="000000"/>
            </w:tcBorders>
          </w:tcPr>
          <w:p>
            <w:pP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sz w:val="21"/>
              </w:rPr>
              <w:t>186,181,452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310,302,420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sz w:val="21"/>
              </w:rPr>
              <w:t>59.79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310,302,420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事会转持一户</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sz w:val="21"/>
              </w:rPr>
              <w:t>7,708,755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12,847,925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sz w:val="21"/>
              </w:rPr>
              <w:t>2.48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11,418,780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7"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中国新闻发展深圳有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01" w:right="0"/>
              <w:jc w:val="left"/>
              <w:rPr>
                <w:rFonts w:ascii="宋体" w:hAnsi="宋体" w:cs="宋体" w:eastAsia="宋体" w:hint="default"/>
                <w:sz w:val="21"/>
                <w:szCs w:val="21"/>
              </w:rPr>
            </w:pPr>
            <w:r>
              <w:rPr>
                <w:rFonts w:ascii="宋体"/>
                <w:sz w:val="21"/>
              </w:rPr>
              <w:t>6,773,334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11,288,890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6" w:right="0"/>
              <w:jc w:val="left"/>
              <w:rPr>
                <w:rFonts w:ascii="宋体" w:hAnsi="宋体" w:cs="宋体" w:eastAsia="宋体" w:hint="default"/>
                <w:sz w:val="21"/>
                <w:szCs w:val="21"/>
              </w:rPr>
            </w:pPr>
            <w:r>
              <w:rPr>
                <w:rFonts w:ascii="宋体"/>
                <w:sz w:val="21"/>
              </w:rPr>
              <w:t>2.18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11,288,890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中国文化产业投资基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金（有限合伙）</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sz w:val="21"/>
              </w:rPr>
              <w:t>4,401,823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10,489,073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sz w:val="21"/>
              </w:rPr>
              <w:t>2.02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中国经济信息社有限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sz w:val="21"/>
              </w:rPr>
              <w:t>5,729,574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9,549,290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sz w:val="21"/>
              </w:rPr>
              <w:t>1.84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9,549,290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广东南方报业传媒集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sz w:val="21"/>
              </w:rPr>
              <w:t>4,515,557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7,525,928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sz w:val="21"/>
              </w:rPr>
              <w:t>1.45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sz w:val="21"/>
              </w:rPr>
              <w:t>4,515,556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7,525,927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sz w:val="21"/>
              </w:rPr>
              <w:t>1.45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陈惠忠</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sz w:val="21"/>
              </w:rPr>
              <w:t>5,879,223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5,879,223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sz w:val="21"/>
              </w:rPr>
              <w:t>1.13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1" w:right="0"/>
              <w:jc w:val="left"/>
              <w:rPr>
                <w:rFonts w:ascii="宋体" w:hAnsi="宋体" w:cs="宋体" w:eastAsia="宋体" w:hint="default"/>
                <w:sz w:val="21"/>
                <w:szCs w:val="21"/>
              </w:rPr>
            </w:pPr>
            <w:r>
              <w:rPr>
                <w:rFonts w:ascii="宋体"/>
                <w:sz w:val="21"/>
              </w:rPr>
              <w:t>5,442,706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5,442,706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6" w:right="0"/>
              <w:jc w:val="left"/>
              <w:rPr>
                <w:rFonts w:ascii="宋体" w:hAnsi="宋体" w:cs="宋体" w:eastAsia="宋体" w:hint="default"/>
                <w:sz w:val="21"/>
                <w:szCs w:val="21"/>
              </w:rPr>
            </w:pPr>
            <w:r>
              <w:rPr>
                <w:rFonts w:ascii="宋体"/>
                <w:sz w:val="21"/>
              </w:rPr>
              <w:t>1.05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82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云南国际信托有限公</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司－聚信</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号集合资</w:t>
            </w:r>
            <w:r>
              <w:rPr>
                <w:rFonts w:ascii="宋体" w:hAnsi="宋体" w:cs="宋体" w:eastAsia="宋体" w:hint="default"/>
                <w:w w:val="100"/>
                <w:sz w:val="21"/>
                <w:szCs w:val="21"/>
              </w:rPr>
              <w:t> </w:t>
            </w:r>
            <w:r>
              <w:rPr>
                <w:rFonts w:ascii="宋体" w:hAnsi="宋体" w:cs="宋体" w:eastAsia="宋体" w:hint="default"/>
                <w:sz w:val="21"/>
                <w:szCs w:val="21"/>
              </w:rPr>
              <w:t>金信托计划</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21"/>
                <w:szCs w:val="21"/>
              </w:rPr>
            </w:pPr>
            <w:r>
              <w:rPr>
                <w:rFonts w:ascii="宋体"/>
                <w:sz w:val="21"/>
              </w:rPr>
              <w:t>4,626,413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4,626,413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21"/>
                <w:szCs w:val="21"/>
              </w:rPr>
            </w:pPr>
            <w:r>
              <w:rPr>
                <w:rFonts w:ascii="宋体"/>
                <w:sz w:val="21"/>
              </w:rPr>
              <w:t>0.89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454" w:hRule="exact"/>
        </w:trPr>
        <w:tc>
          <w:tcPr>
            <w:tcW w:w="103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3594"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62"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的数量</w:t>
            </w:r>
          </w:p>
        </w:tc>
        <w:tc>
          <w:tcPr>
            <w:tcW w:w="439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594" w:type="dxa"/>
            <w:gridSpan w:val="2"/>
            <w:vMerge/>
            <w:tcBorders>
              <w:left w:val="single" w:sz="4" w:space="0" w:color="000000"/>
              <w:bottom w:val="single" w:sz="4" w:space="0" w:color="000000"/>
              <w:right w:val="single" w:sz="4" w:space="0" w:color="000000"/>
            </w:tcBorders>
          </w:tcPr>
          <w:p>
            <w:pPr/>
          </w:p>
        </w:tc>
        <w:tc>
          <w:tcPr>
            <w:tcW w:w="2362" w:type="dxa"/>
            <w:gridSpan w:val="3"/>
            <w:vMerge/>
            <w:tcBorders>
              <w:left w:val="single" w:sz="4" w:space="0" w:color="000000"/>
              <w:bottom w:val="single" w:sz="4" w:space="0" w:color="000000"/>
              <w:right w:val="single" w:sz="4" w:space="0" w:color="000000"/>
            </w:tcBorders>
          </w:tcPr>
          <w:p>
            <w:pP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中国文化产业投资基金（有限合伙）</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7" w:right="0"/>
              <w:jc w:val="left"/>
              <w:rPr>
                <w:rFonts w:ascii="宋体" w:hAnsi="宋体" w:cs="宋体" w:eastAsia="宋体" w:hint="default"/>
                <w:sz w:val="21"/>
                <w:szCs w:val="21"/>
              </w:rPr>
            </w:pPr>
            <w:r>
              <w:rPr>
                <w:rFonts w:ascii="宋体"/>
                <w:sz w:val="21"/>
              </w:rPr>
              <w:t>10,489,073</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sz w:val="21"/>
              </w:rPr>
              <w:t>10,489,073</w:t>
            </w:r>
          </w:p>
        </w:tc>
      </w:tr>
      <w:tr>
        <w:trPr>
          <w:trHeight w:val="281"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广东南方报业传媒集团有限公司</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3" w:right="0"/>
              <w:jc w:val="left"/>
              <w:rPr>
                <w:rFonts w:ascii="宋体" w:hAnsi="宋体" w:cs="宋体" w:eastAsia="宋体" w:hint="default"/>
                <w:sz w:val="21"/>
                <w:szCs w:val="21"/>
              </w:rPr>
            </w:pPr>
            <w:r>
              <w:rPr>
                <w:rFonts w:ascii="宋体"/>
                <w:sz w:val="21"/>
              </w:rPr>
              <w:t>7,525,928</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sz w:val="21"/>
              </w:rPr>
              <w:t>7,525,928</w:t>
            </w:r>
          </w:p>
        </w:tc>
      </w:tr>
      <w:tr>
        <w:trPr>
          <w:trHeight w:val="283"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03" w:right="0"/>
              <w:jc w:val="left"/>
              <w:rPr>
                <w:rFonts w:ascii="宋体" w:hAnsi="宋体" w:cs="宋体" w:eastAsia="宋体" w:hint="default"/>
                <w:sz w:val="21"/>
                <w:szCs w:val="21"/>
              </w:rPr>
            </w:pPr>
            <w:r>
              <w:rPr>
                <w:rFonts w:ascii="宋体"/>
                <w:sz w:val="21"/>
              </w:rPr>
              <w:t>7,525,927</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sz w:val="21"/>
              </w:rPr>
              <w:t>7,525,927</w:t>
            </w:r>
          </w:p>
        </w:tc>
      </w:tr>
      <w:tr>
        <w:trPr>
          <w:trHeight w:val="283"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陈惠忠</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3" w:right="0"/>
              <w:jc w:val="left"/>
              <w:rPr>
                <w:rFonts w:ascii="宋体" w:hAnsi="宋体" w:cs="宋体" w:eastAsia="宋体" w:hint="default"/>
                <w:sz w:val="21"/>
                <w:szCs w:val="21"/>
              </w:rPr>
            </w:pPr>
            <w:r>
              <w:rPr>
                <w:rFonts w:ascii="宋体"/>
                <w:sz w:val="21"/>
              </w:rPr>
              <w:t>5,879,223</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sz w:val="21"/>
              </w:rPr>
              <w:t>5,879,223</w:t>
            </w:r>
          </w:p>
        </w:tc>
      </w:tr>
      <w:tr>
        <w:trPr>
          <w:trHeight w:val="281"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3" w:right="0"/>
              <w:jc w:val="left"/>
              <w:rPr>
                <w:rFonts w:ascii="宋体" w:hAnsi="宋体" w:cs="宋体" w:eastAsia="宋体" w:hint="default"/>
                <w:sz w:val="21"/>
                <w:szCs w:val="21"/>
              </w:rPr>
            </w:pPr>
            <w:r>
              <w:rPr>
                <w:rFonts w:ascii="宋体"/>
                <w:sz w:val="21"/>
              </w:rPr>
              <w:t>5,442,706</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sz w:val="21"/>
              </w:rPr>
              <w:t>5,442,706</w:t>
            </w:r>
          </w:p>
        </w:tc>
      </w:tr>
      <w:tr>
        <w:trPr>
          <w:trHeight w:val="554"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云南国际信托有限公司－聚信</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号集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合资金信托计划</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3" w:right="0"/>
              <w:jc w:val="left"/>
              <w:rPr>
                <w:rFonts w:ascii="宋体" w:hAnsi="宋体" w:cs="宋体" w:eastAsia="宋体" w:hint="default"/>
                <w:sz w:val="21"/>
                <w:szCs w:val="21"/>
              </w:rPr>
            </w:pPr>
            <w:r>
              <w:rPr>
                <w:rFonts w:ascii="宋体"/>
                <w:sz w:val="21"/>
              </w:rPr>
              <w:t>4,626,413</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6" w:right="0"/>
              <w:jc w:val="left"/>
              <w:rPr>
                <w:rFonts w:ascii="宋体" w:hAnsi="宋体" w:cs="宋体" w:eastAsia="宋体" w:hint="default"/>
                <w:sz w:val="21"/>
                <w:szCs w:val="21"/>
              </w:rPr>
            </w:pPr>
            <w:r>
              <w:rPr>
                <w:rFonts w:ascii="宋体"/>
                <w:sz w:val="21"/>
              </w:rPr>
              <w:t>4,626,413</w:t>
            </w:r>
          </w:p>
        </w:tc>
      </w:tr>
      <w:tr>
        <w:trPr>
          <w:trHeight w:val="557"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华润深国投信托有限公司－润之信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期集合资金信托计划</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3" w:right="0"/>
              <w:jc w:val="left"/>
              <w:rPr>
                <w:rFonts w:ascii="宋体" w:hAnsi="宋体" w:cs="宋体" w:eastAsia="宋体" w:hint="default"/>
                <w:sz w:val="21"/>
                <w:szCs w:val="21"/>
              </w:rPr>
            </w:pPr>
            <w:r>
              <w:rPr>
                <w:rFonts w:ascii="宋体"/>
                <w:sz w:val="21"/>
              </w:rPr>
              <w:t>3,965,090</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6" w:right="0"/>
              <w:jc w:val="left"/>
              <w:rPr>
                <w:rFonts w:ascii="宋体" w:hAnsi="宋体" w:cs="宋体" w:eastAsia="宋体" w:hint="default"/>
                <w:sz w:val="21"/>
                <w:szCs w:val="21"/>
              </w:rPr>
            </w:pPr>
            <w:r>
              <w:rPr>
                <w:rFonts w:ascii="宋体"/>
                <w:sz w:val="21"/>
              </w:rPr>
              <w:t>3,965,090</w:t>
            </w:r>
          </w:p>
        </w:tc>
      </w:tr>
      <w:tr>
        <w:trPr>
          <w:trHeight w:val="281"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3" w:right="0"/>
              <w:jc w:val="left"/>
              <w:rPr>
                <w:rFonts w:ascii="宋体" w:hAnsi="宋体" w:cs="宋体" w:eastAsia="宋体" w:hint="default"/>
                <w:sz w:val="21"/>
                <w:szCs w:val="21"/>
              </w:rPr>
            </w:pPr>
            <w:r>
              <w:rPr>
                <w:rFonts w:ascii="宋体"/>
                <w:sz w:val="21"/>
              </w:rPr>
              <w:t>3,835,390</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sz w:val="21"/>
              </w:rPr>
              <w:t>3,835,390</w:t>
            </w:r>
          </w:p>
        </w:tc>
      </w:tr>
      <w:tr>
        <w:trPr>
          <w:trHeight w:val="283"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中国电信集团有限公司</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3" w:right="0"/>
              <w:jc w:val="left"/>
              <w:rPr>
                <w:rFonts w:ascii="宋体" w:hAnsi="宋体" w:cs="宋体" w:eastAsia="宋体" w:hint="default"/>
                <w:sz w:val="21"/>
                <w:szCs w:val="21"/>
              </w:rPr>
            </w:pPr>
            <w:r>
              <w:rPr>
                <w:rFonts w:ascii="宋体"/>
                <w:sz w:val="21"/>
              </w:rPr>
              <w:t>3,762,965</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sz w:val="21"/>
              </w:rPr>
              <w:t>3,762,965</w:t>
            </w:r>
          </w:p>
        </w:tc>
      </w:tr>
      <w:tr>
        <w:trPr>
          <w:trHeight w:val="554"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鹏华资产－浦发银行－鹏华资产金润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号资产管理计划</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3" w:right="0"/>
              <w:jc w:val="left"/>
              <w:rPr>
                <w:rFonts w:ascii="宋体" w:hAnsi="宋体" w:cs="宋体" w:eastAsia="宋体" w:hint="default"/>
                <w:sz w:val="21"/>
                <w:szCs w:val="21"/>
              </w:rPr>
            </w:pPr>
            <w:r>
              <w:rPr>
                <w:rFonts w:ascii="宋体"/>
                <w:sz w:val="21"/>
              </w:rPr>
              <w:t>3,172,250</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26" w:right="0"/>
              <w:jc w:val="left"/>
              <w:rPr>
                <w:rFonts w:ascii="宋体" w:hAnsi="宋体" w:cs="宋体" w:eastAsia="宋体" w:hint="default"/>
                <w:sz w:val="21"/>
                <w:szCs w:val="21"/>
              </w:rPr>
            </w:pPr>
            <w:r>
              <w:rPr>
                <w:rFonts w:ascii="宋体"/>
                <w:sz w:val="21"/>
              </w:rPr>
              <w:t>3,172,250</w:t>
            </w:r>
          </w:p>
        </w:tc>
      </w:tr>
      <w:tr>
        <w:trPr>
          <w:trHeight w:val="828"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75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新华通讯社、中国经济信息社有限公司及中国新闻发展深圳有限公司为</w:t>
            </w:r>
          </w:p>
          <w:p>
            <w:pPr>
              <w:pStyle w:val="TableParagraph"/>
              <w:spacing w:line="272" w:lineRule="exact" w:before="27"/>
              <w:ind w:left="103" w:right="125"/>
              <w:jc w:val="left"/>
              <w:rPr>
                <w:rFonts w:ascii="宋体" w:hAnsi="宋体" w:cs="宋体" w:eastAsia="宋体" w:hint="default"/>
                <w:sz w:val="21"/>
                <w:szCs w:val="21"/>
              </w:rPr>
            </w:pPr>
            <w:r>
              <w:rPr>
                <w:rFonts w:ascii="宋体" w:hAnsi="宋体" w:cs="宋体" w:eastAsia="宋体" w:hint="default"/>
                <w:spacing w:val="-2"/>
                <w:sz w:val="21"/>
                <w:szCs w:val="21"/>
              </w:rPr>
              <w:t>一致行动人。公司未知上述其他股东是否存在关联关系，也未知上述其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他企业是否属于一致行动人。</w:t>
            </w:r>
          </w:p>
        </w:tc>
      </w:tr>
      <w:tr>
        <w:trPr>
          <w:trHeight w:val="555" w:hRule="exact"/>
        </w:trPr>
        <w:tc>
          <w:tcPr>
            <w:tcW w:w="3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675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w:t>
            </w:r>
          </w:p>
        </w:tc>
      </w:tr>
    </w:tbl>
    <w:p>
      <w:pPr>
        <w:spacing w:after="0" w:line="240" w:lineRule="auto"/>
        <w:jc w:val="left"/>
        <w:rPr>
          <w:rFonts w:ascii="宋体" w:hAnsi="宋体" w:cs="宋体" w:eastAsia="宋体" w:hint="default"/>
          <w:sz w:val="21"/>
          <w:szCs w:val="21"/>
        </w:rPr>
        <w:sectPr>
          <w:type w:val="continuous"/>
          <w:pgSz w:w="11910" w:h="16840"/>
          <w:pgMar w:top="1120" w:bottom="1380" w:left="920" w:right="4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6"/>
          <w:pgSz w:w="11910" w:h="16840"/>
          <w:pgMar w:footer="1195" w:header="0" w:top="1120" w:bottom="1380" w:left="1060" w:right="540"/>
        </w:sectPr>
      </w:pPr>
    </w:p>
    <w:p>
      <w:pPr>
        <w:pStyle w:val="BodyText"/>
        <w:spacing w:line="274" w:lineRule="exact" w:before="36"/>
        <w:ind w:left="738" w:right="0"/>
        <w:jc w:val="left"/>
      </w:pPr>
      <w:r>
        <w:rPr>
          <w:spacing w:val="-2"/>
        </w:rPr>
        <w:t>前十名有限售条件股东持股数量及限售条件</w:t>
      </w:r>
    </w:p>
    <w:p>
      <w:pPr>
        <w:pStyle w:val="BodyText"/>
        <w:spacing w:line="274" w:lineRule="exact"/>
        <w:ind w:left="7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738" w:right="0"/>
        <w:jc w:val="left"/>
      </w:pPr>
      <w:r>
        <w:rPr/>
        <w:t>单位：股</w:t>
      </w:r>
    </w:p>
    <w:p>
      <w:pPr>
        <w:spacing w:after="0" w:line="240" w:lineRule="auto"/>
        <w:jc w:val="left"/>
        <w:sectPr>
          <w:type w:val="continuous"/>
          <w:pgSz w:w="11910" w:h="16840"/>
          <w:pgMar w:top="1120" w:bottom="1380" w:left="1060" w:right="540"/>
          <w:cols w:num="2" w:equalWidth="0">
            <w:col w:w="4733" w:space="3261"/>
            <w:col w:w="2316"/>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0"/>
        <w:gridCol w:w="3399"/>
        <w:gridCol w:w="1702"/>
        <w:gridCol w:w="1985"/>
        <w:gridCol w:w="1186"/>
        <w:gridCol w:w="1366"/>
      </w:tblGrid>
      <w:tr>
        <w:trPr>
          <w:trHeight w:val="281" w:hRule="exact"/>
        </w:trPr>
        <w:tc>
          <w:tcPr>
            <w:tcW w:w="4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06" w:right="10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3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748"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19" w:right="106" w:hanging="209"/>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p>
        </w:tc>
        <w:tc>
          <w:tcPr>
            <w:tcW w:w="3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8" w:hRule="exact"/>
        </w:trPr>
        <w:tc>
          <w:tcPr>
            <w:tcW w:w="430" w:type="dxa"/>
            <w:vMerge/>
            <w:tcBorders>
              <w:left w:val="single" w:sz="4" w:space="0" w:color="000000"/>
              <w:bottom w:val="single" w:sz="4" w:space="0" w:color="000000"/>
              <w:right w:val="single" w:sz="4" w:space="0" w:color="000000"/>
            </w:tcBorders>
          </w:tcPr>
          <w:p>
            <w:pPr/>
          </w:p>
        </w:tc>
        <w:tc>
          <w:tcPr>
            <w:tcW w:w="339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40" w:lineRule="auto"/>
              <w:ind w:left="271" w:right="166" w:hanging="107"/>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366" w:type="dxa"/>
            <w:vMerge/>
            <w:tcBorders>
              <w:left w:val="single" w:sz="4" w:space="0" w:color="000000"/>
              <w:bottom w:val="single" w:sz="4" w:space="0" w:color="000000"/>
              <w:right w:val="single" w:sz="4" w:space="0" w:color="000000"/>
            </w:tcBorders>
          </w:tcPr>
          <w:p>
            <w:pPr/>
          </w:p>
        </w:tc>
      </w:tr>
      <w:tr>
        <w:trPr>
          <w:trHeight w:val="35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1</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310,302,420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6" w:right="0"/>
              <w:jc w:val="left"/>
              <w:rPr>
                <w:rFonts w:ascii="宋体" w:hAnsi="宋体" w:cs="宋体" w:eastAsia="宋体" w:hint="default"/>
                <w:sz w:val="21"/>
                <w:szCs w:val="21"/>
              </w:rPr>
            </w:pPr>
            <w:r>
              <w:rPr>
                <w:rFonts w:ascii="宋体" w:hAnsi="宋体" w:cs="宋体" w:eastAsia="宋体" w:hint="default"/>
                <w:sz w:val="21"/>
                <w:szCs w:val="21"/>
              </w:rPr>
              <w:t>首发上市</w:t>
            </w:r>
          </w:p>
        </w:tc>
      </w:tr>
      <w:tr>
        <w:trPr>
          <w:trHeight w:val="35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2</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全国社会保障基金理事会转持一户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11,418,780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6" w:right="0"/>
              <w:jc w:val="left"/>
              <w:rPr>
                <w:rFonts w:ascii="宋体" w:hAnsi="宋体" w:cs="宋体" w:eastAsia="宋体" w:hint="default"/>
                <w:sz w:val="21"/>
                <w:szCs w:val="21"/>
              </w:rPr>
            </w:pPr>
            <w:r>
              <w:rPr>
                <w:rFonts w:ascii="宋体" w:hAnsi="宋体" w:cs="宋体" w:eastAsia="宋体" w:hint="default"/>
                <w:sz w:val="21"/>
                <w:szCs w:val="21"/>
              </w:rPr>
              <w:t>首发上市</w:t>
            </w:r>
          </w:p>
        </w:tc>
      </w:tr>
      <w:tr>
        <w:trPr>
          <w:trHeight w:val="35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3</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中国新闻发展深圳有限公司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11,288,890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6" w:right="0"/>
              <w:jc w:val="left"/>
              <w:rPr>
                <w:rFonts w:ascii="宋体" w:hAnsi="宋体" w:cs="宋体" w:eastAsia="宋体" w:hint="default"/>
                <w:sz w:val="21"/>
                <w:szCs w:val="21"/>
              </w:rPr>
            </w:pPr>
            <w:r>
              <w:rPr>
                <w:rFonts w:ascii="宋体" w:hAnsi="宋体" w:cs="宋体" w:eastAsia="宋体" w:hint="default"/>
                <w:sz w:val="21"/>
                <w:szCs w:val="21"/>
              </w:rPr>
              <w:t>首发上市</w:t>
            </w:r>
          </w:p>
        </w:tc>
      </w:tr>
      <w:tr>
        <w:trPr>
          <w:trHeight w:val="35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4</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9,549,290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56" w:right="0"/>
              <w:jc w:val="left"/>
              <w:rPr>
                <w:rFonts w:ascii="宋体" w:hAnsi="宋体" w:cs="宋体" w:eastAsia="宋体" w:hint="default"/>
                <w:sz w:val="21"/>
                <w:szCs w:val="21"/>
              </w:rPr>
            </w:pPr>
            <w:r>
              <w:rPr>
                <w:rFonts w:ascii="宋体" w:hAnsi="宋体" w:cs="宋体" w:eastAsia="宋体" w:hint="default"/>
                <w:sz w:val="21"/>
                <w:szCs w:val="21"/>
              </w:rPr>
              <w:t>首发上市</w:t>
            </w:r>
          </w:p>
        </w:tc>
      </w:tr>
      <w:tr>
        <w:trPr>
          <w:trHeight w:val="555" w:hRule="exact"/>
        </w:trPr>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2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新华通讯社、中国经济信息社有限公司及中国新闻发展深圳有限公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司为一致行动人。</w:t>
            </w:r>
          </w:p>
        </w:tc>
      </w:tr>
    </w:tbl>
    <w:p>
      <w:pPr>
        <w:spacing w:line="240" w:lineRule="auto" w:before="2"/>
        <w:rPr>
          <w:rFonts w:ascii="宋体" w:hAnsi="宋体" w:cs="宋体" w:eastAsia="宋体" w:hint="default"/>
          <w:sz w:val="20"/>
          <w:szCs w:val="20"/>
        </w:rPr>
      </w:pPr>
    </w:p>
    <w:p>
      <w:pPr>
        <w:pStyle w:val="Heading3"/>
        <w:tabs>
          <w:tab w:pos="1304" w:val="left" w:leader="none"/>
        </w:tabs>
        <w:spacing w:line="240" w:lineRule="auto"/>
        <w:ind w:left="7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left="738" w:right="0"/>
        <w:jc w:val="left"/>
      </w:pPr>
      <w:r>
        <w:rPr/>
        <w:t>□适用</w:t>
      </w:r>
      <w:r>
        <w:rPr>
          <w:spacing w:val="-1"/>
        </w:rPr>
        <w:t> </w:t>
      </w:r>
      <w:r>
        <w:rPr/>
        <w:t>√不适用</w:t>
      </w:r>
    </w:p>
    <w:p>
      <w:pPr>
        <w:pStyle w:val="Heading3"/>
        <w:spacing w:line="240" w:lineRule="auto" w:before="56"/>
        <w:ind w:left="738" w:right="0"/>
        <w:jc w:val="left"/>
        <w:rPr>
          <w:b w:val="0"/>
          <w:bCs w:val="0"/>
        </w:rPr>
      </w:pPr>
      <w:r>
        <w:rPr/>
        <w:t>四、</w:t>
      </w:r>
      <w:r>
        <w:rPr>
          <w:spacing w:val="-79"/>
        </w:rPr>
        <w:t> </w:t>
      </w:r>
      <w:r>
        <w:rPr/>
        <w:t>控股股东及实际控制人情况</w:t>
      </w:r>
      <w:r>
        <w:rPr>
          <w:b w:val="0"/>
          <w:bCs w:val="0"/>
        </w:rPr>
      </w:r>
    </w:p>
    <w:p>
      <w:pPr>
        <w:pStyle w:val="Heading3"/>
        <w:tabs>
          <w:tab w:pos="1157" w:val="left" w:leader="none"/>
        </w:tabs>
        <w:spacing w:line="264" w:lineRule="auto" w:before="58"/>
        <w:ind w:left="738" w:right="78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73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83"/>
        <w:gridCol w:w="7182"/>
      </w:tblGrid>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7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r>
      <w:tr>
        <w:trPr>
          <w:trHeight w:val="28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7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蔡名照</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7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1931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8"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7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主要从事文字、图片、网络、音像新闻信息采集发布与相关服务，相关报刊</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图书出版，国际新闻交流合作。新华社是中国国家通讯社和世界性通讯社，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是涵盖各种媒体类型的全媒体机构。</w:t>
            </w:r>
          </w:p>
        </w:tc>
      </w:tr>
      <w:tr>
        <w:trPr>
          <w:trHeight w:val="826"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pacing w:val="9"/>
                <w:sz w:val="21"/>
                <w:szCs w:val="21"/>
              </w:rPr>
              <w:t>报告期内控股和参股的其他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境内外上市公司的股权情况</w:t>
            </w:r>
          </w:p>
        </w:tc>
        <w:tc>
          <w:tcPr>
            <w:tcW w:w="71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5"/>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pacing w:val="-8"/>
                <w:sz w:val="21"/>
                <w:szCs w:val="21"/>
              </w:rPr>
              <w:t>日，新华社上海分社持有豫园股份（股票代码：</w:t>
            </w:r>
            <w:r>
              <w:rPr>
                <w:rFonts w:ascii="Times New Roman" w:hAnsi="Times New Roman" w:cs="Times New Roman" w:eastAsia="Times New Roman" w:hint="default"/>
                <w:spacing w:val="-8"/>
                <w:sz w:val="21"/>
                <w:szCs w:val="21"/>
              </w:rPr>
              <w:t>600655</w:t>
            </w:r>
            <w:r>
              <w:rPr>
                <w:rFonts w:ascii="宋体" w:hAnsi="宋体" w:cs="宋体" w:eastAsia="宋体" w:hint="default"/>
                <w:spacing w:val="-8"/>
                <w:sz w:val="21"/>
                <w:szCs w:val="21"/>
              </w:rPr>
              <w:t>）</w:t>
            </w:r>
          </w:p>
          <w:p>
            <w:pPr>
              <w:pStyle w:val="TableParagraph"/>
              <w:spacing w:line="272" w:lineRule="exact" w:before="19"/>
              <w:ind w:left="103"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36.73 </w:t>
            </w:r>
            <w:r>
              <w:rPr>
                <w:rFonts w:ascii="宋体" w:hAnsi="宋体" w:cs="宋体" w:eastAsia="宋体" w:hint="default"/>
                <w:spacing w:val="-4"/>
                <w:sz w:val="21"/>
                <w:szCs w:val="21"/>
              </w:rPr>
              <w:t>万股；新华社亚太总分社持有华泰瑞银（股票代码：</w:t>
            </w:r>
            <w:r>
              <w:rPr>
                <w:rFonts w:ascii="Times New Roman" w:hAnsi="Times New Roman" w:cs="Times New Roman" w:eastAsia="Times New Roman" w:hint="default"/>
                <w:spacing w:val="-4"/>
                <w:sz w:val="21"/>
                <w:szCs w:val="21"/>
              </w:rPr>
              <w:t>08006</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38.8 </w:t>
            </w:r>
            <w:r>
              <w:rPr>
                <w:rFonts w:ascii="宋体" w:hAnsi="宋体" w:cs="宋体" w:eastAsia="宋体" w:hint="default"/>
                <w:sz w:val="21"/>
                <w:szCs w:val="21"/>
              </w:rPr>
              <w:t>万股；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新华社亚太总分社持有新华通讯频媒（股票代码：</w:t>
            </w:r>
            <w:r>
              <w:rPr>
                <w:rFonts w:ascii="Times New Roman" w:hAnsi="Times New Roman" w:cs="Times New Roman" w:eastAsia="Times New Roman" w:hint="default"/>
                <w:spacing w:val="-2"/>
                <w:sz w:val="21"/>
                <w:szCs w:val="21"/>
              </w:rPr>
              <w:t>00309</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21,468.1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6"/>
                <w:sz w:val="21"/>
                <w:szCs w:val="21"/>
              </w:rPr>
              <w:t> </w:t>
            </w:r>
            <w:r>
              <w:rPr>
                <w:rFonts w:ascii="宋体" w:hAnsi="宋体" w:cs="宋体" w:eastAsia="宋体" w:hint="default"/>
                <w:spacing w:val="-1"/>
                <w:sz w:val="21"/>
                <w:szCs w:val="21"/>
              </w:rPr>
              <w:t>万股。</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7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3"/>
        <w:tabs>
          <w:tab w:pos="1157" w:val="left" w:leader="none"/>
        </w:tabs>
        <w:spacing w:line="240" w:lineRule="auto" w:before="54"/>
        <w:ind w:left="738"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738" w:right="0"/>
        <w:jc w:val="left"/>
      </w:pPr>
      <w:r>
        <w:rPr/>
        <w:t>□适用</w:t>
      </w:r>
      <w:r>
        <w:rPr>
          <w:spacing w:val="-1"/>
        </w:rPr>
        <w:t> </w:t>
      </w:r>
      <w:r>
        <w:rPr/>
        <w:t>√不适用</w:t>
      </w:r>
    </w:p>
    <w:p>
      <w:pPr>
        <w:pStyle w:val="Heading3"/>
        <w:tabs>
          <w:tab w:pos="1157" w:val="left" w:leader="none"/>
        </w:tabs>
        <w:spacing w:line="240" w:lineRule="auto" w:before="59"/>
        <w:ind w:left="738"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580" w:val="left" w:leader="none"/>
        </w:tabs>
        <w:spacing w:line="240" w:lineRule="auto" w:before="56"/>
        <w:ind w:left="738" w:right="0"/>
        <w:jc w:val="left"/>
      </w:pPr>
      <w:r>
        <w:rPr>
          <w:spacing w:val="-1"/>
        </w:rPr>
        <w:t>□适用</w:t>
        <w:tab/>
      </w:r>
      <w:r>
        <w:rPr>
          <w:spacing w:val="-2"/>
        </w:rPr>
        <w:t>√不适用</w:t>
      </w:r>
    </w:p>
    <w:p>
      <w:pPr>
        <w:pStyle w:val="Heading3"/>
        <w:tabs>
          <w:tab w:pos="1157" w:val="left" w:leader="none"/>
        </w:tabs>
        <w:spacing w:line="240" w:lineRule="auto" w:before="58"/>
        <w:ind w:left="738"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580" w:val="left" w:leader="none"/>
        </w:tabs>
        <w:spacing w:line="240" w:lineRule="auto" w:before="56"/>
        <w:ind w:left="738" w:right="0"/>
        <w:jc w:val="left"/>
      </w:pPr>
      <w:r>
        <w:rPr>
          <w:spacing w:val="-1"/>
        </w:rPr>
        <w:t>□适用</w:t>
        <w:tab/>
      </w:r>
      <w:r>
        <w:rPr>
          <w:spacing w:val="-2"/>
        </w:rPr>
        <w:t>√不适用</w:t>
      </w:r>
    </w:p>
    <w:p>
      <w:pPr>
        <w:pStyle w:val="Heading3"/>
        <w:tabs>
          <w:tab w:pos="1157" w:val="left" w:leader="none"/>
        </w:tabs>
        <w:spacing w:line="240" w:lineRule="auto" w:before="58"/>
        <w:ind w:left="738"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580" w:val="left" w:leader="none"/>
        </w:tabs>
        <w:spacing w:line="240" w:lineRule="auto" w:before="56"/>
        <w:ind w:left="738" w:right="0"/>
        <w:jc w:val="left"/>
      </w:pPr>
      <w:r>
        <w:rPr>
          <w:spacing w:val="-1"/>
        </w:rPr>
        <w:t>√适用</w:t>
        <w:tab/>
      </w:r>
      <w:r>
        <w:rPr>
          <w:spacing w:val="-2"/>
        </w:rPr>
        <w:t>□不适用</w:t>
      </w:r>
    </w:p>
    <w:p>
      <w:pPr>
        <w:spacing w:after="0" w:line="240" w:lineRule="auto"/>
        <w:jc w:val="left"/>
        <w:sectPr>
          <w:type w:val="continuous"/>
          <w:pgSz w:w="11910" w:h="16840"/>
          <w:pgMar w:top="1120" w:bottom="1380" w:left="1060" w:right="5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2475" w:lineRule="exact"/>
        <w:ind w:left="2426"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2821894" cy="157162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48" cstate="print"/>
                    <a:stretch>
                      <a:fillRect/>
                    </a:stretch>
                  </pic:blipFill>
                  <pic:spPr>
                    <a:xfrm>
                      <a:off x="0" y="0"/>
                      <a:ext cx="2821894" cy="1571625"/>
                    </a:xfrm>
                    <a:prstGeom prst="rect">
                      <a:avLst/>
                    </a:prstGeom>
                  </pic:spPr>
                </pic:pic>
              </a:graphicData>
            </a:graphic>
          </wp:inline>
        </w:drawing>
      </w:r>
      <w:r>
        <w:rPr>
          <w:rFonts w:ascii="宋体" w:hAnsi="宋体" w:cs="宋体" w:eastAsia="宋体" w:hint="default"/>
          <w:position w:val="-49"/>
          <w:sz w:val="20"/>
          <w:szCs w:val="20"/>
        </w:rPr>
      </w:r>
    </w:p>
    <w:p>
      <w:pPr>
        <w:pStyle w:val="Heading3"/>
        <w:tabs>
          <w:tab w:pos="642" w:val="left" w:leader="none"/>
        </w:tabs>
        <w:spacing w:line="266" w:lineRule="auto" w:before="1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4"/>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蔡名照</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1931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099"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主要从事文字、图片、网络、音像新闻信息采集发布与相关</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服务，相关报刊图书出版，国际新闻交流合作。新华社是中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国国家通讯社和世界性通讯社，是涵盖各种媒体类型的全媒</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体机构。</w:t>
            </w:r>
          </w:p>
        </w:tc>
      </w:tr>
      <w:tr>
        <w:trPr>
          <w:trHeight w:val="1099"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pacing w:val="-10"/>
                <w:sz w:val="21"/>
                <w:szCs w:val="21"/>
              </w:rPr>
              <w:t>日，新华社上海分社持有豫园股份（股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票代码：</w:t>
            </w:r>
            <w:r>
              <w:rPr>
                <w:rFonts w:ascii="宋体" w:hAnsi="宋体" w:cs="宋体" w:eastAsia="宋体" w:hint="default"/>
                <w:sz w:val="21"/>
                <w:szCs w:val="21"/>
              </w:rPr>
              <w:t>600655</w:t>
            </w:r>
            <w:r>
              <w:rPr>
                <w:rFonts w:ascii="宋体" w:hAnsi="宋体" w:cs="宋体" w:eastAsia="宋体" w:hint="default"/>
                <w:sz w:val="21"/>
                <w:szCs w:val="21"/>
              </w:rPr>
              <w:t>）</w:t>
            </w:r>
            <w:r>
              <w:rPr>
                <w:rFonts w:ascii="宋体" w:hAnsi="宋体" w:cs="宋体" w:eastAsia="宋体" w:hint="default"/>
                <w:sz w:val="21"/>
                <w:szCs w:val="21"/>
              </w:rPr>
              <w:t>36.73</w:t>
            </w:r>
            <w:r>
              <w:rPr>
                <w:rFonts w:ascii="宋体" w:hAnsi="宋体" w:cs="宋体" w:eastAsia="宋体" w:hint="default"/>
                <w:spacing w:val="-35"/>
                <w:sz w:val="21"/>
                <w:szCs w:val="21"/>
              </w:rPr>
              <w:t> </w:t>
            </w:r>
            <w:r>
              <w:rPr>
                <w:rFonts w:ascii="宋体" w:hAnsi="宋体" w:cs="宋体" w:eastAsia="宋体" w:hint="default"/>
                <w:sz w:val="21"/>
                <w:szCs w:val="21"/>
              </w:rPr>
              <w:t>万股；新华社亚太总分社持有华泰</w:t>
            </w:r>
            <w:r>
              <w:rPr>
                <w:rFonts w:ascii="宋体" w:hAnsi="宋体" w:cs="宋体" w:eastAsia="宋体" w:hint="default"/>
                <w:w w:val="100"/>
                <w:sz w:val="21"/>
                <w:szCs w:val="21"/>
              </w:rPr>
              <w:t> </w:t>
            </w:r>
            <w:r>
              <w:rPr>
                <w:rFonts w:ascii="宋体" w:hAnsi="宋体" w:cs="宋体" w:eastAsia="宋体" w:hint="default"/>
                <w:sz w:val="21"/>
                <w:szCs w:val="21"/>
              </w:rPr>
              <w:t>瑞银（股票代码：</w:t>
            </w:r>
            <w:r>
              <w:rPr>
                <w:rFonts w:ascii="宋体" w:hAnsi="宋体" w:cs="宋体" w:eastAsia="宋体" w:hint="default"/>
                <w:sz w:val="21"/>
                <w:szCs w:val="21"/>
              </w:rPr>
              <w:t>08006</w:t>
            </w:r>
            <w:r>
              <w:rPr>
                <w:rFonts w:ascii="宋体" w:hAnsi="宋体" w:cs="宋体" w:eastAsia="宋体" w:hint="default"/>
                <w:sz w:val="21"/>
                <w:szCs w:val="21"/>
              </w:rPr>
              <w:t>）</w:t>
            </w:r>
            <w:r>
              <w:rPr>
                <w:rFonts w:ascii="宋体" w:hAnsi="宋体" w:cs="宋体" w:eastAsia="宋体" w:hint="default"/>
                <w:sz w:val="21"/>
                <w:szCs w:val="21"/>
              </w:rPr>
              <w:t>38.8</w:t>
            </w:r>
            <w:r>
              <w:rPr>
                <w:rFonts w:ascii="宋体" w:hAnsi="宋体" w:cs="宋体" w:eastAsia="宋体" w:hint="default"/>
                <w:spacing w:val="-35"/>
                <w:sz w:val="21"/>
                <w:szCs w:val="21"/>
              </w:rPr>
              <w:t> </w:t>
            </w:r>
            <w:r>
              <w:rPr>
                <w:rFonts w:ascii="宋体" w:hAnsi="宋体" w:cs="宋体" w:eastAsia="宋体" w:hint="default"/>
                <w:sz w:val="21"/>
                <w:szCs w:val="21"/>
              </w:rPr>
              <w:t>万股；新华社亚太总分社持</w:t>
            </w:r>
            <w:r>
              <w:rPr>
                <w:rFonts w:ascii="宋体" w:hAnsi="宋体" w:cs="宋体" w:eastAsia="宋体" w:hint="default"/>
                <w:w w:val="100"/>
                <w:sz w:val="21"/>
                <w:szCs w:val="21"/>
              </w:rPr>
              <w:t> </w:t>
            </w:r>
            <w:r>
              <w:rPr>
                <w:rFonts w:ascii="宋体" w:hAnsi="宋体" w:cs="宋体" w:eastAsia="宋体" w:hint="default"/>
                <w:sz w:val="21"/>
                <w:szCs w:val="21"/>
              </w:rPr>
              <w:t>有新华通讯频媒（股票代码：</w:t>
            </w:r>
            <w:r>
              <w:rPr>
                <w:rFonts w:ascii="宋体" w:hAnsi="宋体" w:cs="宋体" w:eastAsia="宋体" w:hint="default"/>
                <w:sz w:val="21"/>
                <w:szCs w:val="21"/>
              </w:rPr>
              <w:t>00309</w:t>
            </w:r>
            <w:r>
              <w:rPr>
                <w:rFonts w:ascii="宋体" w:hAnsi="宋体" w:cs="宋体" w:eastAsia="宋体" w:hint="default"/>
                <w:sz w:val="21"/>
                <w:szCs w:val="21"/>
              </w:rPr>
              <w:t>）</w:t>
            </w:r>
            <w:r>
              <w:rPr>
                <w:rFonts w:ascii="宋体" w:hAnsi="宋体" w:cs="宋体" w:eastAsia="宋体" w:hint="default"/>
                <w:sz w:val="21"/>
                <w:szCs w:val="21"/>
              </w:rPr>
              <w:t>21,468.1</w:t>
            </w:r>
            <w:r>
              <w:rPr>
                <w:rFonts w:ascii="宋体" w:hAnsi="宋体" w:cs="宋体" w:eastAsia="宋体" w:hint="default"/>
                <w:spacing w:val="-54"/>
                <w:sz w:val="21"/>
                <w:szCs w:val="21"/>
              </w:rPr>
              <w:t> </w:t>
            </w:r>
            <w:r>
              <w:rPr>
                <w:rFonts w:ascii="宋体" w:hAnsi="宋体" w:cs="宋体" w:eastAsia="宋体" w:hint="default"/>
                <w:sz w:val="21"/>
                <w:szCs w:val="21"/>
              </w:rPr>
              <w:t>万股。</w:t>
            </w:r>
          </w:p>
        </w:tc>
      </w:tr>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3"/>
        <w:tabs>
          <w:tab w:pos="642"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218" w:right="2465"/>
        <w:jc w:val="left"/>
      </w:pPr>
      <w:r>
        <w:rPr/>
        <w:t>□适用</w:t>
      </w:r>
      <w:r>
        <w:rPr>
          <w:spacing w:val="-1"/>
        </w:rPr>
        <w:t> </w:t>
      </w:r>
      <w:r>
        <w:rPr/>
        <w:t>√不适用</w:t>
      </w:r>
    </w:p>
    <w:p>
      <w:pPr>
        <w:pStyle w:val="Heading3"/>
        <w:tabs>
          <w:tab w:pos="642" w:val="left" w:leader="none"/>
        </w:tabs>
        <w:spacing w:line="240" w:lineRule="auto" w:before="56"/>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3"/>
        <w:tabs>
          <w:tab w:pos="642" w:val="left" w:leader="none"/>
        </w:tabs>
        <w:spacing w:line="240" w:lineRule="auto" w:before="56"/>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3"/>
        <w:tabs>
          <w:tab w:pos="642" w:val="left" w:leader="none"/>
        </w:tabs>
        <w:spacing w:line="240" w:lineRule="auto" w:before="56"/>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line="240" w:lineRule="auto" w:before="3"/>
        <w:rPr>
          <w:rFonts w:ascii="宋体" w:hAnsi="宋体" w:cs="宋体" w:eastAsia="宋体" w:hint="default"/>
          <w:sz w:val="2"/>
          <w:szCs w:val="2"/>
        </w:rPr>
      </w:pPr>
    </w:p>
    <w:p>
      <w:pPr>
        <w:spacing w:line="2732" w:lineRule="exact"/>
        <w:ind w:left="2197"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126891" cy="1735074"/>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49" cstate="print"/>
                    <a:stretch>
                      <a:fillRect/>
                    </a:stretch>
                  </pic:blipFill>
                  <pic:spPr>
                    <a:xfrm>
                      <a:off x="0" y="0"/>
                      <a:ext cx="3126891" cy="1735074"/>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9"/>
        <w:rPr>
          <w:rFonts w:ascii="宋体" w:hAnsi="宋体" w:cs="宋体" w:eastAsia="宋体" w:hint="default"/>
          <w:sz w:val="21"/>
          <w:szCs w:val="21"/>
        </w:rPr>
      </w:pPr>
    </w:p>
    <w:p>
      <w:pPr>
        <w:pStyle w:val="Heading3"/>
        <w:tabs>
          <w:tab w:pos="642" w:val="left" w:leader="none"/>
        </w:tabs>
        <w:spacing w:line="240" w:lineRule="auto" w:before="0"/>
        <w:ind w:right="246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after="0" w:line="240" w:lineRule="auto"/>
        <w:jc w:val="left"/>
        <w:sectPr>
          <w:footerReference w:type="default" r:id="rId47"/>
          <w:pgSz w:w="11910" w:h="16840"/>
          <w:pgMar w:footer="1195" w:header="0" w:top="1120" w:bottom="1380" w:left="1580" w:right="1040"/>
          <w:pgNumType w:start="61"/>
        </w:sectPr>
      </w:pPr>
    </w:p>
    <w:p>
      <w:pPr>
        <w:spacing w:line="240" w:lineRule="auto" w:before="1"/>
        <w:rPr>
          <w:rFonts w:ascii="宋体" w:hAnsi="宋体" w:cs="宋体" w:eastAsia="宋体" w:hint="default"/>
          <w:sz w:val="25"/>
          <w:szCs w:val="25"/>
        </w:rPr>
      </w:pPr>
    </w:p>
    <w:p>
      <w:pPr>
        <w:pStyle w:val="Heading3"/>
        <w:spacing w:line="240" w:lineRule="auto"/>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32"/>
        <w:ind w:right="125"/>
        <w:jc w:val="left"/>
      </w:pPr>
      <w:r>
        <w:rPr>
          <w:spacing w:val="-1"/>
        </w:rPr>
        <w:t>□适用</w:t>
        <w:tab/>
      </w:r>
      <w:r>
        <w:rPr>
          <w:spacing w:val="-2"/>
        </w:rPr>
        <w:t>√不适用</w:t>
      </w:r>
    </w:p>
    <w:p>
      <w:pPr>
        <w:pStyle w:val="Heading3"/>
        <w:spacing w:line="240" w:lineRule="auto" w:before="56"/>
        <w:ind w:left="138" w:right="125"/>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right="125"/>
        <w:jc w:val="left"/>
      </w:pPr>
      <w:r>
        <w:rPr/>
        <w:t>□适用</w:t>
      </w:r>
      <w:r>
        <w:rPr>
          <w:spacing w:val="-1"/>
        </w:rPr>
        <w:t> </w:t>
      </w:r>
      <w:r>
        <w:rPr/>
        <w:t>√不适用</w:t>
      </w:r>
    </w:p>
    <w:p>
      <w:pPr>
        <w:pStyle w:val="Heading3"/>
        <w:spacing w:line="240" w:lineRule="auto" w:before="56"/>
        <w:ind w:left="138" w:right="125"/>
        <w:jc w:val="left"/>
        <w:rPr>
          <w:b w:val="0"/>
          <w:bCs w:val="0"/>
        </w:rPr>
      </w:pPr>
      <w:r>
        <w:rPr/>
        <w:t>六、</w:t>
      </w:r>
      <w:r>
        <w:rPr>
          <w:spacing w:val="-77"/>
        </w:rPr>
        <w:t> </w:t>
      </w:r>
      <w:r>
        <w:rPr/>
        <w:t>股份限制减持情况说明</w:t>
      </w:r>
      <w:r>
        <w:rPr>
          <w:b w:val="0"/>
          <w:bCs w:val="0"/>
        </w:rPr>
      </w:r>
    </w:p>
    <w:p>
      <w:pPr>
        <w:pStyle w:val="BodyText"/>
        <w:spacing w:line="240" w:lineRule="auto" w:before="58"/>
        <w:ind w:right="125"/>
        <w:jc w:val="left"/>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4199" w:val="left" w:leader="none"/>
        </w:tabs>
        <w:spacing w:line="240" w:lineRule="auto" w:before="0"/>
        <w:ind w:left="2939" w:right="125"/>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125"/>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1"/>
        <w:tabs>
          <w:tab w:pos="5657" w:val="left" w:leader="none"/>
        </w:tabs>
        <w:spacing w:line="240" w:lineRule="auto"/>
        <w:ind w:left="439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50"/>
          <w:footerReference w:type="default" r:id="rId51"/>
          <w:pgSz w:w="16840" w:h="11910" w:orient="landscape"/>
          <w:pgMar w:header="880" w:footer="1195" w:top="1120" w:bottom="1380" w:left="960" w:right="1040"/>
          <w:pgNumType w:start="63"/>
        </w:sectPr>
      </w:pPr>
    </w:p>
    <w:p>
      <w:pPr>
        <w:pStyle w:val="Heading3"/>
        <w:spacing w:line="240" w:lineRule="auto"/>
        <w:ind w:left="480" w:right="-15"/>
        <w:jc w:val="left"/>
        <w:rPr>
          <w:b w:val="0"/>
          <w:bCs w:val="0"/>
        </w:rPr>
      </w:pPr>
      <w:r>
        <w:rPr/>
        <w:t>一、持股变动情况及报酬情况</w:t>
      </w:r>
      <w:r>
        <w:rPr>
          <w:b w:val="0"/>
          <w:bCs w:val="0"/>
        </w:rPr>
      </w:r>
    </w:p>
    <w:p>
      <w:pPr>
        <w:pStyle w:val="Heading3"/>
        <w:spacing w:line="240" w:lineRule="auto" w:before="56"/>
        <w:ind w:left="480"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48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480" w:right="0"/>
        <w:jc w:val="left"/>
      </w:pPr>
      <w:r>
        <w:rPr/>
        <w:t>单位：股</w:t>
      </w:r>
    </w:p>
    <w:p>
      <w:pPr>
        <w:spacing w:after="0" w:line="240" w:lineRule="auto"/>
        <w:jc w:val="left"/>
        <w:sectPr>
          <w:type w:val="continuous"/>
          <w:pgSz w:w="16840" w:h="11910" w:orient="landscape"/>
          <w:pgMar w:top="1120" w:bottom="1380" w:left="960" w:right="1040"/>
          <w:cols w:num="2" w:equalWidth="0">
            <w:col w:w="7227" w:space="5807"/>
            <w:col w:w="1806"/>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92"/>
        <w:gridCol w:w="1843"/>
        <w:gridCol w:w="710"/>
        <w:gridCol w:w="711"/>
        <w:gridCol w:w="1985"/>
        <w:gridCol w:w="1968"/>
        <w:gridCol w:w="888"/>
        <w:gridCol w:w="1321"/>
        <w:gridCol w:w="1104"/>
        <w:gridCol w:w="965"/>
        <w:gridCol w:w="1136"/>
        <w:gridCol w:w="982"/>
      </w:tblGrid>
      <w:tr>
        <w:trPr>
          <w:trHeight w:val="137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27" w:right="120"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年末持股数</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27" w:right="122"/>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0" w:right="158"/>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37" w:lineRule="auto"/>
              <w:ind w:left="141" w:right="139"/>
              <w:jc w:val="both"/>
              <w:rPr>
                <w:rFonts w:ascii="宋体" w:hAnsi="宋体" w:cs="宋体" w:eastAsia="宋体" w:hint="default"/>
                <w:sz w:val="21"/>
                <w:szCs w:val="21"/>
              </w:rPr>
            </w:pPr>
            <w:r>
              <w:rPr>
                <w:rFonts w:ascii="宋体" w:hAnsi="宋体" w:cs="宋体" w:eastAsia="宋体" w:hint="default"/>
                <w:sz w:val="21"/>
                <w:szCs w:val="21"/>
              </w:rPr>
              <w:t>从公司获</w:t>
            </w:r>
            <w:r>
              <w:rPr>
                <w:rFonts w:ascii="宋体" w:hAnsi="宋体" w:cs="宋体" w:eastAsia="宋体" w:hint="default"/>
                <w:w w:val="100"/>
                <w:sz w:val="21"/>
                <w:szCs w:val="21"/>
              </w:rPr>
              <w:t> </w:t>
            </w:r>
            <w:r>
              <w:rPr>
                <w:rFonts w:ascii="宋体" w:hAnsi="宋体" w:cs="宋体" w:eastAsia="宋体" w:hint="default"/>
                <w:sz w:val="21"/>
                <w:szCs w:val="21"/>
              </w:rPr>
              <w:t>得的税前</w:t>
            </w:r>
            <w:r>
              <w:rPr>
                <w:rFonts w:ascii="宋体" w:hAnsi="宋体" w:cs="宋体" w:eastAsia="宋体" w:hint="default"/>
                <w:spacing w:val="-3"/>
                <w:w w:val="100"/>
                <w:sz w:val="21"/>
                <w:szCs w:val="21"/>
              </w:rPr>
              <w:t> </w:t>
            </w:r>
            <w:r>
              <w:rPr>
                <w:rFonts w:ascii="宋体" w:hAnsi="宋体" w:cs="宋体" w:eastAsia="宋体" w:hint="default"/>
                <w:sz w:val="21"/>
                <w:szCs w:val="21"/>
              </w:rPr>
              <w:t>报酬总额</w:t>
            </w:r>
          </w:p>
          <w:p>
            <w:pPr>
              <w:pStyle w:val="TableParagraph"/>
              <w:spacing w:line="274" w:lineRule="exact"/>
              <w:ind w:left="141"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0" w:right="167"/>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田舒斌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郭奔胜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董事、总编辑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16.10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魏紫川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董事、常务副总裁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64.19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64.19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申江婴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51.88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刘海涛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张英海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吴振华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谭玉平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16.61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47.42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李清荣</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杨庆兵</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45.18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48.76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汪金福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36.62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肖伟俐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吕廷杰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宗雷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96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70" w:type="dxa"/>
        <w:tblLayout w:type="fixed"/>
        <w:tblCellMar>
          <w:top w:w="0" w:type="dxa"/>
          <w:left w:w="0" w:type="dxa"/>
          <w:bottom w:w="0" w:type="dxa"/>
          <w:right w:w="0" w:type="dxa"/>
        </w:tblCellMar>
        <w:tblLook w:val="01E0"/>
      </w:tblPr>
      <w:tblGrid>
        <w:gridCol w:w="992"/>
        <w:gridCol w:w="1843"/>
        <w:gridCol w:w="710"/>
        <w:gridCol w:w="711"/>
        <w:gridCol w:w="1985"/>
        <w:gridCol w:w="1968"/>
        <w:gridCol w:w="888"/>
        <w:gridCol w:w="1321"/>
        <w:gridCol w:w="1104"/>
        <w:gridCol w:w="965"/>
        <w:gridCol w:w="1136"/>
        <w:gridCol w:w="982"/>
      </w:tblGrid>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鲜建华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2"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张燕</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29.18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8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545.37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Times New Roman" w:hAnsi="Times New Roman" w:cs="Times New Roman" w:eastAsia="Times New Roman"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994"/>
        <w:gridCol w:w="13752"/>
      </w:tblGrid>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10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田舒斌</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月，任新华网络副董事长、总裁；</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月，兼任盘古文化董事长；</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月，任本</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公司第一届董事会副董事长；</w:t>
            </w:r>
            <w:r>
              <w:rPr>
                <w:rFonts w:ascii="宋体" w:hAnsi="宋体" w:cs="宋体" w:eastAsia="宋体" w:hint="default"/>
                <w:spacing w:val="-4"/>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pacing w:val="-6"/>
                <w:sz w:val="21"/>
                <w:szCs w:val="21"/>
              </w:rPr>
              <w:t>月至今，任本公司总裁；</w:t>
            </w:r>
            <w:r>
              <w:rPr>
                <w:rFonts w:ascii="宋体" w:hAnsi="宋体" w:cs="宋体" w:eastAsia="宋体" w:hint="default"/>
                <w:spacing w:val="-6"/>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pacing w:val="-6"/>
                <w:sz w:val="21"/>
                <w:szCs w:val="21"/>
              </w:rPr>
              <w:t>月，兼任新搜文化董事长；</w:t>
            </w:r>
            <w:r>
              <w:rPr>
                <w:rFonts w:ascii="宋体" w:hAnsi="宋体" w:cs="宋体" w:eastAsia="宋体" w:hint="default"/>
                <w:spacing w:val="-6"/>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月当选中国记协理事；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3"/>
                <w:sz w:val="21"/>
                <w:szCs w:val="21"/>
              </w:rPr>
              <w:t>月，任本公司党组书记；</w:t>
            </w:r>
            <w:r>
              <w:rPr>
                <w:rFonts w:ascii="宋体" w:hAnsi="宋体" w:cs="宋体" w:eastAsia="宋体" w:hint="default"/>
                <w:spacing w:val="-3"/>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pacing w:val="-3"/>
                <w:sz w:val="21"/>
                <w:szCs w:val="21"/>
              </w:rPr>
              <w:t>月至今，任本公司党委书记；</w:t>
            </w:r>
            <w:r>
              <w:rPr>
                <w:rFonts w:ascii="宋体" w:hAnsi="宋体" w:cs="宋体" w:eastAsia="宋体" w:hint="default"/>
                <w:spacing w:val="-3"/>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3"/>
                <w:sz w:val="21"/>
                <w:szCs w:val="21"/>
              </w:rPr>
              <w:t>月，任本公司第二届董事会副董事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月，任本公司第二届董事会董事长；</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月至今，任本公司第三届董事会董事长、总裁。</w:t>
            </w:r>
          </w:p>
        </w:tc>
      </w:tr>
      <w:tr>
        <w:trPr>
          <w:trHeight w:val="8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郭奔胜</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月，在新华社江苏分社工作，历任机要秘书、记者、副总编辑、常务副总编辑、党组成员；</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月，在</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新华社福建分社工作，任副社长、党组成员、总编辑；</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月至今任本公司党委副书记；</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月至今，任本公司第三届董事会董事、总编</w:t>
            </w:r>
            <w:r>
              <w:rPr>
                <w:rFonts w:ascii="宋体" w:hAnsi="宋体" w:cs="宋体" w:eastAsia="宋体" w:hint="default"/>
                <w:w w:val="100"/>
                <w:sz w:val="21"/>
                <w:szCs w:val="21"/>
              </w:rPr>
              <w:t> </w:t>
            </w:r>
            <w:r>
              <w:rPr>
                <w:rFonts w:ascii="宋体" w:hAnsi="宋体" w:cs="宋体" w:eastAsia="宋体" w:hint="default"/>
                <w:sz w:val="21"/>
                <w:szCs w:val="21"/>
              </w:rPr>
              <w:t>辑。</w:t>
            </w:r>
          </w:p>
        </w:tc>
      </w:tr>
      <w:tr>
        <w:trPr>
          <w:trHeight w:val="110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魏紫川</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月，任新华网络副总裁；</w:t>
            </w:r>
            <w:r>
              <w:rPr>
                <w:rFonts w:ascii="宋体" w:hAnsi="宋体" w:cs="宋体" w:eastAsia="宋体" w:hint="default"/>
                <w:spacing w:val="-3"/>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4"/>
                <w:sz w:val="21"/>
                <w:szCs w:val="21"/>
              </w:rPr>
              <w:t>月，任新华网络董事；</w:t>
            </w:r>
            <w:r>
              <w:rPr>
                <w:rFonts w:ascii="宋体" w:hAnsi="宋体" w:cs="宋体" w:eastAsia="宋体" w:hint="default"/>
                <w:spacing w:val="-4"/>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3"/>
                <w:sz w:val="21"/>
                <w:szCs w:val="21"/>
              </w:rPr>
              <w:t>月，任本公司第一届董事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会董事兼副总裁；</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月，兼任新搜文化董事；</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月，任本公司党组成员；</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任本公司党委委员；</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月至今，任本公司党委常委；</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月，任本公司第二届董事会董事；</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任本公司副总裁；</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月，任本公司常务副总裁；</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月起，任本公司第三届董事会董事、常务副总裁。</w:t>
            </w:r>
          </w:p>
        </w:tc>
      </w:tr>
      <w:tr>
        <w:trPr>
          <w:trHeight w:val="10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丁平</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月，任新华网络财务总监；</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月，任本公司财务总监；</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月，兼任本公司行政</w:t>
            </w:r>
          </w:p>
          <w:p>
            <w:pPr>
              <w:pStyle w:val="TableParagraph"/>
              <w:spacing w:line="271"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总监；</w:t>
            </w:r>
            <w:r>
              <w:rPr>
                <w:rFonts w:ascii="宋体" w:hAnsi="宋体" w:cs="宋体" w:eastAsia="宋体" w:hint="default"/>
                <w:spacing w:val="-3"/>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pacing w:val="-3"/>
                <w:sz w:val="21"/>
                <w:szCs w:val="21"/>
              </w:rPr>
              <w:t>月，兼任炫彩公司董事长；</w:t>
            </w:r>
            <w:r>
              <w:rPr>
                <w:rFonts w:ascii="宋体" w:hAnsi="宋体" w:cs="宋体" w:eastAsia="宋体" w:hint="default"/>
                <w:spacing w:val="-3"/>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3"/>
                <w:sz w:val="21"/>
                <w:szCs w:val="21"/>
              </w:rPr>
              <w:t>月，任本公司党委委员；</w:t>
            </w:r>
            <w:r>
              <w:rPr>
                <w:rFonts w:ascii="宋体" w:hAnsi="宋体" w:cs="宋体" w:eastAsia="宋体" w:hint="default"/>
                <w:spacing w:val="-3"/>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3"/>
                <w:sz w:val="21"/>
                <w:szCs w:val="21"/>
              </w:rPr>
              <w:t>月至今，任本公司党委常委；</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3"/>
                <w:sz w:val="21"/>
                <w:szCs w:val="21"/>
              </w:rPr>
              <w:t>月，任本公司副总裁；</w:t>
            </w:r>
            <w:r>
              <w:rPr>
                <w:rFonts w:ascii="宋体" w:hAnsi="宋体" w:cs="宋体" w:eastAsia="宋体" w:hint="default"/>
                <w:spacing w:val="-3"/>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pacing w:val="-3"/>
                <w:sz w:val="21"/>
                <w:szCs w:val="21"/>
              </w:rPr>
              <w:t>月，任本公司第二届董事会董事；</w:t>
            </w:r>
            <w:r>
              <w:rPr>
                <w:rFonts w:ascii="宋体" w:hAnsi="宋体" w:cs="宋体" w:eastAsia="宋体" w:hint="default"/>
                <w:spacing w:val="-3"/>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3"/>
                <w:sz w:val="21"/>
                <w:szCs w:val="21"/>
              </w:rPr>
              <w:t>月至今，任本公司第三届董事会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董事、副总裁。</w:t>
            </w:r>
          </w:p>
        </w:tc>
      </w:tr>
      <w:tr>
        <w:trPr>
          <w:trHeight w:val="8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申江婴</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月任人民邮电报社（集团）社长助理兼中国网友报总编；</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月兼任中国信息产业网总裁；</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月至今任本公司副总编辑兼移动互联网事业群总经理；</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4"/>
                <w:sz w:val="21"/>
                <w:szCs w:val="21"/>
              </w:rPr>
              <w:t>月，任本公司第二届董事会董事、副总裁；</w:t>
            </w:r>
            <w:r>
              <w:rPr>
                <w:rFonts w:ascii="宋体" w:hAnsi="宋体" w:cs="宋体" w:eastAsia="宋体" w:hint="default"/>
                <w:spacing w:val="-4"/>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月，任本公司党委委员；</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月至今，任本公司党委常委；</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月至今，任本公司第三届董事会董事、副总裁。</w:t>
            </w:r>
          </w:p>
        </w:tc>
      </w:tr>
      <w:tr>
        <w:trPr>
          <w:trHeight w:val="55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叶芝</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月起至今就任于新华社总经理室，先后在事业处、企业处、综合处任职，</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月任新华社总经理室综合处副处长，</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月至今</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任新华社改革发展处副处长；</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月至今，任本公司第三届董事会董事。</w:t>
            </w:r>
          </w:p>
        </w:tc>
      </w:tr>
      <w:tr>
        <w:trPr>
          <w:trHeight w:val="10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陈刚</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3"/>
                <w:sz w:val="21"/>
                <w:szCs w:val="21"/>
              </w:rPr>
              <w:t>月至今在中央财经大学会计学院任副教授、硕士生导师；</w:t>
            </w:r>
            <w:r>
              <w:rPr>
                <w:rFonts w:ascii="宋体" w:hAnsi="宋体" w:cs="宋体" w:eastAsia="宋体" w:hint="default"/>
                <w:spacing w:val="-3"/>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pacing w:val="-3"/>
                <w:sz w:val="21"/>
                <w:szCs w:val="21"/>
              </w:rPr>
              <w:t>月任北京国家税务局稽查局会计顾问。</w:t>
            </w:r>
            <w:r>
              <w:rPr>
                <w:rFonts w:ascii="宋体" w:hAnsi="宋体" w:cs="宋体" w:eastAsia="宋体" w:hint="default"/>
                <w:spacing w:val="-3"/>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3"/>
                <w:sz w:val="21"/>
                <w:szCs w:val="21"/>
              </w:rPr>
              <w:t> </w:t>
            </w:r>
            <w:r>
              <w:rPr>
                <w:rFonts w:ascii="宋体" w:hAnsi="宋体" w:cs="宋体" w:eastAsia="宋体" w:hint="default"/>
                <w:spacing w:val="-4"/>
                <w:sz w:val="21"/>
                <w:szCs w:val="21"/>
              </w:rPr>
              <w:t>月，兼任吉艾科技（北京）股份公司独立董事。</w:t>
            </w:r>
            <w:r>
              <w:rPr>
                <w:rFonts w:ascii="宋体" w:hAnsi="宋体" w:cs="宋体" w:eastAsia="宋体" w:hint="default"/>
                <w:spacing w:val="-4"/>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pacing w:val="-3"/>
                <w:sz w:val="21"/>
                <w:szCs w:val="21"/>
              </w:rPr>
              <w:t>月至今，兼任北京科锐配电自动化股份有限公司独立董事，</w:t>
            </w:r>
            <w:r>
              <w:rPr>
                <w:rFonts w:ascii="宋体" w:hAnsi="宋体" w:cs="宋体" w:eastAsia="宋体" w:hint="default"/>
                <w:spacing w:val="-3"/>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z w:val="21"/>
                <w:szCs w:val="21"/>
              </w:rPr>
              <w:t>月至今兼</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任四川沱牌舍得酒业股份公司独立董事，</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月至今，兼任北京佳讯飞鸿电气股份有限公司独立董事。</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z w:val="21"/>
                <w:szCs w:val="21"/>
              </w:rPr>
              <w:t>月，任本公司</w:t>
            </w:r>
            <w:r>
              <w:rPr>
                <w:rFonts w:ascii="宋体" w:hAnsi="宋体" w:cs="宋体" w:eastAsia="宋体" w:hint="default"/>
                <w:w w:val="100"/>
                <w:sz w:val="21"/>
                <w:szCs w:val="21"/>
              </w:rPr>
              <w:t> </w:t>
            </w:r>
            <w:r>
              <w:rPr>
                <w:rFonts w:ascii="宋体" w:hAnsi="宋体" w:cs="宋体" w:eastAsia="宋体" w:hint="default"/>
                <w:sz w:val="21"/>
                <w:szCs w:val="21"/>
              </w:rPr>
              <w:t>第二届董事会独立董事。</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月至今，任本公司第三届董事会独立董事。</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刘海涛</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pacing w:val="-3"/>
                <w:sz w:val="21"/>
                <w:szCs w:val="21"/>
              </w:rPr>
              <w:t>月于中科院无锡微纳传感网工程中心担任主任；</w:t>
            </w:r>
            <w:r>
              <w:rPr>
                <w:rFonts w:ascii="宋体" w:hAnsi="宋体" w:cs="宋体" w:eastAsia="宋体" w:hint="default"/>
                <w:spacing w:val="-3"/>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3"/>
                <w:sz w:val="21"/>
                <w:szCs w:val="21"/>
              </w:rPr>
              <w:t>月至今担任无锡物联网产业研究院院长；</w:t>
            </w:r>
            <w:r>
              <w:rPr>
                <w:rFonts w:ascii="宋体" w:hAnsi="宋体" w:cs="宋体" w:eastAsia="宋体" w:hint="default"/>
                <w:spacing w:val="-3"/>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年至今担任感知集</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90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94"/>
        <w:gridCol w:w="13752"/>
      </w:tblGrid>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团董事长。</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月担任本公司第二届董事会独立董事。</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月至今，任本公司第三届董事会独立董事。</w:t>
            </w:r>
          </w:p>
        </w:tc>
      </w:tr>
      <w:tr>
        <w:trPr>
          <w:trHeight w:val="137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张英海</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月任北京邮电大学副校长，期间曾兼任研究生院院长、软件学院院长。</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月任北京邮电大学校学术委</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员会主任委员。</w:t>
            </w: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月办理退休手续，在北京邮电大学从事教学和指导研究生工作。</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月至今担任中国通信学会学术工作委员会主任委</w:t>
            </w:r>
            <w:r>
              <w:rPr>
                <w:rFonts w:ascii="宋体" w:hAnsi="宋体" w:cs="宋体" w:eastAsia="宋体" w:hint="default"/>
                <w:w w:val="100"/>
                <w:sz w:val="21"/>
                <w:szCs w:val="21"/>
              </w:rPr>
              <w:t> </w:t>
            </w:r>
            <w:r>
              <w:rPr>
                <w:rFonts w:ascii="宋体" w:hAnsi="宋体" w:cs="宋体" w:eastAsia="宋体" w:hint="default"/>
                <w:sz w:val="21"/>
                <w:szCs w:val="21"/>
              </w:rPr>
              <w:t>员。曾在中国联合通信网络股份有限公司、北京梅泰诺通信技术股份公司、珠海世纪鼎利通信科技股份有限公司、大唐电信科技股份有限公司、北</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京掌趣科技股份有限公司担任独立董事。</w:t>
            </w:r>
            <w:r>
              <w:rPr>
                <w:rFonts w:ascii="宋体" w:hAnsi="宋体" w:cs="宋体" w:eastAsia="宋体" w:hint="default"/>
                <w:sz w:val="21"/>
                <w:szCs w:val="21"/>
              </w:rPr>
              <w:t>2016</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z w:val="21"/>
                <w:szCs w:val="21"/>
              </w:rPr>
              <w:t>月至今，任同信通信股份有限公司独立董事。</w:t>
            </w:r>
            <w:r>
              <w:rPr>
                <w:rFonts w:ascii="宋体" w:hAnsi="宋体" w:cs="宋体" w:eastAsia="宋体" w:hint="default"/>
                <w:sz w:val="21"/>
                <w:szCs w:val="21"/>
              </w:rPr>
              <w:t>2017</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9</w:t>
            </w:r>
            <w:r>
              <w:rPr>
                <w:rFonts w:ascii="宋体" w:hAnsi="宋体" w:cs="宋体" w:eastAsia="宋体" w:hint="default"/>
                <w:spacing w:val="-39"/>
                <w:sz w:val="21"/>
                <w:szCs w:val="21"/>
              </w:rPr>
              <w:t> </w:t>
            </w:r>
            <w:r>
              <w:rPr>
                <w:rFonts w:ascii="宋体" w:hAnsi="宋体" w:cs="宋体" w:eastAsia="宋体" w:hint="default"/>
                <w:sz w:val="21"/>
                <w:szCs w:val="21"/>
              </w:rPr>
              <w:t>月至今，任本公司第三届董事会独立董</w:t>
            </w:r>
            <w:r>
              <w:rPr>
                <w:rFonts w:ascii="宋体" w:hAnsi="宋体" w:cs="宋体" w:eastAsia="宋体" w:hint="default"/>
                <w:w w:val="100"/>
                <w:sz w:val="21"/>
                <w:szCs w:val="21"/>
              </w:rPr>
              <w:t> </w:t>
            </w:r>
            <w:r>
              <w:rPr>
                <w:rFonts w:ascii="宋体" w:hAnsi="宋体" w:cs="宋体" w:eastAsia="宋体" w:hint="default"/>
                <w:sz w:val="21"/>
                <w:szCs w:val="21"/>
              </w:rPr>
              <w:t>事。</w:t>
            </w:r>
          </w:p>
        </w:tc>
      </w:tr>
      <w:tr>
        <w:trPr>
          <w:trHeight w:val="110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吴振华</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2003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月于福建闽发证券有限公司北京研发中心担任主任；</w:t>
            </w:r>
            <w:r>
              <w:rPr>
                <w:rFonts w:ascii="宋体" w:hAnsi="宋体" w:cs="宋体" w:eastAsia="宋体" w:hint="default"/>
                <w:sz w:val="21"/>
                <w:szCs w:val="21"/>
              </w:rPr>
              <w:t>2003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月于金宝期货经纪有限公司担任执行董事；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4"/>
                <w:sz w:val="21"/>
                <w:szCs w:val="21"/>
              </w:rPr>
              <w:t>月于北京双利投资管理有限公司担任总经理；</w:t>
            </w:r>
            <w:r>
              <w:rPr>
                <w:rFonts w:ascii="宋体" w:hAnsi="宋体" w:cs="宋体" w:eastAsia="宋体" w:hint="default"/>
                <w:spacing w:val="-4"/>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4"/>
                <w:sz w:val="21"/>
                <w:szCs w:val="21"/>
              </w:rPr>
              <w:t>月于江苏天楹环保能源股份有限公司担任董事；</w:t>
            </w:r>
            <w:r>
              <w:rPr>
                <w:rFonts w:ascii="宋体" w:hAnsi="宋体" w:cs="宋体" w:eastAsia="宋体" w:hint="default"/>
                <w:spacing w:val="-4"/>
                <w:sz w:val="21"/>
                <w:szCs w:val="21"/>
              </w:rPr>
              <w:t>2015</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月于中科招商管理集团股份有限公司担任常务副总裁；</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月至今，于北京万林创富投资管理合伙企业（有限合伙）担任</w:t>
            </w:r>
            <w:r>
              <w:rPr>
                <w:rFonts w:ascii="宋体" w:hAnsi="宋体" w:cs="宋体" w:eastAsia="宋体" w:hint="default"/>
                <w:w w:val="100"/>
                <w:sz w:val="21"/>
                <w:szCs w:val="21"/>
              </w:rPr>
              <w:t> </w:t>
            </w:r>
            <w:r>
              <w:rPr>
                <w:rFonts w:ascii="宋体" w:hAnsi="宋体" w:cs="宋体" w:eastAsia="宋体" w:hint="default"/>
                <w:sz w:val="21"/>
                <w:szCs w:val="21"/>
              </w:rPr>
              <w:t>创始合伙人、首席执行官。</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月至今，任本公司第三届董事会独立董事。</w:t>
            </w:r>
          </w:p>
        </w:tc>
      </w:tr>
      <w:tr>
        <w:trPr>
          <w:trHeight w:val="10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谭玉平</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0"/>
                <w:sz w:val="21"/>
                <w:szCs w:val="21"/>
              </w:rPr>
              <w:t> </w:t>
            </w:r>
            <w:r>
              <w:rPr>
                <w:rFonts w:ascii="宋体" w:hAnsi="宋体" w:cs="宋体" w:eastAsia="宋体" w:hint="default"/>
                <w:sz w:val="21"/>
                <w:szCs w:val="21"/>
              </w:rPr>
              <w:t>2013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pacing w:val="-3"/>
                <w:sz w:val="21"/>
                <w:szCs w:val="21"/>
              </w:rPr>
              <w:t>月，历任中纪委驻新华社纪检组、社监察局、机关纪委干部、副处级纪检监察员、办公室副主任（正处级）、第二纪检监察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室主任（正处级）；</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月，任中纪委驻新华社纪检组、监察局副局级纪律检察员兼第二纪检监察室主任；</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2016</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pacing w:val="-4"/>
                <w:sz w:val="21"/>
                <w:szCs w:val="21"/>
              </w:rPr>
              <w:t>月，任本公司党组成员；</w:t>
            </w:r>
            <w:r>
              <w:rPr>
                <w:rFonts w:ascii="宋体" w:hAnsi="宋体" w:cs="宋体" w:eastAsia="宋体" w:hint="default"/>
                <w:spacing w:val="-4"/>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pacing w:val="-4"/>
                <w:sz w:val="21"/>
                <w:szCs w:val="21"/>
              </w:rPr>
              <w:t>月，任本公司党委委员、党委副书记；</w:t>
            </w:r>
            <w:r>
              <w:rPr>
                <w:rFonts w:ascii="宋体" w:hAnsi="宋体" w:cs="宋体" w:eastAsia="宋体" w:hint="default"/>
                <w:spacing w:val="-4"/>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pacing w:val="-4"/>
                <w:sz w:val="21"/>
                <w:szCs w:val="21"/>
              </w:rPr>
              <w:t>月至今，任本公司党委常委、纪委书记。</w:t>
            </w:r>
            <w:r>
              <w:rPr>
                <w:rFonts w:ascii="宋体" w:hAnsi="宋体" w:cs="宋体" w:eastAsia="宋体" w:hint="default"/>
                <w:spacing w:val="-4"/>
                <w:sz w:val="21"/>
                <w:szCs w:val="21"/>
              </w:rPr>
              <w:t>2017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月至今，任公司第三届监事会主席。</w:t>
            </w:r>
          </w:p>
        </w:tc>
      </w:tr>
      <w:tr>
        <w:trPr>
          <w:trHeight w:val="110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孙巍</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月，任新华社参考新闻编辑部编辑；</w:t>
            </w:r>
            <w:r>
              <w:rPr>
                <w:rFonts w:ascii="宋体" w:hAnsi="宋体" w:cs="宋体" w:eastAsia="宋体" w:hint="default"/>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月，任新华社东京分社记者；</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任新华社参考新闻编辑部编辑；</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月任本公司多媒体部副主任；</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月，任本公司总编室副主任兼多</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媒体部副主任；</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月，任本公司综合部主任；</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月，任本公司第二届监事会职工监事；</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至今，任本公司总裁助理兼行政人力资源中心总监；</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月至今，任公司第三届监事会职工监事。</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李清荣</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月至今任新华社计划财务管理局委派会计办公室高级会计师。</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月至今，任中国新华新闻电视网有限公司监事。</w:t>
            </w:r>
            <w:r>
              <w:rPr>
                <w:rFonts w:ascii="宋体" w:hAnsi="宋体" w:cs="宋体" w:eastAsia="宋体" w:hint="default"/>
                <w:spacing w:val="-3"/>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任本公司第三届监事会非职工代表监事。</w:t>
            </w:r>
          </w:p>
        </w:tc>
      </w:tr>
      <w:tr>
        <w:trPr>
          <w:trHeight w:val="109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杨庆兵</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月，历任网络中心财经部主任、新闻中心主任、总编室主任、中国政府网编辑部主任、网络中心总编助理；</w:t>
            </w:r>
            <w:r>
              <w:rPr>
                <w:rFonts w:ascii="宋体" w:hAnsi="宋体" w:cs="宋体" w:eastAsia="宋体" w:hint="default"/>
                <w:sz w:val="21"/>
                <w:szCs w:val="21"/>
              </w:rPr>
              <w:t>2010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月，任新华网络总编助理、财经中心主任；</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月，任本公司职工监事、总编助理、财经中心主任；</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今，任本公司财经总监；</w:t>
            </w: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月，任本公司第二届董事会秘书；</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月至今，兼任中证金牛董事；</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月担任公司副总裁。</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月至今，任公司第三届董事会秘书。</w:t>
            </w:r>
          </w:p>
        </w:tc>
      </w:tr>
      <w:tr>
        <w:trPr>
          <w:trHeight w:val="8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任劼</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月担任中国国际旅行社总社有限公司财务部直属企业主管；</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月担任中国国旅集团有限公司计划财务</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部高级经理；</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月担任中国国旅股份有限公司财务管理部财务副总监、财务总监；</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pacing w:val="-3"/>
                <w:sz w:val="21"/>
                <w:szCs w:val="21"/>
              </w:rPr>
              <w:t>月担任国旅集团</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财务有限责任公司（筹）负责人。</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月担任新华网股份有限公司财务总经理；</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月至今，任公司财务总监。</w:t>
            </w:r>
          </w:p>
        </w:tc>
      </w:tr>
      <w:tr>
        <w:trPr>
          <w:trHeight w:val="8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汪金福</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月，任新华社国内部新华视点采编辑室主任、终审发稿人；</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月，任新华社国内部编委、新华视点采</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编室主任；</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月，任本公司党组成员；</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月，任本公司党委委员；</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月，任本公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司党委常委；</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月，任本公司第二届董事会董事兼副总裁。</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月至今，任新华社总编室副主任。</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肖伟俐</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月，任新华社总经理室《经营管理业务》主编；</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月，任中国国际文化影像传播有限公司董事；</w:t>
            </w:r>
            <w:r>
              <w:rPr>
                <w:rFonts w:ascii="宋体" w:hAnsi="宋体" w:cs="宋体" w:eastAsia="宋体" w:hint="default"/>
                <w:sz w:val="21"/>
                <w:szCs w:val="21"/>
              </w:rPr>
              <w:t>2012</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90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94"/>
        <w:gridCol w:w="13752"/>
      </w:tblGrid>
      <w:tr>
        <w:trPr>
          <w:trHeight w:val="826"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月，任新华社印务有限责任公司董事。</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月，任新华网络董事；</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月，任本公司第</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一届董事会董事；</w:t>
            </w:r>
            <w:r>
              <w:rPr>
                <w:rFonts w:ascii="宋体" w:hAnsi="宋体" w:cs="宋体" w:eastAsia="宋体" w:hint="default"/>
                <w:spacing w:val="-3"/>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pacing w:val="-3"/>
                <w:sz w:val="21"/>
                <w:szCs w:val="21"/>
              </w:rPr>
              <w:t>月，任本公司第二届董事会董事；</w:t>
            </w:r>
            <w:r>
              <w:rPr>
                <w:rFonts w:ascii="宋体" w:hAnsi="宋体" w:cs="宋体" w:eastAsia="宋体" w:hint="default"/>
                <w:spacing w:val="-3"/>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月，任新华社总经理室总经济师。</w:t>
            </w:r>
            <w:r>
              <w:rPr>
                <w:rFonts w:ascii="宋体" w:hAnsi="宋体" w:cs="宋体" w:eastAsia="宋体" w:hint="default"/>
                <w:spacing w:val="-3"/>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102"/>
                <w:sz w:val="21"/>
                <w:szCs w:val="21"/>
              </w:rPr>
              <w:t> </w:t>
            </w:r>
            <w:r>
              <w:rPr>
                <w:rFonts w:ascii="宋体" w:hAnsi="宋体" w:cs="宋体" w:eastAsia="宋体" w:hint="default"/>
                <w:sz w:val="21"/>
                <w:szCs w:val="21"/>
              </w:rPr>
              <w:t>至今，任中国广告联合有限责任公司总裁。</w:t>
            </w:r>
          </w:p>
        </w:tc>
      </w:tr>
      <w:tr>
        <w:trPr>
          <w:trHeight w:val="8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吕廷杰</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月任北京邮电大学研究生院常务副院长；</w:t>
            </w: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月任北京邮电大学经济管理学院院长；</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月任北京邮电大学经济</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管理学院执行院长；</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月任北京邮电大学校长助理。</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月，任本公司第一届董事会独立董事；</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月，任本公司第二届董事会独立董事。</w:t>
            </w:r>
          </w:p>
        </w:tc>
      </w:tr>
      <w:tr>
        <w:trPr>
          <w:trHeight w:val="8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宗雷</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月，任中国石油天然气股份有限公司资本运营部资本企划处副处长（处室负责人）；</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年，任中国石油天然气集团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公司股权管理处处长；</w:t>
            </w:r>
            <w:r>
              <w:rPr>
                <w:rFonts w:ascii="宋体" w:hAnsi="宋体" w:cs="宋体" w:eastAsia="宋体" w:hint="default"/>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月，任中银国际证券有限责任公司稽核部主管；</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月至今，任中银国际证券有限责任公司投</w:t>
            </w:r>
          </w:p>
          <w:p>
            <w:pPr>
              <w:pStyle w:val="TableParagraph"/>
              <w:spacing w:line="273" w:lineRule="exact"/>
              <w:ind w:left="103" w:right="-6"/>
              <w:jc w:val="left"/>
              <w:rPr>
                <w:rFonts w:ascii="宋体" w:hAnsi="宋体" w:cs="宋体" w:eastAsia="宋体" w:hint="default"/>
                <w:sz w:val="21"/>
                <w:szCs w:val="21"/>
              </w:rPr>
            </w:pPr>
            <w:r>
              <w:rPr>
                <w:rFonts w:ascii="宋体" w:hAnsi="宋体" w:cs="宋体" w:eastAsia="宋体" w:hint="default"/>
                <w:spacing w:val="-4"/>
                <w:sz w:val="21"/>
                <w:szCs w:val="21"/>
              </w:rPr>
              <w:t>资银行部执行总经理；</w:t>
            </w:r>
            <w:r>
              <w:rPr>
                <w:rFonts w:ascii="宋体" w:hAnsi="宋体" w:cs="宋体" w:eastAsia="宋体" w:hint="default"/>
                <w:spacing w:val="-4"/>
                <w:sz w:val="21"/>
                <w:szCs w:val="21"/>
              </w:rPr>
              <w:t>2012</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pacing w:val="-5"/>
                <w:sz w:val="21"/>
                <w:szCs w:val="21"/>
              </w:rPr>
              <w:t>月，任本公司第一届董事会独立董事；</w:t>
            </w:r>
            <w:r>
              <w:rPr>
                <w:rFonts w:ascii="宋体" w:hAnsi="宋体" w:cs="宋体" w:eastAsia="宋体" w:hint="default"/>
                <w:spacing w:val="-5"/>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pacing w:val="-4"/>
                <w:sz w:val="21"/>
                <w:szCs w:val="21"/>
              </w:rPr>
              <w:t>月，任本公司第二届董事会独立董事。</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陈宇</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4</w:t>
            </w:r>
            <w:r>
              <w:rPr>
                <w:rFonts w:ascii="宋体" w:hAnsi="宋体" w:cs="宋体" w:eastAsia="宋体" w:hint="default"/>
                <w:spacing w:val="-40"/>
                <w:sz w:val="21"/>
                <w:szCs w:val="21"/>
              </w:rPr>
              <w:t> </w:t>
            </w:r>
            <w:r>
              <w:rPr>
                <w:rFonts w:ascii="宋体" w:hAnsi="宋体" w:cs="宋体" w:eastAsia="宋体" w:hint="default"/>
                <w:spacing w:val="-6"/>
                <w:sz w:val="21"/>
                <w:szCs w:val="21"/>
              </w:rPr>
              <w:t>月至今在新华网工作，历任技术部副主任、主任、总裁助理、运营总监，</w:t>
            </w:r>
            <w:r>
              <w:rPr>
                <w:rFonts w:ascii="宋体" w:hAnsi="宋体" w:cs="宋体" w:eastAsia="宋体" w:hint="default"/>
                <w:spacing w:val="-6"/>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spacing w:val="-40"/>
                <w:sz w:val="21"/>
                <w:szCs w:val="21"/>
              </w:rPr>
              <w:t> </w:t>
            </w:r>
            <w:r>
              <w:rPr>
                <w:rFonts w:ascii="宋体" w:hAnsi="宋体" w:cs="宋体" w:eastAsia="宋体" w:hint="default"/>
                <w:spacing w:val="-4"/>
                <w:sz w:val="21"/>
                <w:szCs w:val="21"/>
              </w:rPr>
              <w:t>月至今担任新华网总工程师兼技术总监、运营总监。</w:t>
            </w:r>
            <w:r>
              <w:rPr>
                <w:rFonts w:ascii="宋体" w:hAnsi="宋体" w:cs="宋体" w:eastAsia="宋体" w:hint="default"/>
                <w:spacing w:val="-4"/>
                <w:sz w:val="21"/>
                <w:szCs w:val="21"/>
              </w:rPr>
              <w:t>2017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月任公司副总裁。</w:t>
            </w:r>
          </w:p>
        </w:tc>
      </w:tr>
      <w:tr>
        <w:trPr>
          <w:trHeight w:val="8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鲜建华</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pacing w:val="-4"/>
                <w:sz w:val="21"/>
                <w:szCs w:val="21"/>
              </w:rPr>
              <w:t>年，任新华社计财局内审处审计员；</w:t>
            </w:r>
            <w:r>
              <w:rPr>
                <w:rFonts w:ascii="宋体" w:hAnsi="宋体" w:cs="宋体" w:eastAsia="宋体" w:hint="default"/>
                <w:spacing w:val="-4"/>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月任新华社监察局审计员；</w:t>
            </w:r>
            <w:r>
              <w:rPr>
                <w:rFonts w:ascii="宋体" w:hAnsi="宋体" w:cs="宋体" w:eastAsia="宋体" w:hint="default"/>
                <w:spacing w:val="-3"/>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月至今任新华社监察局审计监察室副主</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月，任新华网络监事。</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月，任本公司第一届监事会主席；</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月，任本公</w:t>
            </w:r>
            <w:r>
              <w:rPr>
                <w:rFonts w:ascii="宋体" w:hAnsi="宋体" w:cs="宋体" w:eastAsia="宋体" w:hint="default"/>
                <w:w w:val="100"/>
                <w:sz w:val="21"/>
                <w:szCs w:val="21"/>
              </w:rPr>
              <w:t> </w:t>
            </w:r>
            <w:r>
              <w:rPr>
                <w:rFonts w:ascii="宋体" w:hAnsi="宋体" w:cs="宋体" w:eastAsia="宋体" w:hint="default"/>
                <w:sz w:val="21"/>
                <w:szCs w:val="21"/>
              </w:rPr>
              <w:t>司第二届监事会主席。</w:t>
            </w:r>
          </w:p>
        </w:tc>
      </w:tr>
      <w:tr>
        <w:trPr>
          <w:trHeight w:val="8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张燕</w:t>
            </w:r>
          </w:p>
        </w:tc>
        <w:tc>
          <w:tcPr>
            <w:tcW w:w="13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月任中国节能协会节能服务产业委员会投融资部部长；</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4"/>
                <w:sz w:val="21"/>
                <w:szCs w:val="21"/>
              </w:rPr>
              <w:t>月，任本公司财务部财务主管；</w:t>
            </w:r>
            <w:r>
              <w:rPr>
                <w:rFonts w:ascii="宋体" w:hAnsi="宋体" w:cs="宋体" w:eastAsia="宋体" w:hint="default"/>
                <w:spacing w:val="-4"/>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月，任本公司内控审计部副主任；</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月，任本公司第一届监事会职工监事；</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月，任本公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司财务部副主任；</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月至今，任本公司财务部主任；</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月，任本公司第二届监事会职工监事。</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540" w:right="0"/>
        <w:jc w:val="left"/>
      </w:pPr>
      <w:r>
        <w:rPr/>
        <w:t>其它情况说明</w:t>
      </w:r>
    </w:p>
    <w:p>
      <w:pPr>
        <w:pStyle w:val="BodyText"/>
        <w:spacing w:line="272" w:lineRule="exact"/>
        <w:ind w:left="540" w:right="0"/>
        <w:jc w:val="left"/>
      </w:pPr>
      <w:r>
        <w:rPr/>
        <w:t>√适用 □不适用</w:t>
      </w:r>
    </w:p>
    <w:p>
      <w:pPr>
        <w:pStyle w:val="BodyText"/>
        <w:spacing w:line="272" w:lineRule="exact"/>
        <w:ind w:left="960" w:right="0"/>
        <w:jc w:val="left"/>
      </w:pPr>
      <w:r>
        <w:rPr>
          <w:rFonts w:ascii="宋体" w:hAnsi="宋体" w:cs="宋体" w:eastAsia="宋体" w:hint="default"/>
        </w:rPr>
        <w:t>2017</w:t>
      </w:r>
      <w:r>
        <w:rPr>
          <w:rFonts w:ascii="宋体" w:hAnsi="宋体" w:cs="宋体" w:eastAsia="宋体" w:hint="default"/>
          <w:spacing w:val="-48"/>
        </w:rPr>
        <w:t> </w:t>
      </w:r>
      <w:r>
        <w:rPr/>
        <w:t>年</w:t>
      </w:r>
      <w:r>
        <w:rPr>
          <w:spacing w:val="-46"/>
        </w:rPr>
        <w:t> </w:t>
      </w:r>
      <w:r>
        <w:rPr>
          <w:rFonts w:ascii="宋体" w:hAnsi="宋体" w:cs="宋体" w:eastAsia="宋体" w:hint="default"/>
        </w:rPr>
        <w:t>9</w:t>
      </w:r>
      <w:r>
        <w:rPr>
          <w:rFonts w:ascii="宋体" w:hAnsi="宋体" w:cs="宋体" w:eastAsia="宋体" w:hint="default"/>
          <w:spacing w:val="-48"/>
        </w:rPr>
        <w:t> </w:t>
      </w:r>
      <w:r>
        <w:rPr/>
        <w:t>月</w:t>
      </w:r>
      <w:r>
        <w:rPr>
          <w:spacing w:val="-46"/>
        </w:rPr>
        <w:t> </w:t>
      </w:r>
      <w:r>
        <w:rPr>
          <w:rFonts w:ascii="宋体" w:hAnsi="宋体" w:cs="宋体" w:eastAsia="宋体" w:hint="default"/>
        </w:rPr>
        <w:t>5</w:t>
      </w:r>
      <w:r>
        <w:rPr>
          <w:rFonts w:ascii="宋体" w:hAnsi="宋体" w:cs="宋体" w:eastAsia="宋体" w:hint="default"/>
          <w:spacing w:val="-48"/>
        </w:rPr>
        <w:t> </w:t>
      </w:r>
      <w:r>
        <w:rPr>
          <w:spacing w:val="-5"/>
        </w:rPr>
        <w:t>日，经公司</w:t>
      </w:r>
      <w:r>
        <w:rPr>
          <w:spacing w:val="-48"/>
        </w:rPr>
        <w:t> </w:t>
      </w:r>
      <w:r>
        <w:rPr>
          <w:rFonts w:ascii="宋体" w:hAnsi="宋体" w:cs="宋体" w:eastAsia="宋体" w:hint="default"/>
        </w:rPr>
        <w:t>2017</w:t>
      </w:r>
      <w:r>
        <w:rPr>
          <w:rFonts w:ascii="宋体" w:hAnsi="宋体" w:cs="宋体" w:eastAsia="宋体" w:hint="default"/>
          <w:spacing w:val="-48"/>
        </w:rPr>
        <w:t> </w:t>
      </w:r>
      <w:r>
        <w:rPr>
          <w:spacing w:val="-3"/>
        </w:rPr>
        <w:t>年第一次职工代表大会审议通过，选举谭玉平先生、孙巍先生为公司第三届监事会职工监事。</w:t>
      </w:r>
      <w:r>
        <w:rPr>
          <w:rFonts w:ascii="宋体" w:hAnsi="宋体" w:cs="宋体" w:eastAsia="宋体" w:hint="default"/>
          <w:spacing w:val="-3"/>
        </w:rPr>
        <w:t>2017</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8"/>
        </w:rPr>
        <w:t> </w:t>
      </w:r>
      <w:r>
        <w:rPr/>
        <w:t>月</w:t>
      </w:r>
      <w:r>
        <w:rPr>
          <w:spacing w:val="-46"/>
        </w:rPr>
        <w:t> </w:t>
      </w:r>
      <w:r>
        <w:rPr>
          <w:rFonts w:ascii="宋体" w:hAnsi="宋体" w:cs="宋体" w:eastAsia="宋体" w:hint="default"/>
        </w:rPr>
        <w:t>21</w:t>
      </w:r>
      <w:r>
        <w:rPr>
          <w:rFonts w:ascii="宋体" w:hAnsi="宋体" w:cs="宋体" w:eastAsia="宋体" w:hint="default"/>
          <w:spacing w:val="-45"/>
        </w:rPr>
        <w:t> </w:t>
      </w:r>
      <w:r>
        <w:rPr>
          <w:spacing w:val="-8"/>
        </w:rPr>
        <w:t>日，经</w:t>
      </w:r>
    </w:p>
    <w:p>
      <w:pPr>
        <w:pStyle w:val="BodyText"/>
        <w:spacing w:line="237" w:lineRule="auto" w:before="2"/>
        <w:ind w:left="540" w:right="0"/>
        <w:jc w:val="left"/>
      </w:pPr>
      <w:r>
        <w:rPr/>
        <w:t>公司</w:t>
      </w:r>
      <w:r>
        <w:rPr>
          <w:spacing w:val="-53"/>
        </w:rPr>
        <w:t> </w:t>
      </w:r>
      <w:r>
        <w:rPr>
          <w:rFonts w:ascii="宋体" w:hAnsi="宋体" w:cs="宋体" w:eastAsia="宋体" w:hint="default"/>
        </w:rPr>
        <w:t>2017</w:t>
      </w:r>
      <w:r>
        <w:rPr>
          <w:rFonts w:ascii="宋体" w:hAnsi="宋体" w:cs="宋体" w:eastAsia="宋体" w:hint="default"/>
          <w:spacing w:val="-52"/>
        </w:rPr>
        <w:t> </w:t>
      </w:r>
      <w:r>
        <w:rPr/>
        <w:t>年第一次临时股东大会审议通过，选举田舒斌先生、郭奔胜先生、魏紫川先生、丁平先生、申江婴先生、叶芝女士、陈刚先生、刘海涛先生、</w:t>
      </w:r>
      <w:r>
        <w:rPr>
          <w:w w:val="100"/>
        </w:rPr>
        <w:t> </w:t>
      </w:r>
      <w:r>
        <w:rPr/>
        <w:t>张英海先生、吴振华先生为公司第三届董事会董事，其中陈刚先生、刘海涛先生、张英海先生、吴振华先生为独立董事；选举李清荣女士为公司第三届</w:t>
      </w:r>
      <w:r>
        <w:rPr>
          <w:w w:val="100"/>
        </w:rPr>
        <w:t> </w:t>
      </w:r>
      <w:r>
        <w:rPr/>
        <w:t>监事会监事。</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9</w:t>
      </w:r>
      <w:r>
        <w:rPr>
          <w:rFonts w:ascii="宋体" w:hAnsi="宋体" w:cs="宋体" w:eastAsia="宋体" w:hint="default"/>
          <w:spacing w:val="-44"/>
        </w:rPr>
        <w:t> </w:t>
      </w:r>
      <w:r>
        <w:rPr/>
        <w:t>月</w:t>
      </w:r>
      <w:r>
        <w:rPr>
          <w:spacing w:val="-42"/>
        </w:rPr>
        <w:t> </w:t>
      </w:r>
      <w:r>
        <w:rPr>
          <w:rFonts w:ascii="宋体" w:hAnsi="宋体" w:cs="宋体" w:eastAsia="宋体" w:hint="default"/>
        </w:rPr>
        <w:t>21</w:t>
      </w:r>
      <w:r>
        <w:rPr>
          <w:rFonts w:ascii="宋体" w:hAnsi="宋体" w:cs="宋体" w:eastAsia="宋体" w:hint="default"/>
          <w:spacing w:val="-42"/>
        </w:rPr>
        <w:t> </w:t>
      </w:r>
      <w:r>
        <w:rPr/>
        <w:t>日，经公司第三届董事会第一次会议审议通过，选举田舒斌先生为董事长，聘任田舒斌先生为总裁，聘任郭奔胜先生为总</w:t>
      </w:r>
      <w:r>
        <w:rPr>
          <w:w w:val="100"/>
        </w:rPr>
        <w:t> </w:t>
      </w:r>
      <w:r>
        <w:rPr/>
        <w:t>编辑，聘任魏紫川先生为常务副总裁，聘任丁平先生、申江婴先生为副总裁，聘任杨庆兵先生为董事会秘书，聘任任劼先生为财务总监；经公司第三届</w:t>
      </w:r>
      <w:r>
        <w:rPr>
          <w:w w:val="100"/>
        </w:rPr>
        <w:t> </w:t>
      </w:r>
      <w:r>
        <w:rPr/>
        <w:t>监事会第一次会议审议通过，选举谭玉平先生为监事会主席。</w:t>
      </w:r>
    </w:p>
    <w:p>
      <w:pPr>
        <w:spacing w:after="0" w:line="237" w:lineRule="auto"/>
        <w:jc w:val="left"/>
        <w:sectPr>
          <w:pgSz w:w="16840" w:h="11910" w:orient="landscape"/>
          <w:pgMar w:header="880" w:footer="1195" w:top="1120" w:bottom="1380" w:left="9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2"/>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90" w:lineRule="auto" w:before="29"/>
        <w:ind w:right="2969"/>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5"/>
        <w:gridCol w:w="2050"/>
        <w:gridCol w:w="2043"/>
        <w:gridCol w:w="1611"/>
        <w:gridCol w:w="1601"/>
      </w:tblGrid>
      <w:tr>
        <w:trPr>
          <w:trHeight w:val="55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9"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7"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叶芝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总经理室改革发展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处副处长</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李清荣</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计划财务管理局委</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派会计办公室高级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会计师</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肖伟俐</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总经理室《经营管理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业务》主编</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672" w:hRule="exact"/>
        </w:trPr>
        <w:tc>
          <w:tcPr>
            <w:tcW w:w="1745" w:type="dxa"/>
            <w:vMerge/>
            <w:tcBorders>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总经理室总经济师</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鲜建华</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监察局审计监察室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副主任</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汪金福</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总编室副主任</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在股东单位任职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2302"/>
        <w:gridCol w:w="1822"/>
        <w:gridCol w:w="1553"/>
        <w:gridCol w:w="1562"/>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田舒斌</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盘古文化</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新搜文化</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6"/>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魏紫川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新搜文化</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6"/>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丁平</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盘古文化</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申江婴</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新华网亿连（北京）科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技有限责任公司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6"/>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陈刚</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北京科锐配电自动化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vMerge/>
            <w:tcBorders>
              <w:left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四川沱牌舍得酒业股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6"/>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vMerge/>
            <w:tcBorders>
              <w:left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北京佳讯飞鸿电气股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6"/>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vMerge/>
            <w:tcBorders>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中央财经大学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副教授、硕士生导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0"/>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刘海涛</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无锡物联网产业研究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院</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感知集团</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6"/>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张英海</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北京邮电大学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教授、博士生导师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6"/>
              <w:jc w:val="center"/>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0" w:type="dxa"/>
            <w:vMerge/>
            <w:tcBorders>
              <w:left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中国通信学会学术工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作委员会</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委员</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6"/>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vMerge/>
            <w:tcBorders>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同信通信股份有限公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2"/>
          <w:footerReference w:type="default" r:id="rId53"/>
          <w:pgSz w:w="11910" w:h="16840"/>
          <w:pgMar w:header="877" w:footer="1195" w:top="1100" w:bottom="1380" w:left="1580" w:right="1040"/>
          <w:pgNumType w:start="67"/>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2302"/>
        <w:gridCol w:w="1822"/>
        <w:gridCol w:w="1553"/>
        <w:gridCol w:w="1562"/>
      </w:tblGrid>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2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吴振华</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北京万林创富投资管</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8"/>
                <w:sz w:val="21"/>
                <w:szCs w:val="21"/>
              </w:rPr>
              <w:t>理合伙企业（</w:t>
            </w:r>
            <w:r>
              <w:rPr>
                <w:rFonts w:ascii="宋体" w:hAnsi="宋体" w:cs="宋体" w:eastAsia="宋体" w:hint="default"/>
                <w:spacing w:val="-73"/>
                <w:sz w:val="21"/>
                <w:szCs w:val="21"/>
              </w:rPr>
              <w:t> </w:t>
            </w:r>
            <w:r>
              <w:rPr>
                <w:rFonts w:ascii="宋体" w:hAnsi="宋体" w:cs="宋体" w:eastAsia="宋体" w:hint="default"/>
                <w:spacing w:val="14"/>
                <w:sz w:val="21"/>
                <w:szCs w:val="21"/>
              </w:rPr>
              <w:t>有限合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伙）</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spacing w:val="-11"/>
                <w:sz w:val="21"/>
                <w:szCs w:val="21"/>
              </w:rPr>
              <w:t>合伙人、首席执行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官</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李清荣</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中国新华新闻电视网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肖伟俐</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新华社印务有限责任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4" w:hRule="exact"/>
        </w:trPr>
        <w:tc>
          <w:tcPr>
            <w:tcW w:w="1810" w:type="dxa"/>
            <w:vMerge/>
            <w:tcBorders>
              <w:left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中国国际文化影响传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播有限公司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4" w:hRule="exact"/>
        </w:trPr>
        <w:tc>
          <w:tcPr>
            <w:tcW w:w="1810" w:type="dxa"/>
            <w:vMerge/>
            <w:tcBorders>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中国广告联合有限责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吕廷杰</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北京邮电大学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教授、博士生导师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宗雷</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中银国际证券有限责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投资银行部执行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杨庆兵</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在其他单位任职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t>三、董事、监事、高级管理人员报酬情况</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3"/>
        <w:gridCol w:w="6176"/>
      </w:tblGrid>
      <w:tr>
        <w:trPr>
          <w:trHeight w:val="1100"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酬的决策程序</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董事的薪酬由公司董事会薪酬与考核委员会拟定，董事会、股东</w:t>
            </w:r>
          </w:p>
          <w:p>
            <w:pPr>
              <w:pStyle w:val="TableParagraph"/>
              <w:spacing w:line="237" w:lineRule="auto" w:before="2"/>
              <w:ind w:left="100" w:right="107"/>
              <w:jc w:val="both"/>
              <w:rPr>
                <w:rFonts w:ascii="宋体" w:hAnsi="宋体" w:cs="宋体" w:eastAsia="宋体" w:hint="default"/>
                <w:sz w:val="21"/>
                <w:szCs w:val="21"/>
              </w:rPr>
            </w:pPr>
            <w:r>
              <w:rPr>
                <w:rFonts w:ascii="宋体" w:hAnsi="宋体" w:cs="宋体" w:eastAsia="宋体" w:hint="default"/>
                <w:sz w:val="21"/>
                <w:szCs w:val="21"/>
              </w:rPr>
              <w:t>大会审议通过后实施；监事的薪酬由公司监事会提出、股东大会</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审议通过后实施；高级管理人员的薪酬由董事会薪酬与考核委员</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会拟定，董事会审议通过后实施。</w:t>
            </w:r>
          </w:p>
        </w:tc>
      </w:tr>
      <w:tr>
        <w:trPr>
          <w:trHeight w:val="828"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2"/>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酬确定依据</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公司董事、监事和高级管理人员报酬确定的主要依据是在公司担</w:t>
            </w:r>
          </w:p>
          <w:p>
            <w:pPr>
              <w:pStyle w:val="TableParagraph"/>
              <w:spacing w:line="272" w:lineRule="exact" w:before="27"/>
              <w:ind w:left="100" w:right="107"/>
              <w:jc w:val="left"/>
              <w:rPr>
                <w:rFonts w:ascii="宋体" w:hAnsi="宋体" w:cs="宋体" w:eastAsia="宋体" w:hint="default"/>
                <w:sz w:val="21"/>
                <w:szCs w:val="21"/>
              </w:rPr>
            </w:pPr>
            <w:r>
              <w:rPr>
                <w:rFonts w:ascii="宋体" w:hAnsi="宋体" w:cs="宋体" w:eastAsia="宋体" w:hint="default"/>
                <w:sz w:val="21"/>
                <w:szCs w:val="21"/>
              </w:rPr>
              <w:t>任职务情况、公司行业性质、本人贡献并结合公司经营绩效情况</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等因素确定。</w:t>
            </w:r>
          </w:p>
        </w:tc>
      </w:tr>
      <w:tr>
        <w:trPr>
          <w:trHeight w:val="828"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spacing w:val="-8"/>
                <w:sz w:val="21"/>
                <w:szCs w:val="21"/>
              </w:rPr>
              <w:t>董事、监事和高级管理人员报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酬的实际支付情况</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报告期内，董事、监事和高级管理人员报酬的实际支付情况总金</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额为人民币</w:t>
            </w:r>
            <w:r>
              <w:rPr>
                <w:rFonts w:ascii="宋体" w:hAnsi="宋体" w:cs="宋体" w:eastAsia="宋体" w:hint="default"/>
                <w:spacing w:val="-39"/>
                <w:sz w:val="21"/>
                <w:szCs w:val="21"/>
              </w:rPr>
              <w:t> </w:t>
            </w:r>
            <w:r>
              <w:rPr>
                <w:rFonts w:ascii="宋体" w:hAnsi="宋体" w:cs="宋体" w:eastAsia="宋体" w:hint="default"/>
                <w:sz w:val="21"/>
                <w:szCs w:val="21"/>
              </w:rPr>
              <w:t>545.37</w:t>
            </w:r>
            <w:r>
              <w:rPr>
                <w:rFonts w:ascii="宋体" w:hAnsi="宋体" w:cs="宋体" w:eastAsia="宋体" w:hint="default"/>
                <w:spacing w:val="-42"/>
                <w:sz w:val="21"/>
                <w:szCs w:val="21"/>
              </w:rPr>
              <w:t> </w:t>
            </w:r>
            <w:r>
              <w:rPr>
                <w:rFonts w:ascii="宋体" w:hAnsi="宋体" w:cs="宋体" w:eastAsia="宋体" w:hint="default"/>
                <w:spacing w:val="-3"/>
                <w:sz w:val="21"/>
                <w:szCs w:val="21"/>
              </w:rPr>
              <w:t>万元，其中包括按国有企业负责人薪酬相关规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定延期支付的任期激励收入。</w:t>
            </w:r>
          </w:p>
        </w:tc>
      </w:tr>
      <w:tr>
        <w:trPr>
          <w:trHeight w:val="826"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报告期末全体董事、监事和高</w:t>
            </w: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8"/>
                <w:sz w:val="21"/>
                <w:szCs w:val="21"/>
              </w:rPr>
              <w:t>级管理人员实际获得的报酬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合计</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报告期内，董事、监事和高级管理人员实际获得的报酬总金额为</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37"/>
                <w:sz w:val="21"/>
                <w:szCs w:val="21"/>
              </w:rPr>
              <w:t> </w:t>
            </w:r>
            <w:r>
              <w:rPr>
                <w:rFonts w:ascii="宋体" w:hAnsi="宋体" w:cs="宋体" w:eastAsia="宋体" w:hint="default"/>
                <w:sz w:val="21"/>
                <w:szCs w:val="21"/>
              </w:rPr>
              <w:t>545.37</w:t>
            </w:r>
            <w:r>
              <w:rPr>
                <w:rFonts w:ascii="宋体" w:hAnsi="宋体" w:cs="宋体" w:eastAsia="宋体" w:hint="default"/>
                <w:spacing w:val="-40"/>
                <w:sz w:val="21"/>
                <w:szCs w:val="21"/>
              </w:rPr>
              <w:t> </w:t>
            </w:r>
            <w:r>
              <w:rPr>
                <w:rFonts w:ascii="宋体" w:hAnsi="宋体" w:cs="宋体" w:eastAsia="宋体" w:hint="default"/>
                <w:spacing w:val="-3"/>
                <w:sz w:val="21"/>
                <w:szCs w:val="21"/>
              </w:rPr>
              <w:t>万元，其中包括按国有企业负责人薪酬相关规定延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期支付的任期激励收入。</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t>四、公司董事、监事、高级管理人员变动情况</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1841"/>
        <w:gridCol w:w="1135"/>
        <w:gridCol w:w="4971"/>
      </w:tblGrid>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郭奔胜</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董事、总编辑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经公司 </w:t>
            </w:r>
            <w:r>
              <w:rPr>
                <w:rFonts w:ascii="宋体" w:hAnsi="宋体" w:cs="宋体" w:eastAsia="宋体" w:hint="default"/>
                <w:sz w:val="21"/>
                <w:szCs w:val="21"/>
              </w:rPr>
              <w:t>2017</w:t>
            </w:r>
            <w:r>
              <w:rPr>
                <w:rFonts w:ascii="宋体" w:hAnsi="宋体" w:cs="宋体" w:eastAsia="宋体" w:hint="default"/>
                <w:spacing w:val="-77"/>
                <w:sz w:val="21"/>
                <w:szCs w:val="21"/>
              </w:rPr>
              <w:t> </w:t>
            </w:r>
            <w:r>
              <w:rPr>
                <w:rFonts w:ascii="宋体" w:hAnsi="宋体" w:cs="宋体" w:eastAsia="宋体" w:hint="default"/>
                <w:sz w:val="21"/>
                <w:szCs w:val="21"/>
              </w:rPr>
              <w:t>年第一次临时股东大会选举为董事；经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公司第三届董事会第一次会议聘任为总编辑</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年第一次临时股东大会选举为董事</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张英海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年第一次临时股东大会选举为独立董事</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吴振华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年第一次临时股东大会选举为独立董事</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谭玉平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经公司 </w:t>
            </w:r>
            <w:r>
              <w:rPr>
                <w:rFonts w:ascii="宋体" w:hAnsi="宋体" w:cs="宋体" w:eastAsia="宋体" w:hint="default"/>
                <w:sz w:val="21"/>
                <w:szCs w:val="21"/>
              </w:rPr>
              <w:t>2017</w:t>
            </w:r>
            <w:r>
              <w:rPr>
                <w:rFonts w:ascii="宋体" w:hAnsi="宋体" w:cs="宋体" w:eastAsia="宋体" w:hint="default"/>
                <w:spacing w:val="63"/>
                <w:sz w:val="21"/>
                <w:szCs w:val="21"/>
              </w:rPr>
              <w:t> </w:t>
            </w:r>
            <w:r>
              <w:rPr>
                <w:rFonts w:ascii="宋体" w:hAnsi="宋体" w:cs="宋体" w:eastAsia="宋体" w:hint="default"/>
                <w:spacing w:val="3"/>
                <w:sz w:val="21"/>
                <w:szCs w:val="21"/>
              </w:rPr>
              <w:t>年第一次职工代表大会选举为职工监</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pacing w:val="-5"/>
                <w:sz w:val="21"/>
                <w:szCs w:val="21"/>
              </w:rPr>
              <w:t>事；经公司第三届监事会第一次会议选举为监事会主</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席</w:t>
            </w: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李清荣</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年第一次临时股东大会选举为监事</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任劼</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经公司第二届董事会第二十次会议聘任为财务总监</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汪金福</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辞职</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02"/>
        <w:gridCol w:w="1841"/>
        <w:gridCol w:w="1135"/>
        <w:gridCol w:w="4971"/>
      </w:tblGrid>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肖伟俐</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吕廷杰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宗雷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丁平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杨庆兵</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鲜建华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张燕</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4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任期届满</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t>五、近三年受证券监管机构处罚的情况说明</w:t>
      </w:r>
      <w:r>
        <w:rPr>
          <w:b w:val="0"/>
          <w:bCs w:val="0"/>
        </w:rPr>
      </w:r>
    </w:p>
    <w:p>
      <w:pPr>
        <w:spacing w:line="290" w:lineRule="auto" w:before="58"/>
        <w:ind w:left="218" w:right="5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六、母公司和主要子公司的员工情况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1,830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281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1,830</w:t>
            </w:r>
          </w:p>
        </w:tc>
      </w:tr>
    </w:tbl>
    <w:p>
      <w:pPr>
        <w:spacing w:line="240" w:lineRule="auto" w:before="10"/>
        <w:rPr>
          <w:rFonts w:ascii="宋体" w:hAnsi="宋体" w:cs="宋体" w:eastAsia="宋体" w:hint="default"/>
          <w:b/>
          <w:bCs/>
          <w:sz w:val="20"/>
          <w:szCs w:val="20"/>
        </w:rPr>
      </w:pPr>
    </w:p>
    <w:p>
      <w:pPr>
        <w:pStyle w:val="Heading3"/>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331" w:lineRule="auto" w:before="32"/>
        <w:ind w:left="638" w:right="239" w:hanging="420"/>
        <w:jc w:val="left"/>
      </w:pPr>
      <w:r>
        <w:rPr>
          <w:spacing w:val="-1"/>
        </w:rPr>
        <w:t>√适用</w:t>
        <w:tab/>
      </w:r>
      <w:r>
        <w:rPr>
          <w:spacing w:val="-2"/>
        </w:rPr>
        <w:t>□不适用</w:t>
      </w:r>
      <w:r>
        <w:rPr>
          <w:spacing w:val="-99"/>
        </w:rPr>
        <w:t> </w:t>
      </w:r>
      <w:r>
        <w:rPr>
          <w:spacing w:val="-99"/>
        </w:rPr>
      </w:r>
      <w:r>
        <w:rPr>
          <w:spacing w:val="-2"/>
        </w:rPr>
        <w:t>公司薪酬政策根据公司制定的《新华网股份有限公司薪酬管理制度（试行）》，为充分发挥</w:t>
      </w:r>
    </w:p>
    <w:p>
      <w:pPr>
        <w:pStyle w:val="BodyText"/>
        <w:spacing w:line="348" w:lineRule="auto" w:before="46"/>
        <w:ind w:left="218" w:right="227"/>
        <w:jc w:val="left"/>
      </w:pPr>
      <w:r>
        <w:rPr>
          <w:spacing w:val="-1"/>
        </w:rPr>
        <w:t>薪酬的激励约束作用，体现出不同岗位薪酬的内部公平和激励性，以岗定薪、按绩取酬，兼顾内</w:t>
      </w:r>
      <w:r>
        <w:rPr>
          <w:spacing w:val="-55"/>
        </w:rPr>
        <w:t> </w:t>
      </w:r>
      <w:r>
        <w:rPr>
          <w:spacing w:val="-55"/>
        </w:rPr>
      </w:r>
      <w:r>
        <w:rPr/>
        <w:t>部激励和外部竞争力，并建立于事业发展配套的薪资增长机制。</w:t>
      </w:r>
    </w:p>
    <w:p>
      <w:pPr>
        <w:pStyle w:val="Heading3"/>
        <w:spacing w:line="285" w:lineRule="exact"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32"/>
        <w:ind w:left="218" w:right="2465"/>
        <w:jc w:val="left"/>
      </w:pPr>
      <w:r>
        <w:rPr>
          <w:spacing w:val="-1"/>
        </w:rPr>
        <w:t>√适用</w:t>
        <w:tab/>
      </w:r>
      <w:r>
        <w:rPr>
          <w:spacing w:val="-2"/>
        </w:rPr>
        <w:t>□不适用</w:t>
      </w:r>
    </w:p>
    <w:p>
      <w:pPr>
        <w:pStyle w:val="BodyText"/>
        <w:spacing w:line="348" w:lineRule="auto" w:before="104"/>
        <w:ind w:left="218" w:right="227" w:firstLine="419"/>
        <w:jc w:val="both"/>
      </w:pPr>
      <w:r>
        <w:rPr>
          <w:rFonts w:ascii="宋体" w:hAnsi="宋体" w:cs="宋体" w:eastAsia="宋体" w:hint="default"/>
        </w:rPr>
        <w:t>2017</w:t>
      </w:r>
      <w:r>
        <w:rPr>
          <w:rFonts w:ascii="宋体" w:hAnsi="宋体" w:cs="宋体" w:eastAsia="宋体" w:hint="default"/>
          <w:spacing w:val="-15"/>
        </w:rPr>
        <w:t> </w:t>
      </w:r>
      <w:r>
        <w:rPr>
          <w:spacing w:val="-8"/>
        </w:rPr>
        <w:t>年，公司稳步推进各项培训工作，初步搭建“线上、线下、内训外引”多维度培训体系，</w:t>
      </w:r>
      <w:r>
        <w:rPr>
          <w:w w:val="100"/>
        </w:rPr>
        <w:t> </w:t>
      </w:r>
      <w:r>
        <w:rPr>
          <w:spacing w:val="-1"/>
        </w:rPr>
        <w:t>构建起公司和各部门（分子公司）两级培训架构，定期组织后备人才进行跨专业、跨部类、跨地</w:t>
      </w:r>
      <w:r>
        <w:rPr>
          <w:spacing w:val="-55"/>
        </w:rPr>
        <w:t> </w:t>
      </w:r>
      <w:r>
        <w:rPr>
          <w:spacing w:val="-55"/>
        </w:rPr>
      </w:r>
      <w:r>
        <w:rPr/>
        <w:t>域轮岗锻炼，畅通人才“横纵”交流通道，积极引导内部人才流动，全面提升员工职业能力。</w:t>
      </w:r>
    </w:p>
    <w:p>
      <w:pPr>
        <w:spacing w:after="0" w:line="348" w:lineRule="auto"/>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3"/>
        <w:spacing w:line="240" w:lineRule="auto"/>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331,039</w:t>
            </w:r>
            <w:r>
              <w:rPr>
                <w:rFonts w:ascii="宋体" w:hAnsi="宋体" w:cs="宋体" w:eastAsia="宋体" w:hint="default"/>
                <w:spacing w:val="-50"/>
                <w:sz w:val="21"/>
                <w:szCs w:val="21"/>
              </w:rPr>
              <w:t> </w:t>
            </w:r>
            <w:r>
              <w:rPr>
                <w:rFonts w:ascii="宋体" w:hAnsi="宋体" w:cs="宋体" w:eastAsia="宋体" w:hint="default"/>
                <w:spacing w:val="-3"/>
                <w:sz w:val="21"/>
                <w:szCs w:val="21"/>
              </w:rPr>
              <w:t>小时</w:t>
            </w:r>
            <w:r>
              <w:rPr>
                <w:rFonts w:ascii="宋体" w:hAnsi="宋体" w:cs="宋体" w:eastAsia="宋体" w:hint="default"/>
                <w:sz w:val="21"/>
                <w:szCs w:val="21"/>
              </w:rPr>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12,466,346.64</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t>七、其他</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spacing w:line="240" w:lineRule="auto" w:before="6"/>
        <w:rPr>
          <w:rFonts w:ascii="宋体" w:hAnsi="宋体" w:cs="宋体" w:eastAsia="宋体" w:hint="default"/>
          <w:sz w:val="18"/>
          <w:szCs w:val="18"/>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0"/>
        <w:jc w:val="both"/>
        <w:rPr>
          <w:b w:val="0"/>
          <w:bCs w:val="0"/>
        </w:rPr>
      </w:pPr>
      <w:r>
        <w:rPr/>
        <w:t>一、公司治理相关情况说明</w:t>
      </w:r>
      <w:r>
        <w:rPr>
          <w:b w:val="0"/>
          <w:bCs w:val="0"/>
        </w:rPr>
      </w:r>
    </w:p>
    <w:p>
      <w:pPr>
        <w:pStyle w:val="BodyText"/>
        <w:tabs>
          <w:tab w:pos="1060" w:val="left" w:leader="none"/>
        </w:tabs>
        <w:spacing w:line="333" w:lineRule="auto" w:before="57"/>
        <w:ind w:left="638" w:right="239" w:hanging="420"/>
        <w:jc w:val="left"/>
      </w:pPr>
      <w:r>
        <w:rPr>
          <w:spacing w:val="-1"/>
        </w:rPr>
        <w:t>√适用</w:t>
        <w:tab/>
      </w:r>
      <w:r>
        <w:rPr>
          <w:spacing w:val="-2"/>
        </w:rPr>
        <w:t>□不适用</w:t>
      </w:r>
      <w:r>
        <w:rPr>
          <w:spacing w:val="-99"/>
        </w:rPr>
        <w:t> </w:t>
      </w:r>
      <w:r>
        <w:rPr>
          <w:spacing w:val="-99"/>
        </w:rPr>
      </w:r>
      <w:r>
        <w:rPr>
          <w:spacing w:val="-2"/>
        </w:rPr>
        <w:t>公司根据《公司法》《证券法》《上市公司治理准则》《上市公司股东大会规则》《上市公</w:t>
      </w:r>
    </w:p>
    <w:p>
      <w:pPr>
        <w:pStyle w:val="BodyText"/>
        <w:spacing w:line="350" w:lineRule="auto" w:before="41"/>
        <w:ind w:left="218" w:right="228"/>
        <w:jc w:val="both"/>
      </w:pPr>
      <w:r>
        <w:rPr>
          <w:spacing w:val="-1"/>
        </w:rPr>
        <w:t>司章程指引》等法律法规及《公司章程》的规定，建立了股东大会、董事会、监事会、独立董事</w:t>
      </w:r>
      <w:r>
        <w:rPr>
          <w:spacing w:val="-55"/>
        </w:rPr>
        <w:t> </w:t>
      </w:r>
      <w:r>
        <w:rPr>
          <w:spacing w:val="-55"/>
        </w:rPr>
      </w:r>
      <w:r>
        <w:rPr>
          <w:spacing w:val="-1"/>
        </w:rPr>
        <w:t>和董事会秘书等制度，并在董事会下设立战略与发展委员会、编辑政策委员会、提名委员会、审</w:t>
      </w:r>
      <w:r>
        <w:rPr>
          <w:spacing w:val="-55"/>
        </w:rPr>
        <w:t> </w:t>
      </w:r>
      <w:r>
        <w:rPr>
          <w:spacing w:val="-55"/>
        </w:rPr>
      </w:r>
      <w:r>
        <w:rPr>
          <w:spacing w:val="-1"/>
        </w:rPr>
        <w:t>计委员会、薪酬与考核委员会等五个专门委员会，为董事会重大决策提供咨询、建议，保证董事</w:t>
      </w:r>
      <w:r>
        <w:rPr>
          <w:spacing w:val="-55"/>
        </w:rPr>
        <w:t> </w:t>
      </w:r>
      <w:r>
        <w:rPr>
          <w:spacing w:val="-55"/>
        </w:rPr>
      </w:r>
      <w:r>
        <w:rPr>
          <w:spacing w:val="-1"/>
        </w:rPr>
        <w:t>会议事、决事的专业化、高效化。上述人员和机构能够按照国家法律法规和公司章程的规定，履</w:t>
      </w:r>
      <w:r>
        <w:rPr>
          <w:spacing w:val="-55"/>
        </w:rPr>
        <w:t> </w:t>
      </w:r>
      <w:r>
        <w:rPr>
          <w:spacing w:val="-55"/>
        </w:rPr>
      </w:r>
      <w:r>
        <w:rPr>
          <w:spacing w:val="-1"/>
        </w:rPr>
        <w:t>行各自的权利和义务，公司重大生产经营决策、关联交易决策、投资决策和财务决策均能严格按</w:t>
      </w:r>
      <w:r>
        <w:rPr>
          <w:spacing w:val="-55"/>
        </w:rPr>
        <w:t> </w:t>
      </w:r>
      <w:r>
        <w:rPr>
          <w:spacing w:val="-55"/>
        </w:rPr>
      </w:r>
      <w:r>
        <w:rPr>
          <w:spacing w:val="-2"/>
        </w:rPr>
        <w:t>照公司章程规定的程序和规则进行，能够切实保护中小股东的利益，未出现重大违法违规行为。</w:t>
      </w:r>
    </w:p>
    <w:p>
      <w:pPr>
        <w:spacing w:line="240" w:lineRule="auto" w:before="10"/>
        <w:rPr>
          <w:rFonts w:ascii="宋体" w:hAnsi="宋体" w:cs="宋体" w:eastAsia="宋体" w:hint="default"/>
          <w:sz w:val="14"/>
          <w:szCs w:val="14"/>
        </w:rPr>
      </w:pPr>
    </w:p>
    <w:p>
      <w:pPr>
        <w:pStyle w:val="BodyText"/>
        <w:spacing w:line="273" w:lineRule="exact"/>
        <w:ind w:left="218" w:right="0"/>
        <w:jc w:val="both"/>
      </w:pPr>
      <w:r>
        <w:rPr/>
        <w:t>公司治理与中国证监会相关规定的要求是否存在重大差异；如有重大差异，应当说明原因</w:t>
      </w:r>
    </w:p>
    <w:p>
      <w:pPr>
        <w:spacing w:line="290" w:lineRule="auto" w:before="0"/>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pacing w:val="9"/>
                <w:sz w:val="21"/>
                <w:szCs w:val="21"/>
              </w:rPr>
              <w:t>年第一次临时股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Style w:val="BodyText"/>
        <w:spacing w:line="240" w:lineRule="exact"/>
        <w:ind w:left="218" w:right="2465"/>
        <w:jc w:val="left"/>
      </w:pPr>
      <w:r>
        <w:rPr/>
        <w:t>股东大会情况说明</w:t>
      </w:r>
    </w:p>
    <w:p>
      <w:pPr>
        <w:spacing w:line="290" w:lineRule="auto" w:before="0"/>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三、董事履行职责情况</w:t>
      </w:r>
      <w:r>
        <w:rPr>
          <w:rFonts w:ascii="宋体" w:hAnsi="宋体" w:cs="宋体" w:eastAsia="宋体" w:hint="default"/>
          <w:sz w:val="21"/>
          <w:szCs w:val="21"/>
        </w:rPr>
      </w:r>
    </w:p>
    <w:p>
      <w:pPr>
        <w:pStyle w:val="Heading3"/>
        <w:spacing w:line="240" w:lineRule="auto" w:before="15"/>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田舒斌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郭奔胜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魏紫川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申江婴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bl>
    <w:p>
      <w:pPr>
        <w:spacing w:after="0" w:line="241" w:lineRule="exact"/>
        <w:jc w:val="right"/>
        <w:rPr>
          <w:rFonts w:ascii="宋体" w:hAnsi="宋体" w:cs="宋体" w:eastAsia="宋体" w:hint="default"/>
          <w:sz w:val="21"/>
          <w:szCs w:val="21"/>
        </w:rPr>
        <w:sectPr>
          <w:footerReference w:type="default" r:id="rId54"/>
          <w:pgSz w:w="11910" w:h="16840"/>
          <w:pgMar w:footer="1195" w:header="877"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刘海涛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2"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29"/>
              <w:jc w:val="right"/>
              <w:rPr>
                <w:rFonts w:ascii="宋体" w:hAnsi="宋体" w:cs="宋体" w:eastAsia="宋体" w:hint="default"/>
                <w:sz w:val="21"/>
                <w:szCs w:val="21"/>
              </w:rPr>
            </w:pPr>
            <w:r>
              <w:rPr>
                <w:rFonts w:ascii="宋体"/>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张英海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吴振华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汪金福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9"/>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肖伟俐</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吕廷杰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宗雷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bl>
    <w:p>
      <w:pPr>
        <w:pStyle w:val="BodyText"/>
        <w:spacing w:line="240" w:lineRule="exact"/>
        <w:ind w:left="218" w:right="2465"/>
        <w:jc w:val="left"/>
      </w:pPr>
      <w:r>
        <w:rPr/>
        <w:t>连续两次未亲自出席董事会会议的说明</w:t>
      </w:r>
    </w:p>
    <w:p>
      <w:pPr>
        <w:pStyle w:val="BodyText"/>
        <w:spacing w:line="274" w:lineRule="exact"/>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bl>
    <w:p>
      <w:pPr>
        <w:pStyle w:val="Heading3"/>
        <w:spacing w:line="240" w:lineRule="auto" w:before="26"/>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218" w:right="2465"/>
        <w:jc w:val="left"/>
      </w:pPr>
      <w:r>
        <w:rPr/>
        <w:t>□适用</w:t>
      </w:r>
      <w:r>
        <w:rPr>
          <w:spacing w:val="-1"/>
        </w:rPr>
        <w:t> </w:t>
      </w:r>
      <w:r>
        <w:rPr/>
        <w:t>√不适用</w:t>
      </w:r>
    </w:p>
    <w:p>
      <w:pPr>
        <w:pStyle w:val="Heading3"/>
        <w:spacing w:line="240" w:lineRule="auto" w:before="58"/>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3"/>
        <w:tabs>
          <w:tab w:pos="1060" w:val="left" w:leader="none"/>
        </w:tabs>
        <w:spacing w:line="290" w:lineRule="auto" w:before="29"/>
        <w:ind w:right="132"/>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四、董事会下设专门委员会在报告期内履行职责时所提出的重要意见和建议，存在异议事项的，</w:t>
      </w:r>
      <w:r>
        <w:rPr>
          <w:b w:val="0"/>
          <w:bCs w:val="0"/>
        </w:rPr>
      </w:r>
    </w:p>
    <w:p>
      <w:pPr>
        <w:pStyle w:val="Heading3"/>
        <w:spacing w:line="227" w:lineRule="exact" w:before="0"/>
        <w:ind w:left="642" w:right="2465"/>
        <w:jc w:val="left"/>
        <w:rPr>
          <w:b w:val="0"/>
          <w:bCs w:val="0"/>
        </w:rPr>
      </w:pPr>
      <w:r>
        <w:rPr/>
        <w:t>应当披露具体情况</w:t>
      </w:r>
      <w:r>
        <w:rPr>
          <w:b w:val="0"/>
          <w:bCs w:val="0"/>
        </w:rPr>
      </w:r>
    </w:p>
    <w:p>
      <w:pPr>
        <w:pStyle w:val="BodyText"/>
        <w:tabs>
          <w:tab w:pos="1060" w:val="left" w:leader="none"/>
        </w:tabs>
        <w:spacing w:line="360" w:lineRule="auto" w:before="58"/>
        <w:ind w:left="638" w:right="239" w:hanging="420"/>
        <w:jc w:val="left"/>
      </w:pPr>
      <w:r>
        <w:rPr>
          <w:spacing w:val="-1"/>
        </w:rPr>
        <w:t>√适用</w:t>
        <w:tab/>
      </w:r>
      <w:r>
        <w:rPr>
          <w:spacing w:val="-2"/>
        </w:rPr>
        <w:t>□不适用</w:t>
      </w:r>
      <w:r>
        <w:rPr>
          <w:spacing w:val="-99"/>
        </w:rPr>
        <w:t> </w:t>
      </w:r>
      <w:r>
        <w:rPr>
          <w:spacing w:val="-99"/>
        </w:rPr>
      </w:r>
      <w:r>
        <w:rPr>
          <w:spacing w:val="-7"/>
        </w:rPr>
        <w:t>报告期内，董事会下设各专门委员会根据《公司章程》及各专门委员会的工作细则履行职责，</w:t>
      </w:r>
    </w:p>
    <w:p>
      <w:pPr>
        <w:pStyle w:val="BodyText"/>
        <w:spacing w:line="240" w:lineRule="auto" w:before="59"/>
        <w:ind w:left="218" w:right="123"/>
        <w:jc w:val="left"/>
      </w:pPr>
      <w:r>
        <w:rPr/>
        <w:t>依法合规运作。董事会各专门委员会为完善公司治理结构、促进公司发展起到了积极作用。报告</w:t>
      </w:r>
    </w:p>
    <w:p>
      <w:pPr>
        <w:spacing w:line="312" w:lineRule="auto" w:before="166"/>
        <w:ind w:left="218" w:right="2465" w:firstLine="0"/>
        <w:jc w:val="left"/>
        <w:rPr>
          <w:rFonts w:ascii="宋体" w:hAnsi="宋体" w:cs="宋体" w:eastAsia="宋体" w:hint="default"/>
          <w:sz w:val="21"/>
          <w:szCs w:val="21"/>
        </w:rPr>
      </w:pPr>
      <w:r>
        <w:rPr>
          <w:rFonts w:ascii="宋体" w:hAnsi="宋体" w:cs="宋体" w:eastAsia="宋体" w:hint="default"/>
          <w:spacing w:val="-2"/>
          <w:sz w:val="21"/>
          <w:szCs w:val="21"/>
        </w:rPr>
        <w:t>期内，公司董事会各专门委员会提出的意见和建议不存在异议事项。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b/>
          <w:bCs/>
          <w:sz w:val="21"/>
          <w:szCs w:val="21"/>
        </w:rPr>
        <w:t>五、监事会发现公司存在风险的说明</w:t>
      </w:r>
      <w:r>
        <w:rPr>
          <w:rFonts w:ascii="宋体" w:hAnsi="宋体" w:cs="宋体" w:eastAsia="宋体" w:hint="default"/>
          <w:sz w:val="21"/>
          <w:szCs w:val="21"/>
        </w:rPr>
      </w:r>
    </w:p>
    <w:p>
      <w:pPr>
        <w:pStyle w:val="Heading3"/>
        <w:spacing w:line="290" w:lineRule="auto" w:before="0"/>
        <w:ind w:right="22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六、公司就其与控股股东在业务、人员、资产、机构、财务等方面存在的不能保证独立性、不能</w:t>
      </w:r>
      <w:r>
        <w:rPr>
          <w:b w:val="0"/>
          <w:bCs w:val="0"/>
          <w:spacing w:val="-1"/>
        </w:rPr>
      </w:r>
    </w:p>
    <w:p>
      <w:pPr>
        <w:pStyle w:val="Heading3"/>
        <w:spacing w:line="229" w:lineRule="exact" w:before="0"/>
        <w:ind w:left="642" w:right="2465"/>
        <w:jc w:val="left"/>
        <w:rPr>
          <w:b w:val="0"/>
          <w:bCs w:val="0"/>
        </w:rPr>
      </w:pPr>
      <w:r>
        <w:rPr/>
        <w:t>保持自主经营能力的情况说明</w:t>
      </w:r>
      <w:r>
        <w:rPr>
          <w:b w:val="0"/>
          <w:bCs w:val="0"/>
        </w:rPr>
      </w:r>
    </w:p>
    <w:p>
      <w:pPr>
        <w:pStyle w:val="BodyText"/>
        <w:tabs>
          <w:tab w:pos="1060" w:val="left" w:leader="none"/>
        </w:tabs>
        <w:spacing w:line="272" w:lineRule="exact" w:before="84"/>
        <w:ind w:left="218" w:right="2969"/>
        <w:jc w:val="left"/>
      </w:pPr>
      <w:r>
        <w:rPr>
          <w:spacing w:val="-1"/>
        </w:rPr>
        <w:t>□适用</w:t>
        <w:tab/>
      </w:r>
      <w:r>
        <w:rPr>
          <w:spacing w:val="-2"/>
        </w:rPr>
        <w:t>√不适用</w:t>
      </w:r>
      <w:r>
        <w:rPr>
          <w:spacing w:val="-99"/>
        </w:rPr>
        <w:t> </w:t>
      </w:r>
      <w:r>
        <w:rPr>
          <w:spacing w:val="-99"/>
        </w:rPr>
      </w:r>
      <w:r>
        <w:rPr>
          <w:spacing w:val="-2"/>
        </w:rPr>
        <w:t>存在同业竞争的，公司相应的解决措施、工作进度及后续工作计划</w:t>
      </w:r>
    </w:p>
    <w:p>
      <w:pPr>
        <w:pStyle w:val="BodyText"/>
        <w:tabs>
          <w:tab w:pos="1060" w:val="left" w:leader="none"/>
        </w:tabs>
        <w:spacing w:line="249" w:lineRule="exact"/>
        <w:ind w:left="218" w:right="2465"/>
        <w:jc w:val="left"/>
      </w:pPr>
      <w:r>
        <w:rPr>
          <w:spacing w:val="-1"/>
        </w:rPr>
        <w:t>□适用</w:t>
        <w:tab/>
      </w:r>
      <w:r>
        <w:rPr>
          <w:spacing w:val="-2"/>
        </w:rPr>
        <w:t>√不适用</w:t>
      </w:r>
    </w:p>
    <w:p>
      <w:pPr>
        <w:pStyle w:val="Heading3"/>
        <w:spacing w:line="240" w:lineRule="auto" w:before="56"/>
        <w:ind w:right="227"/>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360" w:lineRule="auto" w:before="59"/>
        <w:ind w:left="638" w:right="239" w:hanging="420"/>
        <w:jc w:val="left"/>
      </w:pPr>
      <w:r>
        <w:rPr>
          <w:spacing w:val="-1"/>
        </w:rPr>
        <w:t>√适用</w:t>
        <w:tab/>
      </w:r>
      <w:r>
        <w:rPr>
          <w:spacing w:val="-2"/>
        </w:rPr>
        <w:t>□不适用</w:t>
      </w:r>
      <w:r>
        <w:rPr>
          <w:spacing w:val="-99"/>
        </w:rPr>
        <w:t> </w:t>
      </w:r>
      <w:r>
        <w:rPr>
          <w:spacing w:val="-99"/>
        </w:rPr>
      </w:r>
      <w:r>
        <w:rPr>
          <w:spacing w:val="-2"/>
        </w:rPr>
        <w:t>公司建立了绩效考评标准，对高级管理人员的工作业绩进行评估、考核。公司高级管理人员</w:t>
      </w:r>
    </w:p>
    <w:p>
      <w:pPr>
        <w:spacing w:line="312" w:lineRule="auto" w:before="61"/>
        <w:ind w:left="218" w:right="2465" w:firstLine="0"/>
        <w:jc w:val="left"/>
        <w:rPr>
          <w:rFonts w:ascii="宋体" w:hAnsi="宋体" w:cs="宋体" w:eastAsia="宋体" w:hint="default"/>
          <w:sz w:val="21"/>
          <w:szCs w:val="21"/>
        </w:rPr>
      </w:pPr>
      <w:r>
        <w:rPr>
          <w:rFonts w:ascii="宋体" w:hAnsi="宋体" w:cs="宋体" w:eastAsia="宋体" w:hint="default"/>
          <w:spacing w:val="-2"/>
          <w:sz w:val="21"/>
          <w:szCs w:val="21"/>
        </w:rPr>
        <w:t>的聘任程序公开、透明，符合法律及《公司章程》等相关规定。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z w:val="21"/>
          <w:szCs w:val="21"/>
        </w:rPr>
        <w:t>八、是否披露内部控制自我评价报告</w:t>
      </w:r>
      <w:r>
        <w:rPr>
          <w:rFonts w:ascii="宋体" w:hAnsi="宋体" w:cs="宋体" w:eastAsia="宋体" w:hint="default"/>
          <w:sz w:val="21"/>
          <w:szCs w:val="21"/>
        </w:rPr>
      </w:r>
    </w:p>
    <w:p>
      <w:pPr>
        <w:pStyle w:val="BodyText"/>
        <w:spacing w:line="360" w:lineRule="auto"/>
        <w:ind w:left="638" w:right="227" w:hanging="420"/>
        <w:jc w:val="left"/>
      </w:pPr>
      <w:r>
        <w:rPr/>
        <w:t>√适用</w:t>
      </w:r>
      <w:r>
        <w:rPr>
          <w:spacing w:val="-2"/>
        </w:rPr>
        <w:t> </w:t>
      </w:r>
      <w:r>
        <w:rPr/>
        <w:t>□不适用</w:t>
      </w:r>
      <w:r>
        <w:rPr>
          <w:w w:val="100"/>
        </w:rPr>
        <w:t> </w:t>
      </w:r>
      <w:r>
        <w:rPr>
          <w:spacing w:val="-1"/>
        </w:rPr>
        <w:t>详见与本报告同日披露在上海证券交易所网站（</w:t>
      </w:r>
      <w:hyperlink r:id="rId10">
        <w:r>
          <w:rPr>
            <w:rFonts w:ascii="宋体" w:hAnsi="宋体" w:cs="宋体" w:eastAsia="宋体" w:hint="default"/>
            <w:spacing w:val="-1"/>
          </w:rPr>
          <w:t>www.sse.com.cn</w:t>
        </w:r>
      </w:hyperlink>
      <w:r>
        <w:rPr>
          <w:spacing w:val="-1"/>
        </w:rPr>
        <w:t>）的《新华网股份有限公司</w:t>
      </w:r>
    </w:p>
    <w:p>
      <w:pPr>
        <w:pStyle w:val="BodyText"/>
        <w:spacing w:line="261" w:lineRule="auto" w:before="59"/>
        <w:ind w:left="218" w:right="2465"/>
        <w:jc w:val="left"/>
      </w:pPr>
      <w:r>
        <w:rPr>
          <w:rFonts w:ascii="宋体" w:hAnsi="宋体" w:cs="宋体" w:eastAsia="宋体" w:hint="default"/>
        </w:rPr>
        <w:t>2017</w:t>
      </w:r>
      <w:r>
        <w:rPr>
          <w:rFonts w:ascii="宋体" w:hAnsi="宋体" w:cs="宋体" w:eastAsia="宋体" w:hint="default"/>
          <w:spacing w:val="-55"/>
        </w:rPr>
        <w:t> </w:t>
      </w:r>
      <w:r>
        <w:rPr/>
        <w:t>年度内部控制评价报告》。</w:t>
      </w:r>
      <w:r>
        <w:rPr>
          <w:w w:val="100"/>
        </w:rPr>
        <w:t> </w:t>
      </w:r>
      <w:r>
        <w:rPr>
          <w:spacing w:val="-2"/>
        </w:rPr>
        <w:t>报告期内部控制存在重大缺陷情况的说明</w:t>
      </w:r>
    </w:p>
    <w:p>
      <w:pPr>
        <w:pStyle w:val="BodyText"/>
        <w:spacing w:line="252" w:lineRule="exact"/>
        <w:ind w:left="218" w:right="2465"/>
        <w:jc w:val="left"/>
      </w:pPr>
      <w:r>
        <w:rPr/>
        <w:t>□适用</w:t>
      </w:r>
      <w:r>
        <w:rPr>
          <w:spacing w:val="-1"/>
        </w:rPr>
        <w:t> </w:t>
      </w:r>
      <w:r>
        <w:rPr/>
        <w:t>√不适用</w:t>
      </w:r>
    </w:p>
    <w:p>
      <w:pPr>
        <w:pStyle w:val="Heading3"/>
        <w:spacing w:line="240" w:lineRule="auto" w:before="59"/>
        <w:ind w:right="2465"/>
        <w:jc w:val="left"/>
        <w:rPr>
          <w:b w:val="0"/>
          <w:bCs w:val="0"/>
        </w:rPr>
      </w:pPr>
      <w:r>
        <w:rPr/>
        <w:t>九、内部控制审计报告的相关情况说明</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spacing w:after="0" w:line="240" w:lineRule="auto"/>
        <w:jc w:val="left"/>
        <w:sectPr>
          <w:footerReference w:type="default" r:id="rId55"/>
          <w:pgSz w:w="11910" w:h="16840"/>
          <w:pgMar w:footer="1195" w:header="877" w:top="1100" w:bottom="1380" w:left="1580" w:right="1040"/>
          <w:pgNumType w:start="7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86" w:lineRule="auto" w:before="36"/>
        <w:ind w:right="125" w:firstLine="419"/>
        <w:jc w:val="left"/>
      </w:pPr>
      <w:r>
        <w:rPr>
          <w:spacing w:val="-1"/>
        </w:rPr>
        <w:t>详见与本报告同日披露在上海证券交易所网站（</w:t>
      </w:r>
      <w:hyperlink r:id="rId10">
        <w:r>
          <w:rPr>
            <w:rFonts w:ascii="宋体" w:hAnsi="宋体" w:cs="宋体" w:eastAsia="宋体" w:hint="default"/>
            <w:spacing w:val="-1"/>
          </w:rPr>
          <w:t>www.sse.com.cn</w:t>
        </w:r>
      </w:hyperlink>
      <w:r>
        <w:rPr>
          <w:spacing w:val="-1"/>
        </w:rPr>
        <w:t>）的《新华网股份有限公司</w:t>
      </w:r>
      <w:r>
        <w:rPr>
          <w:w w:val="100"/>
        </w:rPr>
        <w:t> </w:t>
      </w:r>
      <w:r>
        <w:rPr/>
        <w:t>内部控制审计报告》。</w:t>
      </w:r>
    </w:p>
    <w:p>
      <w:pPr>
        <w:spacing w:line="290" w:lineRule="auto" w:before="168"/>
        <w:ind w:left="138" w:right="5591" w:firstLine="0"/>
        <w:jc w:val="left"/>
        <w:rPr>
          <w:rFonts w:ascii="宋体" w:hAnsi="宋体" w:cs="宋体" w:eastAsia="宋体" w:hint="default"/>
          <w:sz w:val="21"/>
          <w:szCs w:val="21"/>
        </w:rPr>
      </w:pPr>
      <w:r>
        <w:rPr>
          <w:rFonts w:ascii="宋体" w:hAnsi="宋体" w:cs="宋体" w:eastAsia="宋体" w:hint="default"/>
          <w:spacing w:val="-2"/>
          <w:sz w:val="21"/>
          <w:szCs w:val="21"/>
        </w:rPr>
        <w:t>是否披露内部控制审计报告：是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十、其他</w:t>
      </w:r>
      <w:r>
        <w:rPr>
          <w:rFonts w:ascii="宋体" w:hAnsi="宋体" w:cs="宋体" w:eastAsia="宋体" w:hint="default"/>
          <w:sz w:val="21"/>
          <w:szCs w:val="21"/>
        </w:rPr>
      </w:r>
    </w:p>
    <w:p>
      <w:pPr>
        <w:pStyle w:val="BodyText"/>
        <w:tabs>
          <w:tab w:pos="980" w:val="left" w:leader="none"/>
        </w:tabs>
        <w:spacing w:line="240" w:lineRule="auto" w:before="14"/>
        <w:ind w:right="125"/>
        <w:jc w:val="left"/>
      </w:pPr>
      <w:r>
        <w:rPr>
          <w:spacing w:val="-1"/>
        </w:rPr>
        <w:t>□适用</w:t>
        <w:tab/>
      </w:r>
      <w:r>
        <w:rPr>
          <w:spacing w:val="-2"/>
        </w:rPr>
        <w:t>√不适用</w:t>
      </w:r>
    </w:p>
    <w:p>
      <w:pPr>
        <w:spacing w:line="240" w:lineRule="auto" w:before="12"/>
        <w:rPr>
          <w:rFonts w:ascii="宋体" w:hAnsi="宋体" w:cs="宋体" w:eastAsia="宋体" w:hint="default"/>
          <w:sz w:val="23"/>
          <w:szCs w:val="23"/>
        </w:rPr>
      </w:pPr>
    </w:p>
    <w:p>
      <w:pPr>
        <w:pStyle w:val="Heading1"/>
        <w:tabs>
          <w:tab w:pos="4060" w:val="left" w:leader="none"/>
        </w:tabs>
        <w:spacing w:line="240" w:lineRule="auto" w:before="0"/>
        <w:ind w:left="2800" w:right="125"/>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125"/>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3343" w:right="341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3"/>
        <w:spacing w:line="240" w:lineRule="auto"/>
        <w:ind w:left="138" w:right="-4"/>
        <w:jc w:val="left"/>
        <w:rPr>
          <w:b w:val="0"/>
          <w:bCs w:val="0"/>
        </w:rPr>
      </w:pPr>
      <w:r>
        <w:rPr/>
        <w:t>一、审计报告</w:t>
      </w:r>
      <w:r>
        <w:rPr>
          <w:b w:val="0"/>
          <w:bCs w:val="0"/>
        </w:rPr>
      </w:r>
    </w:p>
    <w:p>
      <w:pPr>
        <w:pStyle w:val="BodyText"/>
        <w:spacing w:line="240" w:lineRule="auto" w:before="58"/>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3"/>
        <w:spacing w:line="350" w:lineRule="auto" w:before="0"/>
        <w:ind w:left="560" w:right="-4" w:hanging="423"/>
        <w:jc w:val="left"/>
        <w:rPr>
          <w:b w:val="0"/>
          <w:bCs w:val="0"/>
        </w:rPr>
      </w:pPr>
      <w:r>
        <w:rPr>
          <w:spacing w:val="-1"/>
        </w:rPr>
        <w:t>新华网股份有限公司全体股东：</w:t>
      </w:r>
      <w:r>
        <w:rPr>
          <w:spacing w:val="-94"/>
        </w:rPr>
        <w:t> </w:t>
      </w:r>
      <w:r>
        <w:rPr>
          <w:spacing w:val="-94"/>
        </w:rPr>
      </w:r>
      <w:r>
        <w:rPr/>
        <w:t>一、审计意见</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7"/>
        <w:rPr>
          <w:rFonts w:ascii="宋体" w:hAnsi="宋体" w:cs="宋体" w:eastAsia="宋体" w:hint="default"/>
          <w:b/>
          <w:bCs/>
          <w:sz w:val="24"/>
          <w:szCs w:val="24"/>
        </w:rPr>
      </w:pPr>
    </w:p>
    <w:p>
      <w:pPr>
        <w:pStyle w:val="Heading2"/>
        <w:spacing w:line="240" w:lineRule="auto"/>
        <w:ind w:right="-20"/>
        <w:jc w:val="left"/>
        <w:rPr>
          <w:b w:val="0"/>
          <w:bCs w:val="0"/>
        </w:rPr>
      </w:pPr>
      <w:r>
        <w:rPr/>
        <w:t>审计报告</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66"/>
        <w:ind w:right="0"/>
        <w:jc w:val="left"/>
      </w:pPr>
      <w:r>
        <w:rPr/>
        <w:t>瑞华审字</w:t>
      </w:r>
      <w:r>
        <w:rPr>
          <w:rFonts w:ascii="Arial" w:hAnsi="Arial" w:cs="Arial" w:eastAsia="Arial" w:hint="default"/>
        </w:rPr>
        <w:t>[2018]01520002</w:t>
      </w:r>
      <w:r>
        <w:rPr>
          <w:rFonts w:ascii="Arial" w:hAnsi="Arial" w:cs="Arial" w:eastAsia="Arial" w:hint="default"/>
          <w:spacing w:val="-8"/>
        </w:rPr>
        <w:t> </w:t>
      </w:r>
      <w:r>
        <w:rPr/>
        <w:t>号</w:t>
      </w:r>
    </w:p>
    <w:p>
      <w:pPr>
        <w:spacing w:after="0" w:line="240" w:lineRule="auto"/>
        <w:jc w:val="left"/>
        <w:sectPr>
          <w:type w:val="continuous"/>
          <w:pgSz w:w="11910" w:h="16840"/>
          <w:pgMar w:top="1120" w:bottom="1380" w:left="1660" w:right="1060"/>
          <w:cols w:num="3" w:equalWidth="0">
            <w:col w:w="3091" w:space="843"/>
            <w:col w:w="1103" w:space="1149"/>
            <w:col w:w="3004"/>
          </w:cols>
        </w:sectPr>
      </w:pPr>
    </w:p>
    <w:p>
      <w:pPr>
        <w:pStyle w:val="BodyText"/>
        <w:spacing w:line="331" w:lineRule="auto" w:before="27"/>
        <w:ind w:right="101" w:firstLine="419"/>
        <w:jc w:val="left"/>
      </w:pPr>
      <w:r>
        <w:rPr/>
        <w:t>我们审计了新华网股份有限公司（以下简称“新华网”）财务报表，包括</w:t>
      </w:r>
      <w:r>
        <w:rPr>
          <w:spacing w:val="-53"/>
        </w:rPr>
        <w:t> </w:t>
      </w:r>
      <w:r>
        <w:rPr>
          <w:rFonts w:ascii="Arial" w:hAnsi="Arial" w:cs="Arial" w:eastAsia="Arial" w:hint="default"/>
        </w:rPr>
        <w:t>2017</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w w:val="100"/>
        </w:rPr>
        <w:t> </w:t>
      </w:r>
      <w:r>
        <w:rPr>
          <w:spacing w:val="-3"/>
        </w:rPr>
        <w:t>日的合并及公司资产负债表，</w:t>
      </w:r>
      <w:r>
        <w:rPr>
          <w:rFonts w:ascii="Arial" w:hAnsi="Arial" w:cs="Arial" w:eastAsia="Arial" w:hint="default"/>
          <w:spacing w:val="-3"/>
        </w:rPr>
        <w:t>2017 </w:t>
      </w:r>
      <w:r>
        <w:rPr>
          <w:spacing w:val="-4"/>
        </w:rPr>
        <w:t>年度的合并及公司利润表、合并及公司现金流量表、合并及公</w:t>
      </w:r>
      <w:r>
        <w:rPr>
          <w:spacing w:val="-45"/>
        </w:rPr>
        <w:t> </w:t>
      </w:r>
      <w:r>
        <w:rPr>
          <w:spacing w:val="-45"/>
        </w:rPr>
      </w:r>
      <w:r>
        <w:rPr/>
        <w:t>司股东权益变动表以及相关财务报表附注。</w:t>
      </w:r>
    </w:p>
    <w:p>
      <w:pPr>
        <w:pStyle w:val="BodyText"/>
        <w:spacing w:line="350" w:lineRule="auto" w:before="43"/>
        <w:ind w:right="208" w:firstLine="419"/>
        <w:jc w:val="left"/>
      </w:pPr>
      <w:r>
        <w:rPr>
          <w:spacing w:val="-2"/>
        </w:rPr>
        <w:t>我们认为，后附的财务报表在所有重大方面按照企业会计准则的规定编制，公允反映了新华</w:t>
      </w:r>
      <w:r>
        <w:rPr>
          <w:w w:val="100"/>
        </w:rPr>
        <w:t> </w:t>
      </w:r>
      <w:r>
        <w:rPr/>
        <w:t>网</w:t>
      </w:r>
      <w:r>
        <w:rPr>
          <w:spacing w:val="-70"/>
        </w:rPr>
        <w:t> </w:t>
      </w:r>
      <w:r>
        <w:rPr>
          <w:rFonts w:ascii="Arial" w:hAnsi="Arial" w:cs="Arial" w:eastAsia="Arial" w:hint="default"/>
        </w:rPr>
        <w:t>2017</w:t>
      </w:r>
      <w:r>
        <w:rPr>
          <w:rFonts w:ascii="Arial" w:hAnsi="Arial" w:cs="Arial" w:eastAsia="Arial" w:hint="default"/>
          <w:spacing w:val="-25"/>
        </w:rPr>
        <w:t> </w:t>
      </w:r>
      <w:r>
        <w:rPr/>
        <w:t>年</w:t>
      </w:r>
      <w:r>
        <w:rPr>
          <w:spacing w:val="-69"/>
        </w:rPr>
        <w:t> </w:t>
      </w:r>
      <w:r>
        <w:rPr>
          <w:rFonts w:ascii="Arial" w:hAnsi="Arial" w:cs="Arial" w:eastAsia="Arial" w:hint="default"/>
        </w:rPr>
        <w:t>12</w:t>
      </w:r>
      <w:r>
        <w:rPr>
          <w:rFonts w:ascii="Arial" w:hAnsi="Arial" w:cs="Arial" w:eastAsia="Arial" w:hint="default"/>
          <w:spacing w:val="-25"/>
        </w:rPr>
        <w:t> </w:t>
      </w:r>
      <w:r>
        <w:rPr/>
        <w:t>月</w:t>
      </w:r>
      <w:r>
        <w:rPr>
          <w:spacing w:val="-69"/>
        </w:rPr>
        <w:t> </w:t>
      </w:r>
      <w:r>
        <w:rPr>
          <w:rFonts w:ascii="Arial" w:hAnsi="Arial" w:cs="Arial" w:eastAsia="Arial" w:hint="default"/>
        </w:rPr>
        <w:t>31</w:t>
      </w:r>
      <w:r>
        <w:rPr>
          <w:rFonts w:ascii="Arial" w:hAnsi="Arial" w:cs="Arial" w:eastAsia="Arial" w:hint="default"/>
          <w:spacing w:val="-25"/>
        </w:rPr>
        <w:t> </w:t>
      </w:r>
      <w:r>
        <w:rPr/>
        <w:t>日合并及公司的财务状况以及</w:t>
      </w:r>
      <w:r>
        <w:rPr>
          <w:spacing w:val="-69"/>
        </w:rPr>
        <w:t> </w:t>
      </w:r>
      <w:r>
        <w:rPr>
          <w:rFonts w:ascii="Arial" w:hAnsi="Arial" w:cs="Arial" w:eastAsia="Arial" w:hint="default"/>
        </w:rPr>
        <w:t>2017</w:t>
      </w:r>
      <w:r>
        <w:rPr>
          <w:rFonts w:ascii="Arial" w:hAnsi="Arial" w:cs="Arial" w:eastAsia="Arial" w:hint="default"/>
          <w:spacing w:val="-23"/>
        </w:rPr>
        <w:t> </w:t>
      </w:r>
      <w:r>
        <w:rPr/>
        <w:t>年度合并及公司的经营成果和现金流量。</w:t>
      </w:r>
    </w:p>
    <w:p>
      <w:pPr>
        <w:spacing w:line="348" w:lineRule="auto" w:before="3"/>
        <w:ind w:left="558" w:right="101"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48" w:lineRule="auto" w:before="31"/>
        <w:ind w:right="217"/>
        <w:jc w:val="both"/>
      </w:pPr>
      <w:r>
        <w:rPr>
          <w:spacing w:val="-2"/>
        </w:rPr>
        <w:t>报表审计的责任”部分进一步阐述了我们在这些准则下的责任。按照中国注册会计师职业道德守</w:t>
      </w:r>
      <w:r>
        <w:rPr>
          <w:spacing w:val="-25"/>
        </w:rPr>
        <w:t> </w:t>
      </w:r>
      <w:r>
        <w:rPr>
          <w:spacing w:val="-25"/>
        </w:rPr>
      </w:r>
      <w:r>
        <w:rPr>
          <w:spacing w:val="-2"/>
        </w:rPr>
        <w:t>则，我们独立于新华网，并履行了职业道德方面的其他责任。我们相信，我们获取的审计证据是</w:t>
      </w:r>
      <w:r>
        <w:rPr>
          <w:spacing w:val="-25"/>
        </w:rPr>
        <w:t> </w:t>
      </w:r>
      <w:r>
        <w:rPr>
          <w:spacing w:val="-25"/>
        </w:rPr>
      </w:r>
      <w:r>
        <w:rPr/>
        <w:t>充分、适当的，为发表审计意见提供了基础。</w:t>
      </w:r>
    </w:p>
    <w:p>
      <w:pPr>
        <w:pStyle w:val="BodyText"/>
        <w:spacing w:line="350" w:lineRule="auto" w:before="31"/>
        <w:ind w:left="558" w:right="101"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350" w:lineRule="auto" w:before="27"/>
        <w:ind w:right="217"/>
        <w:jc w:val="both"/>
      </w:pP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p>
    <w:p>
      <w:pPr>
        <w:pStyle w:val="Heading3"/>
        <w:spacing w:line="240" w:lineRule="auto" w:before="29"/>
        <w:ind w:left="560" w:right="101"/>
        <w:jc w:val="left"/>
        <w:rPr>
          <w:b w:val="0"/>
          <w:bCs w:val="0"/>
        </w:rPr>
      </w:pPr>
      <w:r>
        <w:rPr/>
        <w:t>（一）收入确认</w:t>
      </w:r>
      <w:r>
        <w:rPr>
          <w:b w:val="0"/>
          <w:bCs w:val="0"/>
        </w:rPr>
      </w:r>
    </w:p>
    <w:p>
      <w:pPr>
        <w:pStyle w:val="BodyText"/>
        <w:spacing w:line="240" w:lineRule="auto" w:before="123"/>
        <w:ind w:left="558" w:right="101"/>
        <w:jc w:val="left"/>
      </w:pPr>
      <w:r>
        <w:rPr>
          <w:rFonts w:ascii="Arial" w:hAnsi="Arial" w:cs="Arial" w:eastAsia="Arial" w:hint="default"/>
        </w:rPr>
        <w:t>1</w:t>
      </w:r>
      <w:r>
        <w:rPr/>
        <w:t>、事项描述</w:t>
      </w:r>
    </w:p>
    <w:p>
      <w:pPr>
        <w:pStyle w:val="BodyText"/>
        <w:spacing w:line="331" w:lineRule="auto" w:before="111"/>
        <w:ind w:right="102" w:firstLine="419"/>
        <w:jc w:val="left"/>
      </w:pPr>
      <w:r>
        <w:rPr/>
        <w:t>如本报告第十一节、七、</w:t>
      </w:r>
      <w:r>
        <w:rPr>
          <w:rFonts w:ascii="Arial" w:hAnsi="Arial" w:cs="Arial" w:eastAsia="Arial" w:hint="default"/>
        </w:rPr>
        <w:t>61</w:t>
      </w:r>
      <w:r>
        <w:rPr>
          <w:rFonts w:ascii="Arial" w:hAnsi="Arial" w:cs="Arial" w:eastAsia="Arial" w:hint="default"/>
          <w:spacing w:val="-9"/>
        </w:rPr>
        <w:t> </w:t>
      </w:r>
      <w:r>
        <w:rPr/>
        <w:t>所示，新华网</w:t>
      </w:r>
      <w:r>
        <w:rPr>
          <w:spacing w:val="-58"/>
        </w:rPr>
        <w:t> </w:t>
      </w:r>
      <w:r>
        <w:rPr>
          <w:rFonts w:ascii="Arial" w:hAnsi="Arial" w:cs="Arial" w:eastAsia="Arial" w:hint="default"/>
        </w:rPr>
        <w:t>2017</w:t>
      </w:r>
      <w:r>
        <w:rPr>
          <w:rFonts w:ascii="Arial" w:hAnsi="Arial" w:cs="Arial" w:eastAsia="Arial" w:hint="default"/>
          <w:spacing w:val="-8"/>
        </w:rPr>
        <w:t> </w:t>
      </w:r>
      <w:r>
        <w:rPr/>
        <w:t>年度实现营业收入人民币</w:t>
      </w:r>
      <w:r>
        <w:rPr>
          <w:spacing w:val="-55"/>
        </w:rPr>
        <w:t> </w:t>
      </w:r>
      <w:r>
        <w:rPr>
          <w:rFonts w:ascii="Arial" w:hAnsi="Arial" w:cs="Arial" w:eastAsia="Arial" w:hint="default"/>
        </w:rPr>
        <w:t>1,502,417,012.25</w:t>
      </w:r>
      <w:r>
        <w:rPr>
          <w:rFonts w:ascii="Arial" w:hAnsi="Arial" w:cs="Arial" w:eastAsia="Arial" w:hint="default"/>
          <w:w w:val="100"/>
        </w:rPr>
        <w:t> </w:t>
      </w:r>
      <w:r>
        <w:rPr/>
        <w:t>元，较</w:t>
      </w:r>
      <w:r>
        <w:rPr>
          <w:spacing w:val="-44"/>
        </w:rPr>
        <w:t> </w:t>
      </w:r>
      <w:r>
        <w:rPr>
          <w:rFonts w:ascii="Arial" w:hAnsi="Arial" w:cs="Arial" w:eastAsia="Arial" w:hint="default"/>
        </w:rPr>
        <w:t>2016</w:t>
      </w:r>
      <w:r>
        <w:rPr>
          <w:rFonts w:ascii="Arial" w:hAnsi="Arial" w:cs="Arial" w:eastAsia="Arial" w:hint="default"/>
          <w:spacing w:val="1"/>
        </w:rPr>
        <w:t> </w:t>
      </w:r>
      <w:r>
        <w:rPr/>
        <w:t>年增长</w:t>
      </w:r>
      <w:r>
        <w:rPr>
          <w:spacing w:val="-44"/>
        </w:rPr>
        <w:t> </w:t>
      </w:r>
      <w:r>
        <w:rPr>
          <w:rFonts w:ascii="Arial" w:hAnsi="Arial" w:cs="Arial" w:eastAsia="Arial" w:hint="default"/>
        </w:rPr>
        <w:t>10.36%</w:t>
      </w:r>
      <w:r>
        <w:rPr/>
        <w:t>。由于收入金额重大且为关键业绩指标，根据本报告第十一节、五、</w:t>
      </w:r>
      <w:r>
        <w:rPr>
          <w:spacing w:val="-102"/>
        </w:rPr>
        <w:t> </w:t>
      </w:r>
      <w:r>
        <w:rPr>
          <w:spacing w:val="-102"/>
        </w:rPr>
      </w:r>
      <w:r>
        <w:rPr>
          <w:rFonts w:ascii="Arial" w:hAnsi="Arial" w:cs="Arial" w:eastAsia="Arial" w:hint="default"/>
        </w:rPr>
        <w:t>28</w:t>
      </w:r>
      <w:r>
        <w:rPr>
          <w:rFonts w:ascii="Arial" w:hAnsi="Arial" w:cs="Arial" w:eastAsia="Arial" w:hint="default"/>
          <w:spacing w:val="24"/>
        </w:rPr>
        <w:t> </w:t>
      </w:r>
      <w:r>
        <w:rPr/>
        <w:t>所述的会计政策，可能存在收入确认的相关风险。因此，我们将收入确认作为关键审计事项。</w:t>
      </w:r>
    </w:p>
    <w:p>
      <w:pPr>
        <w:pStyle w:val="BodyText"/>
        <w:spacing w:line="331" w:lineRule="auto" w:before="22"/>
        <w:ind w:left="558" w:right="5653"/>
        <w:jc w:val="left"/>
      </w:pPr>
      <w:r>
        <w:rPr>
          <w:rFonts w:ascii="Arial" w:hAnsi="Arial" w:cs="Arial" w:eastAsia="Arial" w:hint="default"/>
        </w:rPr>
        <w:t>2</w:t>
      </w:r>
      <w:r>
        <w:rPr/>
        <w:t>、审计应对</w:t>
      </w:r>
      <w:r>
        <w:rPr>
          <w:w w:val="100"/>
        </w:rPr>
        <w:t> </w:t>
      </w:r>
      <w:r>
        <w:rPr>
          <w:spacing w:val="-2"/>
        </w:rPr>
        <w:t>我们执行的主要审计程序包括：</w:t>
      </w:r>
    </w:p>
    <w:p>
      <w:pPr>
        <w:pStyle w:val="BodyText"/>
        <w:spacing w:line="240" w:lineRule="auto" w:before="43"/>
        <w:ind w:left="558" w:right="101"/>
        <w:jc w:val="left"/>
      </w:pPr>
      <w:r>
        <w:rPr/>
        <w:t>（</w:t>
      </w:r>
      <w:r>
        <w:rPr>
          <w:rFonts w:ascii="Arial" w:hAnsi="Arial" w:cs="Arial" w:eastAsia="Arial" w:hint="default"/>
        </w:rPr>
        <w:t>1</w:t>
      </w:r>
      <w:r>
        <w:rPr/>
        <w:t>）</w:t>
      </w:r>
      <w:r>
        <w:rPr>
          <w:spacing w:val="75"/>
        </w:rPr>
        <w:t> </w:t>
      </w:r>
      <w:r>
        <w:rPr/>
        <w:t>了解、测试与收入确认相关的内部控制制度设计和执行的有效性</w:t>
      </w:r>
    </w:p>
    <w:p>
      <w:pPr>
        <w:pStyle w:val="BodyText"/>
        <w:spacing w:line="240" w:lineRule="auto" w:before="111"/>
        <w:ind w:left="558" w:right="0"/>
        <w:jc w:val="left"/>
      </w:pPr>
      <w:r>
        <w:rPr/>
        <w:t>（</w:t>
      </w:r>
      <w:r>
        <w:rPr>
          <w:rFonts w:ascii="Arial" w:hAnsi="Arial" w:cs="Arial" w:eastAsia="Arial" w:hint="default"/>
        </w:rPr>
        <w:t>2</w:t>
      </w:r>
      <w:r>
        <w:rPr/>
        <w:t>）结合收入类型对收入和成本执行分析程序，分析毛利率变动情况，复核收入的合理性；</w:t>
      </w:r>
    </w:p>
    <w:p>
      <w:pPr>
        <w:pStyle w:val="BodyText"/>
        <w:spacing w:line="328" w:lineRule="auto" w:before="111"/>
        <w:ind w:right="101" w:firstLine="419"/>
        <w:jc w:val="left"/>
      </w:pPr>
      <w:r>
        <w:rPr>
          <w:spacing w:val="-4"/>
        </w:rPr>
        <w:t>（</w:t>
      </w:r>
      <w:r>
        <w:rPr>
          <w:rFonts w:ascii="Arial" w:hAnsi="Arial" w:cs="Arial" w:eastAsia="Arial" w:hint="default"/>
          <w:spacing w:val="-4"/>
        </w:rPr>
        <w:t>3</w:t>
      </w:r>
      <w:r>
        <w:rPr>
          <w:spacing w:val="-4"/>
        </w:rPr>
        <w:t>）选取样本检查与收入确认相关的支持性文件，包括合同、排期单、业务执行单、客户结</w:t>
      </w:r>
      <w:r>
        <w:rPr>
          <w:w w:val="100"/>
        </w:rPr>
        <w:t> </w:t>
      </w:r>
      <w:r>
        <w:rPr/>
        <w:t>算单等，评价收入确认是否符合会计准则的要求；</w:t>
      </w:r>
    </w:p>
    <w:p>
      <w:pPr>
        <w:spacing w:after="0" w:line="328" w:lineRule="auto"/>
        <w:jc w:val="left"/>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31" w:lineRule="auto" w:before="36"/>
        <w:ind w:right="101" w:firstLine="419"/>
        <w:jc w:val="left"/>
      </w:pPr>
      <w:r>
        <w:rPr>
          <w:spacing w:val="-4"/>
        </w:rPr>
        <w:t>（</w:t>
      </w:r>
      <w:r>
        <w:rPr>
          <w:rFonts w:ascii="Arial" w:hAnsi="Arial" w:cs="Arial" w:eastAsia="Arial" w:hint="default"/>
          <w:spacing w:val="-4"/>
        </w:rPr>
        <w:t>4</w:t>
      </w:r>
      <w:r>
        <w:rPr>
          <w:spacing w:val="-4"/>
        </w:rPr>
        <w:t>）结合应收账款审计，函证主要客户销售金额、业务执行情况以及合同特殊条款等，对大</w:t>
      </w:r>
      <w:r>
        <w:rPr>
          <w:spacing w:val="-3"/>
          <w:w w:val="100"/>
        </w:rPr>
        <w:t> </w:t>
      </w:r>
      <w:r>
        <w:rPr/>
        <w:t>额应收客户执行期后回款测试；</w:t>
      </w:r>
    </w:p>
    <w:p>
      <w:pPr>
        <w:pStyle w:val="BodyText"/>
        <w:spacing w:line="328" w:lineRule="auto" w:before="46"/>
        <w:ind w:right="101" w:firstLine="419"/>
        <w:jc w:val="left"/>
      </w:pPr>
      <w:r>
        <w:rPr>
          <w:spacing w:val="-4"/>
        </w:rPr>
        <w:t>（</w:t>
      </w:r>
      <w:r>
        <w:rPr>
          <w:rFonts w:ascii="Arial" w:hAnsi="Arial" w:cs="Arial" w:eastAsia="Arial" w:hint="default"/>
          <w:spacing w:val="-4"/>
        </w:rPr>
        <w:t>5</w:t>
      </w:r>
      <w:r>
        <w:rPr>
          <w:spacing w:val="-4"/>
        </w:rPr>
        <w:t>）就资产负债表日前后确认的收入，检查排期单、结算单日期，以评价收入是否被记录于</w:t>
      </w:r>
      <w:r>
        <w:rPr>
          <w:w w:val="100"/>
        </w:rPr>
        <w:t> </w:t>
      </w:r>
      <w:r>
        <w:rPr/>
        <w:t>恰当的会计期间。</w:t>
      </w:r>
    </w:p>
    <w:p>
      <w:pPr>
        <w:pStyle w:val="Heading3"/>
        <w:spacing w:line="240" w:lineRule="auto" w:before="48"/>
        <w:ind w:left="560" w:right="101"/>
        <w:jc w:val="left"/>
        <w:rPr>
          <w:b w:val="0"/>
          <w:bCs w:val="0"/>
        </w:rPr>
      </w:pPr>
      <w:r>
        <w:rPr/>
        <w:t>（二）应收账款坏账准备</w:t>
      </w:r>
      <w:r>
        <w:rPr>
          <w:b w:val="0"/>
          <w:bCs w:val="0"/>
        </w:rPr>
      </w:r>
    </w:p>
    <w:p>
      <w:pPr>
        <w:pStyle w:val="BodyText"/>
        <w:spacing w:line="240" w:lineRule="auto" w:before="126"/>
        <w:ind w:left="558" w:right="101"/>
        <w:jc w:val="left"/>
      </w:pPr>
      <w:r>
        <w:rPr>
          <w:rFonts w:ascii="Arial" w:hAnsi="Arial" w:cs="Arial" w:eastAsia="Arial" w:hint="default"/>
        </w:rPr>
        <w:t>1</w:t>
      </w:r>
      <w:r>
        <w:rPr/>
        <w:t>、事项描述</w:t>
      </w:r>
    </w:p>
    <w:p>
      <w:pPr>
        <w:pStyle w:val="BodyText"/>
        <w:spacing w:line="240" w:lineRule="auto" w:before="108"/>
        <w:ind w:left="558" w:right="101"/>
        <w:jc w:val="left"/>
      </w:pPr>
      <w:r>
        <w:rPr>
          <w:spacing w:val="-2"/>
        </w:rPr>
        <w:t>如本报告第十一节、七、</w:t>
      </w:r>
      <w:r>
        <w:rPr>
          <w:rFonts w:ascii="Arial" w:hAnsi="Arial" w:cs="Arial" w:eastAsia="Arial" w:hint="default"/>
          <w:spacing w:val="-2"/>
        </w:rPr>
        <w:t>4</w:t>
      </w:r>
      <w:r>
        <w:rPr>
          <w:rFonts w:ascii="Arial" w:hAnsi="Arial" w:cs="Arial" w:eastAsia="Arial" w:hint="default"/>
        </w:rPr>
        <w:t> </w:t>
      </w:r>
      <w:r>
        <w:rPr>
          <w:rFonts w:ascii="Arial" w:hAnsi="Arial" w:cs="Arial" w:eastAsia="Arial" w:hint="default"/>
          <w:spacing w:val="6"/>
        </w:rPr>
        <w:t> </w:t>
      </w:r>
      <w:r>
        <w:rPr>
          <w:spacing w:val="-2"/>
        </w:rPr>
        <w:t>所示，新华网合并资产负债表中应收账款账面价值为人民币</w:t>
      </w:r>
    </w:p>
    <w:p>
      <w:pPr>
        <w:pStyle w:val="BodyText"/>
        <w:spacing w:line="333" w:lineRule="auto" w:before="111"/>
        <w:ind w:left="558" w:right="99" w:hanging="420"/>
        <w:jc w:val="left"/>
      </w:pPr>
      <w:r>
        <w:rPr>
          <w:rFonts w:ascii="Arial" w:hAnsi="Arial" w:cs="Arial" w:eastAsia="Arial" w:hint="default"/>
        </w:rPr>
        <w:t>514,509,199.11</w:t>
      </w:r>
      <w:r>
        <w:rPr>
          <w:rFonts w:ascii="Arial" w:hAnsi="Arial" w:cs="Arial" w:eastAsia="Arial" w:hint="default"/>
          <w:spacing w:val="-7"/>
        </w:rPr>
        <w:t> </w:t>
      </w:r>
      <w:r>
        <w:rPr/>
        <w:t>元，</w:t>
      </w:r>
      <w:r>
        <w:rPr>
          <w:rFonts w:ascii="Arial" w:hAnsi="Arial" w:cs="Arial" w:eastAsia="Arial" w:hint="default"/>
        </w:rPr>
        <w:t>2017</w:t>
      </w:r>
      <w:r>
        <w:rPr>
          <w:rFonts w:ascii="Arial" w:hAnsi="Arial" w:cs="Arial" w:eastAsia="Arial" w:hint="default"/>
          <w:spacing w:val="-8"/>
        </w:rPr>
        <w:t> </w:t>
      </w:r>
      <w:r>
        <w:rPr/>
        <w:t>年于合并利润表中计提应收账款坏账准备人民币</w:t>
      </w:r>
      <w:r>
        <w:rPr>
          <w:spacing w:val="-54"/>
        </w:rPr>
        <w:t> </w:t>
      </w:r>
      <w:r>
        <w:rPr>
          <w:rFonts w:ascii="Arial" w:hAnsi="Arial" w:cs="Arial" w:eastAsia="Arial" w:hint="default"/>
        </w:rPr>
        <w:t>41,816,428.43</w:t>
      </w:r>
      <w:r>
        <w:rPr>
          <w:rFonts w:ascii="Arial" w:hAnsi="Arial" w:cs="Arial" w:eastAsia="Arial" w:hint="default"/>
          <w:spacing w:val="-8"/>
        </w:rPr>
        <w:t> </w:t>
      </w:r>
      <w:r>
        <w:rPr/>
        <w:t>元。</w:t>
      </w:r>
      <w:r>
        <w:rPr>
          <w:w w:val="100"/>
        </w:rPr>
        <w:t> </w:t>
      </w:r>
      <w:r>
        <w:rPr/>
        <w:t>由于应收款项的账面价值较高，对财务报表影响重大，根据财务报表附注五、</w:t>
      </w:r>
      <w:r>
        <w:rPr>
          <w:rFonts w:ascii="Arial" w:hAnsi="Arial" w:cs="Arial" w:eastAsia="Arial" w:hint="default"/>
        </w:rPr>
        <w:t>11</w:t>
      </w:r>
      <w:r>
        <w:rPr>
          <w:rFonts w:ascii="Arial" w:hAnsi="Arial" w:cs="Arial" w:eastAsia="Arial" w:hint="default"/>
          <w:spacing w:val="27"/>
        </w:rPr>
        <w:t> </w:t>
      </w:r>
      <w:r>
        <w:rPr/>
        <w:t>及附注五、</w:t>
      </w:r>
    </w:p>
    <w:p>
      <w:pPr>
        <w:pStyle w:val="BodyText"/>
        <w:spacing w:line="331" w:lineRule="auto" w:before="17"/>
        <w:ind w:right="101"/>
        <w:jc w:val="left"/>
      </w:pPr>
      <w:r>
        <w:rPr>
          <w:rFonts w:ascii="Arial" w:hAnsi="Arial" w:cs="Arial" w:eastAsia="Arial" w:hint="default"/>
          <w:spacing w:val="-2"/>
        </w:rPr>
        <w:t>33</w:t>
      </w:r>
      <w:r>
        <w:rPr>
          <w:spacing w:val="-2"/>
        </w:rPr>
        <w:t>（</w:t>
      </w:r>
      <w:r>
        <w:rPr>
          <w:rFonts w:ascii="Arial" w:hAnsi="Arial" w:cs="Arial" w:eastAsia="Arial" w:hint="default"/>
          <w:spacing w:val="-2"/>
        </w:rPr>
        <w:t>3</w:t>
      </w:r>
      <w:r>
        <w:rPr>
          <w:spacing w:val="-2"/>
        </w:rPr>
        <w:t>）所述的会计政策，坏账准备的计提涉及管理层对应收账款可收回性的判断，因此，我们</w:t>
      </w:r>
      <w:r>
        <w:rPr>
          <w:spacing w:val="-29"/>
        </w:rPr>
        <w:t> </w:t>
      </w:r>
      <w:r>
        <w:rPr>
          <w:spacing w:val="-29"/>
        </w:rPr>
      </w:r>
      <w:r>
        <w:rPr/>
        <w:t>将应收账款坏账准备作为关键审计事项。</w:t>
      </w:r>
    </w:p>
    <w:p>
      <w:pPr>
        <w:pStyle w:val="BodyText"/>
        <w:spacing w:line="328" w:lineRule="auto" w:before="46"/>
        <w:ind w:left="558" w:right="5653"/>
        <w:jc w:val="left"/>
      </w:pPr>
      <w:r>
        <w:rPr>
          <w:rFonts w:ascii="Arial" w:hAnsi="Arial" w:cs="Arial" w:eastAsia="Arial" w:hint="default"/>
        </w:rPr>
        <w:t>2</w:t>
      </w:r>
      <w:r>
        <w:rPr/>
        <w:t>、审计应对</w:t>
      </w:r>
      <w:r>
        <w:rPr>
          <w:w w:val="100"/>
        </w:rPr>
        <w:t> </w:t>
      </w:r>
      <w:r>
        <w:rPr>
          <w:spacing w:val="-2"/>
        </w:rPr>
        <w:t>我们执行的主要审计程序包括：</w:t>
      </w:r>
    </w:p>
    <w:p>
      <w:pPr>
        <w:pStyle w:val="BodyText"/>
        <w:spacing w:line="240" w:lineRule="auto" w:before="48"/>
        <w:ind w:left="558" w:right="101"/>
        <w:jc w:val="left"/>
      </w:pPr>
      <w:r>
        <w:rPr/>
        <w:t>（</w:t>
      </w:r>
      <w:r>
        <w:rPr>
          <w:rFonts w:ascii="Arial" w:hAnsi="Arial" w:cs="Arial" w:eastAsia="Arial" w:hint="default"/>
        </w:rPr>
        <w:t>1</w:t>
      </w:r>
      <w:r>
        <w:rPr/>
        <w:t>）了解、测试与应收账款管理相关的内部控制制度设计和执行的有效性；</w:t>
      </w:r>
    </w:p>
    <w:p>
      <w:pPr>
        <w:pStyle w:val="BodyText"/>
        <w:spacing w:line="328" w:lineRule="auto" w:before="111"/>
        <w:ind w:right="101" w:firstLine="419"/>
        <w:jc w:val="left"/>
      </w:pPr>
      <w:r>
        <w:rPr>
          <w:spacing w:val="-4"/>
        </w:rPr>
        <w:t>（</w:t>
      </w:r>
      <w:r>
        <w:rPr>
          <w:rFonts w:ascii="Arial" w:hAnsi="Arial" w:cs="Arial" w:eastAsia="Arial" w:hint="default"/>
          <w:spacing w:val="-4"/>
        </w:rPr>
        <w:t>2</w:t>
      </w:r>
      <w:r>
        <w:rPr>
          <w:spacing w:val="-4"/>
        </w:rPr>
        <w:t>）评估新华网应收账款坏账准备会计估计的合理性，包括确定应收账款组合的依据、单项</w:t>
      </w:r>
      <w:r>
        <w:rPr>
          <w:w w:val="100"/>
        </w:rPr>
        <w:t> </w:t>
      </w:r>
      <w:r>
        <w:rPr/>
        <w:t>金额重大及单独计提坏账准备的判断等；</w:t>
      </w:r>
    </w:p>
    <w:p>
      <w:pPr>
        <w:pStyle w:val="BodyText"/>
        <w:spacing w:line="331" w:lineRule="auto" w:before="48"/>
        <w:ind w:right="101" w:firstLine="419"/>
        <w:jc w:val="left"/>
      </w:pPr>
      <w:r>
        <w:rPr>
          <w:spacing w:val="-4"/>
        </w:rPr>
        <w:t>（</w:t>
      </w:r>
      <w:r>
        <w:rPr>
          <w:rFonts w:ascii="Arial" w:hAnsi="Arial" w:cs="Arial" w:eastAsia="Arial" w:hint="default"/>
          <w:spacing w:val="-4"/>
        </w:rPr>
        <w:t>3</w:t>
      </w:r>
      <w:r>
        <w:rPr>
          <w:spacing w:val="-4"/>
        </w:rPr>
        <w:t>）获取管理层提供的坏账准备计提表，对坏账准备金额执行分析程序，复核坏账准备计提</w:t>
      </w:r>
      <w:r>
        <w:rPr>
          <w:w w:val="100"/>
        </w:rPr>
        <w:t> </w:t>
      </w:r>
      <w:r>
        <w:rPr/>
        <w:t>的准确性、合理性；</w:t>
      </w:r>
    </w:p>
    <w:p>
      <w:pPr>
        <w:pStyle w:val="BodyText"/>
        <w:spacing w:line="331" w:lineRule="auto" w:before="43"/>
        <w:ind w:right="101" w:firstLine="419"/>
        <w:jc w:val="left"/>
      </w:pPr>
      <w:r>
        <w:rPr>
          <w:spacing w:val="-4"/>
        </w:rPr>
        <w:t>（</w:t>
      </w:r>
      <w:r>
        <w:rPr>
          <w:rFonts w:ascii="Arial" w:hAnsi="Arial" w:cs="Arial" w:eastAsia="Arial" w:hint="default"/>
          <w:spacing w:val="-4"/>
        </w:rPr>
        <w:t>4</w:t>
      </w:r>
      <w:r>
        <w:rPr>
          <w:spacing w:val="-4"/>
        </w:rPr>
        <w:t>）对应收账款进行账龄分析，了解主要客户信誉情况，结合应收账款函证及检查期后回款</w:t>
      </w:r>
      <w:r>
        <w:rPr>
          <w:w w:val="100"/>
        </w:rPr>
        <w:t> </w:t>
      </w:r>
      <w:r>
        <w:rPr/>
        <w:t>情况，评价应收账款坏账准备计提的合理性。</w:t>
      </w:r>
    </w:p>
    <w:p>
      <w:pPr>
        <w:pStyle w:val="Heading3"/>
        <w:spacing w:line="240" w:lineRule="auto" w:before="46"/>
        <w:ind w:left="560" w:right="101"/>
        <w:jc w:val="left"/>
        <w:rPr>
          <w:b w:val="0"/>
          <w:bCs w:val="0"/>
        </w:rPr>
      </w:pPr>
      <w:r>
        <w:rPr/>
        <w:t>四、其他信息</w:t>
      </w:r>
      <w:r>
        <w:rPr>
          <w:b w:val="0"/>
          <w:bCs w:val="0"/>
        </w:rPr>
      </w:r>
    </w:p>
    <w:p>
      <w:pPr>
        <w:pStyle w:val="BodyText"/>
        <w:spacing w:line="331" w:lineRule="auto" w:before="123"/>
        <w:ind w:right="272" w:firstLine="419"/>
        <w:jc w:val="left"/>
      </w:pPr>
      <w:r>
        <w:rPr/>
        <w:t>新华网管理层对其他信息负责。其他信息包括</w:t>
      </w:r>
      <w:r>
        <w:rPr>
          <w:spacing w:val="-55"/>
        </w:rPr>
        <w:t> </w:t>
      </w:r>
      <w:r>
        <w:rPr>
          <w:rFonts w:ascii="Arial" w:hAnsi="Arial" w:cs="Arial" w:eastAsia="Arial" w:hint="default"/>
        </w:rPr>
        <w:t>2017</w:t>
      </w:r>
      <w:r>
        <w:rPr>
          <w:rFonts w:ascii="Arial" w:hAnsi="Arial" w:cs="Arial" w:eastAsia="Arial" w:hint="default"/>
          <w:spacing w:val="-9"/>
        </w:rPr>
        <w:t> </w:t>
      </w:r>
      <w:r>
        <w:rPr/>
        <w:t>年年度报告中涵盖的信息，但不包括财</w:t>
      </w:r>
      <w:r>
        <w:rPr>
          <w:w w:val="100"/>
        </w:rPr>
        <w:t> </w:t>
      </w:r>
      <w:r>
        <w:rPr/>
        <w:t>务报表和我们的审计报告。</w:t>
      </w:r>
    </w:p>
    <w:p>
      <w:pPr>
        <w:pStyle w:val="BodyText"/>
        <w:spacing w:line="348" w:lineRule="auto" w:before="46"/>
        <w:ind w:right="101"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0" w:lineRule="auto" w:before="31"/>
        <w:ind w:right="101"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0" w:lineRule="auto" w:before="27"/>
        <w:ind w:right="101"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line="348" w:lineRule="auto" w:before="29"/>
        <w:ind w:left="558" w:right="101"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新华网管理层（以下简称管理层）负责按照企业会计准则的规定编制财务报表，使其实现公</w:t>
      </w:r>
    </w:p>
    <w:p>
      <w:pPr>
        <w:pStyle w:val="BodyText"/>
        <w:spacing w:line="350" w:lineRule="auto" w:before="31"/>
        <w:ind w:right="101"/>
        <w:jc w:val="left"/>
      </w:pPr>
      <w:r>
        <w:rPr>
          <w:spacing w:val="-2"/>
        </w:rPr>
        <w:t>允反映，并设计、执行和维护必要的内部控制，以使财务报表不存在由于舞弊或错误导致的重大</w:t>
      </w:r>
      <w:r>
        <w:rPr>
          <w:spacing w:val="-25"/>
        </w:rPr>
        <w:t> </w:t>
      </w:r>
      <w:r>
        <w:rPr>
          <w:spacing w:val="-25"/>
        </w:rPr>
      </w:r>
      <w:r>
        <w:rPr/>
        <w:t>错报。</w:t>
      </w:r>
    </w:p>
    <w:p>
      <w:pPr>
        <w:spacing w:after="0" w:line="350" w:lineRule="auto"/>
        <w:jc w:val="left"/>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50" w:lineRule="auto" w:before="36"/>
        <w:ind w:right="128" w:firstLine="419"/>
        <w:jc w:val="both"/>
      </w:pPr>
      <w:r>
        <w:rPr>
          <w:spacing w:val="-7"/>
        </w:rPr>
        <w:t>在编制财务报表时，管理层负责评估新华网的持续经营能力，披露与持续经营相关的事项（如</w:t>
      </w:r>
      <w:r>
        <w:rPr>
          <w:w w:val="100"/>
        </w:rPr>
        <w:t> </w:t>
      </w:r>
      <w:r>
        <w:rPr>
          <w:spacing w:val="-2"/>
        </w:rPr>
        <w:t>适用），并运用持续经营假设，除非管理层计划清算新华网、终止运营或别无其他现实的选择。</w:t>
      </w:r>
    </w:p>
    <w:p>
      <w:pPr>
        <w:spacing w:line="348" w:lineRule="auto" w:before="29"/>
        <w:ind w:left="560" w:right="3467" w:hanging="3"/>
        <w:jc w:val="left"/>
        <w:rPr>
          <w:rFonts w:ascii="宋体" w:hAnsi="宋体" w:cs="宋体" w:eastAsia="宋体" w:hint="default"/>
          <w:sz w:val="21"/>
          <w:szCs w:val="21"/>
        </w:rPr>
      </w:pPr>
      <w:r>
        <w:rPr>
          <w:rFonts w:ascii="宋体" w:hAnsi="宋体" w:cs="宋体" w:eastAsia="宋体" w:hint="default"/>
          <w:spacing w:val="-2"/>
          <w:sz w:val="21"/>
          <w:szCs w:val="21"/>
        </w:rPr>
        <w:t>治理层负责监督新华网的财务报告过程。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350" w:lineRule="auto" w:before="31"/>
        <w:ind w:right="137" w:firstLine="419"/>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48" w:lineRule="auto" w:before="30"/>
        <w:ind w:right="13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0" w:lineRule="auto" w:before="31"/>
        <w:ind w:right="128" w:firstLine="419"/>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29"/>
        <w:ind w:left="558" w:right="125"/>
        <w:jc w:val="left"/>
      </w:pPr>
      <w:r>
        <w:rPr/>
        <w:t>（二）了解与审计相关的内部控制，以设计恰当的审计程序。</w:t>
      </w:r>
    </w:p>
    <w:p>
      <w:pPr>
        <w:pStyle w:val="BodyText"/>
        <w:spacing w:line="240" w:lineRule="auto" w:before="123"/>
        <w:ind w:left="558" w:right="125"/>
        <w:jc w:val="left"/>
      </w:pPr>
      <w:r>
        <w:rPr/>
        <w:t>（三）评价管理层选用会计政策的恰当性和作出会计估计及相关披露的合理性。</w:t>
      </w:r>
    </w:p>
    <w:p>
      <w:pPr>
        <w:pStyle w:val="BodyText"/>
        <w:spacing w:line="350" w:lineRule="auto" w:before="126"/>
        <w:ind w:right="137" w:firstLine="419"/>
        <w:jc w:val="both"/>
      </w:pPr>
      <w:r>
        <w:rPr>
          <w:spacing w:val="-2"/>
        </w:rPr>
        <w:t>（四）对管理层使用持续经营假设的恰当性得出结论。同时，根据获取的审计证据，就可能</w:t>
      </w:r>
      <w:r>
        <w:rPr>
          <w:w w:val="100"/>
        </w:rPr>
        <w:t> </w:t>
      </w:r>
      <w:r>
        <w:rPr>
          <w:spacing w:val="-2"/>
        </w:rPr>
        <w:t>导致对新华网持续经营能力产生重大疑虑的事项或情况是否存在重大不确定性得出结论。如果我</w:t>
      </w:r>
      <w:r>
        <w:rPr>
          <w:spacing w:val="-25"/>
        </w:rPr>
        <w:t> </w:t>
      </w:r>
      <w:r>
        <w:rPr>
          <w:spacing w:val="-25"/>
        </w:rPr>
      </w:r>
      <w:r>
        <w:rPr>
          <w:spacing w:val="-2"/>
        </w:rPr>
        <w:t>们得出结论认为存在重大不确定性，审计准则要求我们在审计报告中提请报表使用者注意财务报</w:t>
      </w:r>
      <w:r>
        <w:rPr>
          <w:spacing w:val="-25"/>
        </w:rPr>
        <w:t> </w:t>
      </w:r>
      <w:r>
        <w:rPr>
          <w:spacing w:val="-25"/>
        </w:rPr>
      </w:r>
      <w:r>
        <w:rPr>
          <w:spacing w:val="-2"/>
        </w:rPr>
        <w:t>表中的相关披露；如果披露不充分，我们应当发表非无保留意见。我们的结论基于截至审计报告</w:t>
      </w:r>
      <w:r>
        <w:rPr>
          <w:spacing w:val="-25"/>
        </w:rPr>
        <w:t> </w:t>
      </w:r>
      <w:r>
        <w:rPr>
          <w:spacing w:val="-25"/>
        </w:rPr>
      </w:r>
      <w:r>
        <w:rPr/>
        <w:t>日可获得的信息。然而，未来的事项或情况可能导致新华网不能持续经营。</w:t>
      </w:r>
    </w:p>
    <w:p>
      <w:pPr>
        <w:pStyle w:val="BodyText"/>
        <w:spacing w:line="350" w:lineRule="auto" w:before="27"/>
        <w:ind w:right="137" w:firstLine="419"/>
        <w:jc w:val="both"/>
      </w:pPr>
      <w:r>
        <w:rPr>
          <w:spacing w:val="-2"/>
        </w:rPr>
        <w:t>（五）评价财务报表的总体列报、结构和内容（包括披露），并评价财务报表是否公允反映</w:t>
      </w:r>
      <w:r>
        <w:rPr>
          <w:w w:val="100"/>
        </w:rPr>
        <w:t> </w:t>
      </w:r>
      <w:r>
        <w:rPr/>
        <w:t>相关交易和事项。</w:t>
      </w:r>
    </w:p>
    <w:p>
      <w:pPr>
        <w:pStyle w:val="BodyText"/>
        <w:spacing w:line="348" w:lineRule="auto" w:before="29"/>
        <w:ind w:right="137" w:firstLine="419"/>
        <w:jc w:val="both"/>
      </w:pPr>
      <w:r>
        <w:rPr>
          <w:spacing w:val="-2"/>
        </w:rPr>
        <w:t>（六）就新华网中实体或业务活动的财务信息获取充分、适当的审计证据，以对财务报表发</w:t>
      </w:r>
      <w:r>
        <w:rPr>
          <w:w w:val="100"/>
        </w:rPr>
        <w:t> </w:t>
      </w:r>
      <w:r>
        <w:rPr/>
        <w:t>表意见。我们负责指导、监督和执行集团审计。我们对审计意见承担全部责任。</w:t>
      </w:r>
    </w:p>
    <w:p>
      <w:pPr>
        <w:pStyle w:val="BodyText"/>
        <w:spacing w:line="350" w:lineRule="auto" w:before="31"/>
        <w:ind w:right="137"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0" w:lineRule="auto" w:before="27"/>
        <w:ind w:right="13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pStyle w:val="BodyText"/>
        <w:spacing w:line="350" w:lineRule="auto" w:before="29"/>
        <w:ind w:right="13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after="0" w:line="350" w:lineRule="auto"/>
        <w:jc w:val="both"/>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3"/>
        <w:spacing w:line="240" w:lineRule="auto"/>
        <w:ind w:right="0"/>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新华网股份有限公司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9"/>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056" w:space="495"/>
            <w:col w:w="1954" w:space="1123"/>
            <w:col w:w="266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2,189,152,597.25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1,237,404,897.81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15,043,226.50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14,769,966.00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514,509,199.11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432,241,378.18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51,764,394.13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30,070,145.72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3,243,172.79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3,967,516.20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50,506,567.65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11,898,841.62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1,863,558.08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1,072,429.58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725,000,000.00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2,826,082,715.51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2,456,425,175.11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194,340,296.14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251,993,315.88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220,843,865.86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64,554,583.70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184,494,818.09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88,084,463.04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288,613,655.55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351,327,170.75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7,460,793.66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3,485,883.75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30,887,264.30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55,195,376.93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7,323,226.68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11,805,219.37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933,963,920.28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826,446,013.42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3,760,046,635.79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3,282,871,188.53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123,362,934.80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96,562,135.38</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230,773,832.98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193,749,491.09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65,044,971.20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43,867,123.95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29,007,463.00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25,741,283.05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15,378,562.28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15,974,221.58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463,567,764.26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375,894,255.05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381,285,581.14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398,159,081.14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147,093,824.18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85,093,100.46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528,379,405.32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548,252,181.60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991,947,169.58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924,146,436.65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519,029,360.00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207,611,744.00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1,582,609,263.57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1,601,516,928.66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-316,542.40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-2,589,499.94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132,471,330.62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103,805,872.00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495,397,118.8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447,713,040.49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2,729,190,530.59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2,358,058,085.21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38,908,935.62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666,666.67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2,768,099,466.21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2,358,724,751.88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3,760,046,635.79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3,282,871,188.53</w:t>
            </w:r>
          </w:p>
        </w:tc>
      </w:tr>
    </w:tbl>
    <w:p>
      <w:pPr>
        <w:spacing w:line="240" w:lineRule="auto" w:before="8"/>
        <w:rPr>
          <w:rFonts w:ascii="Times New Roman" w:hAnsi="Times New Roman" w:cs="Times New Roman" w:eastAsia="Times New Roman" w:hint="default"/>
          <w:sz w:val="17"/>
          <w:szCs w:val="17"/>
        </w:rPr>
      </w:pPr>
    </w:p>
    <w:p>
      <w:pPr>
        <w:pStyle w:val="BodyText"/>
        <w:tabs>
          <w:tab w:pos="3264" w:val="left" w:leader="none"/>
          <w:tab w:pos="6835" w:val="left" w:leader="none"/>
        </w:tabs>
        <w:spacing w:line="240" w:lineRule="auto" w:before="36"/>
        <w:ind w:left="218" w:right="227"/>
        <w:jc w:val="left"/>
      </w:pPr>
      <w:r>
        <w:rPr>
          <w:spacing w:val="-1"/>
        </w:rPr>
        <w:t>法定代表人：田舒斌</w:t>
        <w:tab/>
      </w:r>
      <w:r>
        <w:rPr>
          <w:spacing w:val="-2"/>
        </w:rPr>
        <w:t>主管会计工作负责人：任劼</w:t>
        <w:tab/>
        <w:t>会计机构负责人：张燕</w:t>
      </w:r>
      <w:r>
        <w:rPr/>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新华网股份有限公司</w:t>
      </w:r>
    </w:p>
    <w:p>
      <w:pPr>
        <w:spacing w:line="272" w:lineRule="exact" w:before="64"/>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056" w:space="495"/>
            <w:col w:w="1954" w:space="1123"/>
            <w:col w:w="266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1,896,829,690.90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1,162,177,556.29</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15,043,226.50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14,769,966.00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501,178,728.90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388,238,274.51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58,076,127.63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29,899,418.87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3,243,172.79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3,967,516.20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49,124,596.81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11,571,251.31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1,863,558.08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1,072,429.58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725,000,000.00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2,525,359,101.61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2,336,696,412.76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193,020,296.14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251,993,315.88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343,274,628.29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77,319,165.86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183,778,694.44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87,667,294.69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300,749,343.97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351,708,721.93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7,399,496.47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3,485,883.75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30,887,264.30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54,787,252.18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7,323,226.68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11,805,219.37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1,066,432,950.29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838,766,853.66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3,591,792,051.90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3,175,463,266.42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117,198,824.75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58,525,313.33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202,931,944.87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193,749,491.09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59,669,083.23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43,349,104.99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23,650,423.20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24,126,570.74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14,209,849.96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15,882,457.20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417,660,126.01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335,632,937.35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381,285,581.14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398,159,081.14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147,093,824.18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85,093,100.46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528,379,405.32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483,252,181.60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946,039,531.33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818,885,118.95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519,029,360.00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207,611,744.00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1,463,377,723.33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1,567,183,595.33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-286,301.66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-2,806,088.52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132,471,330.62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103,805,872.00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531,160,408.28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480,783,024.66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2,645,752,520.57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2,356,578,147.47</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8" w:right="0"/>
              <w:jc w:val="left"/>
              <w:rPr>
                <w:rFonts w:ascii="宋体" w:hAnsi="宋体" w:cs="宋体" w:eastAsia="宋体" w:hint="default"/>
                <w:sz w:val="21"/>
                <w:szCs w:val="21"/>
              </w:rPr>
            </w:pPr>
            <w:r>
              <w:rPr>
                <w:rFonts w:ascii="宋体"/>
                <w:sz w:val="21"/>
              </w:rPr>
              <w:t>3,591,792,051.90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39" w:right="0"/>
              <w:jc w:val="left"/>
              <w:rPr>
                <w:rFonts w:ascii="宋体" w:hAnsi="宋体" w:cs="宋体" w:eastAsia="宋体" w:hint="default"/>
                <w:sz w:val="21"/>
                <w:szCs w:val="21"/>
              </w:rPr>
            </w:pPr>
            <w:r>
              <w:rPr>
                <w:rFonts w:ascii="宋体"/>
                <w:sz w:val="21"/>
              </w:rPr>
              <w:t>3,175,463,266.42</w:t>
            </w:r>
          </w:p>
        </w:tc>
      </w:tr>
    </w:tbl>
    <w:p>
      <w:pPr>
        <w:spacing w:line="240" w:lineRule="auto" w:before="8"/>
        <w:rPr>
          <w:rFonts w:ascii="Times New Roman" w:hAnsi="Times New Roman" w:cs="Times New Roman" w:eastAsia="Times New Roman" w:hint="default"/>
          <w:sz w:val="17"/>
          <w:szCs w:val="17"/>
        </w:rPr>
      </w:pPr>
    </w:p>
    <w:p>
      <w:pPr>
        <w:pStyle w:val="BodyText"/>
        <w:tabs>
          <w:tab w:pos="3264" w:val="left" w:leader="none"/>
          <w:tab w:pos="6835" w:val="left" w:leader="none"/>
        </w:tabs>
        <w:spacing w:line="240" w:lineRule="auto" w:before="36"/>
        <w:ind w:left="218" w:right="227"/>
        <w:jc w:val="left"/>
      </w:pPr>
      <w:r>
        <w:rPr>
          <w:spacing w:val="-1"/>
        </w:rPr>
        <w:t>法定代表人：田舒斌</w:t>
        <w:tab/>
      </w:r>
      <w:r>
        <w:rPr>
          <w:spacing w:val="-2"/>
        </w:rPr>
        <w:t>主管会计工作负责人：任劼</w:t>
        <w:tab/>
        <w:t>会计机构负责人：张燕</w:t>
      </w:r>
      <w:r>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6"/>
          <w:pgSz w:w="11910" w:h="16840"/>
          <w:pgMar w:footer="1195" w:header="877"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40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1,502,417,012.25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1,361,356,934.31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1,502,417,012.25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1,361,356,934.31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1,351,160,922.84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1,082,544,343.91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821,938,241.05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676,365,093.24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30,108,682.41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29,409,801.86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299,346,940.33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269,340,571.32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128,610,840.92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81,081,868.19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-15,965,213.11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-14,868,381.34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87,121,431.24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41,215,390.64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85,348,143.56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-4,191,850.81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-13,654,315.95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-4,191,850.81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34,912.91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10,858,883.29</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247,463,116.26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274,655,652.50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37,311,366.45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6,322,957.61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336,525.93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278,875.45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284,437,956.78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280,699,734.66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1,700,029.62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562,894.26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282,737,927.16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280,136,840.40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282,737,927.16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280,136,840.40</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-1,223,353.77</w:t>
            </w: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283,961,280.93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280,136,840.40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2,272,957.54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-49,106,270.61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2,272,957.54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-49,106,270.61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2,272,957.54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-49,106,270.61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2,519,786.86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-49,205,258.02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-246,829.32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98,987.41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285,010,884.70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231,030,569.79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286,234,238.47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231,030,569.79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-1,223,353.77</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z w:val="21"/>
                <w:szCs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0.68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z w:val="21"/>
                <w:szCs w:val="21"/>
              </w:rPr>
              <w:t>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0.68</w:t>
            </w:r>
          </w:p>
        </w:tc>
      </w:tr>
    </w:tbl>
    <w:p>
      <w:pPr>
        <w:pStyle w:val="BodyText"/>
        <w:spacing w:line="240" w:lineRule="exact"/>
        <w:ind w:left="218" w:right="227"/>
        <w:jc w:val="left"/>
      </w:pPr>
      <w:r>
        <w:rPr>
          <w:spacing w:val="-2"/>
        </w:rPr>
        <w:t>本期发生同一控制下企业合并的，被合并方在合并前实现的净利润为：</w:t>
      </w:r>
      <w:r>
        <w:rPr>
          <w:rFonts w:ascii="宋体" w:hAnsi="宋体" w:cs="宋体" w:eastAsia="宋体" w:hint="default"/>
          <w:spacing w:val="-2"/>
        </w:rPr>
        <w:t>0.00</w:t>
      </w:r>
      <w:r>
        <w:rPr>
          <w:rFonts w:ascii="宋体" w:hAnsi="宋体" w:cs="宋体" w:eastAsia="宋体" w:hint="default"/>
          <w:spacing w:val="20"/>
        </w:rPr>
        <w:t> </w:t>
      </w:r>
      <w:r>
        <w:rPr>
          <w:spacing w:val="-1"/>
        </w:rPr>
        <w:t>元</w:t>
      </w:r>
      <w:r>
        <w:rPr>
          <w:rFonts w:ascii="宋体" w:hAnsi="宋体" w:cs="宋体" w:eastAsia="宋体" w:hint="default"/>
          <w:spacing w:val="-1"/>
        </w:rPr>
        <w:t>,</w:t>
      </w:r>
      <w:r>
        <w:rPr>
          <w:spacing w:val="-1"/>
        </w:rPr>
        <w:t>上期被合并方实</w:t>
      </w:r>
    </w:p>
    <w:p>
      <w:pPr>
        <w:pStyle w:val="BodyText"/>
        <w:spacing w:line="272" w:lineRule="exact"/>
        <w:ind w:left="218" w:right="2465"/>
        <w:jc w:val="left"/>
      </w:pPr>
      <w:r>
        <w:rPr/>
        <w:t>现的净利润为：</w:t>
      </w:r>
      <w:r>
        <w:rPr>
          <w:rFonts w:ascii="宋体" w:hAnsi="宋体" w:cs="宋体" w:eastAsia="宋体" w:hint="default"/>
        </w:rPr>
        <w:t>0.00</w:t>
      </w:r>
      <w:r>
        <w:rPr>
          <w:rFonts w:ascii="宋体" w:hAnsi="宋体" w:cs="宋体" w:eastAsia="宋体" w:hint="default"/>
          <w:spacing w:val="-52"/>
        </w:rPr>
        <w:t> </w:t>
      </w:r>
      <w:r>
        <w:rPr>
          <w:spacing w:val="-3"/>
        </w:rPr>
        <w:t>元。</w:t>
      </w:r>
      <w:r>
        <w:rPr/>
      </w:r>
    </w:p>
    <w:p>
      <w:pPr>
        <w:pStyle w:val="BodyText"/>
        <w:tabs>
          <w:tab w:pos="3369" w:val="left" w:leader="none"/>
          <w:tab w:pos="6833" w:val="left" w:leader="none"/>
        </w:tabs>
        <w:spacing w:line="273" w:lineRule="exact"/>
        <w:ind w:left="218" w:right="227"/>
        <w:jc w:val="left"/>
      </w:pPr>
      <w:r>
        <w:rPr>
          <w:spacing w:val="-1"/>
        </w:rPr>
        <w:t>法定代表人：田舒斌</w:t>
        <w:tab/>
      </w:r>
      <w:r>
        <w:rPr>
          <w:spacing w:val="-2"/>
        </w:rPr>
        <w:t>主管会计工作负责人：任劼</w:t>
        <w:tab/>
        <w:t>会计机构负责人：张燕</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7"/>
          <w:pgSz w:w="11910" w:h="16840"/>
          <w:pgMar w:footer="1195" w:header="877" w:top="1100" w:bottom="1380" w:left="1580" w:right="1040"/>
          <w:pgNumType w:start="81"/>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58" w:val="left" w:leader="none"/>
        </w:tabs>
        <w:spacing w:line="240" w:lineRule="auto"/>
        <w:ind w:left="140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1,410,328,026.36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1,337,914,626.84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759,243,613.24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658,428,539.08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28,269,951.84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29,392,260.58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283,243,407.12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267,549,333.74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111,343,600.30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79,337,064.72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-14,948,217.04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-14,821,703.03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79,917,264.13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41,215,390.64</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75,955,727.34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30,141,482.52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-12,993,600.03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-4,191,850.81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34,584.10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10,479,276.28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249,693,410.39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306,989,807.73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37,296,251.78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6,322,957.61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335,075.93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278,875.45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286,654,586.24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313,033,889.89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286,654,586.24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313,033,889.89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286,654,586.24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313,033,889.89</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2,519,786.86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-49,205,258.02</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2,519,786.86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-49,205,258.02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2,519,786.86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-49,205,258.02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289,174,373.10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263,828,631.87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15"/>
          <w:szCs w:val="15"/>
        </w:rPr>
      </w:pPr>
    </w:p>
    <w:p>
      <w:pPr>
        <w:pStyle w:val="BodyText"/>
        <w:tabs>
          <w:tab w:pos="3475" w:val="left" w:leader="none"/>
          <w:tab w:pos="6941" w:val="left" w:leader="none"/>
        </w:tabs>
        <w:spacing w:line="240" w:lineRule="auto" w:before="36"/>
        <w:ind w:left="218" w:right="123"/>
        <w:jc w:val="left"/>
      </w:pPr>
      <w:r>
        <w:rPr>
          <w:spacing w:val="-1"/>
        </w:rPr>
        <w:t>法定代表人：田舒斌</w:t>
        <w:tab/>
      </w:r>
      <w:r>
        <w:rPr>
          <w:spacing w:val="-2"/>
        </w:rPr>
        <w:t>主管会计工作负责人：任劼</w:t>
        <w:tab/>
        <w:t>会计机构负责人：张燕</w:t>
      </w:r>
      <w:r>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5" w:val="left" w:leader="none"/>
        </w:tabs>
        <w:spacing w:line="240" w:lineRule="auto"/>
        <w:ind w:left="119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1,535,955,053.17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1,360,062,180.71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379,607.01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803,703.62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9,104,103.29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44,905,714.94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1,545,438,763.47</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1,405,771,599.27</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648,924,961.33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500,703,262.31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436,137,666.05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365,785,234.25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78,639,117.76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74,104,002.18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168,598,466.87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158,699,791.86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1,332,300,212.01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1,099,292,290.60</w:t>
            </w:r>
            <w:r>
              <w:rPr>
                <w:rFonts w:ascii="宋体"/>
                <w:sz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7"/>
              <w:jc w:val="right"/>
              <w:rPr>
                <w:rFonts w:ascii="宋体" w:hAnsi="宋体" w:cs="宋体" w:eastAsia="宋体" w:hint="default"/>
                <w:sz w:val="21"/>
                <w:szCs w:val="21"/>
              </w:rPr>
            </w:pPr>
            <w:r>
              <w:rPr>
                <w:rFonts w:ascii="宋体" w:hAnsi="宋体" w:cs="宋体" w:eastAsia="宋体" w:hint="default"/>
                <w:b/>
                <w:bCs/>
                <w:spacing w:val="-1"/>
                <w:sz w:val="21"/>
                <w:szCs w:val="21"/>
              </w:rPr>
              <w:t>经营活动产生的现金流量净额</w:t>
            </w:r>
            <w:r>
              <w:rPr>
                <w:rFonts w:ascii="宋体" w:hAnsi="宋体" w:cs="宋体" w:eastAsia="宋体" w:hint="default"/>
                <w:spacing w:val="-1"/>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213,138,551.46</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306,479,308.67</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5,752,228.73</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74,082,934.62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15,499,236.74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34,912.91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18,501,901.33</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1,119,000,000.00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594,000,000.00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1,217,337,064.68</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609,534,149.65</w:t>
            </w:r>
            <w:r>
              <w:rPr>
                <w:rFonts w:ascii="宋体"/>
                <w:sz w:val="21"/>
              </w:rPr>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57,196,340.71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295,999,207.16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138,320,000.00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155,400,000.00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2,916,840.78</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859,219,996.21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1,119,000,000.00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1,057,653,177.70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1,570,399,207.16</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7"/>
              <w:jc w:val="right"/>
              <w:rPr>
                <w:rFonts w:ascii="宋体" w:hAnsi="宋体" w:cs="宋体" w:eastAsia="宋体" w:hint="default"/>
                <w:sz w:val="21"/>
                <w:szCs w:val="21"/>
              </w:rPr>
            </w:pPr>
            <w:r>
              <w:rPr>
                <w:rFonts w:ascii="宋体" w:hAnsi="宋体" w:cs="宋体" w:eastAsia="宋体" w:hint="default"/>
                <w:b/>
                <w:bCs/>
                <w:spacing w:val="-1"/>
                <w:sz w:val="21"/>
                <w:szCs w:val="21"/>
              </w:rPr>
              <w:t>投资活动产生的现金流量净额</w:t>
            </w:r>
            <w:r>
              <w:rPr>
                <w:rFonts w:ascii="宋体" w:hAnsi="宋体" w:cs="宋体" w:eastAsia="宋体" w:hint="default"/>
                <w:spacing w:val="-1"/>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159,683,886.98</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-960,865,057.51</w:t>
            </w:r>
            <w:r>
              <w:rPr>
                <w:rFonts w:ascii="宋体"/>
                <w:sz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1,444,885,686.10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60,000,000.00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65,000,000.00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52,006,500.00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89,838,981.14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115,006,500.00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1,534,724,667.24</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352,939,964.80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352,939,964.80</w:t>
            </w:r>
            <w:r>
              <w:rPr>
                <w:rFonts w:ascii="宋体"/>
                <w:sz w:val="21"/>
              </w:rPr>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47"/>
              <w:jc w:val="right"/>
              <w:rPr>
                <w:rFonts w:ascii="宋体" w:hAnsi="宋体" w:cs="宋体" w:eastAsia="宋体" w:hint="default"/>
                <w:sz w:val="21"/>
                <w:szCs w:val="21"/>
              </w:rPr>
            </w:pPr>
            <w:r>
              <w:rPr>
                <w:rFonts w:ascii="宋体" w:hAnsi="宋体" w:cs="宋体" w:eastAsia="宋体" w:hint="default"/>
                <w:b/>
                <w:bCs/>
                <w:spacing w:val="-1"/>
                <w:sz w:val="21"/>
                <w:szCs w:val="21"/>
              </w:rPr>
              <w:t>筹资活动产生的现金流量净额</w:t>
            </w:r>
            <w:r>
              <w:rPr>
                <w:rFonts w:ascii="宋体" w:hAnsi="宋体" w:cs="宋体" w:eastAsia="宋体" w:hint="default"/>
                <w:spacing w:val="-1"/>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b/>
                <w:w w:val="95"/>
                <w:sz w:val="21"/>
              </w:rPr>
              <w:t>115,006,500.00</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b/>
                <w:sz w:val="21"/>
              </w:rPr>
              <w:t>1,181,784,702.44</w:t>
            </w:r>
            <w:r>
              <w:rPr>
                <w:rFonts w:ascii="宋体"/>
                <w:sz w:val="21"/>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-372,973.21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98,987.41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487,455,965.23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527,497,941.01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840,169,647.81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312,671,706.80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1,327,625,613.04</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840,169,647.81</w:t>
            </w:r>
            <w:r>
              <w:rPr>
                <w:rFonts w:ascii="宋体"/>
                <w:sz w:val="21"/>
              </w:rPr>
            </w:r>
          </w:p>
        </w:tc>
      </w:tr>
    </w:tbl>
    <w:p>
      <w:pPr>
        <w:spacing w:line="240" w:lineRule="auto" w:before="5"/>
        <w:rPr>
          <w:rFonts w:ascii="宋体" w:hAnsi="宋体" w:cs="宋体" w:eastAsia="宋体" w:hint="default"/>
          <w:sz w:val="15"/>
          <w:szCs w:val="15"/>
        </w:rPr>
      </w:pPr>
    </w:p>
    <w:p>
      <w:pPr>
        <w:pStyle w:val="BodyText"/>
        <w:tabs>
          <w:tab w:pos="3369" w:val="left" w:leader="none"/>
          <w:tab w:pos="6833" w:val="left" w:leader="none"/>
        </w:tabs>
        <w:spacing w:line="240" w:lineRule="auto" w:before="36"/>
        <w:ind w:left="218" w:right="227"/>
        <w:jc w:val="left"/>
      </w:pPr>
      <w:r>
        <w:rPr>
          <w:spacing w:val="-1"/>
        </w:rPr>
        <w:t>法定代表人：田舒斌</w:t>
        <w:tab/>
      </w:r>
      <w:r>
        <w:rPr>
          <w:spacing w:val="-2"/>
        </w:rPr>
        <w:t>主管会计工作负责人：任劼</w:t>
        <w:tab/>
        <w:t>会计机构负责人：张燕</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325"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1,351,799,285.86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1,354,958,531.10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803,703.62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6,837,308.74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44,761,094.31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1,358,636,594.60</w:t>
            </w:r>
            <w:r>
              <w:rPr>
                <w:rFonts w:ascii="宋体"/>
                <w:sz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sz w:val="21"/>
              </w:rPr>
              <w:t>1,400,523,329.03</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538,019,913.12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496,217,758.93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416,056,706.88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364,559,823.72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71,767,586.93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73,724,344.47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159,102,400.62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156,949,652.87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1,184,946,607.55</w:t>
            </w:r>
            <w:r>
              <w:rPr>
                <w:rFonts w:ascii="宋体"/>
                <w:sz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sz w:val="21"/>
              </w:rPr>
              <w:t>1,091,451,579.99</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173,689,987.05</w:t>
            </w:r>
            <w:r>
              <w:rPr>
                <w:rFonts w:ascii="宋体"/>
                <w:sz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w w:val="95"/>
                <w:sz w:val="21"/>
              </w:rPr>
              <w:t>309,071,749.04</w:t>
            </w:r>
            <w:r>
              <w:rPr>
                <w:rFonts w:ascii="宋体"/>
                <w:sz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5,752,228.73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666,666.67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108,611,611.44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49,832,570.07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34,912.91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20,800,000.00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1,119,000,000.00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594,000,000.00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1,254,163,840.17</w:t>
            </w:r>
            <w:r>
              <w:rPr>
                <w:rFonts w:ascii="宋体"/>
                <w:sz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w w:val="95"/>
                <w:sz w:val="21"/>
              </w:rPr>
              <w:t>644,534,149.65</w:t>
            </w:r>
            <w:r>
              <w:rPr>
                <w:rFonts w:ascii="宋体"/>
                <w:sz w:val="21"/>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66,546,233.61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295,366,926.43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283,733,697.00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165,400,000.00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859,219,996.21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1,119,000,000.00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1,209,499,926.82</w:t>
            </w:r>
            <w:r>
              <w:rPr>
                <w:rFonts w:ascii="宋体"/>
                <w:sz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sz w:val="21"/>
              </w:rPr>
              <w:t>1,579,766,926.43</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b/>
                <w:w w:val="95"/>
                <w:sz w:val="21"/>
              </w:rPr>
              <w:t>44,663,913.35</w:t>
            </w:r>
            <w:r>
              <w:rPr>
                <w:rFonts w:ascii="宋体"/>
                <w:sz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b/>
                <w:w w:val="95"/>
                <w:sz w:val="21"/>
              </w:rPr>
              <w:t>-935,232,776.78</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1,379,885,686.10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52,006,500.00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54,838,981.14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52,006,500.00</w:t>
            </w:r>
            <w:r>
              <w:rPr>
                <w:rFonts w:ascii="宋体"/>
                <w:sz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sz w:val="21"/>
              </w:rPr>
              <w:t>1,434,724,667.24</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352,939,964.80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w w:val="95"/>
                <w:sz w:val="21"/>
              </w:rPr>
              <w:t>352,939,964.80</w:t>
            </w:r>
            <w:r>
              <w:rPr>
                <w:rFonts w:ascii="宋体"/>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52,006,500.00</w:t>
            </w:r>
            <w:r>
              <w:rPr>
                <w:rFonts w:ascii="宋体"/>
                <w:sz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sz w:val="21"/>
              </w:rPr>
              <w:t>1,081,784,702.44</w:t>
            </w:r>
            <w:r>
              <w:rPr>
                <w:rFonts w:ascii="宋体"/>
                <w:sz w:val="21"/>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270,360,400.40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455,623,674.70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764,942,306.29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309,318,631.59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sz w:val="21"/>
              </w:rPr>
              <w:t>1,035,302,706.69</w:t>
            </w:r>
            <w:r>
              <w:rPr>
                <w:rFonts w:ascii="宋体"/>
                <w:sz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w w:val="95"/>
                <w:sz w:val="21"/>
              </w:rPr>
              <w:t>764,942,306.29</w:t>
            </w:r>
            <w:r>
              <w:rPr>
                <w:rFonts w:ascii="宋体"/>
                <w:sz w:val="21"/>
              </w:rPr>
            </w:r>
          </w:p>
        </w:tc>
      </w:tr>
    </w:tbl>
    <w:p>
      <w:pPr>
        <w:spacing w:line="240" w:lineRule="auto" w:before="7"/>
        <w:rPr>
          <w:rFonts w:ascii="宋体" w:hAnsi="宋体" w:cs="宋体" w:eastAsia="宋体" w:hint="default"/>
          <w:sz w:val="15"/>
          <w:szCs w:val="15"/>
        </w:rPr>
      </w:pPr>
    </w:p>
    <w:p>
      <w:pPr>
        <w:pStyle w:val="BodyText"/>
        <w:tabs>
          <w:tab w:pos="3264" w:val="left" w:leader="none"/>
          <w:tab w:pos="6835" w:val="left" w:leader="none"/>
        </w:tabs>
        <w:spacing w:line="240" w:lineRule="auto" w:before="36"/>
        <w:ind w:left="218" w:right="227"/>
        <w:jc w:val="left"/>
      </w:pPr>
      <w:r>
        <w:rPr>
          <w:spacing w:val="-1"/>
        </w:rPr>
        <w:t>法定代表人：田舒斌</w:t>
        <w:tab/>
      </w:r>
      <w:r>
        <w:rPr>
          <w:spacing w:val="-2"/>
        </w:rPr>
        <w:t>主管会计工作负责人：任劼</w:t>
        <w:tab/>
        <w:t>会计机构负责人：张燕</w:t>
      </w:r>
      <w:r>
        <w:rPr/>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8"/>
          <w:footerReference w:type="default" r:id="rId59"/>
          <w:pgSz w:w="16840" w:h="11910" w:orient="landscape"/>
          <w:pgMar w:header="882" w:footer="1195" w:top="1120" w:bottom="1380" w:left="1220" w:right="1300"/>
          <w:pgNumType w:start="85"/>
        </w:sectPr>
      </w:pPr>
    </w:p>
    <w:p>
      <w:pPr>
        <w:spacing w:line="272" w:lineRule="exact" w:before="64"/>
        <w:ind w:left="6384"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4864" w:val="left" w:leader="none"/>
        </w:tabs>
        <w:spacing w:before="121"/>
        <w:ind w:left="3961"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w:t>
        <w:tab/>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6840" w:h="11910" w:orient="landscape"/>
          <w:pgMar w:top="1120" w:bottom="1380" w:left="1220" w:right="1300"/>
          <w:cols w:num="2" w:equalWidth="0">
            <w:col w:w="8202" w:space="40"/>
            <w:col w:w="6078"/>
          </w:cols>
        </w:sectPr>
      </w:pPr>
    </w:p>
    <w:p>
      <w:pPr>
        <w:spacing w:line="240" w:lineRule="auto" w:before="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973"/>
        <w:gridCol w:w="1685"/>
        <w:gridCol w:w="1896"/>
        <w:gridCol w:w="1582"/>
        <w:gridCol w:w="1685"/>
        <w:gridCol w:w="1793"/>
        <w:gridCol w:w="1579"/>
        <w:gridCol w:w="1896"/>
      </w:tblGrid>
      <w:tr>
        <w:trPr>
          <w:trHeight w:val="281" w:hRule="exact"/>
        </w:trPr>
        <w:tc>
          <w:tcPr>
            <w:tcW w:w="19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11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552" w:hRule="exact"/>
        </w:trPr>
        <w:tc>
          <w:tcPr>
            <w:tcW w:w="1973" w:type="dxa"/>
            <w:vMerge/>
            <w:tcBorders>
              <w:left w:val="single" w:sz="4" w:space="0" w:color="000000"/>
              <w:right w:val="single" w:sz="4" w:space="0" w:color="000000"/>
            </w:tcBorders>
          </w:tcPr>
          <w:p>
            <w:pPr/>
          </w:p>
        </w:tc>
        <w:tc>
          <w:tcPr>
            <w:tcW w:w="86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5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60" w:hRule="exact"/>
        </w:trPr>
        <w:tc>
          <w:tcPr>
            <w:tcW w:w="1973"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6"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1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6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9"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r>
      <w:tr>
        <w:trPr>
          <w:trHeight w:val="28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sz w:val="21"/>
              </w:rPr>
              <w:t>207,611,744.00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1,601,516,928.66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-2,589,499.94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103,805,872.00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447,713,040.49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666,666.67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2,358,724,751.88</w:t>
            </w: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同一控制下企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业合并</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207,611,744.00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1,601,516,928.66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-2,589,499.94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103,805,872.00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447,713,040.49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666,666.67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2,358,724,751.88</w:t>
            </w:r>
          </w:p>
        </w:tc>
      </w:tr>
      <w:tr>
        <w:trPr>
          <w:trHeight w:val="826"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三、本期增减变动</w:t>
            </w:r>
          </w:p>
          <w:p>
            <w:pPr>
              <w:pStyle w:val="TableParagraph"/>
              <w:spacing w:line="240" w:lineRule="auto"/>
              <w:ind w:left="103" w:right="384"/>
              <w:jc w:val="left"/>
              <w:rPr>
                <w:rFonts w:ascii="宋体" w:hAnsi="宋体" w:cs="宋体" w:eastAsia="宋体" w:hint="default"/>
                <w:sz w:val="21"/>
                <w:szCs w:val="21"/>
              </w:rPr>
            </w:pPr>
            <w:r>
              <w:rPr>
                <w:rFonts w:ascii="宋体" w:hAnsi="宋体" w:cs="宋体" w:eastAsia="宋体" w:hint="default"/>
                <w:sz w:val="21"/>
                <w:szCs w:val="21"/>
              </w:rPr>
              <w:t>金额（减少以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311,417,616.00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-18,907,665.09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2,272,957.54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28,665,458.62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47,684,078.31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38,242,268.95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409,374,714.33</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2,272,957.54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283,961,280.93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-1,223,353.77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285,010,884.70</w:t>
            </w:r>
          </w:p>
        </w:tc>
      </w:tr>
      <w:tr>
        <w:trPr>
          <w:trHeight w:val="557"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（二）所有者投入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84,898,206.91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39,465,622.72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124,363,829.63</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．股东投入的普通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3,333,333.33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3,333,333.33</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．其他权益工具持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有者投入资本</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．股份支付计入所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84,898,206.91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36,132,289.39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121,030,496.30</w:t>
            </w:r>
          </w:p>
        </w:tc>
      </w:tr>
      <w:tr>
        <w:trPr>
          <w:trHeight w:val="28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207,611,744.00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28,665,458.62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-236,277,202.62</w:t>
            </w: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28,665,458.62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-28,665,458.62</w:t>
            </w: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973"/>
        <w:gridCol w:w="1685"/>
        <w:gridCol w:w="1896"/>
        <w:gridCol w:w="1582"/>
        <w:gridCol w:w="1685"/>
        <w:gridCol w:w="1793"/>
        <w:gridCol w:w="1579"/>
        <w:gridCol w:w="1896"/>
      </w:tblGrid>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．提取一般风险准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．对所有者（或股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207,611,744.00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-207,611,744.00</w:t>
            </w: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（四）所有者权益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103,805,872.00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-103,805,872.00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．资本公积转增资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103,805,872.00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-103,805,872.00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．盈余公积转增资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．盈余公积弥补亏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519,029,360.00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1,582,609,263.57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-316,542.40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132,471,330.62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495,397,118.80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38,908,935.62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2,768,099,466.21</w:t>
            </w:r>
          </w:p>
        </w:tc>
      </w:tr>
    </w:tbl>
    <w:p>
      <w:pPr>
        <w:spacing w:line="240" w:lineRule="auto" w:before="9"/>
        <w:rPr>
          <w:rFonts w:ascii="Times New Roman" w:hAnsi="Times New Roman" w:cs="Times New Roman" w:eastAsia="Times New Roman"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2180"/>
        <w:gridCol w:w="1688"/>
        <w:gridCol w:w="1896"/>
        <w:gridCol w:w="1685"/>
        <w:gridCol w:w="1687"/>
        <w:gridCol w:w="1791"/>
        <w:gridCol w:w="1267"/>
        <w:gridCol w:w="1896"/>
      </w:tblGrid>
      <w:tr>
        <w:trPr>
          <w:trHeight w:val="281" w:hRule="exact"/>
        </w:trPr>
        <w:tc>
          <w:tcPr>
            <w:tcW w:w="21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9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3"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82" w:hRule="exact"/>
        </w:trPr>
        <w:tc>
          <w:tcPr>
            <w:tcW w:w="2180" w:type="dxa"/>
            <w:vMerge/>
            <w:tcBorders>
              <w:left w:val="single" w:sz="4" w:space="0" w:color="000000"/>
              <w:right w:val="single" w:sz="4" w:space="0" w:color="000000"/>
            </w:tcBorders>
          </w:tcPr>
          <w:p>
            <w:pPr/>
          </w:p>
        </w:tc>
        <w:tc>
          <w:tcPr>
            <w:tcW w:w="87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008"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67" w:type="dxa"/>
            <w:vMerge w:val="restart"/>
            <w:tcBorders>
              <w:top w:val="single" w:sz="4" w:space="0" w:color="000000"/>
              <w:left w:val="single" w:sz="4" w:space="0" w:color="000000"/>
              <w:right w:val="single" w:sz="4" w:space="0" w:color="000000"/>
            </w:tcBorders>
          </w:tcPr>
          <w:p>
            <w:pPr>
              <w:pStyle w:val="TableParagraph"/>
              <w:spacing w:line="272" w:lineRule="exact" w:before="154"/>
              <w:ind w:left="523" w:right="98" w:hanging="420"/>
              <w:jc w:val="left"/>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391" w:hRule="exact"/>
        </w:trPr>
        <w:tc>
          <w:tcPr>
            <w:tcW w:w="2180"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sz w:val="21"/>
                <w:szCs w:val="21"/>
              </w:rPr>
              <w:t>其他综合收益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267"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1"/>
              <w:jc w:val="right"/>
              <w:rPr>
                <w:rFonts w:ascii="宋体" w:hAnsi="宋体" w:cs="宋体" w:eastAsia="宋体" w:hint="default"/>
                <w:sz w:val="21"/>
                <w:szCs w:val="21"/>
              </w:rPr>
            </w:pPr>
            <w:r>
              <w:rPr>
                <w:rFonts w:ascii="宋体" w:hAnsi="宋体" w:cs="宋体" w:eastAsia="宋体" w:hint="default"/>
                <w:spacing w:val="-2"/>
                <w:sz w:val="21"/>
                <w:szCs w:val="21"/>
              </w:rPr>
              <w:t>一、上年期末余额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155,708,808.00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sz w:val="21"/>
              </w:rPr>
              <w:t>238,662,641.72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46,516,770.67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88,521,552.51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535,800,484.38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1,065,210,257.28</w:t>
            </w:r>
          </w:p>
        </w:tc>
      </w:tr>
      <w:tr>
        <w:trPr>
          <w:trHeight w:val="28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1"/>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1"/>
              <w:jc w:val="right"/>
              <w:rPr>
                <w:rFonts w:ascii="宋体" w:hAnsi="宋体" w:cs="宋体" w:eastAsia="宋体" w:hint="default"/>
                <w:sz w:val="21"/>
                <w:szCs w:val="21"/>
              </w:rPr>
            </w:pPr>
            <w:r>
              <w:rPr>
                <w:rFonts w:ascii="宋体" w:hAnsi="宋体" w:cs="宋体" w:eastAsia="宋体" w:hint="default"/>
                <w:spacing w:val="-1"/>
                <w:sz w:val="21"/>
                <w:szCs w:val="21"/>
              </w:rPr>
              <w:t>前期差错更正</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同一控制下企业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180"/>
        <w:gridCol w:w="1688"/>
        <w:gridCol w:w="1896"/>
        <w:gridCol w:w="1685"/>
        <w:gridCol w:w="1687"/>
        <w:gridCol w:w="1791"/>
        <w:gridCol w:w="1267"/>
        <w:gridCol w:w="1896"/>
      </w:tblGrid>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155,708,808.00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238,662,641.72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46,516,770.67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88,521,552.51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535,800,484.38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1,065,210,257.28</w:t>
            </w:r>
          </w:p>
        </w:tc>
      </w:tr>
      <w:tr>
        <w:trPr>
          <w:trHeight w:val="8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三、本期增减变动金</w:t>
            </w:r>
          </w:p>
          <w:p>
            <w:pPr>
              <w:pStyle w:val="TableParagraph"/>
              <w:spacing w:line="240" w:lineRule="auto"/>
              <w:ind w:left="103" w:right="170"/>
              <w:jc w:val="left"/>
              <w:rPr>
                <w:rFonts w:ascii="宋体" w:hAnsi="宋体" w:cs="宋体" w:eastAsia="宋体" w:hint="default"/>
                <w:sz w:val="21"/>
                <w:szCs w:val="21"/>
              </w:rPr>
            </w:pPr>
            <w:r>
              <w:rPr>
                <w:rFonts w:ascii="宋体" w:hAnsi="宋体" w:cs="宋体" w:eastAsia="宋体" w:hint="default"/>
                <w:sz w:val="21"/>
                <w:szCs w:val="21"/>
              </w:rPr>
              <w:t>额（减少以“－”号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51,902,936.00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1,362,854,286.94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-49,106,270.61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15,284,319.49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-88,087,443.89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666,666.67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1,293,514,494.60</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-49,106,270.61</w:t>
            </w: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280,136,840.40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231,030,569.79</w:t>
            </w: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（二）所有者投入和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51,902,936.00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1,362,854,286.94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666,666.67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1,415,423,889.61</w:t>
            </w: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．股东投入的普通股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51,902,936.00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1,328,520,953.61</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666,666.67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1,381,090,556.28</w:t>
            </w:r>
          </w:p>
        </w:tc>
      </w:tr>
      <w:tr>
        <w:trPr>
          <w:trHeight w:val="55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．其他权益工具持有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者投入资本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．股份支付计入所有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者权益的金额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34,333,333.33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34,333,333.33</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15,284,319.49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-368,224,284.29</w:t>
            </w: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-352,939,964.80</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15,284,319.49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-15,284,319.49</w:t>
            </w: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．提取一般风险准备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4"/>
                <w:sz w:val="21"/>
                <w:szCs w:val="21"/>
              </w:rPr>
              <w:t>3</w:t>
            </w:r>
            <w:r>
              <w:rPr>
                <w:rFonts w:ascii="宋体" w:hAnsi="宋体" w:cs="宋体" w:eastAsia="宋体" w:hint="default"/>
                <w:spacing w:val="-14"/>
                <w:sz w:val="21"/>
                <w:szCs w:val="21"/>
              </w:rPr>
              <w:t>．对所有者（或股东）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的分配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-352,939,964.80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-352,939,964.80</w:t>
            </w: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（四）所有者权益内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．资本公积转增资本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．盈余公积转增资本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．盈余公积弥补亏损</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207,611,744.00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1,601,516,928.66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-2,589,499.94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103,805,872.00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447,713,040.49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666,666.67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2,358,724,751.88</w:t>
            </w:r>
          </w:p>
        </w:tc>
      </w:tr>
    </w:tbl>
    <w:p>
      <w:pPr>
        <w:pStyle w:val="BodyText"/>
        <w:tabs>
          <w:tab w:pos="5366" w:val="left" w:leader="none"/>
          <w:tab w:pos="11770" w:val="left" w:leader="none"/>
        </w:tabs>
        <w:spacing w:line="241" w:lineRule="exact"/>
        <w:ind w:left="220" w:right="60"/>
        <w:jc w:val="left"/>
      </w:pPr>
      <w:r>
        <w:rPr>
          <w:spacing w:val="-1"/>
        </w:rPr>
        <w:t>法定代表人：田舒斌</w:t>
        <w:tab/>
      </w:r>
      <w:r>
        <w:rPr>
          <w:spacing w:val="-2"/>
        </w:rPr>
        <w:t>主管会计工作负责人：任劼</w:t>
        <w:tab/>
        <w:t>会计机构负责人：张燕</w:t>
      </w:r>
      <w:r>
        <w:rPr/>
      </w:r>
    </w:p>
    <w:p>
      <w:pPr>
        <w:spacing w:after="0" w:line="241" w:lineRule="exact"/>
        <w:jc w:val="left"/>
        <w:sectPr>
          <w:footerReference w:type="default" r:id="rId60"/>
          <w:pgSz w:w="16840" w:h="11910" w:orient="landscape"/>
          <w:pgMar w:footer="1195" w:header="882" w:top="1120" w:bottom="1380" w:left="1220" w:right="1300"/>
          <w:pgNumType w:start="8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220" w:right="1300"/>
        </w:sectPr>
      </w:pPr>
    </w:p>
    <w:p>
      <w:pPr>
        <w:spacing w:line="272" w:lineRule="exact" w:before="64"/>
        <w:ind w:left="6384"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tabs>
          <w:tab w:pos="4758" w:val="left" w:leader="none"/>
        </w:tabs>
        <w:spacing w:before="121"/>
        <w:ind w:left="385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w:t>
        <w:tab/>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after="0"/>
        <w:jc w:val="left"/>
        <w:rPr>
          <w:rFonts w:ascii="宋体" w:hAnsi="宋体" w:cs="宋体" w:eastAsia="宋体" w:hint="default"/>
          <w:sz w:val="18"/>
          <w:szCs w:val="18"/>
        </w:rPr>
        <w:sectPr>
          <w:type w:val="continuous"/>
          <w:pgSz w:w="16840" w:h="11910" w:orient="landscape"/>
          <w:pgMar w:top="1120" w:bottom="1380" w:left="1220" w:right="1300"/>
          <w:cols w:num="2" w:equalWidth="0">
            <w:col w:w="8307" w:space="40"/>
            <w:col w:w="5973"/>
          </w:cols>
        </w:sectPr>
      </w:pP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089"/>
        <w:gridCol w:w="1844"/>
        <w:gridCol w:w="1896"/>
        <w:gridCol w:w="1786"/>
        <w:gridCol w:w="1789"/>
        <w:gridCol w:w="1790"/>
        <w:gridCol w:w="1896"/>
      </w:tblGrid>
      <w:tr>
        <w:trPr>
          <w:trHeight w:val="286" w:hRule="exact"/>
        </w:trPr>
        <w:tc>
          <w:tcPr>
            <w:tcW w:w="3089" w:type="dxa"/>
            <w:vMerge w:val="restart"/>
            <w:tcBorders>
              <w:top w:val="single" w:sz="6" w:space="0" w:color="000000"/>
              <w:left w:val="single" w:sz="6" w:space="0" w:color="000000"/>
              <w:right w:val="single" w:sz="6"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331" w:hRule="exact"/>
        </w:trPr>
        <w:tc>
          <w:tcPr>
            <w:tcW w:w="3089" w:type="dxa"/>
            <w:vMerge/>
            <w:tcBorders>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56"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6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6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0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8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207,611,744.00</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1,567,183,595.33</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-2,806,088.52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103,805,872.00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480,783,024.66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2,356,578,147.47</w:t>
            </w:r>
          </w:p>
        </w:tc>
      </w:tr>
      <w:tr>
        <w:trPr>
          <w:trHeight w:val="28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844" w:type="dxa"/>
            <w:tcBorders>
              <w:top w:val="single" w:sz="6" w:space="0" w:color="000000"/>
              <w:left w:val="single" w:sz="6"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844" w:type="dxa"/>
            <w:tcBorders>
              <w:top w:val="single" w:sz="6" w:space="0" w:color="000000"/>
              <w:left w:val="single" w:sz="6"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6" w:space="0" w:color="000000"/>
              <w:left w:val="single" w:sz="6"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8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207,611,744.00</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1,567,183,595.33</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-2,806,088.52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103,805,872.00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480,783,024.66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2,356,578,147.47</w:t>
            </w:r>
          </w:p>
        </w:tc>
      </w:tr>
      <w:tr>
        <w:trPr>
          <w:trHeight w:val="559"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三、本期增减变动金额（减少以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311,417,616.00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-103,805,872.00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2,519,786.86</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28,665,458.62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50,377,383.62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289,174,373.10</w:t>
            </w:r>
          </w:p>
        </w:tc>
      </w:tr>
      <w:tr>
        <w:trPr>
          <w:trHeight w:val="28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2,519,786.86</w:t>
            </w: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286,654,586.24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289,174,373.10</w:t>
            </w: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．股东投入的普通股</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．其他权益工具持有者投入资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．股份支付计入所有者权益的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207,611,744.00</w:t>
            </w: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28,665,458.62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-236,277,202.62</w:t>
            </w: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28,665,458.62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-28,665,458.62</w:t>
            </w: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．对所有者（或股东）的分配</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207,611,744.00</w:t>
            </w: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-207,611,744.00</w:t>
            </w: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103,805,872.00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-103,805,872.00</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．资本公积转增资本（或股本）</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103,805,872.00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-103,805,872.00</w:t>
            </w: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8"/>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．盈余公积转增资本（或股本）</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089"/>
        <w:gridCol w:w="1844"/>
        <w:gridCol w:w="1896"/>
        <w:gridCol w:w="1786"/>
        <w:gridCol w:w="1789"/>
        <w:gridCol w:w="1790"/>
        <w:gridCol w:w="1896"/>
      </w:tblGrid>
      <w:tr>
        <w:trPr>
          <w:trHeight w:val="28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519,029,360.00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1,463,377,723.33</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sz w:val="21"/>
              </w:rPr>
              <w:t>-286,301.66</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sz w:val="21"/>
              </w:rPr>
              <w:t>132,471,330.62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531,160,408.28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2,645,752,520.57</w:t>
            </w:r>
          </w:p>
        </w:tc>
      </w:tr>
    </w:tbl>
    <w:p>
      <w:pPr>
        <w:spacing w:line="240" w:lineRule="auto" w:before="3"/>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3036"/>
        <w:gridCol w:w="1861"/>
        <w:gridCol w:w="1896"/>
        <w:gridCol w:w="1808"/>
        <w:gridCol w:w="1803"/>
        <w:gridCol w:w="1790"/>
        <w:gridCol w:w="1896"/>
      </w:tblGrid>
      <w:tr>
        <w:trPr>
          <w:trHeight w:val="288" w:hRule="exact"/>
        </w:trPr>
        <w:tc>
          <w:tcPr>
            <w:tcW w:w="3036" w:type="dxa"/>
            <w:vMerge w:val="restart"/>
            <w:tcBorders>
              <w:top w:val="single" w:sz="6" w:space="0" w:color="000000"/>
              <w:left w:val="single" w:sz="6" w:space="0" w:color="000000"/>
              <w:right w:val="single" w:sz="6" w:space="0" w:color="000000"/>
            </w:tcBorders>
          </w:tcPr>
          <w:p>
            <w:pPr>
              <w:pStyle w:val="TableParagraph"/>
              <w:spacing w:line="240" w:lineRule="auto" w:before="13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54"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29" w:hRule="exact"/>
        </w:trPr>
        <w:tc>
          <w:tcPr>
            <w:tcW w:w="3036" w:type="dxa"/>
            <w:vMerge/>
            <w:tcBorders>
              <w:left w:val="single" w:sz="6" w:space="0" w:color="000000"/>
              <w:bottom w:val="single" w:sz="6" w:space="0" w:color="000000"/>
              <w:right w:val="single" w:sz="6" w:space="0" w:color="000000"/>
            </w:tcBorders>
          </w:tcPr>
          <w:p>
            <w:pP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7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0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86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155,708,808.00</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238,662,641.72</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46,399,169.50</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88,521,552.51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535,973,419.06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1,065,265,590.79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861" w:type="dxa"/>
            <w:tcBorders>
              <w:top w:val="single" w:sz="6" w:space="0" w:color="000000"/>
              <w:left w:val="single" w:sz="6"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861" w:type="dxa"/>
            <w:tcBorders>
              <w:top w:val="single" w:sz="6" w:space="0" w:color="000000"/>
              <w:left w:val="single" w:sz="6"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1" w:type="dxa"/>
            <w:tcBorders>
              <w:top w:val="single" w:sz="6" w:space="0" w:color="000000"/>
              <w:left w:val="single" w:sz="6" w:space="0" w:color="000000"/>
              <w:bottom w:val="single" w:sz="6" w:space="0" w:color="000000"/>
              <w:right w:val="single" w:sz="4" w:space="0" w:color="000000"/>
            </w:tcBorders>
          </w:tcPr>
          <w:p>
            <w:pPr/>
          </w:p>
        </w:tc>
        <w:tc>
          <w:tcPr>
            <w:tcW w:w="1896" w:type="dxa"/>
            <w:tcBorders>
              <w:top w:val="single" w:sz="6" w:space="0" w:color="000000"/>
              <w:left w:val="single" w:sz="4"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86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155,708,808.00</w:t>
            </w:r>
          </w:p>
        </w:tc>
        <w:tc>
          <w:tcPr>
            <w:tcW w:w="189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238,662,641.72</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46,399,169.50</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88,521,552.51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535,973,419.06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1,065,265,590.79</w:t>
            </w:r>
          </w:p>
        </w:tc>
      </w:tr>
      <w:tr>
        <w:trPr>
          <w:trHeight w:val="559"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三、本期增减变动金额（减少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51,902,936.00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1,328,520,953.61</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-49,205,258.02</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15,284,319.49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-55,190,394.40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1,291,312,556.68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-49,205,258.02</w:t>
            </w: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313,033,889.89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263,828,631.87</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51,902,936.00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1,328,520,953.61</w:t>
            </w: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1,380,423,889.61</w:t>
            </w:r>
          </w:p>
        </w:tc>
      </w:tr>
      <w:tr>
        <w:trPr>
          <w:trHeight w:val="28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．股东投入的普通股</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51,902,936.00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1,328,520,953.61</w:t>
            </w: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1,380,423,889.61</w:t>
            </w:r>
          </w:p>
        </w:tc>
      </w:tr>
      <w:tr>
        <w:trPr>
          <w:trHeight w:val="562"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．其他权益工具持有者投入资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．股份支付计入所有者权益的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15,284,319.49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-368,224,284.29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-352,939,964.80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15,284,319.49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-15,284,319.49</w:t>
            </w: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．对所有者（或股东）的分配</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-352,939,964.80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-352,939,964.80</w:t>
            </w:r>
          </w:p>
        </w:tc>
      </w:tr>
      <w:tr>
        <w:trPr>
          <w:trHeight w:val="28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10"/>
                <w:sz w:val="21"/>
                <w:szCs w:val="21"/>
              </w:rPr>
              <w:t>1</w:t>
            </w:r>
            <w:r>
              <w:rPr>
                <w:rFonts w:ascii="宋体" w:hAnsi="宋体" w:cs="宋体" w:eastAsia="宋体" w:hint="default"/>
                <w:spacing w:val="-10"/>
                <w:sz w:val="21"/>
                <w:szCs w:val="21"/>
              </w:rPr>
              <w:t>．资本公积转增资本（或股本）</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8"/>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．盈余公积转增资本（或股本）</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036"/>
        <w:gridCol w:w="1861"/>
        <w:gridCol w:w="1896"/>
        <w:gridCol w:w="1808"/>
        <w:gridCol w:w="1803"/>
        <w:gridCol w:w="1790"/>
        <w:gridCol w:w="1896"/>
      </w:tblGrid>
      <w:tr>
        <w:trPr>
          <w:trHeight w:val="28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61"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sz w:val="21"/>
              </w:rPr>
              <w:t>207,611,744.00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1,567,183,595.33</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4" w:right="0"/>
              <w:jc w:val="left"/>
              <w:rPr>
                <w:rFonts w:ascii="宋体" w:hAnsi="宋体" w:cs="宋体" w:eastAsia="宋体" w:hint="default"/>
                <w:sz w:val="21"/>
                <w:szCs w:val="21"/>
              </w:rPr>
            </w:pPr>
            <w:r>
              <w:rPr>
                <w:rFonts w:ascii="宋体"/>
                <w:sz w:val="21"/>
              </w:rPr>
              <w:t>-2,806,088.52</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sz w:val="21"/>
              </w:rPr>
              <w:t>103,805,872.00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sz w:val="21"/>
              </w:rPr>
              <w:t>480,783,024.66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2,356,578,147.47</w:t>
            </w:r>
          </w:p>
        </w:tc>
      </w:tr>
    </w:tbl>
    <w:p>
      <w:pPr>
        <w:spacing w:line="240" w:lineRule="auto" w:before="8"/>
        <w:rPr>
          <w:rFonts w:ascii="Times New Roman" w:hAnsi="Times New Roman" w:cs="Times New Roman" w:eastAsia="Times New Roman" w:hint="default"/>
          <w:sz w:val="17"/>
          <w:szCs w:val="17"/>
        </w:rPr>
      </w:pPr>
    </w:p>
    <w:p>
      <w:pPr>
        <w:pStyle w:val="BodyText"/>
        <w:tabs>
          <w:tab w:pos="5680" w:val="left" w:leader="none"/>
          <w:tab w:pos="11878" w:val="left" w:leader="none"/>
        </w:tabs>
        <w:spacing w:line="240" w:lineRule="auto" w:before="36"/>
        <w:ind w:left="220" w:right="60"/>
        <w:jc w:val="left"/>
      </w:pPr>
      <w:r>
        <w:rPr>
          <w:spacing w:val="-1"/>
        </w:rPr>
        <w:t>法定代表人：田舒斌</w:t>
        <w:tab/>
      </w:r>
      <w:r>
        <w:rPr>
          <w:spacing w:val="-2"/>
        </w:rPr>
        <w:t>主管会计工作负责人：任劼</w:t>
        <w:tab/>
        <w:t>会计机构负责人：张燕</w:t>
      </w:r>
    </w:p>
    <w:p>
      <w:pPr>
        <w:spacing w:after="0" w:line="240" w:lineRule="auto"/>
        <w:jc w:val="left"/>
        <w:sectPr>
          <w:footerReference w:type="default" r:id="rId61"/>
          <w:pgSz w:w="16840" w:h="11910" w:orient="landscape"/>
          <w:pgMar w:footer="1195" w:header="882" w:top="1120" w:bottom="1380" w:left="1220" w:right="1300"/>
        </w:sectPr>
      </w:pPr>
    </w:p>
    <w:p>
      <w:pPr>
        <w:spacing w:line="240" w:lineRule="auto" w:before="9"/>
        <w:rPr>
          <w:rFonts w:ascii="宋体" w:hAnsi="宋体" w:cs="宋体" w:eastAsia="宋体" w:hint="default"/>
          <w:sz w:val="29"/>
          <w:szCs w:val="29"/>
        </w:rPr>
      </w:pPr>
    </w:p>
    <w:p>
      <w:pPr>
        <w:pStyle w:val="Heading3"/>
        <w:tabs>
          <w:tab w:pos="557" w:val="left" w:leader="none"/>
        </w:tabs>
        <w:spacing w:line="290" w:lineRule="auto"/>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40" w:lineRule="auto" w:before="12"/>
        <w:ind w:right="125"/>
        <w:jc w:val="left"/>
      </w:pPr>
      <w:r>
        <w:rPr>
          <w:spacing w:val="-1"/>
        </w:rPr>
        <w:t>√适用</w:t>
        <w:tab/>
      </w:r>
      <w:r>
        <w:rPr>
          <w:spacing w:val="-2"/>
        </w:rPr>
        <w:t>□不适用</w:t>
      </w:r>
    </w:p>
    <w:p>
      <w:pPr>
        <w:pStyle w:val="BodyText"/>
        <w:spacing w:line="348" w:lineRule="auto" w:before="106"/>
        <w:ind w:right="140" w:firstLine="419"/>
        <w:jc w:val="both"/>
      </w:pPr>
      <w:r>
        <w:rPr/>
        <w:t>新华网股份有限公司（以下简称“本公司”或“公司”或“新华网”）于</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w:t>
      </w:r>
      <w:r>
        <w:rPr>
          <w:w w:val="100"/>
        </w:rPr>
        <w:t> </w:t>
      </w:r>
      <w:r>
        <w:rPr/>
        <w:t>在北京注册成立，公司注册地址位于北京市大兴区北兴路（东段）</w:t>
      </w:r>
      <w:r>
        <w:rPr>
          <w:rFonts w:ascii="宋体" w:hAnsi="宋体" w:cs="宋体" w:eastAsia="宋体" w:hint="default"/>
        </w:rPr>
        <w:t>2</w:t>
      </w:r>
      <w:r>
        <w:rPr>
          <w:rFonts w:ascii="宋体" w:hAnsi="宋体" w:cs="宋体" w:eastAsia="宋体" w:hint="default"/>
          <w:spacing w:val="-54"/>
        </w:rPr>
        <w:t> </w:t>
      </w:r>
      <w:r>
        <w:rPr/>
        <w:t>号院</w:t>
      </w:r>
      <w:r>
        <w:rPr>
          <w:spacing w:val="-54"/>
        </w:rPr>
        <w:t> </w:t>
      </w:r>
      <w:r>
        <w:rPr>
          <w:rFonts w:ascii="宋体" w:hAnsi="宋体" w:cs="宋体" w:eastAsia="宋体" w:hint="default"/>
        </w:rPr>
        <w:t>12</w:t>
      </w:r>
      <w:r>
        <w:rPr>
          <w:rFonts w:ascii="宋体" w:hAnsi="宋体" w:cs="宋体" w:eastAsia="宋体" w:hint="default"/>
          <w:spacing w:val="-56"/>
        </w:rPr>
        <w:t> </w:t>
      </w:r>
      <w:r>
        <w:rPr/>
        <w:t>号楼</w:t>
      </w:r>
      <w:r>
        <w:rPr>
          <w:spacing w:val="-53"/>
        </w:rPr>
        <w:t> </w:t>
      </w:r>
      <w:r>
        <w:rPr>
          <w:rFonts w:ascii="宋体" w:hAnsi="宋体" w:cs="宋体" w:eastAsia="宋体" w:hint="default"/>
        </w:rPr>
        <w:t>1-5</w:t>
      </w:r>
      <w:r>
        <w:rPr>
          <w:rFonts w:ascii="宋体" w:hAnsi="宋体" w:cs="宋体" w:eastAsia="宋体" w:hint="default"/>
          <w:spacing w:val="-56"/>
        </w:rPr>
        <w:t> </w:t>
      </w:r>
      <w:r>
        <w:rPr/>
        <w:t>层</w:t>
      </w:r>
      <w:r>
        <w:rPr>
          <w:spacing w:val="-54"/>
        </w:rPr>
        <w:t> </w:t>
      </w:r>
      <w:r>
        <w:rPr>
          <w:rFonts w:ascii="宋体" w:hAnsi="宋体" w:cs="宋体" w:eastAsia="宋体" w:hint="default"/>
        </w:rPr>
        <w:t>101</w:t>
      </w:r>
      <w:r>
        <w:rPr/>
        <w:t>，现</w:t>
      </w:r>
      <w:r>
        <w:rPr>
          <w:w w:val="100"/>
        </w:rPr>
        <w:t> </w:t>
      </w:r>
      <w:r>
        <w:rPr/>
        <w:t>总部位于北京市西城区宣武门西大街</w:t>
      </w:r>
      <w:r>
        <w:rPr>
          <w:spacing w:val="-53"/>
        </w:rPr>
        <w:t> </w:t>
      </w:r>
      <w:r>
        <w:rPr>
          <w:rFonts w:ascii="宋体" w:hAnsi="宋体" w:cs="宋体" w:eastAsia="宋体" w:hint="default"/>
        </w:rPr>
        <w:t>129</w:t>
      </w:r>
      <w:r>
        <w:rPr>
          <w:rFonts w:ascii="宋体" w:hAnsi="宋体" w:cs="宋体" w:eastAsia="宋体" w:hint="default"/>
          <w:spacing w:val="-55"/>
        </w:rPr>
        <w:t> </w:t>
      </w:r>
      <w:r>
        <w:rPr/>
        <w:t>号金隅大厦</w:t>
      </w:r>
      <w:r>
        <w:rPr>
          <w:spacing w:val="-52"/>
        </w:rPr>
        <w:t> </w:t>
      </w:r>
      <w:r>
        <w:rPr>
          <w:rFonts w:ascii="宋体" w:hAnsi="宋体" w:cs="宋体" w:eastAsia="宋体" w:hint="default"/>
        </w:rPr>
        <w:t>4-8</w:t>
      </w:r>
      <w:r>
        <w:rPr/>
        <w:t>、</w:t>
      </w:r>
      <w:r>
        <w:rPr>
          <w:rFonts w:ascii="宋体" w:hAnsi="宋体" w:cs="宋体" w:eastAsia="宋体" w:hint="default"/>
        </w:rPr>
        <w:t>15A</w:t>
      </w:r>
      <w:r>
        <w:rPr>
          <w:rFonts w:ascii="宋体" w:hAnsi="宋体" w:cs="宋体" w:eastAsia="宋体" w:hint="default"/>
          <w:spacing w:val="-53"/>
        </w:rPr>
        <w:t> </w:t>
      </w:r>
      <w:r>
        <w:rPr>
          <w:spacing w:val="-3"/>
        </w:rPr>
        <w:t>层。</w:t>
      </w:r>
      <w:r>
        <w:rPr/>
      </w:r>
    </w:p>
    <w:p>
      <w:pPr>
        <w:pStyle w:val="BodyText"/>
        <w:spacing w:line="350" w:lineRule="auto" w:before="31"/>
        <w:ind w:right="137" w:firstLine="419"/>
        <w:jc w:val="both"/>
      </w:pPr>
      <w:r>
        <w:rPr/>
        <w:t>本财务报表业经本公司董事会于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日决议批准报出，根据本公司章程，本财务</w:t>
      </w:r>
      <w:r>
        <w:rPr>
          <w:w w:val="100"/>
        </w:rPr>
        <w:t> </w:t>
      </w:r>
      <w:r>
        <w:rPr/>
        <w:t>报表将提交股东大会审议。</w:t>
      </w:r>
    </w:p>
    <w:p>
      <w:pPr>
        <w:pStyle w:val="BodyText"/>
        <w:spacing w:line="240" w:lineRule="auto" w:before="27"/>
        <w:ind w:left="558" w:right="0"/>
        <w:jc w:val="left"/>
      </w:pPr>
      <w:r>
        <w:rPr/>
        <w:t>本公司</w:t>
      </w:r>
      <w:r>
        <w:rPr>
          <w:spacing w:val="-56"/>
        </w:rPr>
        <w:t> </w:t>
      </w:r>
      <w:r>
        <w:rPr>
          <w:rFonts w:ascii="宋体" w:hAnsi="宋体" w:cs="宋体" w:eastAsia="宋体" w:hint="default"/>
        </w:rPr>
        <w:t>2017</w:t>
      </w:r>
      <w:r>
        <w:rPr>
          <w:rFonts w:ascii="宋体" w:hAnsi="宋体" w:cs="宋体" w:eastAsia="宋体" w:hint="default"/>
          <w:spacing w:val="-56"/>
        </w:rPr>
        <w:t> </w:t>
      </w:r>
      <w:r>
        <w:rPr/>
        <w:t>年度纳入合并范围的子公司共</w:t>
      </w:r>
      <w:r>
        <w:rPr>
          <w:spacing w:val="-56"/>
        </w:rPr>
        <w:t> </w:t>
      </w:r>
      <w:r>
        <w:rPr>
          <w:rFonts w:ascii="宋体" w:hAnsi="宋体" w:cs="宋体" w:eastAsia="宋体" w:hint="default"/>
        </w:rPr>
        <w:t>10</w:t>
      </w:r>
      <w:r>
        <w:rPr>
          <w:rFonts w:ascii="宋体" w:hAnsi="宋体" w:cs="宋体" w:eastAsia="宋体" w:hint="default"/>
          <w:spacing w:val="-58"/>
        </w:rPr>
        <w:t> </w:t>
      </w:r>
      <w:r>
        <w:rPr/>
        <w:t>户，详见本报告第十一节、九“在其他主体中</w:t>
      </w:r>
    </w:p>
    <w:p>
      <w:pPr>
        <w:pStyle w:val="BodyText"/>
        <w:spacing w:line="350" w:lineRule="auto" w:before="126"/>
        <w:ind w:right="125"/>
        <w:jc w:val="left"/>
      </w:pPr>
      <w:r>
        <w:rPr>
          <w:spacing w:val="-4"/>
        </w:rPr>
        <w:t>的权益”。本公司本年度内合并范围比上年度增加</w:t>
      </w:r>
      <w:r>
        <w:rPr>
          <w:spacing w:val="-42"/>
        </w:rPr>
        <w:t> </w:t>
      </w:r>
      <w:r>
        <w:rPr>
          <w:rFonts w:ascii="宋体" w:hAnsi="宋体" w:cs="宋体" w:eastAsia="宋体" w:hint="default"/>
        </w:rPr>
        <w:t>9</w:t>
      </w:r>
      <w:r>
        <w:rPr>
          <w:rFonts w:ascii="宋体" w:hAnsi="宋体" w:cs="宋体" w:eastAsia="宋体" w:hint="default"/>
          <w:spacing w:val="-40"/>
        </w:rPr>
        <w:t> </w:t>
      </w:r>
      <w:r>
        <w:rPr>
          <w:spacing w:val="-14"/>
        </w:rPr>
        <w:t>户，减少</w:t>
      </w:r>
      <w:r>
        <w:rPr>
          <w:spacing w:val="-40"/>
        </w:rPr>
        <w:t> </w:t>
      </w:r>
      <w:r>
        <w:rPr>
          <w:rFonts w:ascii="宋体" w:hAnsi="宋体" w:cs="宋体" w:eastAsia="宋体" w:hint="default"/>
        </w:rPr>
        <w:t>2</w:t>
      </w:r>
      <w:r>
        <w:rPr>
          <w:rFonts w:ascii="宋体" w:hAnsi="宋体" w:cs="宋体" w:eastAsia="宋体" w:hint="default"/>
          <w:spacing w:val="-42"/>
        </w:rPr>
        <w:t> </w:t>
      </w:r>
      <w:r>
        <w:rPr>
          <w:spacing w:val="-8"/>
        </w:rPr>
        <w:t>户，详见本报告第十一节、八“合</w:t>
      </w:r>
      <w:r>
        <w:rPr>
          <w:spacing w:val="-100"/>
        </w:rPr>
        <w:t> </w:t>
      </w:r>
      <w:r>
        <w:rPr>
          <w:spacing w:val="-100"/>
        </w:rPr>
      </w:r>
      <w:r>
        <w:rPr/>
        <w:t>并范围的变更”。</w:t>
      </w:r>
    </w:p>
    <w:p>
      <w:pPr>
        <w:pStyle w:val="BodyText"/>
        <w:spacing w:line="350" w:lineRule="auto" w:before="27"/>
        <w:ind w:right="128" w:firstLine="419"/>
        <w:jc w:val="both"/>
      </w:pPr>
      <w:r>
        <w:rPr>
          <w:spacing w:val="-2"/>
        </w:rPr>
        <w:t>本公司属互联网信息服务业，本公司及子公司主要从事新闻资讯服务、互联网广告服务、为</w:t>
      </w:r>
      <w:r>
        <w:rPr>
          <w:w w:val="100"/>
        </w:rPr>
        <w:t> </w:t>
      </w:r>
      <w:r>
        <w:rPr>
          <w:spacing w:val="-2"/>
        </w:rPr>
        <w:t>政府提供宣传服务等。公司经营范围：第二类增值电信业务中的信息服务业务（仅限互联网信息</w:t>
      </w:r>
      <w:r>
        <w:rPr>
          <w:spacing w:val="-25"/>
        </w:rPr>
        <w:t> </w:t>
      </w:r>
      <w:r>
        <w:rPr>
          <w:spacing w:val="-25"/>
        </w:rPr>
      </w:r>
      <w:r>
        <w:rPr>
          <w:spacing w:val="-7"/>
        </w:rPr>
        <w:t>服务），互联网信息服务不含教育、医疗保健，含新闻、出版、药品及医疗器械、电子公告服务；</w:t>
      </w:r>
      <w:r>
        <w:rPr>
          <w:spacing w:val="-13"/>
        </w:rPr>
        <w:t> </w:t>
      </w:r>
      <w:r>
        <w:rPr>
          <w:spacing w:val="-13"/>
        </w:rPr>
      </w:r>
      <w:r>
        <w:rPr>
          <w:spacing w:val="-2"/>
        </w:rPr>
        <w:t>从事互联网文化活动；广告设计制作、发布、代理；无线增值的相关技术服务；信息服务；信息</w:t>
      </w:r>
      <w:r>
        <w:rPr>
          <w:spacing w:val="-25"/>
        </w:rPr>
        <w:t> </w:t>
      </w:r>
      <w:r>
        <w:rPr>
          <w:spacing w:val="-25"/>
        </w:rPr>
      </w:r>
      <w:r>
        <w:rPr>
          <w:spacing w:val="-6"/>
        </w:rPr>
        <w:t>开发与咨询；网站建设；网络采编；计算机、集成系统领域内的技术开发、技术服务、技术转让、</w:t>
      </w:r>
      <w:r>
        <w:rPr>
          <w:spacing w:val="-51"/>
        </w:rPr>
        <w:t> </w:t>
      </w:r>
      <w:r>
        <w:rPr>
          <w:spacing w:val="-51"/>
        </w:rPr>
      </w:r>
      <w:r>
        <w:rPr>
          <w:spacing w:val="-2"/>
        </w:rPr>
        <w:t>技术咨询；计算机系统服务；计算机技术培训；技术进出口；代理进出口；电子课件编辑制作；</w:t>
      </w:r>
      <w:r>
        <w:rPr>
          <w:spacing w:val="-25"/>
        </w:rPr>
        <w:t> </w:t>
      </w:r>
      <w:r>
        <w:rPr>
          <w:spacing w:val="-25"/>
        </w:rPr>
      </w:r>
      <w:r>
        <w:rPr>
          <w:spacing w:val="-2"/>
        </w:rPr>
        <w:t>软件类技术开发；组织文化艺术交流活动；教育咨询；企业管理咨询；公关策划；经济贸易信息</w:t>
      </w:r>
      <w:r>
        <w:rPr>
          <w:spacing w:val="-25"/>
        </w:rPr>
        <w:t> </w:t>
      </w:r>
      <w:r>
        <w:rPr>
          <w:spacing w:val="-25"/>
        </w:rPr>
      </w:r>
      <w:r>
        <w:rPr>
          <w:spacing w:val="-2"/>
        </w:rPr>
        <w:t>咨询；测绘服务；工程管理服务；会议服务；承办展览展示活动；室内外装潢设计；企业形象设</w:t>
      </w:r>
      <w:r>
        <w:rPr>
          <w:spacing w:val="-25"/>
        </w:rPr>
        <w:t> </w:t>
      </w:r>
      <w:r>
        <w:rPr>
          <w:spacing w:val="-25"/>
        </w:rPr>
      </w:r>
      <w:r>
        <w:rPr>
          <w:spacing w:val="-2"/>
        </w:rPr>
        <w:t>计；展厅的布置设计；电脑动画设计；建筑模型设计、舞台灯光设计；研发、设计、销售无人机</w:t>
      </w:r>
      <w:r>
        <w:rPr>
          <w:spacing w:val="-25"/>
        </w:rPr>
        <w:t> </w:t>
      </w:r>
      <w:r>
        <w:rPr>
          <w:spacing w:val="-25"/>
        </w:rPr>
      </w:r>
      <w:r>
        <w:rPr>
          <w:spacing w:val="-2"/>
        </w:rPr>
        <w:t>系统、无人机系统配件、软件；飞机租赁；电视剧制作、电影发行、电影放映；自然科学研究与</w:t>
      </w:r>
      <w:r>
        <w:rPr>
          <w:spacing w:val="-25"/>
        </w:rPr>
        <w:t> </w:t>
      </w:r>
      <w:r>
        <w:rPr>
          <w:spacing w:val="-25"/>
        </w:rPr>
      </w:r>
      <w:r>
        <w:rPr>
          <w:spacing w:val="-2"/>
        </w:rPr>
        <w:t>试验发展；销售食品、电子产品、化妆品、服装、鞋帽、日用品、工艺品、文化及体育用品、纺</w:t>
      </w:r>
      <w:r>
        <w:rPr>
          <w:spacing w:val="-25"/>
        </w:rPr>
        <w:t> </w:t>
      </w:r>
      <w:r>
        <w:rPr>
          <w:spacing w:val="-25"/>
        </w:rPr>
      </w:r>
      <w:r>
        <w:rPr>
          <w:spacing w:val="-2"/>
        </w:rPr>
        <w:t>织品。（企业依法自主选择经营项目，开展经营活动；从事互联网文化活动、销售食品、第二类</w:t>
      </w:r>
      <w:r>
        <w:rPr>
          <w:spacing w:val="-25"/>
        </w:rPr>
        <w:t> </w:t>
      </w:r>
      <w:r>
        <w:rPr>
          <w:spacing w:val="-25"/>
        </w:rPr>
      </w:r>
      <w:r>
        <w:rPr>
          <w:spacing w:val="-6"/>
        </w:rPr>
        <w:t>增值电信业务中的信息服务业务（仅限互联网信息服务）；互联网信息服务不含教育、医疗保健，</w:t>
      </w:r>
      <w:r>
        <w:rPr>
          <w:spacing w:val="-52"/>
        </w:rPr>
        <w:t> </w:t>
      </w:r>
      <w:r>
        <w:rPr>
          <w:spacing w:val="-52"/>
        </w:rPr>
      </w:r>
      <w:r>
        <w:rPr>
          <w:spacing w:val="-2"/>
        </w:rPr>
        <w:t>含新闻、出版、药品及医疗器械、电子公告服务以及依法须经批准的项目，经相关部门批准后依</w:t>
      </w:r>
      <w:r>
        <w:rPr>
          <w:spacing w:val="-25"/>
        </w:rPr>
        <w:t> </w:t>
      </w:r>
      <w:r>
        <w:rPr>
          <w:spacing w:val="-25"/>
        </w:rPr>
      </w:r>
      <w:r>
        <w:rPr/>
        <w:t>批准的内容开展经营活动；不得从事本市产业政策禁止和限制类项目的经营活动。）</w:t>
      </w:r>
    </w:p>
    <w:p>
      <w:pPr>
        <w:pStyle w:val="Heading3"/>
        <w:tabs>
          <w:tab w:pos="557" w:val="left" w:leader="none"/>
        </w:tabs>
        <w:spacing w:line="254" w:lineRule="exact" w:before="0"/>
        <w:ind w:left="138" w:right="125"/>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0" w:val="left" w:leader="none"/>
        </w:tabs>
        <w:spacing w:line="240" w:lineRule="auto" w:before="58"/>
        <w:ind w:right="125"/>
        <w:jc w:val="left"/>
      </w:pPr>
      <w:r>
        <w:rPr>
          <w:spacing w:val="-1"/>
        </w:rPr>
        <w:t>√适用</w:t>
        <w:tab/>
      </w:r>
      <w:r>
        <w:rPr>
          <w:spacing w:val="-2"/>
        </w:rPr>
        <w:t>□不适用</w:t>
      </w:r>
    </w:p>
    <w:p>
      <w:pPr>
        <w:pStyle w:val="BodyText"/>
        <w:spacing w:line="240" w:lineRule="auto" w:before="104"/>
        <w:ind w:left="558" w:right="0"/>
        <w:jc w:val="left"/>
      </w:pPr>
      <w:r>
        <w:rPr/>
        <w:t>本公司</w:t>
      </w:r>
      <w:r>
        <w:rPr>
          <w:spacing w:val="-55"/>
        </w:rPr>
        <w:t> </w:t>
      </w:r>
      <w:r>
        <w:rPr>
          <w:rFonts w:ascii="宋体" w:hAnsi="宋体" w:cs="宋体" w:eastAsia="宋体" w:hint="default"/>
        </w:rPr>
        <w:t>2017</w:t>
      </w:r>
      <w:r>
        <w:rPr>
          <w:rFonts w:ascii="宋体" w:hAnsi="宋体" w:cs="宋体" w:eastAsia="宋体" w:hint="default"/>
          <w:spacing w:val="-55"/>
        </w:rPr>
        <w:t> </w:t>
      </w:r>
      <w:r>
        <w:rPr/>
        <w:t>年度纳入合并范围的子公司共</w:t>
      </w:r>
      <w:r>
        <w:rPr>
          <w:spacing w:val="-55"/>
        </w:rPr>
        <w:t> </w:t>
      </w:r>
      <w:r>
        <w:rPr>
          <w:rFonts w:ascii="宋体" w:hAnsi="宋体" w:cs="宋体" w:eastAsia="宋体" w:hint="default"/>
        </w:rPr>
        <w:t>10</w:t>
      </w:r>
      <w:r>
        <w:rPr>
          <w:rFonts w:ascii="宋体" w:hAnsi="宋体" w:cs="宋体" w:eastAsia="宋体" w:hint="default"/>
          <w:spacing w:val="-57"/>
        </w:rPr>
        <w:t> </w:t>
      </w:r>
      <w:r>
        <w:rPr/>
        <w:t>户，详见本报告第十一节“财务报告”九、在</w:t>
      </w:r>
    </w:p>
    <w:p>
      <w:pPr>
        <w:pStyle w:val="BodyText"/>
        <w:spacing w:line="348" w:lineRule="auto" w:before="126"/>
        <w:ind w:right="133"/>
        <w:jc w:val="left"/>
      </w:pPr>
      <w:r>
        <w:rPr/>
        <w:t>其他主体中的权益。本公司报告期内合并范围比上年度增加</w:t>
      </w:r>
      <w:r>
        <w:rPr>
          <w:spacing w:val="-54"/>
        </w:rPr>
        <w:t> </w:t>
      </w:r>
      <w:r>
        <w:rPr>
          <w:rFonts w:ascii="宋体" w:hAnsi="宋体" w:cs="宋体" w:eastAsia="宋体" w:hint="default"/>
        </w:rPr>
        <w:t>7</w:t>
      </w:r>
      <w:r>
        <w:rPr>
          <w:rFonts w:ascii="宋体" w:hAnsi="宋体" w:cs="宋体" w:eastAsia="宋体" w:hint="default"/>
          <w:spacing w:val="-56"/>
        </w:rPr>
        <w:t> </w:t>
      </w:r>
      <w:r>
        <w:rPr/>
        <w:t>户，详见本报告第十一节“财务报</w:t>
      </w:r>
      <w:r>
        <w:rPr>
          <w:w w:val="100"/>
        </w:rPr>
        <w:t> </w:t>
      </w:r>
      <w:r>
        <w:rPr/>
        <w:t>告”八、合并范围的变更。</w:t>
      </w:r>
    </w:p>
    <w:p>
      <w:pPr>
        <w:pStyle w:val="Heading3"/>
        <w:spacing w:line="258" w:lineRule="exact" w:before="0"/>
        <w:ind w:left="138" w:right="125"/>
        <w:jc w:val="left"/>
        <w:rPr>
          <w:b w:val="0"/>
          <w:bCs w:val="0"/>
        </w:rPr>
      </w:pPr>
      <w:r>
        <w:rPr/>
        <w:t>四、财务报表的编制基础</w:t>
      </w:r>
      <w:r>
        <w:rPr>
          <w:b w:val="0"/>
          <w:bCs w:val="0"/>
        </w:rPr>
      </w:r>
    </w:p>
    <w:p>
      <w:pPr>
        <w:pStyle w:val="Heading3"/>
        <w:tabs>
          <w:tab w:pos="562" w:val="left" w:leader="none"/>
        </w:tabs>
        <w:spacing w:line="240" w:lineRule="auto" w:before="58"/>
        <w:ind w:left="138" w:right="125"/>
        <w:jc w:val="left"/>
        <w:rPr>
          <w:b w:val="0"/>
          <w:bCs w:val="0"/>
        </w:rPr>
      </w:pPr>
      <w:r>
        <w:rPr>
          <w:rFonts w:ascii="宋体" w:hAnsi="宋体" w:cs="宋体" w:eastAsia="宋体" w:hint="default"/>
          <w:w w:val="95"/>
        </w:rPr>
        <w:t>1.</w:t>
        <w:tab/>
      </w:r>
      <w:r>
        <w:rPr/>
        <w:t>编制基础</w:t>
      </w:r>
      <w:r>
        <w:rPr>
          <w:b w:val="0"/>
          <w:bCs w:val="0"/>
        </w:rPr>
      </w:r>
    </w:p>
    <w:p>
      <w:pPr>
        <w:pStyle w:val="BodyText"/>
        <w:spacing w:line="350" w:lineRule="auto" w:before="164"/>
        <w:ind w:right="128" w:firstLine="419"/>
        <w:jc w:val="both"/>
      </w:pPr>
      <w:r>
        <w:rPr>
          <w:spacing w:val="-7"/>
        </w:rPr>
        <w:t>本公司财务报表以持续经营假设为基础，根据实际发生的交易和事项，按照财政部发布的《企</w:t>
      </w:r>
      <w:r>
        <w:rPr>
          <w:w w:val="100"/>
        </w:rPr>
        <w:t> </w:t>
      </w: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6"/>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4"/>
        </w:rPr>
        <w:t> </w:t>
      </w:r>
      <w:r>
        <w:rPr/>
        <w:t>号修订）、于</w:t>
      </w:r>
      <w:r>
        <w:rPr>
          <w:spacing w:val="-53"/>
        </w:rPr>
        <w:t> </w:t>
      </w:r>
      <w:r>
        <w:rPr>
          <w:rFonts w:ascii="宋体" w:hAnsi="宋体" w:cs="宋体" w:eastAsia="宋体" w:hint="default"/>
        </w:rPr>
        <w:t>2006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spacing w:after="0" w:line="350" w:lineRule="auto"/>
        <w:jc w:val="both"/>
        <w:sectPr>
          <w:headerReference w:type="default" r:id="rId62"/>
          <w:footerReference w:type="default" r:id="rId63"/>
          <w:pgSz w:w="11910" w:h="16840"/>
          <w:pgMar w:header="882" w:footer="1195" w:top="1120" w:bottom="1380" w:left="1660" w:right="1140"/>
          <w:pgNumType w:start="9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jc w:val="both"/>
      </w:pPr>
      <w:r>
        <w:rPr>
          <w:rFonts w:ascii="宋体" w:hAnsi="宋体" w:cs="宋体" w:eastAsia="宋体" w:hint="default"/>
        </w:rPr>
        <w:t>15</w:t>
      </w:r>
      <w:r>
        <w:rPr>
          <w:rFonts w:ascii="宋体" w:hAnsi="宋体" w:cs="宋体" w:eastAsia="宋体" w:hint="default"/>
          <w:spacing w:val="-55"/>
        </w:rPr>
        <w:t> </w:t>
      </w:r>
      <w:r>
        <w:rPr/>
        <w:t>日及其后颁布和修订的</w:t>
      </w:r>
      <w:r>
        <w:rPr>
          <w:spacing w:val="-57"/>
        </w:rPr>
        <w:t> </w:t>
      </w:r>
      <w:r>
        <w:rPr>
          <w:rFonts w:ascii="宋体" w:hAnsi="宋体" w:cs="宋体" w:eastAsia="宋体" w:hint="default"/>
        </w:rPr>
        <w:t>42</w:t>
      </w:r>
      <w:r>
        <w:rPr>
          <w:rFonts w:ascii="宋体" w:hAnsi="宋体" w:cs="宋体" w:eastAsia="宋体" w:hint="default"/>
          <w:spacing w:val="-55"/>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6"/>
        </w:rPr>
        <w:t> </w:t>
      </w:r>
      <w:r>
        <w:rPr>
          <w:spacing w:val="-26"/>
        </w:rPr>
      </w:r>
      <w:r>
        <w:rPr/>
        <w:t>司信息披露编报规则第</w:t>
      </w:r>
      <w:r>
        <w:rPr>
          <w:spacing w:val="-55"/>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年修订）的披露规定编制。</w:t>
      </w:r>
    </w:p>
    <w:p>
      <w:pPr>
        <w:pStyle w:val="BodyText"/>
        <w:spacing w:line="328" w:lineRule="auto" w:before="27"/>
        <w:ind w:right="130" w:firstLine="419"/>
        <w:jc w:val="both"/>
        <w:rPr>
          <w:rFonts w:ascii="宋体" w:hAnsi="宋体" w:cs="宋体" w:eastAsia="宋体" w:hint="default"/>
        </w:rPr>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r>
        <w:rPr>
          <w:spacing w:val="-66"/>
          <w:w w:val="100"/>
        </w:rPr>
        <w:t> </w:t>
      </w:r>
      <w:r>
        <w:rPr>
          <w:spacing w:val="-66"/>
          <w:w w:val="100"/>
        </w:rPr>
      </w:r>
      <w:r>
        <w:rPr>
          <w:rFonts w:ascii="宋体" w:hAnsi="宋体" w:cs="宋体" w:eastAsia="宋体" w:hint="default"/>
          <w:b/>
          <w:bCs/>
        </w:rPr>
        <w:t>2. </w:t>
      </w:r>
      <w:r>
        <w:rPr>
          <w:rFonts w:ascii="宋体" w:hAnsi="宋体" w:cs="宋体" w:eastAsia="宋体" w:hint="default"/>
          <w:b/>
          <w:bCs/>
          <w:spacing w:val="2"/>
        </w:rPr>
        <w:t> </w:t>
      </w:r>
      <w:r>
        <w:rPr>
          <w:rFonts w:ascii="宋体" w:hAnsi="宋体" w:cs="宋体" w:eastAsia="宋体" w:hint="default"/>
          <w:b/>
          <w:bCs/>
        </w:rPr>
        <w:t>持续经营</w:t>
      </w:r>
      <w:r>
        <w:rPr>
          <w:rFonts w:ascii="宋体" w:hAnsi="宋体" w:cs="宋体" w:eastAsia="宋体" w:hint="default"/>
        </w:rPr>
      </w:r>
    </w:p>
    <w:p>
      <w:pPr>
        <w:pStyle w:val="BodyText"/>
        <w:tabs>
          <w:tab w:pos="980" w:val="left" w:leader="none"/>
        </w:tabs>
        <w:spacing w:line="253" w:lineRule="exact"/>
        <w:ind w:right="125"/>
        <w:jc w:val="left"/>
      </w:pPr>
      <w:r>
        <w:rPr>
          <w:spacing w:val="-1"/>
        </w:rPr>
        <w:t>√适用</w:t>
        <w:tab/>
      </w:r>
      <w:r>
        <w:rPr>
          <w:spacing w:val="-2"/>
        </w:rPr>
        <w:t>□不适用</w:t>
      </w:r>
    </w:p>
    <w:p>
      <w:pPr>
        <w:pStyle w:val="BodyText"/>
        <w:spacing w:line="350" w:lineRule="auto" w:before="106"/>
        <w:ind w:right="128" w:firstLine="419"/>
        <w:jc w:val="both"/>
      </w:pPr>
      <w:r>
        <w:rPr>
          <w:spacing w:val="-7"/>
        </w:rPr>
        <w:t>本公司财务报表以持续经营假设为基础，根据实际发生的交易和事项，按照财政部发布的《企</w:t>
      </w:r>
      <w:r>
        <w:rPr>
          <w:w w:val="100"/>
        </w:rPr>
        <w:t> </w:t>
      </w:r>
      <w:r>
        <w:rPr>
          <w:spacing w:val="-6"/>
        </w:rPr>
        <w:t>业会计准则——基本准则》及具体会计准则、应用指南、解释以及其他相关规定进行确认和计量，</w:t>
      </w:r>
      <w:r>
        <w:rPr>
          <w:spacing w:val="-54"/>
        </w:rPr>
        <w:t> </w:t>
      </w:r>
      <w:r>
        <w:rPr>
          <w:spacing w:val="-54"/>
        </w:rPr>
      </w:r>
      <w:r>
        <w:rPr/>
        <w:t>在此基础上编制财务报表。</w:t>
      </w:r>
    </w:p>
    <w:p>
      <w:pPr>
        <w:pStyle w:val="Heading3"/>
        <w:spacing w:line="256" w:lineRule="exact" w:before="0"/>
        <w:ind w:left="138" w:right="125"/>
        <w:jc w:val="left"/>
        <w:rPr>
          <w:b w:val="0"/>
          <w:bCs w:val="0"/>
        </w:rPr>
      </w:pPr>
      <w:r>
        <w:rPr/>
        <w:t>五、重要会计政策及会计估计</w:t>
      </w:r>
      <w:r>
        <w:rPr>
          <w:b w:val="0"/>
          <w:bCs w:val="0"/>
        </w:rPr>
      </w:r>
    </w:p>
    <w:p>
      <w:pPr>
        <w:pStyle w:val="BodyText"/>
        <w:spacing w:line="274" w:lineRule="exact" w:before="56"/>
        <w:ind w:right="125"/>
        <w:jc w:val="left"/>
      </w:pPr>
      <w:r>
        <w:rPr/>
        <w:t>具体会计政策和会计估计提示：</w:t>
      </w:r>
    </w:p>
    <w:p>
      <w:pPr>
        <w:pStyle w:val="BodyText"/>
        <w:spacing w:line="331" w:lineRule="auto"/>
        <w:ind w:left="558" w:right="125" w:hanging="420"/>
        <w:jc w:val="left"/>
      </w:pPr>
      <w:r>
        <w:rPr/>
        <w:t>√适用</w:t>
      </w:r>
      <w:r>
        <w:rPr>
          <w:spacing w:val="-2"/>
        </w:rPr>
        <w:t> </w:t>
      </w:r>
      <w:r>
        <w:rPr/>
        <w:t>□不适用</w:t>
      </w:r>
      <w:r>
        <w:rPr>
          <w:w w:val="100"/>
        </w:rPr>
        <w:t> </w:t>
      </w:r>
      <w:r>
        <w:rPr>
          <w:spacing w:val="-2"/>
        </w:rPr>
        <w:t>本公司及各子公司从事新闻资讯服务、互联网广告服务及为政府提供宣传服务。本公司及各</w:t>
      </w:r>
    </w:p>
    <w:p>
      <w:pPr>
        <w:pStyle w:val="BodyText"/>
        <w:spacing w:line="350" w:lineRule="auto" w:before="46"/>
        <w:ind w:right="137"/>
        <w:jc w:val="both"/>
      </w:pPr>
      <w:r>
        <w:rPr>
          <w:spacing w:val="-2"/>
        </w:rPr>
        <w:t>子公司根据实际生产经营特点，依据相关企业会计准则的规定，对收入确认等交易和事项制定了</w:t>
      </w:r>
      <w:r>
        <w:rPr>
          <w:spacing w:val="-25"/>
        </w:rPr>
        <w:t> </w:t>
      </w:r>
      <w:r>
        <w:rPr>
          <w:spacing w:val="-25"/>
        </w:rPr>
      </w:r>
      <w:r>
        <w:rPr>
          <w:spacing w:val="-2"/>
        </w:rPr>
        <w:t>若干项具体会计政策和会计估计，详见第十一节财务报告、五、</w:t>
      </w:r>
      <w:r>
        <w:rPr>
          <w:rFonts w:ascii="宋体" w:hAnsi="宋体" w:cs="宋体" w:eastAsia="宋体" w:hint="default"/>
          <w:spacing w:val="-2"/>
        </w:rPr>
        <w:t>28</w:t>
      </w:r>
      <w:r>
        <w:rPr>
          <w:spacing w:val="-2"/>
        </w:rPr>
        <w:t>、收入等各项描述。关于管理</w:t>
      </w:r>
      <w:r>
        <w:rPr>
          <w:spacing w:val="-24"/>
        </w:rPr>
        <w:t> </w:t>
      </w:r>
      <w:r>
        <w:rPr>
          <w:spacing w:val="-24"/>
        </w:rPr>
      </w:r>
      <w:r>
        <w:rPr>
          <w:spacing w:val="-2"/>
        </w:rPr>
        <w:t>层所作出的重大会计判断和估计的说明，请参阅第十一节财务报告、五、</w:t>
      </w:r>
      <w:r>
        <w:rPr>
          <w:rFonts w:ascii="宋体" w:hAnsi="宋体" w:cs="宋体" w:eastAsia="宋体" w:hint="default"/>
          <w:spacing w:val="-2"/>
        </w:rPr>
        <w:t>32</w:t>
      </w:r>
      <w:r>
        <w:rPr>
          <w:spacing w:val="-2"/>
        </w:rPr>
        <w:t>、其他重要的会计政</w:t>
      </w:r>
      <w:r>
        <w:rPr>
          <w:spacing w:val="-24"/>
        </w:rPr>
        <w:t> </w:t>
      </w:r>
      <w:r>
        <w:rPr>
          <w:spacing w:val="-24"/>
        </w:rPr>
      </w:r>
      <w:r>
        <w:rPr/>
        <w:t>策与会计估计。</w:t>
      </w:r>
    </w:p>
    <w:p>
      <w:pPr>
        <w:pStyle w:val="Heading3"/>
        <w:tabs>
          <w:tab w:pos="562" w:val="left" w:leader="none"/>
        </w:tabs>
        <w:spacing w:line="254" w:lineRule="exact" w:before="0"/>
        <w:ind w:left="138" w:right="125"/>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40" w:lineRule="auto" w:before="166"/>
        <w:ind w:left="558" w:right="0"/>
        <w:jc w:val="left"/>
      </w:pPr>
      <w:r>
        <w:rPr/>
        <w:t>本公司编制的财务报表符合企业会计准则的要求，真实、完整地反映了本公司</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126"/>
        <w:ind w:right="125"/>
        <w:jc w:val="left"/>
      </w:pPr>
      <w:r>
        <w:rPr>
          <w:rFonts w:ascii="宋体" w:hAnsi="宋体" w:cs="宋体" w:eastAsia="宋体" w:hint="default"/>
        </w:rPr>
        <w:t>31</w:t>
      </w:r>
      <w:r>
        <w:rPr>
          <w:rFonts w:ascii="宋体" w:hAnsi="宋体" w:cs="宋体" w:eastAsia="宋体" w:hint="default"/>
          <w:spacing w:val="-54"/>
        </w:rPr>
        <w:t> </w:t>
      </w:r>
      <w:r>
        <w:rPr/>
        <w:t>日的财务状况及</w:t>
      </w:r>
      <w:r>
        <w:rPr>
          <w:spacing w:val="-54"/>
        </w:rPr>
        <w:t> </w:t>
      </w:r>
      <w:r>
        <w:rPr>
          <w:rFonts w:ascii="宋体" w:hAnsi="宋体" w:cs="宋体" w:eastAsia="宋体" w:hint="default"/>
        </w:rPr>
        <w:t>2017</w:t>
      </w:r>
      <w:r>
        <w:rPr>
          <w:rFonts w:ascii="宋体" w:hAnsi="宋体" w:cs="宋体" w:eastAsia="宋体" w:hint="default"/>
          <w:spacing w:val="-56"/>
        </w:rPr>
        <w:t> </w:t>
      </w:r>
      <w:r>
        <w:rPr/>
        <w:t>年度的经营成果和现金流量等有关信息。此外，本公司的财务报表在所</w:t>
      </w:r>
    </w:p>
    <w:p>
      <w:pPr>
        <w:pStyle w:val="BodyText"/>
        <w:spacing w:line="240" w:lineRule="auto" w:before="123"/>
        <w:ind w:right="0"/>
        <w:jc w:val="left"/>
      </w:pPr>
      <w:r>
        <w:rPr>
          <w:w w:val="100"/>
        </w:rPr>
        <w:t>有重</w:t>
      </w:r>
      <w:r>
        <w:rPr>
          <w:spacing w:val="-3"/>
          <w:w w:val="100"/>
        </w:rPr>
        <w:t>大</w:t>
      </w:r>
      <w:r>
        <w:rPr>
          <w:w w:val="100"/>
        </w:rPr>
        <w:t>方</w:t>
      </w:r>
      <w:r>
        <w:rPr>
          <w:spacing w:val="-3"/>
          <w:w w:val="100"/>
        </w:rPr>
        <w:t>面</w:t>
      </w:r>
      <w:r>
        <w:rPr>
          <w:w w:val="100"/>
        </w:rPr>
        <w:t>符</w:t>
      </w:r>
      <w:r>
        <w:rPr>
          <w:spacing w:val="-3"/>
          <w:w w:val="100"/>
        </w:rPr>
        <w:t>合</w:t>
      </w:r>
      <w:r>
        <w:rPr>
          <w:w w:val="100"/>
        </w:rPr>
        <w:t>中</w:t>
      </w:r>
      <w:r>
        <w:rPr>
          <w:spacing w:val="-3"/>
          <w:w w:val="100"/>
        </w:rPr>
        <w:t>国</w:t>
      </w:r>
      <w:r>
        <w:rPr>
          <w:w w:val="100"/>
        </w:rPr>
        <w:t>证</w:t>
      </w:r>
      <w:r>
        <w:rPr>
          <w:spacing w:val="-3"/>
          <w:w w:val="100"/>
        </w:rPr>
        <w:t>券</w:t>
      </w:r>
      <w:r>
        <w:rPr>
          <w:w w:val="100"/>
        </w:rPr>
        <w:t>监督</w:t>
      </w:r>
      <w:r>
        <w:rPr>
          <w:spacing w:val="-3"/>
          <w:w w:val="100"/>
        </w:rPr>
        <w:t>管</w:t>
      </w:r>
      <w:r>
        <w:rPr>
          <w:w w:val="100"/>
        </w:rPr>
        <w:t>理</w:t>
      </w:r>
      <w:r>
        <w:rPr>
          <w:spacing w:val="-3"/>
          <w:w w:val="100"/>
        </w:rPr>
        <w:t>委员</w:t>
      </w:r>
      <w:r>
        <w:rPr>
          <w:w w:val="100"/>
        </w:rPr>
        <w:t>会</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spacing w:val="-3"/>
          <w:w w:val="100"/>
        </w:rPr>
        <w:t>年修</w:t>
      </w:r>
      <w:r>
        <w:rPr>
          <w:w w:val="100"/>
        </w:rPr>
        <w:t>订</w:t>
      </w:r>
      <w:r>
        <w:rPr>
          <w:spacing w:val="-94"/>
          <w:w w:val="100"/>
        </w:rPr>
        <w:t>的</w:t>
      </w:r>
      <w:r>
        <w:rPr>
          <w:w w:val="100"/>
        </w:rPr>
        <w:t>《</w:t>
      </w:r>
      <w:r>
        <w:rPr>
          <w:spacing w:val="-3"/>
          <w:w w:val="100"/>
        </w:rPr>
        <w:t>公</w:t>
      </w:r>
      <w:r>
        <w:rPr>
          <w:w w:val="100"/>
        </w:rPr>
        <w:t>开</w:t>
      </w:r>
      <w:r>
        <w:rPr>
          <w:spacing w:val="-3"/>
          <w:w w:val="100"/>
        </w:rPr>
        <w:t>发</w:t>
      </w:r>
      <w:r>
        <w:rPr>
          <w:w w:val="100"/>
        </w:rPr>
        <w:t>行</w:t>
      </w:r>
      <w:r>
        <w:rPr>
          <w:spacing w:val="-3"/>
          <w:w w:val="100"/>
        </w:rPr>
        <w:t>证</w:t>
      </w:r>
      <w:r>
        <w:rPr>
          <w:w w:val="100"/>
        </w:rPr>
        <w:t>券</w:t>
      </w:r>
      <w:r>
        <w:rPr>
          <w:spacing w:val="-3"/>
          <w:w w:val="100"/>
        </w:rPr>
        <w:t>的</w:t>
      </w:r>
      <w:r>
        <w:rPr>
          <w:w w:val="100"/>
        </w:rPr>
        <w:t>公</w:t>
      </w:r>
      <w:r>
        <w:rPr>
          <w:spacing w:val="-3"/>
          <w:w w:val="100"/>
        </w:rPr>
        <w:t>司</w:t>
      </w:r>
      <w:r>
        <w:rPr>
          <w:w w:val="100"/>
        </w:rPr>
        <w:t>信息</w:t>
      </w:r>
      <w:r>
        <w:rPr>
          <w:spacing w:val="-3"/>
          <w:w w:val="100"/>
        </w:rPr>
        <w:t>披</w:t>
      </w:r>
      <w:r>
        <w:rPr>
          <w:w w:val="100"/>
        </w:rPr>
        <w:t>露</w:t>
      </w:r>
      <w:r>
        <w:rPr>
          <w:spacing w:val="-3"/>
          <w:w w:val="100"/>
        </w:rPr>
        <w:t>编</w:t>
      </w:r>
      <w:r>
        <w:rPr>
          <w:w w:val="100"/>
        </w:rPr>
        <w:t>报</w:t>
      </w:r>
      <w:r>
        <w:rPr>
          <w:spacing w:val="-3"/>
          <w:w w:val="100"/>
        </w:rPr>
        <w:t>规</w:t>
      </w:r>
      <w:r>
        <w:rPr>
          <w:w w:val="100"/>
        </w:rPr>
        <w:t>则</w:t>
      </w:r>
    </w:p>
    <w:p>
      <w:pPr>
        <w:pStyle w:val="BodyText"/>
        <w:spacing w:line="240" w:lineRule="auto" w:before="126"/>
        <w:ind w:right="125"/>
        <w:jc w:val="left"/>
      </w:pPr>
      <w:r>
        <w:rPr/>
        <w:t>第</w:t>
      </w:r>
      <w:r>
        <w:rPr>
          <w:spacing w:val="-55"/>
        </w:rPr>
        <w:t> </w:t>
      </w:r>
      <w:r>
        <w:rPr>
          <w:rFonts w:ascii="宋体" w:hAnsi="宋体" w:cs="宋体" w:eastAsia="宋体" w:hint="default"/>
        </w:rPr>
        <w:t>15</w:t>
      </w:r>
      <w:r>
        <w:rPr>
          <w:rFonts w:ascii="宋体" w:hAnsi="宋体" w:cs="宋体" w:eastAsia="宋体" w:hint="default"/>
          <w:spacing w:val="-57"/>
        </w:rPr>
        <w:t> </w:t>
      </w:r>
      <w:r>
        <w:rPr/>
        <w:t>号－财务报告的一般规定》有关财务报表及其附注的披露要求。</w:t>
      </w:r>
    </w:p>
    <w:p>
      <w:pPr>
        <w:pStyle w:val="Heading3"/>
        <w:tabs>
          <w:tab w:pos="562" w:val="left" w:leader="none"/>
        </w:tabs>
        <w:spacing w:line="240" w:lineRule="auto" w:before="78"/>
        <w:ind w:left="138" w:right="125"/>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8" w:right="125"/>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pStyle w:val="Heading3"/>
        <w:tabs>
          <w:tab w:pos="562" w:val="left" w:leader="none"/>
        </w:tabs>
        <w:spacing w:line="240" w:lineRule="auto" w:before="58"/>
        <w:ind w:left="138" w:right="125"/>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333" w:lineRule="auto" w:before="57"/>
        <w:ind w:left="558" w:right="137" w:hanging="420"/>
        <w:jc w:val="left"/>
      </w:pPr>
      <w:r>
        <w:rPr>
          <w:spacing w:val="-1"/>
        </w:rPr>
        <w:t>√适用</w:t>
        <w:tab/>
      </w:r>
      <w:r>
        <w:rPr>
          <w:spacing w:val="-2"/>
        </w:rPr>
        <w:t>□不适用</w:t>
      </w:r>
      <w:r>
        <w:rPr>
          <w:spacing w:val="-99"/>
        </w:rPr>
        <w:t> </w:t>
      </w:r>
      <w:r>
        <w:rPr>
          <w:spacing w:val="-99"/>
        </w:rPr>
      </w:r>
      <w:r>
        <w:rPr>
          <w:spacing w:val="-2"/>
        </w:rPr>
        <w:t>正常营业周期是指本公司从购买用于加工的资产起至实现现金或现金等价物的期间。本公司</w:t>
      </w:r>
    </w:p>
    <w:p>
      <w:pPr>
        <w:pStyle w:val="BodyText"/>
        <w:spacing w:line="240" w:lineRule="auto" w:before="41"/>
        <w:ind w:right="125"/>
        <w:jc w:val="left"/>
      </w:pPr>
      <w:r>
        <w:rPr/>
        <w:t>以</w:t>
      </w:r>
      <w:r>
        <w:rPr>
          <w:spacing w:val="-54"/>
        </w:rPr>
        <w:t> </w:t>
      </w:r>
      <w:r>
        <w:rPr>
          <w:rFonts w:ascii="宋体" w:hAnsi="宋体" w:cs="宋体" w:eastAsia="宋体" w:hint="default"/>
        </w:rPr>
        <w:t>12</w:t>
      </w:r>
      <w:r>
        <w:rPr>
          <w:rFonts w:ascii="宋体" w:hAnsi="宋体" w:cs="宋体" w:eastAsia="宋体" w:hint="default"/>
          <w:spacing w:val="-56"/>
        </w:rPr>
        <w:t> </w:t>
      </w:r>
      <w:r>
        <w:rPr/>
        <w:t>月作为一个营业周期，并以其作为资产和负债的流动性划分标准。</w:t>
      </w:r>
    </w:p>
    <w:p>
      <w:pPr>
        <w:tabs>
          <w:tab w:pos="562" w:val="left" w:leader="none"/>
        </w:tabs>
        <w:spacing w:line="290" w:lineRule="auto" w:before="78"/>
        <w:ind w:left="558" w:right="5601"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pStyle w:val="Heading3"/>
        <w:tabs>
          <w:tab w:pos="562" w:val="left" w:leader="none"/>
        </w:tabs>
        <w:spacing w:line="240" w:lineRule="auto" w:before="14"/>
        <w:ind w:left="138" w:right="125"/>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0" w:val="left" w:leader="none"/>
        </w:tabs>
        <w:spacing w:line="333" w:lineRule="auto" w:before="56"/>
        <w:ind w:left="558" w:right="137" w:hanging="420"/>
        <w:jc w:val="left"/>
      </w:pPr>
      <w:r>
        <w:rPr>
          <w:spacing w:val="-1"/>
        </w:rPr>
        <w:t>√适用</w:t>
        <w:tab/>
      </w:r>
      <w:r>
        <w:rPr>
          <w:spacing w:val="-2"/>
        </w:rPr>
        <w:t>□不适用</w:t>
      </w:r>
      <w:r>
        <w:rPr>
          <w:spacing w:val="-99"/>
        </w:rPr>
        <w:t> </w:t>
      </w:r>
      <w:r>
        <w:rPr>
          <w:spacing w:val="-99"/>
        </w:rPr>
      </w:r>
      <w:r>
        <w:rPr>
          <w:spacing w:val="-2"/>
        </w:rPr>
        <w:t>企业合并，是指将两个或两个以上单独的企业合并形成一个报告主体的交易或事项。企业合</w:t>
      </w:r>
    </w:p>
    <w:p>
      <w:pPr>
        <w:pStyle w:val="BodyText"/>
        <w:spacing w:line="240" w:lineRule="auto" w:before="41"/>
        <w:ind w:right="125"/>
        <w:jc w:val="left"/>
      </w:pPr>
      <w:r>
        <w:rPr/>
        <w:t>并分为同一控制下企业合并和非同一控制下企业合并。</w:t>
      </w:r>
    </w:p>
    <w:p>
      <w:pPr>
        <w:pStyle w:val="BodyText"/>
        <w:spacing w:line="240" w:lineRule="auto" w:before="126"/>
        <w:ind w:left="558" w:right="125"/>
        <w:jc w:val="left"/>
      </w:pPr>
      <w:r>
        <w:rPr/>
        <w:t>（</w:t>
      </w:r>
      <w:r>
        <w:rPr>
          <w:rFonts w:ascii="宋体" w:hAnsi="宋体" w:cs="宋体" w:eastAsia="宋体" w:hint="default"/>
        </w:rPr>
        <w:t>1</w:t>
      </w:r>
      <w:r>
        <w:rPr/>
        <w:t>）同一控制下企业合并</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firstLine="419"/>
        <w:jc w:val="both"/>
      </w:pPr>
      <w:r>
        <w:rPr>
          <w:spacing w:val="-2"/>
        </w:rPr>
        <w:t>参与合并的企业在合并前后均受同一方或相同的多方最终控制，且该控制并非暂时性的，为</w:t>
      </w:r>
      <w:r>
        <w:rPr>
          <w:w w:val="100"/>
        </w:rPr>
        <w:t> </w:t>
      </w:r>
      <w:r>
        <w:rPr>
          <w:spacing w:val="-2"/>
        </w:rPr>
        <w:t>同一控制下的企业合并。同一控制下的企业合并，在合并日取得对其他参与合并企业控制权的一</w:t>
      </w:r>
      <w:r>
        <w:rPr>
          <w:spacing w:val="-25"/>
        </w:rPr>
        <w:t> </w:t>
      </w:r>
      <w:r>
        <w:rPr>
          <w:spacing w:val="-25"/>
        </w:rPr>
      </w:r>
      <w:r>
        <w:rPr>
          <w:spacing w:val="-2"/>
        </w:rPr>
        <w:t>方为合并方，参与合并的其他企业为被合并方。合并日，是指合并方实际取得对被合并方控制权</w:t>
      </w:r>
      <w:r>
        <w:rPr>
          <w:spacing w:val="-25"/>
        </w:rPr>
        <w:t> </w:t>
      </w:r>
      <w:r>
        <w:rPr>
          <w:spacing w:val="-25"/>
        </w:rPr>
      </w:r>
      <w:r>
        <w:rPr/>
        <w:t>的日期。</w:t>
      </w:r>
    </w:p>
    <w:p>
      <w:pPr>
        <w:pStyle w:val="BodyText"/>
        <w:spacing w:line="348" w:lineRule="auto" w:before="29"/>
        <w:ind w:right="217" w:firstLine="419"/>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p>
    <w:p>
      <w:pPr>
        <w:pStyle w:val="BodyText"/>
        <w:spacing w:line="240" w:lineRule="auto" w:before="31"/>
        <w:ind w:left="558" w:right="101"/>
        <w:jc w:val="left"/>
      </w:pPr>
      <w:r>
        <w:rPr/>
        <w:t>合并方为进行企业合并发生的各项直接费用，于发生时计入当期损益。</w:t>
      </w:r>
    </w:p>
    <w:p>
      <w:pPr>
        <w:pStyle w:val="BodyText"/>
        <w:spacing w:line="348" w:lineRule="auto" w:before="126"/>
        <w:ind w:left="558" w:right="101"/>
        <w:jc w:val="left"/>
      </w:pPr>
      <w:r>
        <w:rPr/>
        <w:t>（</w:t>
      </w:r>
      <w:r>
        <w:rPr>
          <w:rFonts w:ascii="宋体" w:hAnsi="宋体" w:cs="宋体" w:eastAsia="宋体" w:hint="default"/>
        </w:rPr>
        <w:t>2</w:t>
      </w:r>
      <w:r>
        <w:rPr/>
        <w:t>）非同一控制下企业合并</w:t>
      </w:r>
      <w:r>
        <w:rPr>
          <w:w w:val="100"/>
        </w:rPr>
        <w:t> </w:t>
      </w:r>
      <w:r>
        <w:rPr>
          <w:spacing w:val="-2"/>
        </w:rPr>
        <w:t>参与合并的企业在合并前后不受同一方或相同的多方最终控制的，为非同一控制下的企业合</w:t>
      </w:r>
    </w:p>
    <w:p>
      <w:pPr>
        <w:pStyle w:val="BodyText"/>
        <w:spacing w:line="350" w:lineRule="auto" w:before="31"/>
        <w:ind w:right="101"/>
        <w:jc w:val="left"/>
      </w:pP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pStyle w:val="BodyText"/>
        <w:spacing w:line="350" w:lineRule="auto" w:before="27"/>
        <w:ind w:right="208" w:firstLine="419"/>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r>
        <w:rPr>
          <w:spacing w:val="-25"/>
        </w:rPr>
        <w:t> </w:t>
      </w:r>
      <w:r>
        <w:rPr>
          <w:spacing w:val="-25"/>
        </w:rPr>
      </w: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spacing w:val="-5"/>
          <w:w w:val="100"/>
        </w:rPr>
        <w:t>的或有对价按其在购买日的公允价值计入合并成本，购买日后</w:t>
      </w:r>
      <w:r>
        <w:rPr>
          <w:spacing w:val="-47"/>
          <w:w w:val="100"/>
        </w:rPr>
        <w:t> </w:t>
      </w:r>
      <w:r>
        <w:rPr>
          <w:rFonts w:ascii="宋体" w:hAnsi="宋体" w:cs="宋体" w:eastAsia="宋体" w:hint="default"/>
          <w:spacing w:val="-2"/>
          <w:w w:val="100"/>
        </w:rPr>
        <w:t>12</w:t>
      </w:r>
      <w:r>
        <w:rPr>
          <w:rFonts w:ascii="宋体" w:hAnsi="宋体" w:cs="宋体" w:eastAsia="宋体" w:hint="default"/>
          <w:spacing w:val="-47"/>
          <w:w w:val="100"/>
        </w:rPr>
        <w:t> </w:t>
      </w:r>
      <w:r>
        <w:rPr>
          <w:spacing w:val="-2"/>
          <w:w w:val="100"/>
        </w:rPr>
        <w:t>个月内出现对购买日已存在情况</w:t>
      </w:r>
      <w:r>
        <w:rPr>
          <w:spacing w:val="-103"/>
          <w:w w:val="100"/>
        </w:rPr>
        <w:t> </w:t>
      </w:r>
      <w:r>
        <w:rPr>
          <w:spacing w:val="-103"/>
          <w:w w:val="100"/>
        </w:rPr>
      </w:r>
      <w:r>
        <w:rPr>
          <w:spacing w:val="-2"/>
        </w:rPr>
        <w:t>的新的或进一步证据而需要调整或有对价的，相应调整合并商誉。购买方发生的合并成本及在合</w:t>
      </w:r>
      <w:r>
        <w:rPr>
          <w:spacing w:val="-25"/>
        </w:rPr>
        <w:t> </w:t>
      </w:r>
      <w:r>
        <w:rPr>
          <w:spacing w:val="-25"/>
        </w:rPr>
      </w:r>
      <w:r>
        <w:rPr>
          <w:spacing w:val="-2"/>
        </w:rPr>
        <w:t>并中取得的可辨认净资产按购买日的公允价值计量。合并成本大于合并中取得的被购买方于购买</w:t>
      </w:r>
      <w:r>
        <w:rPr>
          <w:spacing w:val="-25"/>
        </w:rPr>
        <w:t> </w:t>
      </w:r>
      <w:r>
        <w:rPr>
          <w:spacing w:val="-25"/>
        </w:rPr>
      </w:r>
      <w:r>
        <w:rPr>
          <w:spacing w:val="-2"/>
        </w:rPr>
        <w:t>日可辨认净资产公允价值份额的差额，确认为商誉。合并成本小于合并中取得的被购买方可辨认</w:t>
      </w:r>
      <w:r>
        <w:rPr>
          <w:spacing w:val="-25"/>
        </w:rPr>
        <w:t> </w:t>
      </w:r>
      <w:r>
        <w:rPr>
          <w:spacing w:val="-25"/>
        </w:rPr>
      </w:r>
      <w:r>
        <w:rPr>
          <w:spacing w:val="-2"/>
        </w:rPr>
        <w:t>净资产公允价值份额的，首先对取得的被购买方各项可辨认资产、负债及或有负债的公允价值以</w:t>
      </w:r>
      <w:r>
        <w:rPr>
          <w:spacing w:val="-25"/>
        </w:rPr>
        <w:t> </w:t>
      </w:r>
      <w:r>
        <w:rPr>
          <w:spacing w:val="-25"/>
        </w:rPr>
      </w:r>
      <w:r>
        <w:rPr>
          <w:spacing w:val="-2"/>
        </w:rPr>
        <w:t>及合并成本的计量进行复核，复核后合并成本仍小于合并中取得的被购买方可辨认净资产公允价</w:t>
      </w:r>
      <w:r>
        <w:rPr>
          <w:spacing w:val="-25"/>
        </w:rPr>
        <w:t> </w:t>
      </w:r>
      <w:r>
        <w:rPr>
          <w:spacing w:val="-25"/>
        </w:rPr>
      </w:r>
      <w:r>
        <w:rPr/>
        <w:t>值份额的，其差额计入当期损益。</w:t>
      </w:r>
    </w:p>
    <w:p>
      <w:pPr>
        <w:pStyle w:val="BodyText"/>
        <w:spacing w:line="348" w:lineRule="auto" w:before="29"/>
        <w:ind w:right="103" w:firstLine="419"/>
        <w:jc w:val="left"/>
      </w:pPr>
      <w:r>
        <w:rPr/>
        <w:t>购买方取得被购买方的可抵扣暂时性差异，在购买日因不符合递延所得税资产确认条件而未</w:t>
      </w:r>
      <w:r>
        <w:rPr>
          <w:w w:val="100"/>
        </w:rPr>
        <w:t> </w:t>
      </w:r>
      <w:r>
        <w:rPr/>
        <w:t>予确认的，在购买日后</w:t>
      </w:r>
      <w:r>
        <w:rPr>
          <w:spacing w:val="-51"/>
        </w:rPr>
        <w:t> </w:t>
      </w:r>
      <w:r>
        <w:rPr>
          <w:rFonts w:ascii="宋体" w:hAnsi="宋体" w:cs="宋体" w:eastAsia="宋体" w:hint="default"/>
        </w:rPr>
        <w:t>12</w:t>
      </w:r>
      <w:r>
        <w:rPr>
          <w:rFonts w:ascii="宋体" w:hAnsi="宋体" w:cs="宋体" w:eastAsia="宋体" w:hint="default"/>
          <w:spacing w:val="-54"/>
        </w:rPr>
        <w:t> </w:t>
      </w:r>
      <w:r>
        <w:rPr/>
        <w:t>个月内，如取得新的或进一步的信息表明购买日的相关情况已经存在，</w:t>
      </w:r>
      <w:r>
        <w:rPr>
          <w:w w:val="100"/>
        </w:rPr>
        <w:t> </w:t>
      </w:r>
      <w:r>
        <w:rPr/>
        <w:t>预期被购买方在购买日可抵扣暂时性差异带来的经济利益能够实现的，则确认相关的递延所得税</w:t>
      </w:r>
      <w:r>
        <w:rPr>
          <w:w w:val="100"/>
        </w:rPr>
        <w:t> </w:t>
      </w:r>
      <w:r>
        <w:rPr/>
        <w:t>资产，同时减少商誉，商誉不足冲减的，差额部分确认为当期损益；除上述情况以外，确认与企</w:t>
      </w:r>
      <w:r>
        <w:rPr>
          <w:w w:val="100"/>
        </w:rPr>
        <w:t> </w:t>
      </w:r>
      <w:r>
        <w:rPr/>
        <w:t>业合并相关的递延所得税资产的，计入当期损益。</w:t>
      </w:r>
    </w:p>
    <w:p>
      <w:pPr>
        <w:pStyle w:val="BodyText"/>
        <w:spacing w:line="350" w:lineRule="auto" w:before="31"/>
        <w:ind w:right="208" w:firstLine="419"/>
        <w:jc w:val="both"/>
      </w:pPr>
      <w:r>
        <w:rPr>
          <w:spacing w:val="-2"/>
        </w:rPr>
        <w:t>通过多次交易分步实现的非同一控制下企业合并，根据《财政部关于印发企业会计准则解释</w:t>
      </w:r>
      <w:r>
        <w:rPr>
          <w:w w:val="100"/>
        </w:rPr>
        <w:t> </w:t>
      </w:r>
      <w:r>
        <w:rPr/>
        <w:t>第</w:t>
      </w:r>
      <w:r>
        <w:rPr>
          <w:spacing w:val="-55"/>
        </w:rPr>
        <w:t> </w:t>
      </w:r>
      <w:r>
        <w:rPr>
          <w:rFonts w:ascii="宋体" w:hAnsi="宋体" w:cs="宋体" w:eastAsia="宋体" w:hint="default"/>
        </w:rPr>
        <w:t>5</w:t>
      </w:r>
      <w:r>
        <w:rPr>
          <w:rFonts w:ascii="宋体" w:hAnsi="宋体" w:cs="宋体" w:eastAsia="宋体" w:hint="default"/>
          <w:spacing w:val="-55"/>
        </w:rPr>
        <w:t> </w:t>
      </w:r>
      <w:r>
        <w:rPr/>
        <w:t>号的通知》（财会〔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5"/>
        </w:rPr>
        <w:t> </w:t>
      </w:r>
      <w:r>
        <w:rPr/>
        <w:t>号）和《企业会计准则第</w:t>
      </w:r>
      <w:r>
        <w:rPr>
          <w:spacing w:val="-55"/>
        </w:rPr>
        <w:t> </w:t>
      </w:r>
      <w:r>
        <w:rPr>
          <w:rFonts w:ascii="宋体" w:hAnsi="宋体" w:cs="宋体" w:eastAsia="宋体" w:hint="default"/>
        </w:rPr>
        <w:t>33</w:t>
      </w:r>
      <w:r>
        <w:rPr>
          <w:rFonts w:ascii="宋体" w:hAnsi="宋体" w:cs="宋体" w:eastAsia="宋体" w:hint="default"/>
          <w:spacing w:val="-55"/>
        </w:rPr>
        <w:t> </w:t>
      </w:r>
      <w:r>
        <w:rPr/>
        <w:t>号——合并财务报表》第五十一</w:t>
      </w:r>
      <w:r>
        <w:rPr>
          <w:w w:val="100"/>
        </w:rPr>
        <w:t> </w:t>
      </w:r>
      <w:r>
        <w:rPr>
          <w:spacing w:val="-2"/>
        </w:rPr>
        <w:t>条关于“一揽子交易”的判断标准（参见本本报告第十一、五、</w:t>
      </w:r>
      <w:r>
        <w:rPr>
          <w:rFonts w:ascii="宋体" w:hAnsi="宋体" w:cs="宋体" w:eastAsia="宋体" w:hint="default"/>
          <w:spacing w:val="-2"/>
        </w:rPr>
        <w:t>5</w:t>
      </w:r>
      <w:r>
        <w:rPr>
          <w:spacing w:val="-2"/>
        </w:rPr>
        <w:t>（</w:t>
      </w:r>
      <w:r>
        <w:rPr>
          <w:rFonts w:ascii="宋体" w:hAnsi="宋体" w:cs="宋体" w:eastAsia="宋体" w:hint="default"/>
          <w:spacing w:val="-2"/>
        </w:rPr>
        <w:t>2</w:t>
      </w:r>
      <w:r>
        <w:rPr>
          <w:spacing w:val="-2"/>
        </w:rPr>
        <w:t>）），判断该多次交易是否</w:t>
      </w:r>
      <w:r>
        <w:rPr>
          <w:spacing w:val="-24"/>
        </w:rPr>
        <w:t> </w:t>
      </w:r>
      <w:r>
        <w:rPr>
          <w:spacing w:val="-24"/>
        </w:rPr>
      </w:r>
      <w:r>
        <w:rPr>
          <w:spacing w:val="-7"/>
        </w:rPr>
        <w:t>属于“一揽子交易”。属于“一揽子交易”的，参考本部分前面各段描述及本本报告、第十一节、</w:t>
      </w:r>
      <w:r>
        <w:rPr>
          <w:spacing w:val="-13"/>
        </w:rPr>
        <w:t> </w:t>
      </w:r>
      <w:r>
        <w:rPr>
          <w:spacing w:val="-13"/>
        </w:rPr>
      </w:r>
      <w:r>
        <w:rPr/>
        <w:t>五 </w:t>
      </w:r>
      <w:r>
        <w:rPr>
          <w:rFonts w:ascii="宋体" w:hAnsi="宋体" w:cs="宋体" w:eastAsia="宋体" w:hint="default"/>
          <w:spacing w:val="-3"/>
        </w:rPr>
        <w:t>14</w:t>
      </w:r>
      <w:r>
        <w:rPr>
          <w:spacing w:val="-3"/>
        </w:rPr>
        <w:t>“长期股权投资”进行会计处理；不属于“一揽子交易”的，区分个别财务报表和合并财务</w:t>
      </w:r>
      <w:r>
        <w:rPr>
          <w:spacing w:val="-85"/>
        </w:rPr>
        <w:t> </w:t>
      </w:r>
      <w:r>
        <w:rPr>
          <w:spacing w:val="-85"/>
        </w:rPr>
      </w:r>
      <w:r>
        <w:rPr/>
        <w:t>报表进行相关会计处理：</w:t>
      </w:r>
    </w:p>
    <w:p>
      <w:pPr>
        <w:spacing w:after="0" w:line="350"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08" w:firstLine="419"/>
        <w:jc w:val="both"/>
      </w:pP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25"/>
        </w:rPr>
        <w:t> </w:t>
      </w:r>
      <w:r>
        <w:rPr>
          <w:spacing w:val="-25"/>
        </w:rPr>
      </w:r>
      <w:r>
        <w:rPr>
          <w:spacing w:val="-2"/>
        </w:rPr>
        <w:t>础进行会计处理（即，除了按照权益法核算的在被购买方重新计量设定受益计划净负债或净资产</w:t>
      </w:r>
      <w:r>
        <w:rPr>
          <w:spacing w:val="-26"/>
        </w:rPr>
        <w:t> </w:t>
      </w:r>
      <w:r>
        <w:rPr>
          <w:spacing w:val="-26"/>
        </w:rPr>
      </w:r>
      <w:r>
        <w:rPr/>
        <w:t>导致的变动中的相应份额以外，其余转入当期投资收益）。</w:t>
      </w:r>
    </w:p>
    <w:p>
      <w:pPr>
        <w:pStyle w:val="BodyText"/>
        <w:spacing w:line="348" w:lineRule="auto" w:before="29"/>
        <w:ind w:right="217" w:firstLine="419"/>
        <w:jc w:val="both"/>
      </w:pPr>
      <w:r>
        <w:rPr>
          <w:spacing w:val="-2"/>
        </w:rPr>
        <w:t>在合并财务报表中，对于购买日之前持有的被购买方的股权，按照该股权在购买日的公允价</w:t>
      </w:r>
      <w:r>
        <w:rPr>
          <w:w w:val="100"/>
        </w:rPr>
        <w:t> </w:t>
      </w: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r>
        <w:rPr>
          <w:spacing w:val="-25"/>
        </w:rPr>
        <w:t> </w:t>
      </w:r>
      <w:r>
        <w:rPr>
          <w:spacing w:val="-25"/>
        </w:rPr>
      </w: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p>
    <w:p>
      <w:pPr>
        <w:pStyle w:val="Heading3"/>
        <w:spacing w:line="258" w:lineRule="exact" w:before="0"/>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40" w:lineRule="auto" w:before="58"/>
        <w:ind w:right="0"/>
        <w:jc w:val="both"/>
      </w:pPr>
      <w:r>
        <w:rPr/>
        <w:t>√适用</w:t>
      </w:r>
      <w:r>
        <w:rPr>
          <w:spacing w:val="104"/>
        </w:rPr>
        <w:t> </w:t>
      </w:r>
      <w:r>
        <w:rPr/>
        <w:t>□不适用</w:t>
      </w:r>
    </w:p>
    <w:p>
      <w:pPr>
        <w:pStyle w:val="BodyText"/>
        <w:spacing w:line="350" w:lineRule="auto" w:before="104"/>
        <w:ind w:left="558" w:right="101"/>
        <w:jc w:val="left"/>
      </w:pPr>
      <w:r>
        <w:rPr/>
        <w:t>（</w:t>
      </w:r>
      <w:r>
        <w:rPr>
          <w:rFonts w:ascii="宋体" w:hAnsi="宋体" w:cs="宋体" w:eastAsia="宋体" w:hint="default"/>
        </w:rPr>
        <w:t>1</w:t>
      </w:r>
      <w:r>
        <w:rPr/>
        <w:t>）合并财务报表范围的确定原则</w:t>
      </w:r>
      <w:r>
        <w:rPr>
          <w:w w:val="100"/>
        </w:rPr>
        <w:t> </w:t>
      </w:r>
      <w:r>
        <w:rPr>
          <w:spacing w:val="-2"/>
        </w:rPr>
        <w:t>合并财务报表的合并范围以控制为基础予以确定。控制是指本公司拥有对被投资方的权力，</w:t>
      </w:r>
    </w:p>
    <w:p>
      <w:pPr>
        <w:pStyle w:val="BodyText"/>
        <w:spacing w:line="350" w:lineRule="auto" w:before="27"/>
        <w:ind w:right="217"/>
        <w:jc w:val="both"/>
      </w:pP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额。合并范围包括本公司及全部子公司。子公司，是指被本公司控制的主体。</w:t>
      </w:r>
    </w:p>
    <w:p>
      <w:pPr>
        <w:pStyle w:val="BodyText"/>
        <w:spacing w:line="348" w:lineRule="auto" w:before="29"/>
        <w:ind w:right="217" w:firstLine="419"/>
        <w:jc w:val="both"/>
      </w:pPr>
      <w:r>
        <w:rPr>
          <w:spacing w:val="-2"/>
        </w:rPr>
        <w:t>一旦相关事实和情况的变化导致上述控制定义涉及的相关要素发生了变化，本公司将进行重</w:t>
      </w:r>
      <w:r>
        <w:rPr>
          <w:w w:val="100"/>
        </w:rPr>
        <w:t> </w:t>
      </w:r>
      <w:r>
        <w:rPr/>
        <w:t>新评估。</w:t>
      </w:r>
    </w:p>
    <w:p>
      <w:pPr>
        <w:pStyle w:val="BodyText"/>
        <w:spacing w:line="350" w:lineRule="auto" w:before="31"/>
        <w:ind w:left="558" w:right="101"/>
        <w:jc w:val="left"/>
      </w:pPr>
      <w:r>
        <w:rPr/>
        <w:t>（</w:t>
      </w:r>
      <w:r>
        <w:rPr>
          <w:rFonts w:ascii="宋体" w:hAnsi="宋体" w:cs="宋体" w:eastAsia="宋体" w:hint="default"/>
        </w:rPr>
        <w:t>2</w:t>
      </w:r>
      <w:r>
        <w:rPr/>
        <w:t>）合并财务报表编制的方法</w:t>
      </w:r>
      <w:r>
        <w:rPr>
          <w:w w:val="100"/>
        </w:rPr>
        <w:t> </w:t>
      </w:r>
      <w:r>
        <w:rPr>
          <w:spacing w:val="-4"/>
          <w:w w:val="100"/>
        </w:rPr>
        <w:t>从取得子公司的净资产和生产经营决策的实际控制权之日起，本公司开始将其纳入合并范围；</w:t>
      </w:r>
    </w:p>
    <w:p>
      <w:pPr>
        <w:pStyle w:val="BodyText"/>
        <w:spacing w:line="350" w:lineRule="auto" w:before="27"/>
        <w:ind w:right="104"/>
        <w:jc w:val="both"/>
      </w:pPr>
      <w:r>
        <w:rPr/>
        <w:t>从丧失实际控制权之日起停止纳入合并范围。对于处置的子公司，处置日前的经营成果和现金流</w:t>
      </w:r>
      <w:r>
        <w:rPr>
          <w:w w:val="100"/>
        </w:rPr>
        <w:t> </w:t>
      </w:r>
      <w:r>
        <w:rPr/>
        <w:t>量已经适当地包括在合并利润表和合并现金流量表中；当期处置的子公司，不调整合并资产负债</w:t>
      </w:r>
      <w:r>
        <w:rPr>
          <w:w w:val="100"/>
        </w:rPr>
        <w:t> </w:t>
      </w:r>
      <w:r>
        <w:rPr/>
        <w:t>表的期初数。非同一控制下企业合并增加的子公司及吸收合并下的被合并方，其购买日后的经营</w:t>
      </w:r>
      <w:r>
        <w:rPr>
          <w:w w:val="100"/>
        </w:rPr>
        <w:t> </w:t>
      </w:r>
      <w:r>
        <w:rPr/>
        <w:t>成果及现金流量已经适当地包括在合并利润表和合并现金流量表中，且不调整合并财务报表的期</w:t>
      </w:r>
      <w:r>
        <w:rPr>
          <w:w w:val="100"/>
        </w:rPr>
        <w:t> </w:t>
      </w:r>
      <w:r>
        <w:rPr/>
        <w:t>初数和对比数。同一控制下企业合并增加的子公司，其自合并当期期初至合并日的经营成果和现</w:t>
      </w:r>
      <w:r>
        <w:rPr>
          <w:w w:val="100"/>
        </w:rPr>
        <w:t> </w:t>
      </w:r>
      <w:r>
        <w:rPr>
          <w:spacing w:val="-4"/>
          <w:w w:val="100"/>
        </w:rPr>
        <w:t>金流量已经适当地包括在合并利润表和合并现金流量表中，并且同时调整合并财务报表的对比数。</w:t>
      </w:r>
    </w:p>
    <w:p>
      <w:pPr>
        <w:pStyle w:val="BodyText"/>
        <w:spacing w:line="350" w:lineRule="auto" w:before="27"/>
        <w:ind w:right="217" w:firstLine="419"/>
        <w:jc w:val="both"/>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r>
        <w:rPr>
          <w:spacing w:val="-25"/>
        </w:rPr>
        <w:t> </w:t>
      </w:r>
      <w:r>
        <w:rPr>
          <w:spacing w:val="-25"/>
        </w:rPr>
      </w:r>
      <w:r>
        <w:rPr/>
        <w:t>公司，以购买日可辨认净资产公允价值为基础对其财务报表进行调整。</w:t>
      </w:r>
    </w:p>
    <w:p>
      <w:pPr>
        <w:pStyle w:val="BodyText"/>
        <w:spacing w:line="350" w:lineRule="auto" w:before="27"/>
        <w:ind w:left="558" w:right="101"/>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348" w:lineRule="auto" w:before="29"/>
        <w:ind w:right="217"/>
        <w:jc w:val="both"/>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司的亏损超过了少数股东在该子公司期初股东权益中所享有的份额，仍冲减少数股东权益。</w:t>
      </w:r>
    </w:p>
    <w:p>
      <w:pPr>
        <w:spacing w:after="0" w:line="348"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27" w:firstLine="419"/>
        <w:jc w:val="both"/>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r>
        <w:rPr>
          <w:spacing w:val="-25"/>
        </w:rPr>
        <w:t> </w:t>
      </w:r>
      <w:r>
        <w:rPr>
          <w:spacing w:val="-25"/>
        </w:rPr>
      </w:r>
      <w:r>
        <w:rPr>
          <w:spacing w:val="-2"/>
        </w:rPr>
        <w:t>设定受益计划净负债或净资产导致的变动以外，其余一并转为当期投资收益）。其后，对该部分</w:t>
      </w:r>
      <w:r>
        <w:rPr>
          <w:spacing w:val="-25"/>
        </w:rPr>
        <w:t> </w:t>
      </w:r>
      <w:r>
        <w:rPr>
          <w:spacing w:val="-25"/>
        </w:rPr>
      </w:r>
      <w:r>
        <w:rPr>
          <w:spacing w:val="-4"/>
        </w:rPr>
        <w:t>剩余股权按照《企业会计准则第</w:t>
      </w:r>
      <w:r>
        <w:rPr>
          <w:spacing w:val="-42"/>
        </w:rPr>
        <w:t> </w:t>
      </w:r>
      <w:r>
        <w:rPr>
          <w:rFonts w:ascii="宋体" w:hAnsi="宋体" w:cs="宋体" w:eastAsia="宋体" w:hint="default"/>
        </w:rPr>
        <w:t>2</w:t>
      </w:r>
      <w:r>
        <w:rPr>
          <w:rFonts w:ascii="宋体" w:hAnsi="宋体" w:cs="宋体" w:eastAsia="宋体" w:hint="default"/>
          <w:spacing w:val="-42"/>
        </w:rPr>
        <w:t> </w:t>
      </w:r>
      <w:r>
        <w:rPr>
          <w:spacing w:val="-5"/>
        </w:rPr>
        <w:t>号——长期股权投资》或《企业会计准则第</w:t>
      </w:r>
      <w:r>
        <w:rPr>
          <w:spacing w:val="-40"/>
        </w:rPr>
        <w:t> </w:t>
      </w:r>
      <w:r>
        <w:rPr>
          <w:rFonts w:ascii="宋体" w:hAnsi="宋体" w:cs="宋体" w:eastAsia="宋体" w:hint="default"/>
        </w:rPr>
        <w:t>22</w:t>
      </w:r>
      <w:r>
        <w:rPr>
          <w:rFonts w:ascii="宋体" w:hAnsi="宋体" w:cs="宋体" w:eastAsia="宋体" w:hint="default"/>
          <w:spacing w:val="-44"/>
        </w:rPr>
        <w:t> </w:t>
      </w:r>
      <w:r>
        <w:rPr/>
        <w:t>号——金融工具</w:t>
      </w:r>
      <w:r>
        <w:rPr>
          <w:spacing w:val="-100"/>
        </w:rPr>
        <w:t> </w:t>
      </w:r>
      <w:r>
        <w:rPr>
          <w:spacing w:val="-100"/>
        </w:rPr>
      </w:r>
      <w:r>
        <w:rPr>
          <w:spacing w:val="-2"/>
        </w:rPr>
        <w:t>确认和计量》等相关规定进行后续计量，详见本报告第十一节、五、</w:t>
      </w:r>
      <w:r>
        <w:rPr>
          <w:rFonts w:ascii="宋体" w:hAnsi="宋体" w:cs="宋体" w:eastAsia="宋体" w:hint="default"/>
          <w:spacing w:val="-2"/>
        </w:rPr>
        <w:t>14</w:t>
      </w:r>
      <w:r>
        <w:rPr>
          <w:spacing w:val="-2"/>
        </w:rPr>
        <w:t>“长期股权投资”或本报</w:t>
      </w:r>
      <w:r>
        <w:rPr>
          <w:spacing w:val="-23"/>
        </w:rPr>
        <w:t> </w:t>
      </w:r>
      <w:r>
        <w:rPr>
          <w:spacing w:val="-23"/>
        </w:rPr>
      </w:r>
      <w:r>
        <w:rPr/>
        <w:t>告第十一节、五、</w:t>
      </w:r>
      <w:r>
        <w:rPr>
          <w:rFonts w:ascii="宋体" w:hAnsi="宋体" w:cs="宋体" w:eastAsia="宋体" w:hint="default"/>
        </w:rPr>
        <w:t>10</w:t>
      </w:r>
      <w:r>
        <w:rPr/>
        <w:t>“金融工具”。</w:t>
      </w:r>
    </w:p>
    <w:p>
      <w:pPr>
        <w:pStyle w:val="BodyText"/>
        <w:spacing w:line="350" w:lineRule="auto" w:before="27"/>
        <w:ind w:right="130" w:firstLine="419"/>
        <w:jc w:val="both"/>
      </w:pPr>
      <w:r>
        <w:rPr>
          <w:spacing w:val="-2"/>
        </w:rPr>
        <w:t>本公司通过多次交易分步处置对子公司股权投资直至丧失控制权的，需区分处置对子公司股</w:t>
      </w:r>
      <w:r>
        <w:rPr>
          <w:w w:val="100"/>
        </w:rPr>
        <w:t> </w:t>
      </w:r>
      <w:r>
        <w:rPr>
          <w:spacing w:val="-2"/>
        </w:rPr>
        <w:t>权投资直至丧失控制权的各项交易是否属于一揽子交易。处置对子公司股权投资的各项交易的条</w:t>
      </w:r>
      <w:r>
        <w:rPr>
          <w:spacing w:val="-25"/>
        </w:rPr>
        <w:t> </w:t>
      </w:r>
      <w:r>
        <w:rPr>
          <w:spacing w:val="-25"/>
        </w:rPr>
      </w:r>
      <w:r>
        <w:rPr>
          <w:spacing w:val="-2"/>
        </w:rPr>
        <w:t>款、条件以及经济影响符合以下一种或多种情况，通常表明应将多次交易事项作为一揽子交易进</w:t>
      </w:r>
      <w:r>
        <w:rPr>
          <w:spacing w:val="-25"/>
        </w:rPr>
        <w:t> </w:t>
      </w:r>
      <w:r>
        <w:rPr>
          <w:spacing w:val="-25"/>
        </w:rPr>
      </w:r>
      <w:r>
        <w:rPr>
          <w:spacing w:val="-2"/>
        </w:rPr>
        <w:t>行会计处理：①这些交易是同时或者在考虑了彼此影响的情况下订立的；②这些交易整体才能达</w:t>
      </w:r>
      <w:r>
        <w:rPr>
          <w:spacing w:val="-25"/>
        </w:rPr>
        <w:t> </w:t>
      </w:r>
      <w:r>
        <w:rPr>
          <w:spacing w:val="-25"/>
        </w:rPr>
      </w:r>
      <w:r>
        <w:rPr>
          <w:spacing w:val="-2"/>
        </w:rPr>
        <w:t>成一项完整的商业结果；③一项交易的发生取决于其他至少一项交易的发生；④一项交易单独看</w:t>
      </w:r>
      <w:r>
        <w:rPr>
          <w:spacing w:val="-25"/>
        </w:rPr>
        <w:t> </w:t>
      </w:r>
      <w:r>
        <w:rPr>
          <w:spacing w:val="-25"/>
        </w:rPr>
      </w:r>
      <w:r>
        <w:rPr>
          <w:spacing w:val="-2"/>
        </w:rPr>
        <w:t>是不经济的，但是和其他交易一并考虑时是经济的。不属于一揽子交易的，对其中的每一项交易</w:t>
      </w:r>
      <w:r>
        <w:rPr>
          <w:spacing w:val="-25"/>
        </w:rPr>
        <w:t> </w:t>
      </w:r>
      <w:r>
        <w:rPr>
          <w:spacing w:val="-25"/>
        </w:rPr>
      </w:r>
      <w:r>
        <w:rPr>
          <w:spacing w:val="-2"/>
        </w:rPr>
        <w:t>视情况分别按照“不丧失控制权的情况下部分处置对子公司的长期股权投资”（详见本报告第十</w:t>
      </w:r>
      <w:r>
        <w:rPr>
          <w:spacing w:val="-25"/>
        </w:rPr>
        <w:t> </w:t>
      </w:r>
      <w:r>
        <w:rPr>
          <w:spacing w:val="-25"/>
        </w:rPr>
      </w:r>
      <w:r>
        <w:rPr>
          <w:spacing w:val="-9"/>
          <w:w w:val="100"/>
        </w:rPr>
        <w:t>一节、五、</w:t>
      </w:r>
      <w:r>
        <w:rPr>
          <w:rFonts w:ascii="宋体" w:hAnsi="宋体" w:cs="宋体" w:eastAsia="宋体" w:hint="default"/>
          <w:spacing w:val="-9"/>
          <w:w w:val="100"/>
        </w:rPr>
        <w:t>14</w:t>
      </w:r>
      <w:r>
        <w:rPr>
          <w:spacing w:val="-9"/>
          <w:w w:val="100"/>
        </w:rPr>
        <w:t>、（</w:t>
      </w:r>
      <w:r>
        <w:rPr>
          <w:rFonts w:ascii="宋体" w:hAnsi="宋体" w:cs="宋体" w:eastAsia="宋体" w:hint="default"/>
          <w:spacing w:val="-9"/>
          <w:w w:val="100"/>
        </w:rPr>
        <w:t>2</w:t>
      </w:r>
      <w:r>
        <w:rPr>
          <w:spacing w:val="-9"/>
          <w:w w:val="100"/>
        </w:rPr>
        <w:t>）④）和“因处置部分股权投资或其他原因丧失了对原有子公司的控制权”（详</w:t>
      </w:r>
      <w:r>
        <w:rPr>
          <w:spacing w:val="-66"/>
          <w:w w:val="100"/>
        </w:rPr>
        <w:t> </w:t>
      </w:r>
      <w:r>
        <w:rPr>
          <w:spacing w:val="-66"/>
          <w:w w:val="100"/>
        </w:rPr>
      </w:r>
      <w:r>
        <w:rPr>
          <w:spacing w:val="-2"/>
        </w:rPr>
        <w:t>见前段）适用的原则进行会计处理。处置对子公司股权投资直至丧失控制权的各项交易属于一揽</w:t>
      </w:r>
      <w:r>
        <w:rPr>
          <w:spacing w:val="-25"/>
        </w:rPr>
        <w:t> </w:t>
      </w:r>
      <w:r>
        <w:rPr>
          <w:spacing w:val="-25"/>
        </w:rPr>
      </w:r>
      <w:r>
        <w:rPr>
          <w:spacing w:val="-2"/>
        </w:rPr>
        <w:t>子交易的，将各项交易作为一项处置子公司并丧失控制权的交易进行会计处理；但是，在丧失控</w:t>
      </w:r>
      <w:r>
        <w:rPr>
          <w:spacing w:val="-25"/>
        </w:rPr>
        <w:t> </w:t>
      </w:r>
      <w:r>
        <w:rPr>
          <w:spacing w:val="-25"/>
        </w:rPr>
      </w:r>
      <w:r>
        <w:rPr>
          <w:spacing w:val="-2"/>
        </w:rPr>
        <w:t>制权之前每一次处置价款与处置投资对应的享有该子公司净资产份额的差额，在合并财务报表中</w:t>
      </w:r>
      <w:r>
        <w:rPr>
          <w:spacing w:val="-25"/>
        </w:rPr>
        <w:t> </w:t>
      </w:r>
      <w:r>
        <w:rPr>
          <w:spacing w:val="-25"/>
        </w:rPr>
      </w:r>
      <w:r>
        <w:rPr/>
        <w:t>确认为其他综合收益，在丧失控制权时一并转入丧失控制权当期的损益。</w:t>
      </w:r>
    </w:p>
    <w:p>
      <w:pPr>
        <w:pStyle w:val="Heading3"/>
        <w:spacing w:line="254" w:lineRule="exact" w:before="0"/>
        <w:ind w:left="138"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tabs>
          <w:tab w:pos="980" w:val="left" w:leader="none"/>
        </w:tabs>
        <w:spacing w:line="360" w:lineRule="auto" w:before="58"/>
        <w:ind w:left="558" w:right="137" w:hanging="420"/>
        <w:jc w:val="left"/>
      </w:pPr>
      <w:r>
        <w:rPr>
          <w:spacing w:val="-1"/>
        </w:rPr>
        <w:t>√适用</w:t>
        <w:tab/>
      </w:r>
      <w:r>
        <w:rPr>
          <w:spacing w:val="-2"/>
        </w:rPr>
        <w:t>□不适用</w:t>
      </w:r>
      <w:r>
        <w:rPr>
          <w:spacing w:val="-99"/>
        </w:rPr>
        <w:t> </w:t>
      </w:r>
      <w:r>
        <w:rPr>
          <w:spacing w:val="-99"/>
        </w:rPr>
      </w:r>
      <w:r>
        <w:rPr>
          <w:spacing w:val="-2"/>
        </w:rPr>
        <w:t>合营安排，是指一项由两个或两个以上的参与方共同控制的安排。本公司根据在合营安排中</w:t>
      </w:r>
    </w:p>
    <w:p>
      <w:pPr>
        <w:pStyle w:val="BodyText"/>
        <w:spacing w:line="384" w:lineRule="auto" w:before="61"/>
        <w:ind w:right="137"/>
        <w:jc w:val="both"/>
      </w:pPr>
      <w:r>
        <w:rPr>
          <w:spacing w:val="-2"/>
        </w:rPr>
        <w:t>享有的权利和承担的义务，将合营安排分为共同经营和合营企业。共同经营，是指本公司享有该</w:t>
      </w:r>
      <w:r>
        <w:rPr>
          <w:spacing w:val="-25"/>
        </w:rPr>
        <w:t> </w:t>
      </w:r>
      <w:r>
        <w:rPr>
          <w:spacing w:val="-25"/>
        </w:rPr>
      </w:r>
      <w:r>
        <w:rPr>
          <w:spacing w:val="-2"/>
        </w:rPr>
        <w:t>安排相关资产且承担该安排相关负债的合营安排。合营企业，是指本公司仅对该安排的净资产享</w:t>
      </w:r>
      <w:r>
        <w:rPr>
          <w:spacing w:val="-25"/>
        </w:rPr>
        <w:t> </w:t>
      </w:r>
      <w:r>
        <w:rPr>
          <w:spacing w:val="-25"/>
        </w:rPr>
      </w:r>
      <w:r>
        <w:rPr/>
        <w:t>有权利的合营安排。</w:t>
      </w:r>
    </w:p>
    <w:p>
      <w:pPr>
        <w:pStyle w:val="BodyText"/>
        <w:spacing w:line="384" w:lineRule="auto" w:before="40"/>
        <w:ind w:right="127" w:firstLine="419"/>
        <w:jc w:val="both"/>
      </w:pPr>
      <w:r>
        <w:rPr>
          <w:spacing w:val="-4"/>
        </w:rPr>
        <w:t>本公司对合营企业的投资采用权益法核算，按照本报告第十一节、五、</w:t>
      </w:r>
      <w:r>
        <w:rPr>
          <w:rFonts w:ascii="宋体" w:hAnsi="宋体" w:cs="宋体" w:eastAsia="宋体" w:hint="default"/>
          <w:spacing w:val="-4"/>
        </w:rPr>
        <w:t>14</w:t>
      </w:r>
      <w:r>
        <w:rPr>
          <w:spacing w:val="-4"/>
        </w:rPr>
        <w:t>（</w:t>
      </w:r>
      <w:r>
        <w:rPr>
          <w:rFonts w:ascii="宋体" w:hAnsi="宋体" w:cs="宋体" w:eastAsia="宋体" w:hint="default"/>
          <w:spacing w:val="-4"/>
        </w:rPr>
        <w:t>2</w:t>
      </w:r>
      <w:r>
        <w:rPr>
          <w:spacing w:val="-4"/>
        </w:rPr>
        <w:t>）②“权益法核</w:t>
      </w:r>
      <w:r>
        <w:rPr>
          <w:w w:val="100"/>
        </w:rPr>
        <w:t> </w:t>
      </w:r>
      <w:r>
        <w:rPr/>
        <w:t>算的长期股权投资”中所述的会计政策处理。</w:t>
      </w:r>
    </w:p>
    <w:p>
      <w:pPr>
        <w:pStyle w:val="BodyText"/>
        <w:spacing w:line="384" w:lineRule="auto" w:before="38"/>
        <w:ind w:right="128" w:firstLine="419"/>
        <w:jc w:val="both"/>
      </w:pPr>
      <w:r>
        <w:rPr>
          <w:spacing w:val="-2"/>
        </w:rPr>
        <w:t>本公司作为合营方对共同经营，确认本公司单独持有的资产、单独所承担的负债，以及按本</w:t>
      </w:r>
      <w:r>
        <w:rPr>
          <w:w w:val="100"/>
        </w:rPr>
        <w:t> </w:t>
      </w:r>
      <w:r>
        <w:rPr>
          <w:spacing w:val="-2"/>
        </w:rPr>
        <w:t>公司份额确认共同持有的资产和共同承担的负债；确认出售本公司享有的共同经营产出份额所产</w:t>
      </w:r>
      <w:r>
        <w:rPr>
          <w:spacing w:val="-25"/>
        </w:rPr>
        <w:t> </w:t>
      </w:r>
      <w:r>
        <w:rPr>
          <w:spacing w:val="-25"/>
        </w:rPr>
      </w:r>
      <w:r>
        <w:rPr>
          <w:spacing w:val="-6"/>
          <w:w w:val="100"/>
        </w:rPr>
        <w:t>生的收入；按本公司份额确认共同经营因出售产出所产生的收入；确认本公司单独所发生的费用，</w:t>
      </w:r>
      <w:r>
        <w:rPr>
          <w:w w:val="100"/>
        </w:rPr>
        <w:t> </w:t>
      </w:r>
      <w:r>
        <w:rPr/>
        <w:t>以及按本公司份额确认共同经营发生的费用。</w:t>
      </w:r>
    </w:p>
    <w:p>
      <w:pPr>
        <w:spacing w:after="0" w:line="384"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84" w:lineRule="auto" w:before="36"/>
        <w:ind w:right="137" w:firstLine="419"/>
        <w:jc w:val="both"/>
      </w:pPr>
      <w:r>
        <w:rPr>
          <w:spacing w:val="-2"/>
        </w:rPr>
        <w:t>当本公司作为合营方向共同经营投出或出售资产（该资产不构成业务，下同）、或者自共同</w:t>
      </w:r>
      <w:r>
        <w:rPr>
          <w:w w:val="100"/>
        </w:rPr>
        <w:t> </w:t>
      </w:r>
      <w:r>
        <w:rPr>
          <w:spacing w:val="-2"/>
        </w:rPr>
        <w:t>经营购买资产时，在该等资产出售给第三方之前，本公司仅确认因该交易产生的损益中归属于共</w:t>
      </w:r>
      <w:r>
        <w:rPr>
          <w:spacing w:val="-25"/>
        </w:rPr>
        <w:t> </w:t>
      </w:r>
      <w:r>
        <w:rPr>
          <w:spacing w:val="-25"/>
        </w:rPr>
      </w:r>
      <w:r>
        <w:rPr/>
        <w:t>同经营其他参与方的部分。该等资产发生符合《企业会计准则第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w:t>
      </w:r>
      <w:r>
        <w:rPr>
          <w:w w:val="100"/>
        </w:rPr>
        <w:t> </w:t>
      </w:r>
      <w:r>
        <w:rPr>
          <w:spacing w:val="-2"/>
        </w:rPr>
        <w:t>产减值损失的，对于由本公司向共同经营投出或出售资产的情况，本公司全额确认该损失；对于</w:t>
      </w:r>
      <w:r>
        <w:rPr>
          <w:spacing w:val="-25"/>
        </w:rPr>
        <w:t> </w:t>
      </w:r>
      <w:r>
        <w:rPr>
          <w:spacing w:val="-25"/>
        </w:rPr>
      </w:r>
      <w:r>
        <w:rPr/>
        <w:t>本公司自共同经营购买资产的情况，本公司按承担的份额确认该损失。</w:t>
      </w:r>
    </w:p>
    <w:p>
      <w:pPr>
        <w:pStyle w:val="Heading3"/>
        <w:spacing w:line="232" w:lineRule="exact" w:before="0"/>
        <w:ind w:left="138" w:right="0"/>
        <w:jc w:val="both"/>
        <w:rPr>
          <w:b w:val="0"/>
          <w:bCs w:val="0"/>
        </w:rPr>
      </w:pPr>
      <w:r>
        <w:rPr>
          <w:rFonts w:ascii="宋体" w:hAnsi="宋体" w:cs="宋体" w:eastAsia="宋体" w:hint="default"/>
        </w:rPr>
        <w:t>8.</w:t>
      </w:r>
      <w:r>
        <w:rPr>
          <w:rFonts w:ascii="宋体" w:hAnsi="宋体" w:cs="宋体" w:eastAsia="宋体" w:hint="default"/>
          <w:spacing w:val="105"/>
        </w:rPr>
        <w:t> </w:t>
      </w:r>
      <w:r>
        <w:rPr/>
        <w:t>现金及现金等价物的确定标准</w:t>
      </w:r>
      <w:r>
        <w:rPr>
          <w:b w:val="0"/>
          <w:bCs w:val="0"/>
        </w:rPr>
      </w:r>
    </w:p>
    <w:p>
      <w:pPr>
        <w:spacing w:line="240" w:lineRule="auto" w:before="4"/>
        <w:rPr>
          <w:rFonts w:ascii="宋体" w:hAnsi="宋体" w:cs="宋体" w:eastAsia="宋体" w:hint="default"/>
          <w:b/>
          <w:bCs/>
          <w:sz w:val="15"/>
          <w:szCs w:val="15"/>
        </w:rPr>
      </w:pPr>
    </w:p>
    <w:p>
      <w:pPr>
        <w:pStyle w:val="BodyText"/>
        <w:spacing w:line="240" w:lineRule="auto"/>
        <w:ind w:left="558" w:right="0"/>
        <w:jc w:val="left"/>
      </w:pPr>
      <w:r>
        <w:rPr/>
        <w:t>本公司现金及现金等价物包括库存现金、可以随时用于支付的存款以及本公司持有的期限短</w:t>
      </w:r>
    </w:p>
    <w:p>
      <w:pPr>
        <w:pStyle w:val="BodyText"/>
        <w:spacing w:line="384" w:lineRule="auto" w:before="165"/>
        <w:ind w:right="137"/>
        <w:jc w:val="both"/>
      </w:pPr>
      <w:r>
        <w:rPr>
          <w:spacing w:val="-2"/>
        </w:rPr>
        <w:t>（一般为从购买日起三个月内到期）、流动性强、易于转换为已知金额现金、价值变动风险很小</w:t>
      </w:r>
      <w:r>
        <w:rPr>
          <w:spacing w:val="-25"/>
        </w:rPr>
        <w:t> </w:t>
      </w:r>
      <w:r>
        <w:rPr>
          <w:spacing w:val="-25"/>
        </w:rPr>
      </w:r>
      <w:r>
        <w:rPr/>
        <w:t>的投资。</w:t>
      </w:r>
    </w:p>
    <w:p>
      <w:pPr>
        <w:pStyle w:val="Heading3"/>
        <w:spacing w:line="234" w:lineRule="exact" w:before="0"/>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40" w:lineRule="auto" w:before="56"/>
        <w:ind w:right="0"/>
        <w:jc w:val="both"/>
      </w:pPr>
      <w:r>
        <w:rPr/>
        <w:t>√适用</w:t>
      </w:r>
      <w:r>
        <w:rPr>
          <w:spacing w:val="104"/>
        </w:rPr>
        <w:t> </w:t>
      </w:r>
      <w:r>
        <w:rPr/>
        <w:t>□不适用</w:t>
      </w:r>
    </w:p>
    <w:p>
      <w:pPr>
        <w:pStyle w:val="BodyText"/>
        <w:spacing w:line="384" w:lineRule="auto" w:before="140"/>
        <w:ind w:left="558" w:right="125"/>
        <w:jc w:val="left"/>
      </w:pPr>
      <w:r>
        <w:rPr/>
        <w:t>（</w:t>
      </w:r>
      <w:r>
        <w:rPr>
          <w:rFonts w:ascii="宋体" w:hAnsi="宋体" w:cs="宋体" w:eastAsia="宋体" w:hint="default"/>
        </w:rPr>
        <w:t>1</w:t>
      </w:r>
      <w:r>
        <w:rPr/>
        <w:t>）外币交易的折算方法</w:t>
      </w:r>
      <w:r>
        <w:rPr>
          <w:w w:val="100"/>
        </w:rPr>
        <w:t> </w:t>
      </w:r>
      <w:r>
        <w:rPr>
          <w:spacing w:val="-2"/>
        </w:rPr>
        <w:t>本公司发生的外币交易在初始确认时，按交易日的即期汇率（通常指中国人民银行公布的当</w:t>
      </w:r>
    </w:p>
    <w:p>
      <w:pPr>
        <w:pStyle w:val="BodyText"/>
        <w:spacing w:line="386" w:lineRule="auto" w:before="38"/>
        <w:ind w:right="137"/>
        <w:jc w:val="both"/>
      </w:pPr>
      <w:r>
        <w:rPr>
          <w:spacing w:val="-2"/>
        </w:rPr>
        <w:t>日外汇牌价的中间价，下同）折算为记账本位币金额，但公司发生的外币兑换业务或涉及外币兑</w:t>
      </w:r>
      <w:r>
        <w:rPr>
          <w:spacing w:val="-25"/>
        </w:rPr>
        <w:t> </w:t>
      </w:r>
      <w:r>
        <w:rPr>
          <w:spacing w:val="-25"/>
        </w:rPr>
      </w:r>
      <w:r>
        <w:rPr/>
        <w:t>换的交易事项，按照实际采用的汇率折算为记账本位币金额。</w:t>
      </w:r>
    </w:p>
    <w:p>
      <w:pPr>
        <w:pStyle w:val="BodyText"/>
        <w:spacing w:line="384" w:lineRule="auto" w:before="36"/>
        <w:ind w:left="558" w:right="125"/>
        <w:jc w:val="left"/>
      </w:pPr>
      <w:r>
        <w:rPr/>
        <w:t>（</w:t>
      </w:r>
      <w:r>
        <w:rPr>
          <w:rFonts w:ascii="宋体" w:hAnsi="宋体" w:cs="宋体" w:eastAsia="宋体" w:hint="default"/>
        </w:rPr>
        <w:t>2</w:t>
      </w:r>
      <w:r>
        <w:rPr/>
        <w:t>）对于外币货币性项目和外币非货币性项目的折算方法</w:t>
      </w:r>
      <w:r>
        <w:rPr>
          <w:w w:val="100"/>
        </w:rPr>
        <w:t> </w:t>
      </w:r>
      <w:r>
        <w:rPr>
          <w:spacing w:val="-7"/>
          <w:w w:val="100"/>
        </w:rPr>
        <w:t>资产负债表日，对于外币货币性项目采用资产负债表日即期汇率折算，由此产生的汇兑差额，</w:t>
      </w:r>
    </w:p>
    <w:p>
      <w:pPr>
        <w:pStyle w:val="BodyText"/>
        <w:spacing w:line="384" w:lineRule="auto" w:before="40"/>
        <w:ind w:right="137"/>
        <w:jc w:val="both"/>
      </w:pPr>
      <w:r>
        <w:rPr>
          <w:spacing w:val="-2"/>
        </w:rPr>
        <w:t>除：①属于与购建符合资本化条件的资产相关的外币专门借款产生的汇兑差额按照借款费用资本</w:t>
      </w:r>
      <w:r>
        <w:rPr>
          <w:spacing w:val="-25"/>
        </w:rPr>
        <w:t> </w:t>
      </w:r>
      <w:r>
        <w:rPr>
          <w:spacing w:val="-25"/>
        </w:rPr>
      </w:r>
      <w:r>
        <w:rPr>
          <w:spacing w:val="-2"/>
        </w:rPr>
        <w:t>化的原则处理；②可供出售的外币货币性项目除摊余成本之外的其他账面余额变动产生的汇兑差</w:t>
      </w:r>
      <w:r>
        <w:rPr>
          <w:spacing w:val="-25"/>
        </w:rPr>
        <w:t> </w:t>
      </w:r>
      <w:r>
        <w:rPr>
          <w:spacing w:val="-25"/>
        </w:rPr>
      </w:r>
      <w:r>
        <w:rPr/>
        <w:t>额计入其他综合收益之外，均计入当期损益。</w:t>
      </w:r>
    </w:p>
    <w:p>
      <w:pPr>
        <w:pStyle w:val="BodyText"/>
        <w:spacing w:line="384" w:lineRule="auto" w:before="40"/>
        <w:ind w:right="137" w:firstLine="419"/>
        <w:jc w:val="both"/>
      </w:pPr>
      <w:r>
        <w:rPr>
          <w:spacing w:val="-2"/>
        </w:rPr>
        <w:t>编制合并财务报表涉及境外经营的，如有实质上构成对境外经营净投资的外币货币性项目，</w:t>
      </w:r>
      <w:r>
        <w:rPr>
          <w:w w:val="100"/>
        </w:rPr>
        <w:t> </w:t>
      </w:r>
      <w:r>
        <w:rPr/>
        <w:t>因汇率变动而产生的汇兑差额，计入其他综合收益；处置境外经营时，转入处置当期损益。</w:t>
      </w:r>
    </w:p>
    <w:p>
      <w:pPr>
        <w:pStyle w:val="BodyText"/>
        <w:spacing w:line="384" w:lineRule="auto" w:before="38"/>
        <w:ind w:right="137" w:firstLine="419"/>
        <w:jc w:val="both"/>
      </w:pPr>
      <w:r>
        <w:rPr>
          <w:spacing w:val="-2"/>
        </w:rPr>
        <w:t>以历史成本计量的外币非货币性项目，仍采用交易发生日的即期汇率折算的记账本位币金额</w:t>
      </w:r>
      <w:r>
        <w:rPr>
          <w:w w:val="100"/>
        </w:rPr>
        <w:t> </w:t>
      </w:r>
      <w:r>
        <w:rPr>
          <w:spacing w:val="-2"/>
        </w:rPr>
        <w:t>计量。以公允价值计量的外币非货币性项目，采用公允价值确定日的即期汇率折算，折算后的记</w:t>
      </w:r>
      <w:r>
        <w:rPr>
          <w:spacing w:val="-25"/>
        </w:rPr>
        <w:t> </w:t>
      </w:r>
      <w:r>
        <w:rPr>
          <w:spacing w:val="-25"/>
        </w:rPr>
      </w:r>
      <w:r>
        <w:rPr>
          <w:spacing w:val="-2"/>
        </w:rPr>
        <w:t>账本位币金额与原记账本位币金额的差额，作为公允价值变动（含汇率变动）处理，计入当期损</w:t>
      </w:r>
      <w:r>
        <w:rPr>
          <w:spacing w:val="-25"/>
        </w:rPr>
        <w:t> </w:t>
      </w:r>
      <w:r>
        <w:rPr>
          <w:spacing w:val="-25"/>
        </w:rPr>
      </w:r>
      <w:r>
        <w:rPr/>
        <w:t>益或确认为其他综合收益。</w:t>
      </w:r>
    </w:p>
    <w:p>
      <w:pPr>
        <w:pStyle w:val="BodyText"/>
        <w:spacing w:line="384" w:lineRule="auto" w:before="40"/>
        <w:ind w:left="558" w:right="125"/>
        <w:jc w:val="left"/>
      </w:pPr>
      <w:r>
        <w:rPr/>
        <w:t>（</w:t>
      </w:r>
      <w:r>
        <w:rPr>
          <w:rFonts w:ascii="宋体" w:hAnsi="宋体" w:cs="宋体" w:eastAsia="宋体" w:hint="default"/>
        </w:rPr>
        <w:t>3</w:t>
      </w:r>
      <w:r>
        <w:rPr/>
        <w:t>）外币财务报表的折算方法</w:t>
      </w:r>
      <w:r>
        <w:rPr>
          <w:w w:val="100"/>
        </w:rPr>
        <w:t> </w:t>
      </w:r>
      <w:r>
        <w:rPr>
          <w:spacing w:val="-2"/>
        </w:rPr>
        <w:t>编制合并财务报表涉及境外经营的，如有实质上构成对境外经营净投资的外币货币性项目，</w:t>
      </w:r>
    </w:p>
    <w:p>
      <w:pPr>
        <w:pStyle w:val="BodyText"/>
        <w:spacing w:line="386" w:lineRule="auto" w:before="38"/>
        <w:ind w:right="137"/>
        <w:jc w:val="both"/>
      </w:pPr>
      <w:r>
        <w:rPr>
          <w:spacing w:val="-2"/>
        </w:rPr>
        <w:t>因汇率变动而产生的汇兑差额，作为“外币报表折算差额”确认为其他综合收益；处置境外经营</w:t>
      </w:r>
      <w:r>
        <w:rPr>
          <w:spacing w:val="-25"/>
        </w:rPr>
        <w:t> </w:t>
      </w:r>
      <w:r>
        <w:rPr>
          <w:spacing w:val="-25"/>
        </w:rPr>
      </w:r>
      <w:r>
        <w:rPr/>
        <w:t>时，计入处置当期损益。</w:t>
      </w:r>
    </w:p>
    <w:p>
      <w:pPr>
        <w:pStyle w:val="BodyText"/>
        <w:spacing w:line="384" w:lineRule="auto" w:before="36"/>
        <w:ind w:right="137" w:firstLine="419"/>
        <w:jc w:val="both"/>
      </w:pPr>
      <w:r>
        <w:rPr>
          <w:spacing w:val="-2"/>
        </w:rPr>
        <w:t>境外经营的外币财务报表按以下方法折算为人民币报表：资产负债表中的资产和负债项目，</w:t>
      </w:r>
      <w:r>
        <w:rPr>
          <w:w w:val="100"/>
        </w:rPr>
        <w:t> </w:t>
      </w:r>
      <w:r>
        <w:rPr>
          <w:spacing w:val="-2"/>
        </w:rPr>
        <w:t>采用资产负债表日的即期汇率折算；股东权益类项目除“未分配利润”项目外，其他项目采用发</w:t>
      </w:r>
    </w:p>
    <w:p>
      <w:pPr>
        <w:spacing w:after="0" w:line="384"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84" w:lineRule="auto" w:before="36"/>
        <w:ind w:right="101"/>
        <w:jc w:val="left"/>
      </w:pPr>
      <w:r>
        <w:rPr/>
        <w:t>生时的即期汇率折算。利润表中的收入和费用项目，采用交易发生日的即期汇率折算。年初未分</w:t>
      </w:r>
      <w:r>
        <w:rPr>
          <w:w w:val="100"/>
        </w:rPr>
        <w:t> </w:t>
      </w:r>
      <w:r>
        <w:rPr>
          <w:spacing w:val="-4"/>
          <w:w w:val="100"/>
        </w:rPr>
        <w:t>配利润为上一年折算后的年末未分配利润；年末未分配利润按折算后的利润分配各项目计算列示；</w:t>
      </w:r>
      <w:r>
        <w:rPr>
          <w:spacing w:val="-85"/>
          <w:w w:val="100"/>
        </w:rPr>
        <w:t> </w:t>
      </w:r>
      <w:r>
        <w:rPr>
          <w:spacing w:val="-85"/>
          <w:w w:val="100"/>
        </w:rPr>
      </w:r>
      <w:r>
        <w:rPr/>
        <w:t>折算后资产类项目与负债类项目和股东权益类项目合计数的差额，作为外币报表折算差额，确认</w:t>
      </w:r>
      <w:r>
        <w:rPr>
          <w:w w:val="100"/>
        </w:rPr>
        <w:t> </w:t>
      </w:r>
      <w:r>
        <w:rPr/>
        <w:t>为其他综合收益。处置境外经营并丧失控制权时，将资产负债表中股东权益项目下列示的、与该</w:t>
      </w:r>
      <w:r>
        <w:rPr>
          <w:w w:val="100"/>
        </w:rPr>
        <w:t> </w:t>
      </w:r>
      <w:r>
        <w:rPr/>
        <w:t>境外经营相关的外币报表折算差额，全部或按处置该境外经营的比例转入处置当期损益。</w:t>
      </w:r>
    </w:p>
    <w:p>
      <w:pPr>
        <w:pStyle w:val="BodyText"/>
        <w:spacing w:line="384" w:lineRule="auto" w:before="38"/>
        <w:ind w:right="217" w:firstLine="419"/>
        <w:jc w:val="both"/>
      </w:pPr>
      <w:r>
        <w:rPr>
          <w:spacing w:val="-2"/>
        </w:rPr>
        <w:t>外币现金流量以及境外子公司的现金流量，采用现金流量发生日的即期汇率折算。汇率变动</w:t>
      </w:r>
      <w:r>
        <w:rPr>
          <w:w w:val="100"/>
        </w:rPr>
        <w:t> </w:t>
      </w:r>
      <w:r>
        <w:rPr/>
        <w:t>对现金的影响额作为调节项目，在现金流量表中单独列报。</w:t>
      </w:r>
    </w:p>
    <w:p>
      <w:pPr>
        <w:pStyle w:val="BodyText"/>
        <w:spacing w:line="384" w:lineRule="auto" w:before="41"/>
        <w:ind w:left="558" w:right="101"/>
        <w:jc w:val="left"/>
      </w:pPr>
      <w:r>
        <w:rPr/>
        <w:t>年初数和上年实际数按照上年财务报表折算后的数额列示。</w:t>
      </w:r>
      <w:r>
        <w:rPr>
          <w:w w:val="100"/>
        </w:rPr>
        <w:t> </w:t>
      </w:r>
      <w:r>
        <w:rPr>
          <w:spacing w:val="-2"/>
        </w:rPr>
        <w:t>在处置本公司在境外经营的全部所有者权益或因处置部分股权投资或其他原因丧失了对境外</w:t>
      </w:r>
    </w:p>
    <w:p>
      <w:pPr>
        <w:pStyle w:val="BodyText"/>
        <w:spacing w:line="386" w:lineRule="auto" w:before="38"/>
        <w:ind w:right="101"/>
        <w:jc w:val="left"/>
      </w:pPr>
      <w:r>
        <w:rPr>
          <w:spacing w:val="-2"/>
        </w:rPr>
        <w:t>经营控制权时，将资产负债表中股东权益项目下列示的、与该境外经营相关的归属于母公司所有</w:t>
      </w:r>
      <w:r>
        <w:rPr>
          <w:spacing w:val="-25"/>
        </w:rPr>
        <w:t> </w:t>
      </w:r>
      <w:r>
        <w:rPr>
          <w:spacing w:val="-25"/>
        </w:rPr>
      </w:r>
      <w:r>
        <w:rPr/>
        <w:t>者权益的外币报表折算差额，全部转入处置当期损益。</w:t>
      </w:r>
    </w:p>
    <w:p>
      <w:pPr>
        <w:pStyle w:val="BodyText"/>
        <w:spacing w:line="384" w:lineRule="auto" w:before="36"/>
        <w:ind w:right="217" w:firstLine="419"/>
        <w:jc w:val="both"/>
      </w:pPr>
      <w:r>
        <w:rPr>
          <w:spacing w:val="-2"/>
        </w:rPr>
        <w:t>在处置部分股权投资或其他原因导致持有境外经营权益比例降低但不丧失对境外经营控制权</w:t>
      </w:r>
      <w:r>
        <w:rPr>
          <w:w w:val="100"/>
        </w:rPr>
        <w:t> </w:t>
      </w:r>
      <w:r>
        <w:rPr>
          <w:spacing w:val="-2"/>
        </w:rPr>
        <w:t>时，与该境外经营处置部分相关的外币报表折算差额将归属于少数股东权益，不转入当期损益。</w:t>
      </w:r>
      <w:r>
        <w:rPr>
          <w:spacing w:val="-26"/>
        </w:rPr>
        <w:t> </w:t>
      </w:r>
      <w:r>
        <w:rPr>
          <w:spacing w:val="-26"/>
        </w:rPr>
      </w:r>
      <w:r>
        <w:rPr>
          <w:spacing w:val="-2"/>
        </w:rPr>
        <w:t>在处置境外经营为联营企业或合营企业的部分股权时，与该境外经营相关的外币报表折算差额，</w:t>
      </w:r>
      <w:r>
        <w:rPr>
          <w:spacing w:val="-25"/>
        </w:rPr>
        <w:t> </w:t>
      </w:r>
      <w:r>
        <w:rPr>
          <w:spacing w:val="-25"/>
        </w:rPr>
      </w:r>
      <w:r>
        <w:rPr/>
        <w:t>按处置该境外经营的比例转入处置当期损益。</w:t>
      </w:r>
    </w:p>
    <w:p>
      <w:pPr>
        <w:pStyle w:val="Heading3"/>
        <w:spacing w:line="232" w:lineRule="exact" w:before="0"/>
        <w:ind w:left="138" w:right="101"/>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331" w:lineRule="auto" w:before="58"/>
        <w:ind w:left="558" w:right="217" w:hanging="420"/>
        <w:jc w:val="left"/>
      </w:pPr>
      <w:r>
        <w:rPr>
          <w:spacing w:val="-1"/>
        </w:rPr>
        <w:t>√适用</w:t>
        <w:tab/>
      </w:r>
      <w:r>
        <w:rPr>
          <w:spacing w:val="-2"/>
        </w:rPr>
        <w:t>□不适用</w:t>
      </w:r>
      <w:r>
        <w:rPr>
          <w:spacing w:val="-99"/>
        </w:rPr>
        <w:t> </w:t>
      </w:r>
      <w:r>
        <w:rPr>
          <w:spacing w:val="-99"/>
        </w:rPr>
      </w:r>
      <w:r>
        <w:rPr>
          <w:spacing w:val="-2"/>
        </w:rPr>
        <w:t>在本公司成为金融工具合同的一方时确认一项金融资产或金融负债。金融资产和金融负债在</w:t>
      </w:r>
    </w:p>
    <w:p>
      <w:pPr>
        <w:pStyle w:val="BodyText"/>
        <w:spacing w:line="348" w:lineRule="auto" w:before="46"/>
        <w:ind w:right="101"/>
        <w:jc w:val="left"/>
      </w:pPr>
      <w:r>
        <w:rPr>
          <w:spacing w:val="-4"/>
          <w:w w:val="100"/>
        </w:rPr>
        <w:t>初始确认时以公允价值计量。对于以公允价值计量且其变动计入当期损益的金融资产和金融负债，</w:t>
      </w:r>
      <w:r>
        <w:rPr>
          <w:spacing w:val="-88"/>
          <w:w w:val="100"/>
        </w:rPr>
        <w:t> </w:t>
      </w:r>
      <w:r>
        <w:rPr>
          <w:spacing w:val="-88"/>
          <w:w w:val="100"/>
        </w:rPr>
      </w:r>
      <w:r>
        <w:rPr/>
        <w:t>相关的交易费用直接计入损益；对于其他类别的金融资产和金融负债，相关交易费用计入初始确</w:t>
      </w:r>
      <w:r>
        <w:rPr>
          <w:w w:val="100"/>
        </w:rPr>
        <w:t> </w:t>
      </w:r>
      <w:r>
        <w:rPr/>
        <w:t>认金额。</w:t>
      </w:r>
    </w:p>
    <w:p>
      <w:pPr>
        <w:pStyle w:val="BodyText"/>
        <w:spacing w:line="350" w:lineRule="auto" w:before="31"/>
        <w:ind w:left="558" w:right="101"/>
        <w:jc w:val="left"/>
      </w:pPr>
      <w:r>
        <w:rPr/>
        <w:t>（</w:t>
      </w:r>
      <w:r>
        <w:rPr>
          <w:rFonts w:ascii="宋体" w:hAnsi="宋体" w:cs="宋体" w:eastAsia="宋体" w:hint="default"/>
        </w:rPr>
        <w:t>1</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350" w:lineRule="auto" w:before="27"/>
        <w:ind w:right="208"/>
        <w:jc w:val="both"/>
      </w:pPr>
      <w:r>
        <w:rPr>
          <w:spacing w:val="-2"/>
        </w:rPr>
        <w:t>项负债所需支付的价格。金融工具存在活跃市场的，本公司采用活跃市场中的报价确定其公允价</w:t>
      </w:r>
      <w:r>
        <w:rPr>
          <w:spacing w:val="-25"/>
        </w:rPr>
        <w:t> </w:t>
      </w:r>
      <w:r>
        <w:rPr>
          <w:spacing w:val="-25"/>
        </w:rPr>
      </w:r>
      <w:r>
        <w:rPr>
          <w:spacing w:val="-6"/>
        </w:rPr>
        <w:t>值。活跃市场中的报价是指易于定期从交易所、经纪商、行业协会、定价服务机构等获得的价格，</w:t>
      </w:r>
      <w:r>
        <w:rPr>
          <w:spacing w:val="-53"/>
        </w:rPr>
        <w:t> </w:t>
      </w:r>
      <w:r>
        <w:rPr>
          <w:spacing w:val="-53"/>
        </w:rPr>
      </w:r>
      <w:r>
        <w:rPr>
          <w:spacing w:val="-2"/>
        </w:rPr>
        <w:t>且代表了在公平交易中实际发生的市场交易的价格。金融工具不存在活跃市场的，本公司采用估</w:t>
      </w:r>
      <w:r>
        <w:rPr>
          <w:spacing w:val="-25"/>
        </w:rPr>
        <w:t> </w:t>
      </w:r>
      <w:r>
        <w:rPr>
          <w:spacing w:val="-25"/>
        </w:rPr>
      </w:r>
      <w:r>
        <w:rPr>
          <w:spacing w:val="-2"/>
        </w:rPr>
        <w:t>值技术确定其公允价值。估值技术包括参考熟悉情况并自愿交易的各方最近进行的市场交易中使</w:t>
      </w:r>
      <w:r>
        <w:rPr>
          <w:spacing w:val="-25"/>
        </w:rPr>
        <w:t> </w:t>
      </w:r>
      <w:r>
        <w:rPr>
          <w:spacing w:val="-25"/>
        </w:rPr>
      </w:r>
      <w:r>
        <w:rPr>
          <w:spacing w:val="-6"/>
          <w:w w:val="100"/>
        </w:rPr>
        <w:t>用的价格、参照实质上相同的其他金融工具当前的公允价值、现金流量折现法和期权定价模型等。</w:t>
      </w:r>
    </w:p>
    <w:p>
      <w:pPr>
        <w:pStyle w:val="BodyText"/>
        <w:spacing w:line="348" w:lineRule="auto" w:before="29"/>
        <w:ind w:left="558" w:right="101"/>
        <w:jc w:val="left"/>
      </w:pPr>
      <w:r>
        <w:rPr/>
        <w:t>（</w:t>
      </w:r>
      <w:r>
        <w:rPr>
          <w:rFonts w:ascii="宋体" w:hAnsi="宋体" w:cs="宋体" w:eastAsia="宋体"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350" w:lineRule="auto" w:before="31"/>
        <w:ind w:right="101"/>
        <w:jc w:val="left"/>
      </w:pPr>
      <w:r>
        <w:rPr>
          <w:spacing w:val="-2"/>
        </w:rPr>
        <w:t>为以公允价值计量且其变动计入当期损益的金融资产、持有至到期投资、贷款和应收款项以及可</w:t>
      </w:r>
      <w:r>
        <w:rPr>
          <w:spacing w:val="-25"/>
        </w:rPr>
        <w:t> </w:t>
      </w:r>
      <w:r>
        <w:rPr>
          <w:spacing w:val="-25"/>
        </w:rPr>
      </w:r>
      <w:r>
        <w:rPr/>
        <w:t>供出售金融资产。</w:t>
      </w:r>
    </w:p>
    <w:p>
      <w:pPr>
        <w:pStyle w:val="BodyText"/>
        <w:spacing w:line="240" w:lineRule="auto" w:before="27"/>
        <w:ind w:left="558" w:right="101"/>
        <w:jc w:val="left"/>
      </w:pPr>
      <w:r>
        <w:rPr/>
        <w:t>①以公允价值计量且其变动计入当期损益的金融资产</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558" w:right="125"/>
        <w:jc w:val="left"/>
      </w:pPr>
      <w:r>
        <w:rPr/>
        <w:t>包括交易性金融资产和指定为以公允价值计量且其变动计入当期损益的金融资产。</w:t>
      </w:r>
      <w:r>
        <w:rPr>
          <w:w w:val="100"/>
        </w:rPr>
        <w:t>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w:t>
      </w:r>
    </w:p>
    <w:p>
      <w:pPr>
        <w:pStyle w:val="BodyText"/>
        <w:spacing w:line="350" w:lineRule="auto" w:before="29"/>
        <w:ind w:right="137"/>
        <w:jc w:val="both"/>
      </w:pPr>
      <w:r>
        <w:rPr>
          <w:spacing w:val="-2"/>
        </w:rPr>
        <w:t>近期内出售；</w:t>
      </w:r>
      <w:r>
        <w:rPr>
          <w:rFonts w:ascii="宋体" w:hAnsi="宋体" w:cs="宋体" w:eastAsia="宋体" w:hint="default"/>
          <w:spacing w:val="-2"/>
        </w:rPr>
        <w:t>B.</w:t>
      </w:r>
      <w:r>
        <w:rPr>
          <w:spacing w:val="-2"/>
        </w:rPr>
        <w:t>属于进行集中管理的可辨认金融工具组合的一部分，且有客观证据表明本公司近</w:t>
      </w:r>
      <w:r>
        <w:rPr>
          <w:spacing w:val="-24"/>
        </w:rPr>
        <w:t> </w:t>
      </w:r>
      <w:r>
        <w:rPr>
          <w:spacing w:val="-24"/>
        </w:rPr>
      </w:r>
      <w:r>
        <w:rPr>
          <w:spacing w:val="-2"/>
        </w:rPr>
        <w:t>期采用短期获利方式对该组合进行管理；</w:t>
      </w:r>
      <w:r>
        <w:rPr>
          <w:rFonts w:ascii="宋体" w:hAnsi="宋体" w:cs="宋体" w:eastAsia="宋体" w:hint="default"/>
          <w:spacing w:val="-2"/>
        </w:rPr>
        <w:t>C.</w:t>
      </w:r>
      <w:r>
        <w:rPr>
          <w:spacing w:val="-2"/>
        </w:rPr>
        <w:t>属于衍生工具，但是，被指定且为有效套期工具的衍</w:t>
      </w:r>
      <w:r>
        <w:rPr>
          <w:spacing w:val="-23"/>
        </w:rPr>
        <w:t> </w:t>
      </w:r>
      <w:r>
        <w:rPr>
          <w:spacing w:val="-23"/>
        </w:rPr>
      </w:r>
      <w:r>
        <w:rPr>
          <w:spacing w:val="-2"/>
        </w:rPr>
        <w:t>生工具、属于财务担保合同的衍生工具、与在活跃市场中没有报价且其公允价值不能可靠计量的</w:t>
      </w:r>
      <w:r>
        <w:rPr>
          <w:spacing w:val="-25"/>
        </w:rPr>
        <w:t> </w:t>
      </w:r>
      <w:r>
        <w:rPr>
          <w:spacing w:val="-25"/>
        </w:rPr>
      </w:r>
      <w:r>
        <w:rPr/>
        <w:t>权益工具投资挂钩并须通过交付该权益工具结算的衍生工具除外。</w:t>
      </w:r>
    </w:p>
    <w:p>
      <w:pPr>
        <w:pStyle w:val="BodyText"/>
        <w:spacing w:line="350" w:lineRule="auto" w:before="27"/>
        <w:ind w:right="137" w:firstLine="419"/>
        <w:jc w:val="both"/>
      </w:pPr>
      <w:r>
        <w:rPr>
          <w:spacing w:val="-2"/>
        </w:rPr>
        <w:t>符合下述条件之一的金融资产，在初始确认时可指定为以公允价值计量且其变动计入当期损</w:t>
      </w:r>
      <w:r>
        <w:rPr>
          <w:w w:val="100"/>
        </w:rPr>
        <w:t> </w:t>
      </w:r>
      <w:r>
        <w:rPr>
          <w:spacing w:val="-2"/>
        </w:rPr>
        <w:t>益的金融资产：</w:t>
      </w:r>
      <w:r>
        <w:rPr>
          <w:rFonts w:ascii="宋体" w:hAnsi="宋体" w:cs="宋体" w:eastAsia="宋体" w:hint="default"/>
          <w:spacing w:val="-2"/>
        </w:rPr>
        <w:t>A.</w:t>
      </w:r>
      <w:r>
        <w:rPr>
          <w:spacing w:val="-2"/>
        </w:rPr>
        <w:t>该指定可以消除或明显减少由于该金融资产的计量基础不同所导致的相关利得</w:t>
      </w:r>
      <w:r>
        <w:rPr>
          <w:spacing w:val="-23"/>
        </w:rPr>
        <w:t> </w:t>
      </w:r>
      <w:r>
        <w:rPr>
          <w:spacing w:val="-23"/>
        </w:rPr>
      </w:r>
      <w:r>
        <w:rPr>
          <w:spacing w:val="-2"/>
        </w:rPr>
        <w:t>或损失在确认或计量方面不一致的情况；</w:t>
      </w:r>
      <w:r>
        <w:rPr>
          <w:rFonts w:ascii="宋体" w:hAnsi="宋体" w:cs="宋体" w:eastAsia="宋体" w:hint="default"/>
          <w:spacing w:val="-2"/>
        </w:rPr>
        <w:t>B.</w:t>
      </w:r>
      <w:r>
        <w:rPr>
          <w:spacing w:val="-2"/>
        </w:rPr>
        <w:t>本公司风险管理或投资策略的正式书面文件已载明，</w:t>
      </w:r>
      <w:r>
        <w:rPr>
          <w:spacing w:val="-23"/>
        </w:rPr>
        <w:t> </w:t>
      </w:r>
      <w:r>
        <w:rPr>
          <w:spacing w:val="-23"/>
        </w:rPr>
      </w:r>
      <w:r>
        <w:rPr>
          <w:spacing w:val="-2"/>
        </w:rPr>
        <w:t>对该金融资产所在的金融资产组合或金融资产和金融负债组合以公允价值为基础进行管理、评价</w:t>
      </w:r>
      <w:r>
        <w:rPr>
          <w:spacing w:val="-25"/>
        </w:rPr>
        <w:t> </w:t>
      </w:r>
      <w:r>
        <w:rPr>
          <w:spacing w:val="-25"/>
        </w:rPr>
      </w:r>
      <w:r>
        <w:rPr/>
        <w:t>并向关键管理人员报告。</w:t>
      </w:r>
    </w:p>
    <w:p>
      <w:pPr>
        <w:pStyle w:val="BodyText"/>
        <w:spacing w:line="348" w:lineRule="auto" w:before="29"/>
        <w:ind w:right="137" w:firstLine="419"/>
        <w:jc w:val="both"/>
      </w:pPr>
      <w:r>
        <w:rPr>
          <w:spacing w:val="-2"/>
        </w:rPr>
        <w:t>以公允价值计量且其变动计入当期损益的金融资产采用公允价值进行后续计量，公允价值变</w:t>
      </w:r>
      <w:r>
        <w:rPr>
          <w:w w:val="100"/>
        </w:rPr>
        <w:t> </w:t>
      </w:r>
      <w:r>
        <w:rPr/>
        <w:t>动形成的利得或损失以及与该等金融资产相关的股利和利息收入计入当期损益。</w:t>
      </w:r>
    </w:p>
    <w:p>
      <w:pPr>
        <w:pStyle w:val="BodyText"/>
        <w:spacing w:line="350" w:lineRule="auto" w:before="31"/>
        <w:ind w:left="558" w:right="125"/>
        <w:jc w:val="left"/>
      </w:pPr>
      <w:r>
        <w:rPr/>
        <w:t>②持有至到期投资</w:t>
      </w:r>
      <w:r>
        <w:rPr>
          <w:w w:val="100"/>
        </w:rPr>
        <w:t> </w:t>
      </w:r>
      <w:r>
        <w:rPr>
          <w:spacing w:val="-2"/>
        </w:rPr>
        <w:t>是指到期日固定、回收金额固定或可确定，且本公司有明确意图和能力持有至到期的非衍生</w:t>
      </w:r>
    </w:p>
    <w:p>
      <w:pPr>
        <w:pStyle w:val="BodyText"/>
        <w:spacing w:line="240" w:lineRule="auto" w:before="27"/>
        <w:ind w:right="0"/>
        <w:jc w:val="both"/>
      </w:pPr>
      <w:r>
        <w:rPr/>
        <w:t>金融资产。</w:t>
      </w:r>
    </w:p>
    <w:p>
      <w:pPr>
        <w:pStyle w:val="BodyText"/>
        <w:spacing w:line="350" w:lineRule="auto" w:before="126"/>
        <w:ind w:right="137" w:firstLine="419"/>
        <w:jc w:val="both"/>
      </w:pPr>
      <w:r>
        <w:rPr>
          <w:spacing w:val="-2"/>
        </w:rPr>
        <w:t>持有至到期投资采用实际利率法，按摊余成本进行后续计量，在终止确认、发生减值或摊销</w:t>
      </w:r>
      <w:r>
        <w:rPr>
          <w:w w:val="100"/>
        </w:rPr>
        <w:t> </w:t>
      </w:r>
      <w:r>
        <w:rPr/>
        <w:t>时产生的利得或损失，计入当期损益。</w:t>
      </w:r>
    </w:p>
    <w:p>
      <w:pPr>
        <w:pStyle w:val="BodyText"/>
        <w:spacing w:line="350" w:lineRule="auto" w:before="27"/>
        <w:ind w:right="137" w:firstLine="419"/>
        <w:jc w:val="right"/>
      </w:pPr>
      <w:r>
        <w:rPr>
          <w:spacing w:val="-2"/>
        </w:rPr>
        <w:t>实际利率法是指按照金融资产或金融负债（含一组金融资产或金融负债）的实际利率计算其</w:t>
      </w:r>
      <w:r>
        <w:rPr>
          <w:w w:val="100"/>
        </w:rPr>
        <w:t> </w:t>
      </w:r>
      <w:r>
        <w:rPr>
          <w:spacing w:val="-2"/>
        </w:rPr>
        <w:t>摊余成本及各期利息收入或支出的方法。实际利率是指将金融资产或金融负债在预期存续期间或</w:t>
      </w:r>
      <w:r>
        <w:rPr>
          <w:spacing w:val="-43"/>
        </w:rPr>
        <w:t> </w:t>
      </w:r>
      <w:r>
        <w:rPr>
          <w:spacing w:val="-43"/>
        </w:rPr>
      </w:r>
      <w:r>
        <w:rPr>
          <w:spacing w:val="-2"/>
        </w:rPr>
        <w:t>适用的更短期间内的未来现金流量，折现为该金融资产或金融负债当前账面价值所使用的利率。</w:t>
      </w:r>
      <w:r>
        <w:rPr>
          <w:spacing w:val="-43"/>
        </w:rPr>
        <w:t> </w:t>
      </w:r>
      <w:r>
        <w:rPr>
          <w:spacing w:val="-43"/>
        </w:rPr>
      </w:r>
      <w:r>
        <w:rPr>
          <w:spacing w:val="-2"/>
        </w:rPr>
        <w:t>在计算实际利率时，本公司将在考虑金融资产或金融负债所有合同条款的基础上预计未来现</w:t>
      </w:r>
      <w:r>
        <w:rPr>
          <w:w w:val="100"/>
        </w:rPr>
        <w:t> </w:t>
      </w:r>
      <w:r>
        <w:rPr>
          <w:spacing w:val="-2"/>
        </w:rPr>
        <w:t>金流量（不考虑未来的信用损失），同时还将考虑金融资产或金融负债合同各方之间支付或收取</w:t>
      </w:r>
    </w:p>
    <w:p>
      <w:pPr>
        <w:pStyle w:val="BodyText"/>
        <w:spacing w:line="240" w:lineRule="auto" w:before="29"/>
        <w:ind w:right="0"/>
        <w:jc w:val="both"/>
      </w:pPr>
      <w:r>
        <w:rPr/>
        <w:t>的、属于实际利率组成部分的各项收费、交易费用及折价或溢价等。</w:t>
      </w:r>
    </w:p>
    <w:p>
      <w:pPr>
        <w:pStyle w:val="BodyText"/>
        <w:spacing w:line="350" w:lineRule="auto" w:before="124"/>
        <w:ind w:left="558" w:right="125"/>
        <w:jc w:val="left"/>
      </w:pPr>
      <w:r>
        <w:rPr/>
        <w:t>③贷款和应收款项</w:t>
      </w:r>
      <w:r>
        <w:rPr>
          <w:w w:val="100"/>
        </w:rPr>
        <w:t> </w:t>
      </w:r>
      <w:r>
        <w:rPr>
          <w:spacing w:val="-2"/>
        </w:rPr>
        <w:t>是指在活跃市场中没有报价、回收金额固定或可确定的非衍生金融资产。本公司划分为贷款</w:t>
      </w:r>
    </w:p>
    <w:p>
      <w:pPr>
        <w:pStyle w:val="BodyText"/>
        <w:spacing w:line="348" w:lineRule="auto" w:before="29"/>
        <w:ind w:left="558" w:right="125" w:hanging="420"/>
        <w:jc w:val="left"/>
      </w:pPr>
      <w:r>
        <w:rPr/>
        <w:t>和应收款的金融资产包括应收票据、应收账款、应收利息、应收股利及其他应收款等。</w:t>
      </w:r>
      <w:r>
        <w:rPr>
          <w:w w:val="100"/>
        </w:rPr>
        <w:t> </w:t>
      </w:r>
      <w:r>
        <w:rPr>
          <w:spacing w:val="-2"/>
        </w:rPr>
        <w:t>贷款和应收款项采用实际利率法，按摊余成本进行后续计量，在终止确认、发生减值或摊销</w:t>
      </w:r>
    </w:p>
    <w:p>
      <w:pPr>
        <w:pStyle w:val="BodyText"/>
        <w:spacing w:line="240" w:lineRule="auto" w:before="31"/>
        <w:ind w:right="0"/>
        <w:jc w:val="both"/>
      </w:pPr>
      <w:r>
        <w:rPr/>
        <w:t>时产生的利得或损失，计入当期损益。</w:t>
      </w:r>
    </w:p>
    <w:p>
      <w:pPr>
        <w:pStyle w:val="BodyText"/>
        <w:spacing w:line="348" w:lineRule="auto" w:before="126"/>
        <w:ind w:left="558" w:right="125"/>
        <w:jc w:val="left"/>
      </w:pPr>
      <w:r>
        <w:rPr/>
        <w:t>④可供出售金融资产</w:t>
      </w:r>
      <w:r>
        <w:rPr>
          <w:w w:val="100"/>
        </w:rPr>
        <w:t> </w:t>
      </w:r>
      <w:r>
        <w:rPr>
          <w:spacing w:val="-2"/>
        </w:rPr>
        <w:t>包括初始确认时即被指定为可供出售的非衍生金融资产，以及除了以公允价值计量且其变动</w:t>
      </w:r>
    </w:p>
    <w:p>
      <w:pPr>
        <w:pStyle w:val="BodyText"/>
        <w:spacing w:line="240" w:lineRule="auto" w:before="31"/>
        <w:ind w:right="0"/>
        <w:jc w:val="both"/>
      </w:pPr>
      <w:r>
        <w:rPr/>
        <w:t>计入当期损益的金融资产、贷款和应收款项、持有至到期投资以外的金融资产。</w:t>
      </w:r>
    </w:p>
    <w:p>
      <w:pPr>
        <w:spacing w:after="0" w:line="24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01" w:firstLine="419"/>
        <w:jc w:val="left"/>
      </w:pPr>
      <w:r>
        <w:rPr>
          <w:spacing w:val="-4"/>
          <w:w w:val="100"/>
        </w:rPr>
        <w:t>可供出售债务工具投资的期末成本按照摊余成本法确定，即初始确认金额扣除已偿还的本金，</w:t>
      </w:r>
      <w:r>
        <w:rPr>
          <w:w w:val="100"/>
        </w:rPr>
        <w:t> </w:t>
      </w:r>
      <w:r>
        <w:rPr/>
        <w:t>加上或减去采用实际利率法将该初始确认金额与到期日金额之间的差额进行摊销形成的累计摊销</w:t>
      </w:r>
      <w:r>
        <w:rPr>
          <w:w w:val="100"/>
        </w:rPr>
        <w:t> </w:t>
      </w:r>
      <w:r>
        <w:rPr/>
        <w:t>额，并扣除已发生的减值损失后的金额。可供出售权益工具投资的期末成本为其初始取得成本。</w:t>
      </w:r>
    </w:p>
    <w:p>
      <w:pPr>
        <w:pStyle w:val="BodyText"/>
        <w:spacing w:line="350" w:lineRule="auto" w:before="27"/>
        <w:ind w:right="217" w:firstLine="419"/>
        <w:jc w:val="both"/>
      </w:pPr>
      <w:r>
        <w:rPr>
          <w:spacing w:val="-2"/>
        </w:rPr>
        <w:t>可供出售金融资产采用公允价值进行后续计量，公允价值变动形成的利得或损失，除减值损</w:t>
      </w:r>
      <w:r>
        <w:rPr>
          <w:w w:val="100"/>
        </w:rPr>
        <w:t> </w:t>
      </w:r>
      <w:r>
        <w:rPr>
          <w:spacing w:val="-2"/>
        </w:rPr>
        <w:t>失和外币货币性金融资产与摊余成本相关的汇兑差额计入当期损益外，确认为其他综合收益，在</w:t>
      </w:r>
      <w:r>
        <w:rPr>
          <w:spacing w:val="-25"/>
        </w:rPr>
        <w:t> </w:t>
      </w:r>
      <w:r>
        <w:rPr>
          <w:spacing w:val="-25"/>
        </w:rPr>
      </w:r>
      <w:r>
        <w:rPr>
          <w:spacing w:val="-2"/>
        </w:rPr>
        <w:t>该金融资产终止确认时转出，计入当期损益。但是，在活跃市场中没有报价且其公允价值不能可</w:t>
      </w:r>
      <w:r>
        <w:rPr>
          <w:spacing w:val="-26"/>
        </w:rPr>
        <w:t> </w:t>
      </w:r>
      <w:r>
        <w:rPr>
          <w:spacing w:val="-26"/>
        </w:rPr>
      </w:r>
      <w:r>
        <w:rPr>
          <w:spacing w:val="-2"/>
        </w:rPr>
        <w:t>靠计量的权益工具投资，以及与该权益工具挂钩并须通过交付该权益工具结算的衍生金融资产，</w:t>
      </w:r>
      <w:r>
        <w:rPr>
          <w:spacing w:val="-25"/>
        </w:rPr>
        <w:t> </w:t>
      </w:r>
      <w:r>
        <w:rPr>
          <w:spacing w:val="-25"/>
        </w:rPr>
      </w:r>
      <w:r>
        <w:rPr/>
        <w:t>按照成本进行后续计量。</w:t>
      </w:r>
    </w:p>
    <w:p>
      <w:pPr>
        <w:pStyle w:val="BodyText"/>
        <w:spacing w:line="240" w:lineRule="auto" w:before="30"/>
        <w:ind w:left="558" w:right="101"/>
        <w:jc w:val="left"/>
      </w:pPr>
      <w:r>
        <w:rPr/>
        <w:t>可供出售金融资产持有期间取得的利息及被投资单位宣告发放的现金股利，计入投资收益。</w:t>
      </w:r>
    </w:p>
    <w:p>
      <w:pPr>
        <w:pStyle w:val="BodyText"/>
        <w:spacing w:line="350" w:lineRule="auto" w:before="123"/>
        <w:ind w:left="558" w:right="101"/>
        <w:jc w:val="left"/>
      </w:pPr>
      <w:r>
        <w:rPr/>
        <w:t>（</w:t>
      </w:r>
      <w:r>
        <w:rPr>
          <w:rFonts w:ascii="宋体" w:hAnsi="宋体" w:cs="宋体" w:eastAsia="宋体" w:hint="default"/>
        </w:rPr>
        <w:t>3</w:t>
      </w:r>
      <w:r>
        <w:rPr/>
        <w:t>）金融资产减值</w:t>
      </w:r>
      <w:r>
        <w:rPr>
          <w:w w:val="100"/>
        </w:rPr>
        <w:t> </w:t>
      </w:r>
      <w:r>
        <w:rPr>
          <w:spacing w:val="-2"/>
        </w:rPr>
        <w:t>除了以公允价值计量且其变动计入当期损益的金融资产外，本公司在每个资产负债表日对其</w:t>
      </w:r>
    </w:p>
    <w:p>
      <w:pPr>
        <w:pStyle w:val="BodyText"/>
        <w:spacing w:line="348" w:lineRule="auto" w:before="29"/>
        <w:ind w:left="558" w:right="101" w:hanging="420"/>
        <w:jc w:val="left"/>
      </w:pPr>
      <w:r>
        <w:rPr/>
        <w:t>他金融资产的账面价值进行检查，有客观证据表明金融资产发生减值的，计提减值准备。</w:t>
      </w:r>
      <w:r>
        <w:rPr>
          <w:w w:val="100"/>
        </w:rPr>
        <w:t> </w:t>
      </w:r>
      <w:r>
        <w:rPr>
          <w:spacing w:val="-2"/>
        </w:rPr>
        <w:t>本公司对单项金额重大的金融资产单独进行减值测试；对单项金额不重大的金融资产，单独</w:t>
      </w:r>
    </w:p>
    <w:p>
      <w:pPr>
        <w:pStyle w:val="BodyText"/>
        <w:spacing w:line="350" w:lineRule="auto" w:before="31"/>
        <w:ind w:right="217"/>
        <w:jc w:val="both"/>
      </w:pPr>
      <w:r>
        <w:rPr>
          <w:spacing w:val="-2"/>
        </w:rPr>
        <w:t>进行减值测试或包括在具有类似信用风险特征的金融资产组合中进行减值测试。单独测试未发生</w:t>
      </w:r>
      <w:r>
        <w:rPr>
          <w:spacing w:val="-26"/>
        </w:rPr>
        <w:t> </w:t>
      </w:r>
      <w:r>
        <w:rPr>
          <w:spacing w:val="-26"/>
        </w:rPr>
      </w:r>
      <w:r>
        <w:rPr>
          <w:spacing w:val="-2"/>
        </w:rPr>
        <w:t>减值的金融资产（包括单项金额重大和不重大的金融资产），包括在具有类似信用风险特征的金</w:t>
      </w:r>
      <w:r>
        <w:rPr>
          <w:spacing w:val="-25"/>
        </w:rPr>
        <w:t> </w:t>
      </w:r>
      <w:r>
        <w:rPr>
          <w:spacing w:val="-25"/>
        </w:rPr>
      </w:r>
      <w:r>
        <w:rPr>
          <w:spacing w:val="-2"/>
        </w:rPr>
        <w:t>融资产组合中再进行减值测试。已单项确认减值损失的金融资产，不包括在具有类似信用风险特</w:t>
      </w:r>
      <w:r>
        <w:rPr>
          <w:spacing w:val="-25"/>
        </w:rPr>
        <w:t> </w:t>
      </w:r>
      <w:r>
        <w:rPr>
          <w:spacing w:val="-25"/>
        </w:rPr>
      </w:r>
      <w:r>
        <w:rPr/>
        <w:t>征的金融资产组合中进行减值测试。</w:t>
      </w:r>
    </w:p>
    <w:p>
      <w:pPr>
        <w:pStyle w:val="BodyText"/>
        <w:spacing w:line="348" w:lineRule="auto" w:before="29"/>
        <w:ind w:left="558" w:right="101"/>
        <w:jc w:val="left"/>
      </w:pPr>
      <w:r>
        <w:rPr/>
        <w:t>①持有至到期投资、贷款和应收款项减值</w:t>
      </w:r>
      <w:r>
        <w:rPr>
          <w:w w:val="100"/>
        </w:rPr>
        <w:t> </w:t>
      </w:r>
      <w:r>
        <w:rPr>
          <w:spacing w:val="-2"/>
        </w:rPr>
        <w:t>以成本或摊余成本计量的金融资产将其账面价值减记至预计未来现金流量现值，减记金额确</w:t>
      </w:r>
    </w:p>
    <w:p>
      <w:pPr>
        <w:pStyle w:val="BodyText"/>
        <w:spacing w:line="348" w:lineRule="auto" w:before="31"/>
        <w:ind w:right="217"/>
        <w:jc w:val="both"/>
      </w:pPr>
      <w:r>
        <w:rPr>
          <w:spacing w:val="-2"/>
        </w:rPr>
        <w:t>认为减值损失，计入当期损益。金融资产在确认减值损失后，如有客观证据表明该金融资产价值</w:t>
      </w:r>
      <w:r>
        <w:rPr>
          <w:spacing w:val="-25"/>
        </w:rPr>
        <w:t> </w:t>
      </w:r>
      <w:r>
        <w:rPr>
          <w:spacing w:val="-25"/>
        </w:rPr>
      </w:r>
      <w:r>
        <w:rPr>
          <w:spacing w:val="-2"/>
        </w:rPr>
        <w:t>已恢复，且客观上与确认该损失后发生的事项有关，原确认的减值损失予以转回，金融资产转回</w:t>
      </w:r>
      <w:r>
        <w:rPr>
          <w:spacing w:val="-25"/>
        </w:rPr>
        <w:t> </w:t>
      </w:r>
      <w:r>
        <w:rPr>
          <w:spacing w:val="-25"/>
        </w:rPr>
      </w:r>
      <w:r>
        <w:rPr/>
        <w:t>减值损失后的账面价值不超过假定不计提减值准备情况下该金融资产在转回日的摊余成本。</w:t>
      </w:r>
    </w:p>
    <w:p>
      <w:pPr>
        <w:pStyle w:val="BodyText"/>
        <w:spacing w:line="350" w:lineRule="auto" w:before="31"/>
        <w:ind w:left="558" w:right="101"/>
        <w:jc w:val="left"/>
      </w:pPr>
      <w:r>
        <w:rPr/>
        <w:t>②可供出售金融资产减值</w:t>
      </w:r>
      <w:r>
        <w:rPr>
          <w:w w:val="100"/>
        </w:rPr>
        <w:t> </w:t>
      </w:r>
      <w:r>
        <w:rPr>
          <w:spacing w:val="-2"/>
        </w:rPr>
        <w:t>当综合相关因素判断可供出售权益工具投资公允价值下跌是严重或非暂时性下跌时，表明该</w:t>
      </w:r>
    </w:p>
    <w:p>
      <w:pPr>
        <w:pStyle w:val="BodyText"/>
        <w:spacing w:line="350" w:lineRule="auto" w:before="27"/>
        <w:ind w:right="270"/>
        <w:jc w:val="both"/>
      </w:pPr>
      <w:r>
        <w:rPr>
          <w:spacing w:val="-2"/>
        </w:rPr>
        <w:t>可供出售权益工具投资发生减值。其中“严重下跌”是指公允价值下跌幅度累计超过</w:t>
      </w:r>
      <w:r>
        <w:rPr/>
        <w:t> </w:t>
      </w:r>
      <w:r>
        <w:rPr>
          <w:rFonts w:ascii="宋体" w:hAnsi="宋体" w:cs="宋体" w:eastAsia="宋体" w:hint="default"/>
          <w:spacing w:val="-2"/>
        </w:rPr>
        <w:t>20%</w:t>
      </w:r>
      <w:r>
        <w:rPr>
          <w:spacing w:val="-2"/>
        </w:rPr>
        <w:t>；“非</w:t>
      </w:r>
      <w:r>
        <w:rPr>
          <w:spacing w:val="-76"/>
        </w:rPr>
        <w:t> </w:t>
      </w:r>
      <w:r>
        <w:rPr>
          <w:spacing w:val="-76"/>
        </w:rPr>
      </w:r>
      <w:r>
        <w:rPr/>
        <w:t>暂时性下跌”是指公允价值连续下跌时间超过</w:t>
      </w:r>
      <w:r>
        <w:rPr>
          <w:spacing w:val="-54"/>
        </w:rPr>
        <w:t> </w:t>
      </w:r>
      <w:r>
        <w:rPr>
          <w:rFonts w:ascii="宋体" w:hAnsi="宋体" w:cs="宋体" w:eastAsia="宋体" w:hint="default"/>
        </w:rPr>
        <w:t>12</w:t>
      </w:r>
      <w:r>
        <w:rPr>
          <w:rFonts w:ascii="宋体" w:hAnsi="宋体" w:cs="宋体" w:eastAsia="宋体" w:hint="default"/>
          <w:spacing w:val="-56"/>
        </w:rPr>
        <w:t> </w:t>
      </w:r>
      <w:r>
        <w:rPr/>
        <w:t>个月。</w:t>
      </w:r>
    </w:p>
    <w:p>
      <w:pPr>
        <w:pStyle w:val="BodyText"/>
        <w:spacing w:line="348" w:lineRule="auto" w:before="29"/>
        <w:ind w:right="101" w:firstLine="419"/>
        <w:jc w:val="left"/>
      </w:pPr>
      <w:r>
        <w:rPr/>
        <w:t>可供出售金融资产发生减值时，将原计入其他综合收益的因公允价值下降形成的累计损失予</w:t>
      </w:r>
      <w:r>
        <w:rPr>
          <w:w w:val="100"/>
        </w:rPr>
        <w:t> </w:t>
      </w: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348" w:lineRule="auto" w:before="31"/>
        <w:ind w:right="217" w:firstLine="419"/>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348" w:lineRule="auto" w:before="31"/>
        <w:ind w:right="101" w:firstLine="419"/>
        <w:jc w:val="left"/>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p>
    <w:p>
      <w:pPr>
        <w:spacing w:after="0" w:line="348"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558" w:right="125"/>
        <w:jc w:val="left"/>
      </w:pPr>
      <w:r>
        <w:rPr/>
        <w:t>（</w:t>
      </w:r>
      <w:r>
        <w:rPr>
          <w:rFonts w:ascii="宋体" w:hAnsi="宋体" w:cs="宋体" w:eastAsia="宋体" w:hint="default"/>
        </w:rPr>
        <w:t>4</w:t>
      </w:r>
      <w:r>
        <w:rPr/>
        <w:t>）金融资产转移的确认依据和计量方法</w:t>
      </w:r>
      <w:r>
        <w:rPr>
          <w:w w:val="100"/>
        </w:rPr>
        <w:t> </w:t>
      </w:r>
      <w:r>
        <w:rPr>
          <w:spacing w:val="-7"/>
          <w:w w:val="100"/>
        </w:rPr>
        <w:t>满足下列条件之一的金融资产，予以终止确认：①收取该金融资产现金流量的合同权利终止；</w:t>
      </w:r>
    </w:p>
    <w:p>
      <w:pPr>
        <w:pStyle w:val="BodyText"/>
        <w:spacing w:line="348" w:lineRule="auto" w:before="29"/>
        <w:ind w:right="137"/>
        <w:jc w:val="both"/>
      </w:pPr>
      <w:r>
        <w:rPr>
          <w:spacing w:val="-2"/>
        </w:rPr>
        <w:t>②该金融资产已转移，且将金融资产所有权上几乎所有的风险和报酬转移给转入方；③该金融资</w:t>
      </w:r>
      <w:r>
        <w:rPr>
          <w:spacing w:val="-25"/>
        </w:rPr>
        <w:t> </w:t>
      </w:r>
      <w:r>
        <w:rPr>
          <w:spacing w:val="-25"/>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p>
    <w:p>
      <w:pPr>
        <w:pStyle w:val="BodyText"/>
        <w:spacing w:line="348" w:lineRule="auto" w:before="31"/>
        <w:ind w:right="128" w:firstLine="419"/>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pStyle w:val="BodyText"/>
        <w:spacing w:line="348" w:lineRule="auto" w:before="32"/>
        <w:ind w:right="137" w:firstLine="419"/>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pStyle w:val="BodyText"/>
        <w:spacing w:line="350" w:lineRule="auto" w:before="31"/>
        <w:ind w:right="128" w:firstLine="419"/>
        <w:jc w:val="right"/>
      </w:pPr>
      <w:r>
        <w:rPr>
          <w:spacing w:val="-2"/>
        </w:rPr>
        <w:t>金融资产部分转移满足终止确认条件的，将所转移金融资产的账面价值在终止确认及未终止</w:t>
      </w:r>
      <w:r>
        <w:rPr>
          <w:w w:val="100"/>
        </w:rPr>
        <w:t> </w:t>
      </w:r>
      <w:r>
        <w:rPr>
          <w:spacing w:val="-2"/>
        </w:rPr>
        <w:t>确认部分之间按其相对的公允价值进行分摊，并将因转移而收到的对价与应分摊至终止确认部分</w:t>
      </w:r>
      <w:r>
        <w:rPr>
          <w:spacing w:val="-52"/>
        </w:rPr>
        <w:t> </w:t>
      </w:r>
      <w:r>
        <w:rPr>
          <w:spacing w:val="-52"/>
        </w:rPr>
      </w:r>
      <w:r>
        <w:rPr>
          <w:spacing w:val="-2"/>
        </w:rPr>
        <w:t>的原计入其他综合收益的公允价值变动累计额之和与分摊的前述账面金额之差额计入当期损益。</w:t>
      </w:r>
      <w:r>
        <w:rPr>
          <w:spacing w:val="-52"/>
        </w:rPr>
        <w:t> </w:t>
      </w:r>
      <w:r>
        <w:rPr>
          <w:spacing w:val="-52"/>
        </w:rPr>
      </w: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52"/>
        </w:rPr>
        <w:t> </w:t>
      </w:r>
      <w:r>
        <w:rPr>
          <w:spacing w:val="-52"/>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p>
    <w:p>
      <w:pPr>
        <w:pStyle w:val="BodyText"/>
        <w:spacing w:line="240" w:lineRule="auto" w:before="29"/>
        <w:ind w:right="0"/>
        <w:jc w:val="both"/>
      </w:pPr>
      <w:r>
        <w:rPr/>
        <w:t>继续判断企业是否对该资产保留了控制，并根据前面各段所述的原则进行会计处理。</w:t>
      </w:r>
    </w:p>
    <w:p>
      <w:pPr>
        <w:pStyle w:val="BodyText"/>
        <w:spacing w:line="350" w:lineRule="auto" w:before="123"/>
        <w:ind w:left="558" w:right="125"/>
        <w:jc w:val="left"/>
      </w:pPr>
      <w:r>
        <w:rPr/>
        <w:t>（</w:t>
      </w:r>
      <w:r>
        <w:rPr>
          <w:rFonts w:ascii="宋体" w:hAnsi="宋体" w:cs="宋体" w:eastAsia="宋体"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348" w:lineRule="auto" w:before="29"/>
        <w:ind w:right="130"/>
        <w:jc w:val="both"/>
      </w:pPr>
      <w:r>
        <w:rPr>
          <w:spacing w:val="-2"/>
        </w:rPr>
        <w:t>负债。初始确认金融负债，以公允价值计量。对于以公允价值计量且其变动计入当期损益的金融</w:t>
      </w:r>
      <w:r>
        <w:rPr>
          <w:spacing w:val="-25"/>
        </w:rPr>
        <w:t> </w:t>
      </w:r>
      <w:r>
        <w:rPr>
          <w:spacing w:val="-25"/>
        </w:rPr>
      </w:r>
      <w:r>
        <w:rPr>
          <w:spacing w:val="-7"/>
        </w:rPr>
        <w:t>负债，相关的交易费用直接计入当期损益；对于其他金融负债，相关交易费用计入初始确认金额。</w:t>
      </w:r>
    </w:p>
    <w:p>
      <w:pPr>
        <w:pStyle w:val="BodyText"/>
        <w:spacing w:line="350" w:lineRule="auto" w:before="31"/>
        <w:ind w:left="558" w:right="125"/>
        <w:jc w:val="left"/>
      </w:pPr>
      <w:r>
        <w:rPr/>
        <w:t>①以公允价值计量且其变动计入当期损益的金融负债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350" w:lineRule="auto" w:before="27"/>
        <w:ind w:right="137"/>
        <w:jc w:val="both"/>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pStyle w:val="BodyText"/>
        <w:spacing w:line="348" w:lineRule="auto" w:before="29"/>
        <w:ind w:right="137" w:firstLine="419"/>
        <w:jc w:val="both"/>
      </w:pPr>
      <w:r>
        <w:rPr>
          <w:spacing w:val="-2"/>
        </w:rPr>
        <w:t>以公允价值计量且其变动计入当期损益的金融负债采用公允价值进行后续计量，公允价值的</w:t>
      </w:r>
      <w:r>
        <w:rPr>
          <w:w w:val="100"/>
        </w:rPr>
        <w:t> </w:t>
      </w:r>
      <w:r>
        <w:rPr/>
        <w:t>变动形成的利得或损失以及与该等金融负债相关的股利和利息支出计入当期损益。</w:t>
      </w:r>
    </w:p>
    <w:p>
      <w:pPr>
        <w:pStyle w:val="BodyText"/>
        <w:spacing w:line="350" w:lineRule="auto" w:before="31"/>
        <w:ind w:left="558" w:right="125"/>
        <w:jc w:val="left"/>
      </w:pPr>
      <w:r>
        <w:rPr/>
        <w:t>②其他金融负债</w:t>
      </w:r>
      <w:r>
        <w:rPr>
          <w:spacing w:val="-103"/>
        </w:rPr>
        <w:t> </w:t>
      </w:r>
      <w:r>
        <w:rPr>
          <w:spacing w:val="-103"/>
        </w:rPr>
      </w:r>
      <w:r>
        <w:rPr>
          <w:spacing w:val="-2"/>
        </w:rPr>
        <w:t>与在活跃市场中没有报价、公允价值不能可靠计量的权益工具挂钩并须通过交付该权益工具</w:t>
      </w:r>
    </w:p>
    <w:p>
      <w:pPr>
        <w:pStyle w:val="BodyText"/>
        <w:spacing w:line="350" w:lineRule="auto" w:before="27"/>
        <w:ind w:right="137"/>
        <w:jc w:val="both"/>
      </w:pP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pStyle w:val="BodyText"/>
        <w:spacing w:line="240" w:lineRule="auto" w:before="29"/>
        <w:ind w:left="558" w:right="125"/>
        <w:jc w:val="left"/>
      </w:pPr>
      <w:r>
        <w:rPr/>
        <w:t>③财务担保合同</w:t>
      </w:r>
    </w:p>
    <w:p>
      <w:pPr>
        <w:spacing w:after="0" w:line="240" w:lineRule="auto"/>
        <w:jc w:val="left"/>
        <w:sectPr>
          <w:footerReference w:type="default" r:id="rId64"/>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218" w:right="225" w:firstLine="419"/>
        <w:jc w:val="left"/>
      </w:pPr>
      <w:r>
        <w:rPr>
          <w:spacing w:val="-2"/>
        </w:rPr>
        <w:t>不属于指定为以公允价值计量且其变动计入当期损益的金融负债的财务担保合同，以公允价</w:t>
      </w:r>
      <w:r>
        <w:rPr>
          <w:w w:val="100"/>
        </w:rPr>
        <w:t> </w:t>
      </w:r>
      <w:r>
        <w:rPr>
          <w:spacing w:val="-4"/>
        </w:rPr>
        <w:t>值进行初始确认，在初始确认后按照《企业会计准则第 </w:t>
      </w:r>
      <w:r>
        <w:rPr>
          <w:rFonts w:ascii="宋体" w:hAnsi="宋体" w:cs="宋体" w:eastAsia="宋体" w:hint="default"/>
        </w:rPr>
        <w:t>13</w:t>
      </w:r>
      <w:r>
        <w:rPr>
          <w:rFonts w:ascii="宋体" w:hAnsi="宋体" w:cs="宋体" w:eastAsia="宋体" w:hint="default"/>
          <w:spacing w:val="-39"/>
        </w:rPr>
        <w:t> </w:t>
      </w:r>
      <w:r>
        <w:rPr>
          <w:spacing w:val="-4"/>
        </w:rPr>
        <w:t>号—或有事项》确定的金额和初始确认</w:t>
      </w:r>
    </w:p>
    <w:p>
      <w:pPr>
        <w:pStyle w:val="BodyText"/>
        <w:spacing w:line="348" w:lineRule="auto" w:before="29"/>
        <w:ind w:left="218" w:right="228"/>
        <w:jc w:val="both"/>
      </w:pPr>
      <w:r>
        <w:rPr>
          <w:spacing w:val="-5"/>
        </w:rPr>
        <w:t>金额扣除按照《企业会计准则第</w:t>
      </w:r>
      <w:r>
        <w:rPr>
          <w:spacing w:val="-19"/>
        </w:rPr>
        <w:t> </w:t>
      </w:r>
      <w:r>
        <w:rPr>
          <w:rFonts w:ascii="宋体" w:hAnsi="宋体" w:cs="宋体" w:eastAsia="宋体" w:hint="default"/>
        </w:rPr>
        <w:t>14</w:t>
      </w:r>
      <w:r>
        <w:rPr>
          <w:rFonts w:ascii="宋体" w:hAnsi="宋体" w:cs="宋体" w:eastAsia="宋体" w:hint="default"/>
          <w:spacing w:val="-22"/>
        </w:rPr>
        <w:t> </w:t>
      </w:r>
      <w:r>
        <w:rPr>
          <w:spacing w:val="-4"/>
        </w:rPr>
        <w:t>号—收入》的原则确定的累计摊销额后的余额之中的较高者进</w:t>
      </w:r>
      <w:r>
        <w:rPr>
          <w:spacing w:val="-93"/>
        </w:rPr>
        <w:t> </w:t>
      </w:r>
      <w:r>
        <w:rPr>
          <w:spacing w:val="-93"/>
        </w:rPr>
      </w:r>
      <w:r>
        <w:rPr/>
        <w:t>行后续计量。</w:t>
      </w:r>
    </w:p>
    <w:p>
      <w:pPr>
        <w:pStyle w:val="BodyText"/>
        <w:spacing w:line="350" w:lineRule="auto" w:before="31"/>
        <w:ind w:left="638" w:right="227"/>
        <w:jc w:val="left"/>
      </w:pPr>
      <w:r>
        <w:rPr/>
        <w:t>（</w:t>
      </w:r>
      <w:r>
        <w:rPr>
          <w:rFonts w:ascii="宋体" w:hAnsi="宋体" w:cs="宋体" w:eastAsia="宋体" w:hint="default"/>
        </w:rPr>
        <w:t>6</w:t>
      </w:r>
      <w:r>
        <w:rPr/>
        <w:t>）金融负债的终止确认</w:t>
      </w:r>
      <w:r>
        <w:rPr>
          <w:w w:val="100"/>
        </w:rPr>
        <w:t> </w:t>
      </w:r>
      <w:r>
        <w:rPr>
          <w:spacing w:val="-2"/>
        </w:rPr>
        <w:t>金融负债的现时义务全部或部分已经解除的，才能终止确认该金融负债或其一部分。本公司</w:t>
      </w:r>
    </w:p>
    <w:p>
      <w:pPr>
        <w:pStyle w:val="BodyText"/>
        <w:spacing w:line="350" w:lineRule="auto" w:before="27"/>
        <w:ind w:left="218" w:right="237"/>
        <w:jc w:val="both"/>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pStyle w:val="BodyText"/>
        <w:spacing w:line="348" w:lineRule="auto" w:before="30"/>
        <w:ind w:left="218" w:right="227" w:firstLine="419"/>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350" w:lineRule="auto" w:before="31"/>
        <w:ind w:left="638" w:right="227"/>
        <w:jc w:val="left"/>
      </w:pPr>
      <w:r>
        <w:rPr/>
        <w:t>（</w:t>
      </w:r>
      <w:r>
        <w:rPr>
          <w:rFonts w:ascii="宋体" w:hAnsi="宋体" w:cs="宋体" w:eastAsia="宋体" w:hint="default"/>
        </w:rPr>
        <w:t>7</w:t>
      </w:r>
      <w:r>
        <w:rPr/>
        <w:t>）衍生工具及嵌入衍生工具</w:t>
      </w:r>
      <w:r>
        <w:rPr>
          <w:w w:val="100"/>
        </w:rPr>
        <w:t> </w:t>
      </w:r>
      <w:r>
        <w:rPr>
          <w:spacing w:val="-2"/>
        </w:rPr>
        <w:t>衍生工具于相关合同签署日以公允价值进行初始计量，并以公允价值进行后续计量。衍生工</w:t>
      </w:r>
    </w:p>
    <w:p>
      <w:pPr>
        <w:pStyle w:val="BodyText"/>
        <w:spacing w:line="350" w:lineRule="auto" w:before="27"/>
        <w:ind w:left="638" w:right="227" w:hanging="420"/>
        <w:jc w:val="left"/>
      </w:pPr>
      <w:r>
        <w:rPr/>
        <w:t>具的公允价值变动计入当期损益。</w:t>
      </w:r>
      <w:r>
        <w:rPr>
          <w:w w:val="100"/>
        </w:rPr>
        <w:t> </w:t>
      </w:r>
      <w:r>
        <w:rPr>
          <w:spacing w:val="-2"/>
        </w:rPr>
        <w:t>对包含嵌入衍生工具的混合工具，如未指定为以公允价值计量且其变动计入当期损益的金融</w:t>
      </w:r>
    </w:p>
    <w:p>
      <w:pPr>
        <w:pStyle w:val="BodyText"/>
        <w:spacing w:line="350" w:lineRule="auto" w:before="29"/>
        <w:ind w:left="218" w:right="237"/>
        <w:jc w:val="both"/>
      </w:pPr>
      <w:r>
        <w:rPr>
          <w:spacing w:val="-2"/>
        </w:rPr>
        <w:t>资产或金融负债，嵌入衍生工具与该主合同在经济特征及风险方面不存在紧密关系，且与嵌入衍</w:t>
      </w:r>
      <w:r>
        <w:rPr>
          <w:spacing w:val="-25"/>
        </w:rPr>
        <w:t> </w:t>
      </w:r>
      <w:r>
        <w:rPr>
          <w:spacing w:val="-25"/>
        </w:rPr>
      </w:r>
      <w:r>
        <w:rPr>
          <w:spacing w:val="-2"/>
        </w:rPr>
        <w:t>生工具条件相同，单独存在的工具符合衍生工具定义的，嵌入衍生工具从混合工具中分拆，作为</w:t>
      </w:r>
      <w:r>
        <w:rPr>
          <w:spacing w:val="-25"/>
        </w:rPr>
        <w:t> </w:t>
      </w:r>
      <w:r>
        <w:rPr>
          <w:spacing w:val="-25"/>
        </w:rPr>
      </w:r>
      <w:r>
        <w:rPr>
          <w:spacing w:val="-2"/>
        </w:rPr>
        <w:t>单独的衍生金融工具处理。如果无法在取得时或后续的资产负债表日对嵌入衍生工具进行单独计</w:t>
      </w:r>
      <w:r>
        <w:rPr>
          <w:spacing w:val="-25"/>
        </w:rPr>
        <w:t> </w:t>
      </w:r>
      <w:r>
        <w:rPr>
          <w:spacing w:val="-25"/>
        </w:rPr>
      </w:r>
      <w:r>
        <w:rPr/>
        <w:t>量，则将混合工具整体指定为以公允价值计量且其变动计入当期损益的金融资产或金融负债。</w:t>
      </w:r>
    </w:p>
    <w:p>
      <w:pPr>
        <w:pStyle w:val="BodyText"/>
        <w:spacing w:line="350" w:lineRule="auto" w:before="27"/>
        <w:ind w:left="638" w:right="227"/>
        <w:jc w:val="left"/>
      </w:pPr>
      <w:r>
        <w:rPr/>
        <w:t>（</w:t>
      </w:r>
      <w:r>
        <w:rPr>
          <w:rFonts w:ascii="宋体" w:hAnsi="宋体" w:cs="宋体" w:eastAsia="宋体" w:hint="default"/>
        </w:rPr>
        <w:t>8</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348" w:lineRule="auto" w:before="29"/>
        <w:ind w:left="218" w:right="228"/>
        <w:jc w:val="both"/>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p>
    <w:p>
      <w:pPr>
        <w:pStyle w:val="BodyText"/>
        <w:spacing w:line="348" w:lineRule="auto" w:before="31"/>
        <w:ind w:left="638" w:right="227"/>
        <w:jc w:val="left"/>
      </w:pPr>
      <w:r>
        <w:rPr/>
        <w:t>（</w:t>
      </w:r>
      <w:r>
        <w:rPr>
          <w:rFonts w:ascii="宋体" w:hAnsi="宋体" w:cs="宋体" w:eastAsia="宋体" w:hint="default"/>
        </w:rPr>
        <w:t>9</w:t>
      </w:r>
      <w:r>
        <w:rPr/>
        <w:t>）权益工具</w:t>
      </w:r>
      <w:r>
        <w:rPr>
          <w:w w:val="100"/>
        </w:rPr>
        <w:t> </w:t>
      </w:r>
      <w:r>
        <w:rPr>
          <w:spacing w:val="-2"/>
        </w:rPr>
        <w:t>权益工具是指能证明拥有本公司在扣除所有负债后的资产中的剩余权益的合同。本公司发行</w:t>
      </w:r>
    </w:p>
    <w:p>
      <w:pPr>
        <w:pStyle w:val="BodyText"/>
        <w:spacing w:line="350" w:lineRule="auto" w:before="31"/>
        <w:ind w:left="218" w:right="237"/>
        <w:jc w:val="both"/>
      </w:pPr>
      <w:r>
        <w:rPr>
          <w:spacing w:val="-2"/>
        </w:rPr>
        <w:t>（含再融资）、回购、出售或注销权益工具作为权益的变动处理。本公司不确认权益工具的公允</w:t>
      </w:r>
      <w:r>
        <w:rPr>
          <w:spacing w:val="-25"/>
        </w:rPr>
        <w:t> </w:t>
      </w:r>
      <w:r>
        <w:rPr>
          <w:spacing w:val="-25"/>
        </w:rPr>
      </w:r>
      <w:r>
        <w:rPr/>
        <w:t>价值变动。与权益性交易相关的交易费用从权益中扣减。</w:t>
      </w:r>
    </w:p>
    <w:p>
      <w:pPr>
        <w:pStyle w:val="BodyText"/>
        <w:spacing w:line="350" w:lineRule="auto" w:before="27"/>
        <w:ind w:left="218" w:right="227" w:firstLine="419"/>
        <w:jc w:val="left"/>
      </w:pPr>
      <w:r>
        <w:rPr>
          <w:spacing w:val="-2"/>
        </w:rPr>
        <w:t>本公司对权益工具持有方的各种分配（不包括股票股利），减少股东权益。本公司不确认权</w:t>
      </w:r>
      <w:r>
        <w:rPr>
          <w:w w:val="100"/>
        </w:rPr>
        <w:t> </w:t>
      </w:r>
      <w:r>
        <w:rPr/>
        <w:t>益工具的公允价值变动额。</w:t>
      </w:r>
    </w:p>
    <w:p>
      <w:pPr>
        <w:spacing w:line="240" w:lineRule="auto" w:before="4"/>
        <w:rPr>
          <w:rFonts w:ascii="宋体" w:hAnsi="宋体" w:cs="宋体" w:eastAsia="宋体" w:hint="default"/>
          <w:sz w:val="19"/>
          <w:szCs w:val="19"/>
        </w:rPr>
      </w:pPr>
    </w:p>
    <w:p>
      <w:pPr>
        <w:pStyle w:val="Heading3"/>
        <w:spacing w:line="290" w:lineRule="auto" w:before="0"/>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18" w:right="0"/>
        <w:jc w:val="both"/>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5"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金额为人民币 </w:t>
            </w:r>
            <w:r>
              <w:rPr>
                <w:rFonts w:ascii="宋体" w:hAnsi="宋体" w:cs="宋体" w:eastAsia="宋体" w:hint="default"/>
                <w:sz w:val="21"/>
                <w:szCs w:val="21"/>
              </w:rPr>
              <w:t>100</w:t>
            </w:r>
            <w:r>
              <w:rPr>
                <w:rFonts w:ascii="宋体" w:hAnsi="宋体" w:cs="宋体" w:eastAsia="宋体" w:hint="default"/>
                <w:spacing w:val="-56"/>
                <w:sz w:val="21"/>
                <w:szCs w:val="21"/>
              </w:rPr>
              <w:t> </w:t>
            </w:r>
            <w:r>
              <w:rPr>
                <w:rFonts w:ascii="宋体" w:hAnsi="宋体" w:cs="宋体" w:eastAsia="宋体" w:hint="default"/>
                <w:sz w:val="21"/>
                <w:szCs w:val="21"/>
              </w:rPr>
              <w:t>万以上的应收款项确认为单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项金额重大的应收款项</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w:t>
            </w:r>
          </w:p>
        </w:tc>
      </w:tr>
    </w:tbl>
    <w:p>
      <w:pPr>
        <w:spacing w:after="0" w:line="241" w:lineRule="exact"/>
        <w:jc w:val="left"/>
        <w:rPr>
          <w:rFonts w:ascii="宋体" w:hAnsi="宋体" w:cs="宋体" w:eastAsia="宋体" w:hint="default"/>
          <w:sz w:val="21"/>
          <w:szCs w:val="21"/>
        </w:rPr>
        <w:sectPr>
          <w:footerReference w:type="default" r:id="rId65"/>
          <w:pgSz w:w="11910" w:h="16840"/>
          <w:pgMar w:footer="1195" w:header="882" w:top="1120" w:bottom="1380" w:left="1580" w:right="1040"/>
          <w:pgNumType w:start="10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1392" w:lineRule="exact"/>
        <w:ind w:left="105"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453pt;height:69.650pt;mso-position-horizontal-relative:char;mso-position-vertical-relative:line" coordorigin="0,0" coordsize="9060,1393">
            <v:group style="position:absolute;left:10;top:10;width:4573;height:2" coordorigin="10,10" coordsize="4573,2">
              <v:shape style="position:absolute;left:10;top:10;width:4573;height:2" coordorigin="10,10" coordsize="4573,0" path="m10,10l4582,10e" filled="false" stroked="true" strokeweight=".48pt" strokecolor="#000000">
                <v:path arrowok="t"/>
              </v:shape>
            </v:group>
            <v:group style="position:absolute;left:4592;top:10;width:4458;height:2" coordorigin="4592,10" coordsize="4458,2">
              <v:shape style="position:absolute;left:4592;top:10;width:4458;height:2" coordorigin="4592,10" coordsize="4458,0" path="m4592,10l9050,10e" filled="false" stroked="true" strokeweight=".48pt" strokecolor="#000000">
                <v:path arrowok="t"/>
              </v:shape>
            </v:group>
            <v:group style="position:absolute;left:5;top:5;width:2;height:1383" coordorigin="5,5" coordsize="2,1383">
              <v:shape style="position:absolute;left:5;top:5;width:2;height:1383" coordorigin="5,5" coordsize="0,1383" path="m5,5l5,1388e" filled="false" stroked="true" strokeweight=".48pt" strokecolor="#000000">
                <v:path arrowok="t"/>
              </v:shape>
            </v:group>
            <v:group style="position:absolute;left:10;top:1383;width:4573;height:2" coordorigin="10,1383" coordsize="4573,2">
              <v:shape style="position:absolute;left:10;top:1383;width:4573;height:2" coordorigin="10,1383" coordsize="4573,0" path="m10,1383l4582,1383e" filled="false" stroked="true" strokeweight=".48pt" strokecolor="#000000">
                <v:path arrowok="t"/>
              </v:shape>
            </v:group>
            <v:group style="position:absolute;left:4587;top:5;width:2;height:1383" coordorigin="4587,5" coordsize="2,1383">
              <v:shape style="position:absolute;left:4587;top:5;width:2;height:1383" coordorigin="4587,5" coordsize="0,1383" path="m4587,5l4587,1388e" filled="false" stroked="true" strokeweight=".47998pt" strokecolor="#000000">
                <v:path arrowok="t"/>
              </v:shape>
            </v:group>
            <v:group style="position:absolute;left:4592;top:1383;width:4458;height:2" coordorigin="4592,1383" coordsize="4458,2">
              <v:shape style="position:absolute;left:4592;top:1383;width:4458;height:2" coordorigin="4592,1383" coordsize="4458,0" path="m4592,1383l9050,1383e" filled="false" stroked="true" strokeweight=".48pt" strokecolor="#000000">
                <v:path arrowok="t"/>
              </v:shape>
            </v:group>
            <v:group style="position:absolute;left:9054;top:5;width:2;height:1383" coordorigin="9054,5" coordsize="2,1383">
              <v:shape style="position:absolute;left:9054;top:5;width:2;height:1383" coordorigin="9054,5" coordsize="0,1383" path="m9054,5l9054,1388e" filled="false" stroked="true" strokeweight=".47998pt" strokecolor="#000000">
                <v:path arrowok="t"/>
              </v:shape>
              <v:shape style="position:absolute;left:4587;top:10;width:4468;height:1374" type="#_x0000_t202" filled="false" stroked="false">
                <v:textbox inset="0,0,0,0">
                  <w:txbxContent>
                    <w:p>
                      <w:pPr>
                        <w:spacing w:line="272" w:lineRule="exact" w:before="1"/>
                        <w:ind w:left="108" w:right="105" w:firstLine="0"/>
                        <w:jc w:val="both"/>
                        <w:rPr>
                          <w:rFonts w:ascii="宋体" w:hAnsi="宋体" w:cs="宋体" w:eastAsia="宋体" w:hint="default"/>
                          <w:sz w:val="21"/>
                          <w:szCs w:val="21"/>
                        </w:rPr>
                      </w:pPr>
                      <w:r>
                        <w:rPr>
                          <w:rFonts w:ascii="宋体" w:hAnsi="宋体" w:cs="宋体" w:eastAsia="宋体" w:hint="default"/>
                          <w:sz w:val="21"/>
                          <w:szCs w:val="21"/>
                        </w:rPr>
                        <w:t>值测试，单独测试未发生减值的金融资产，包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括在具有类似信用风险特征的金融资产组合中</w:t>
                      </w:r>
                    </w:p>
                    <w:p>
                      <w:pPr>
                        <w:spacing w:line="272" w:lineRule="exact" w:before="1"/>
                        <w:ind w:left="108" w:right="105" w:firstLine="0"/>
                        <w:jc w:val="both"/>
                        <w:rPr>
                          <w:rFonts w:ascii="宋体" w:hAnsi="宋体" w:cs="宋体" w:eastAsia="宋体" w:hint="default"/>
                          <w:sz w:val="21"/>
                          <w:szCs w:val="21"/>
                        </w:rPr>
                      </w:pPr>
                      <w:r>
                        <w:rPr>
                          <w:rFonts w:ascii="宋体" w:hAnsi="宋体" w:cs="宋体" w:eastAsia="宋体" w:hint="default"/>
                          <w:sz w:val="21"/>
                          <w:szCs w:val="21"/>
                        </w:rPr>
                        <w:t>进行减值测试。单项测试已确认减值损失的应</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收款项，不再包括在具有类似信用风险特征的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应收款项组合中进行减值测试。</w:t>
                      </w:r>
                    </w:p>
                  </w:txbxContent>
                </v:textbox>
                <w10:wrap type="none"/>
              </v:shape>
            </v:group>
          </v:group>
        </w:pict>
      </w:r>
      <w:r>
        <w:rPr>
          <w:rFonts w:ascii="宋体" w:hAnsi="宋体" w:cs="宋体" w:eastAsia="宋体" w:hint="default"/>
          <w:position w:val="-27"/>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5"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：账龄分析法组合（账龄分析法、余额百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分比法、其他方法）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指除个别认定组合外的应收款项账龄</w:t>
            </w:r>
          </w:p>
        </w:tc>
      </w:tr>
      <w:tr>
        <w:trPr>
          <w:trHeight w:val="82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：个别认定组合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合并报表范围内的各财务报表主体之间的应收</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款项、公司职工个人备用金及代垫职工保险费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等。</w:t>
            </w: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组合中，采用账龄分析法计提坏账准备的</w:t>
      </w:r>
    </w:p>
    <w:p>
      <w:pPr>
        <w:pStyle w:val="BodyText"/>
        <w:spacing w:line="274" w:lineRule="exact"/>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组合中，采用余额百分比法计提坏账准备的</w:t>
      </w:r>
    </w:p>
    <w:p>
      <w:pPr>
        <w:pStyle w:val="BodyText"/>
        <w:spacing w:line="272" w:lineRule="exact" w:before="27"/>
        <w:ind w:left="218" w:right="4688"/>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left="218" w:right="2465"/>
        <w:jc w:val="left"/>
      </w:pPr>
      <w:r>
        <w:rPr/>
        <w:t>□适用</w:t>
      </w:r>
      <w:r>
        <w:rPr>
          <w:spacing w:val="-1"/>
        </w:rPr>
        <w:t> </w:t>
      </w:r>
      <w:r>
        <w:rPr/>
        <w:t>√不适用</w:t>
      </w:r>
    </w:p>
    <w:p>
      <w:pPr>
        <w:pStyle w:val="Heading3"/>
        <w:spacing w:line="240" w:lineRule="auto" w:before="56"/>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829"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与对方存在争议或涉及诉讼、仲裁的应收款项；</w:t>
            </w:r>
          </w:p>
          <w:p>
            <w:pPr>
              <w:pStyle w:val="TableParagraph"/>
              <w:spacing w:line="272" w:lineRule="exact" w:before="27"/>
              <w:ind w:left="100" w:right="104"/>
              <w:jc w:val="left"/>
              <w:rPr>
                <w:rFonts w:ascii="宋体" w:hAnsi="宋体" w:cs="宋体" w:eastAsia="宋体" w:hint="default"/>
                <w:sz w:val="21"/>
                <w:szCs w:val="21"/>
              </w:rPr>
            </w:pPr>
            <w:r>
              <w:rPr>
                <w:rFonts w:ascii="宋体" w:hAnsi="宋体" w:cs="宋体" w:eastAsia="宋体" w:hint="default"/>
                <w:spacing w:val="2"/>
                <w:sz w:val="21"/>
                <w:szCs w:val="21"/>
              </w:rPr>
              <w:t>已有明显迹象表明债务人很可能无法履行还款义</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务的应收款项等。</w:t>
            </w:r>
          </w:p>
        </w:tc>
      </w:tr>
      <w:tr>
        <w:trPr>
          <w:trHeight w:val="137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本公司对于单项金额虽不重大但具备以下特征的</w:t>
            </w:r>
          </w:p>
          <w:p>
            <w:pPr>
              <w:pStyle w:val="TableParagraph"/>
              <w:spacing w:line="237" w:lineRule="auto"/>
              <w:ind w:left="100" w:right="104"/>
              <w:jc w:val="both"/>
              <w:rPr>
                <w:rFonts w:ascii="宋体" w:hAnsi="宋体" w:cs="宋体" w:eastAsia="宋体" w:hint="default"/>
                <w:sz w:val="21"/>
                <w:szCs w:val="21"/>
              </w:rPr>
            </w:pPr>
            <w:r>
              <w:rPr>
                <w:rFonts w:ascii="宋体" w:hAnsi="宋体" w:cs="宋体" w:eastAsia="宋体" w:hint="default"/>
                <w:spacing w:val="2"/>
                <w:sz w:val="21"/>
                <w:szCs w:val="21"/>
              </w:rPr>
              <w:t>应收款项，单独进行减值测试，有客观证据表明</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其发生了减值的，根据其未来现金流量现值低于</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其账面价值的差额，确认减值损失，计提坏账准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备。</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pStyle w:val="BodyText"/>
        <w:spacing w:line="348" w:lineRule="auto" w:before="106"/>
        <w:ind w:left="638" w:right="4688"/>
        <w:jc w:val="left"/>
      </w:pPr>
      <w:r>
        <w:rPr/>
        <w:t>（</w:t>
      </w:r>
      <w:r>
        <w:rPr>
          <w:rFonts w:ascii="宋体" w:hAnsi="宋体" w:cs="宋体" w:eastAsia="宋体" w:hint="default"/>
        </w:rPr>
        <w:t>1</w:t>
      </w:r>
      <w:r>
        <w:rPr/>
        <w:t>）存货的分类</w:t>
      </w:r>
      <w:r>
        <w:rPr>
          <w:w w:val="100"/>
        </w:rPr>
        <w:t> </w:t>
      </w:r>
      <w:r>
        <w:rPr>
          <w:spacing w:val="-2"/>
        </w:rPr>
        <w:t>存货主要包括库存商品等。</w:t>
      </w:r>
    </w:p>
    <w:p>
      <w:pPr>
        <w:pStyle w:val="BodyText"/>
        <w:spacing w:line="240" w:lineRule="auto" w:before="32"/>
        <w:ind w:left="638" w:right="2465"/>
        <w:jc w:val="left"/>
      </w:pPr>
      <w:r>
        <w:rPr/>
        <w:t>（</w:t>
      </w:r>
      <w:r>
        <w:rPr>
          <w:rFonts w:ascii="宋体" w:hAnsi="宋体" w:cs="宋体" w:eastAsia="宋体" w:hint="default"/>
        </w:rPr>
        <w:t>2</w:t>
      </w:r>
      <w:r>
        <w:rPr/>
        <w:t>）存货取得和发出的计价方法</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firstLine="419"/>
        <w:jc w:val="both"/>
      </w:pPr>
      <w:r>
        <w:rPr>
          <w:spacing w:val="-2"/>
        </w:rPr>
        <w:t>存货在取得时按实际成本计价，存货成本包括采购成本和其他成本。领用和发出时按先进先</w:t>
      </w:r>
      <w:r>
        <w:rPr>
          <w:w w:val="100"/>
        </w:rPr>
        <w:t> </w:t>
      </w:r>
      <w:r>
        <w:rPr/>
        <w:t>出法计价。</w:t>
      </w:r>
    </w:p>
    <w:p>
      <w:pPr>
        <w:pStyle w:val="BodyText"/>
        <w:spacing w:line="348" w:lineRule="auto" w:before="29"/>
        <w:ind w:left="558" w:right="125"/>
        <w:jc w:val="left"/>
      </w:pPr>
      <w:r>
        <w:rPr/>
        <w:t>（</w:t>
      </w:r>
      <w:r>
        <w:rPr>
          <w:rFonts w:ascii="宋体" w:hAnsi="宋体" w:cs="宋体" w:eastAsia="宋体"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w:t>
      </w:r>
    </w:p>
    <w:p>
      <w:pPr>
        <w:pStyle w:val="BodyText"/>
        <w:spacing w:line="350" w:lineRule="auto" w:before="31"/>
        <w:ind w:right="137"/>
        <w:jc w:val="both"/>
      </w:pPr>
      <w:r>
        <w:rPr>
          <w:spacing w:val="-2"/>
        </w:rPr>
        <w:t>销售费用以及相关税费后的金额。在确定存货的可变现净值时，以取得的确凿证据为基础，同时</w:t>
      </w:r>
      <w:r>
        <w:rPr>
          <w:spacing w:val="-25"/>
        </w:rPr>
        <w:t> </w:t>
      </w:r>
      <w:r>
        <w:rPr>
          <w:spacing w:val="-25"/>
        </w:rPr>
      </w:r>
      <w:r>
        <w:rPr/>
        <w:t>考虑持有存货的目的以及资产负债表日后事项的影响。</w:t>
      </w:r>
    </w:p>
    <w:p>
      <w:pPr>
        <w:pStyle w:val="BodyText"/>
        <w:spacing w:line="350" w:lineRule="auto" w:before="27"/>
        <w:ind w:right="137" w:firstLine="419"/>
        <w:jc w:val="both"/>
      </w:pPr>
      <w:r>
        <w:rPr>
          <w:spacing w:val="-2"/>
        </w:rPr>
        <w:t>在资产负债表日，存货按照成本与可变现净值孰低计量。当其可变现净值低于成本时，提取</w:t>
      </w:r>
      <w:r>
        <w:rPr>
          <w:w w:val="100"/>
        </w:rPr>
        <w:t> </w:t>
      </w:r>
      <w:r>
        <w:rPr>
          <w:spacing w:val="-2"/>
        </w:rPr>
        <w:t>存货跌价准备。存货跌价准备通常按单个存货项目的成本高于其可变现净值的差额提取。对于数</w:t>
      </w:r>
      <w:r>
        <w:rPr>
          <w:spacing w:val="-25"/>
        </w:rPr>
        <w:t> </w:t>
      </w:r>
      <w:r>
        <w:rPr>
          <w:spacing w:val="-25"/>
        </w:rPr>
      </w:r>
      <w:r>
        <w:rPr>
          <w:spacing w:val="-2"/>
        </w:rPr>
        <w:t>量繁多、单价较低的存货，按存货类别计提存货跌价准备；对在同一地区生产和销售的产品系列</w:t>
      </w:r>
      <w:r>
        <w:rPr>
          <w:spacing w:val="-25"/>
        </w:rPr>
        <w:t> </w:t>
      </w:r>
      <w:r>
        <w:rPr>
          <w:spacing w:val="-25"/>
        </w:rPr>
      </w:r>
      <w:r>
        <w:rPr>
          <w:spacing w:val="-2"/>
        </w:rPr>
        <w:t>相关、具有相同或类似最终用途或目的，且难以与其他项目分开计量的存货，可合并计提存货跌</w:t>
      </w:r>
      <w:r>
        <w:rPr>
          <w:spacing w:val="-25"/>
        </w:rPr>
        <w:t> </w:t>
      </w:r>
      <w:r>
        <w:rPr>
          <w:spacing w:val="-25"/>
        </w:rPr>
      </w:r>
      <w:r>
        <w:rPr/>
        <w:t>价准备。</w:t>
      </w:r>
    </w:p>
    <w:p>
      <w:pPr>
        <w:pStyle w:val="BodyText"/>
        <w:spacing w:line="348" w:lineRule="auto" w:before="29"/>
        <w:ind w:right="137" w:firstLine="419"/>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pStyle w:val="BodyText"/>
        <w:spacing w:line="240" w:lineRule="auto" w:before="31"/>
        <w:ind w:left="558" w:right="125"/>
        <w:jc w:val="left"/>
      </w:pPr>
      <w:r>
        <w:rPr/>
        <w:t>（</w:t>
      </w:r>
      <w:r>
        <w:rPr>
          <w:rFonts w:ascii="宋体" w:hAnsi="宋体" w:cs="宋体" w:eastAsia="宋体" w:hint="default"/>
        </w:rPr>
        <w:t>4</w:t>
      </w:r>
      <w:r>
        <w:rPr/>
        <w:t>）存货的盘存制度为永续盘存制。</w:t>
      </w:r>
    </w:p>
    <w:p>
      <w:pPr>
        <w:pStyle w:val="BodyText"/>
        <w:spacing w:line="348" w:lineRule="auto" w:before="126"/>
        <w:ind w:left="558" w:right="3467"/>
        <w:jc w:val="left"/>
      </w:pPr>
      <w:r>
        <w:rPr/>
        <w:t>（</w:t>
      </w:r>
      <w:r>
        <w:rPr>
          <w:rFonts w:ascii="宋体" w:hAnsi="宋体" w:cs="宋体" w:eastAsia="宋体" w:hint="default"/>
        </w:rPr>
        <w:t>5</w:t>
      </w:r>
      <w:r>
        <w:rPr/>
        <w:t>）低值易耗品和包装物的摊销方法</w:t>
      </w:r>
      <w:r>
        <w:rPr>
          <w:w w:val="100"/>
        </w:rPr>
        <w:t> </w:t>
      </w:r>
      <w:r>
        <w:rPr>
          <w:spacing w:val="-2"/>
        </w:rPr>
        <w:t>低值易耗品和包装物于领用时按一次摊销法摊销。</w:t>
      </w:r>
    </w:p>
    <w:p>
      <w:pPr>
        <w:pStyle w:val="Heading3"/>
        <w:spacing w:line="259" w:lineRule="exact" w:before="0"/>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tabs>
          <w:tab w:pos="1083" w:val="left" w:leader="none"/>
        </w:tabs>
        <w:spacing w:line="290" w:lineRule="auto" w:before="58"/>
        <w:ind w:left="138" w:right="717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√不适用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b/>
          <w:bCs/>
          <w:sz w:val="21"/>
          <w:szCs w:val="21"/>
        </w:rPr>
        <w:t>14.</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tabs>
          <w:tab w:pos="980" w:val="left" w:leader="none"/>
        </w:tabs>
        <w:spacing w:line="331" w:lineRule="auto" w:before="14"/>
        <w:ind w:left="558" w:right="137" w:hanging="420"/>
        <w:jc w:val="left"/>
      </w:pPr>
      <w:r>
        <w:rPr>
          <w:spacing w:val="-1"/>
        </w:rPr>
        <w:t>√适用</w:t>
        <w:tab/>
      </w:r>
      <w:r>
        <w:rPr>
          <w:spacing w:val="-2"/>
        </w:rPr>
        <w:t>□不适用</w:t>
      </w:r>
      <w:r>
        <w:rPr>
          <w:spacing w:val="-99"/>
        </w:rPr>
        <w:t> </w:t>
      </w:r>
      <w:r>
        <w:rPr>
          <w:spacing w:val="-99"/>
        </w:rPr>
      </w:r>
      <w:r>
        <w:rPr>
          <w:spacing w:val="-2"/>
        </w:rPr>
        <w:t>本部分所指的长期股权投资是指本公司对被投资单位具有控制、共同控制或重大影响的长期</w:t>
      </w:r>
    </w:p>
    <w:p>
      <w:pPr>
        <w:pStyle w:val="BodyText"/>
        <w:spacing w:line="348" w:lineRule="auto" w:before="46"/>
        <w:ind w:right="137"/>
        <w:jc w:val="both"/>
      </w:pPr>
      <w:r>
        <w:rPr>
          <w:spacing w:val="-2"/>
        </w:rPr>
        <w:t>股权投资。本公司对被投资单位不具有控制、共同控制或重大影响的长期股权投资，作为可供出</w:t>
      </w:r>
      <w:r>
        <w:rPr>
          <w:spacing w:val="-26"/>
        </w:rPr>
        <w:t> </w:t>
      </w:r>
      <w:r>
        <w:rPr>
          <w:spacing w:val="-26"/>
        </w:rPr>
      </w:r>
      <w:r>
        <w:rPr>
          <w:spacing w:val="-2"/>
        </w:rPr>
        <w:t>售金融资产或以公允价值计量且其变动计入当期损益的金融资产核算，其会计政策详见附注五、</w:t>
      </w:r>
      <w:r>
        <w:rPr>
          <w:spacing w:val="-25"/>
        </w:rPr>
        <w:t> </w:t>
      </w:r>
      <w:r>
        <w:rPr>
          <w:spacing w:val="-25"/>
        </w:rPr>
      </w:r>
      <w:r>
        <w:rPr>
          <w:rFonts w:ascii="宋体" w:hAnsi="宋体" w:cs="宋体" w:eastAsia="宋体" w:hint="default"/>
        </w:rPr>
        <w:t>10</w:t>
      </w:r>
      <w:r>
        <w:rPr/>
        <w:t>“金融工具”。</w:t>
      </w:r>
    </w:p>
    <w:p>
      <w:pPr>
        <w:pStyle w:val="BodyText"/>
        <w:spacing w:line="350" w:lineRule="auto" w:before="31"/>
        <w:ind w:right="137" w:firstLine="419"/>
        <w:jc w:val="both"/>
      </w:pPr>
      <w:r>
        <w:rPr>
          <w:spacing w:val="-2"/>
        </w:rPr>
        <w:t>共同控制，是指本公司按照相关约定对某项安排所共有的控制，并且该安排的相关活动必须</w:t>
      </w:r>
      <w:r>
        <w:rPr>
          <w:w w:val="100"/>
        </w:rPr>
        <w:t> </w:t>
      </w: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p>
    <w:p>
      <w:pPr>
        <w:pStyle w:val="BodyText"/>
        <w:spacing w:line="348" w:lineRule="auto" w:before="29"/>
        <w:ind w:left="558" w:right="125"/>
        <w:jc w:val="left"/>
      </w:pPr>
      <w:r>
        <w:rPr/>
        <w:t>（</w:t>
      </w:r>
      <w:r>
        <w:rPr>
          <w:rFonts w:ascii="宋体" w:hAnsi="宋体" w:cs="宋体" w:eastAsia="宋体" w:hint="default"/>
        </w:rPr>
        <w:t>1</w:t>
      </w:r>
      <w:r>
        <w:rPr/>
        <w:t>）投资成本的确定</w:t>
      </w:r>
      <w:r>
        <w:rPr>
          <w:w w:val="100"/>
        </w:rPr>
        <w:t> </w:t>
      </w:r>
      <w:r>
        <w:rPr>
          <w:spacing w:val="-2"/>
        </w:rPr>
        <w:t>对于同一控制下的企业合并取得的长期股权投资，在合并日按照被合并方股东权益在最终控</w:t>
      </w:r>
    </w:p>
    <w:p>
      <w:pPr>
        <w:pStyle w:val="BodyText"/>
        <w:spacing w:line="350" w:lineRule="auto" w:before="31"/>
        <w:ind w:right="137"/>
        <w:jc w:val="both"/>
      </w:pPr>
      <w:r>
        <w:rPr>
          <w:spacing w:val="-2"/>
        </w:rPr>
        <w:t>制方合并财务报表中的账面价值的份额作为长期股权投资的初始投资成本。长期股权投资初始投</w:t>
      </w:r>
      <w:r>
        <w:rPr>
          <w:spacing w:val="-25"/>
        </w:rPr>
        <w:t> </w:t>
      </w:r>
      <w:r>
        <w:rPr>
          <w:spacing w:val="-25"/>
        </w:rPr>
      </w:r>
      <w:r>
        <w:rPr>
          <w:spacing w:val="-2"/>
        </w:rPr>
        <w:t>资成本与支付的现金、转让的非现金资产以及所承担债务账面价值之间的差额，调整资本公积；</w:t>
      </w:r>
      <w:r>
        <w:rPr>
          <w:spacing w:val="-25"/>
        </w:rPr>
        <w:t> </w:t>
      </w:r>
      <w:r>
        <w:rPr>
          <w:spacing w:val="-25"/>
        </w:rPr>
      </w:r>
      <w:r>
        <w:rPr>
          <w:spacing w:val="-2"/>
        </w:rPr>
        <w:t>资本公积不足冲减的，调整留存收益。以发行权益性证券作为合并对价的，在合并日按照被合并</w:t>
      </w:r>
      <w:r>
        <w:rPr>
          <w:spacing w:val="-25"/>
        </w:rPr>
        <w:t> </w:t>
      </w:r>
      <w:r>
        <w:rPr>
          <w:spacing w:val="-25"/>
        </w:rPr>
      </w:r>
      <w:r>
        <w:rPr>
          <w:spacing w:val="-2"/>
        </w:rPr>
        <w:t>方股东权益在最终控制方合并财务报表中的账面价值的份额作为长期股权投资的初始投资成本，</w:t>
      </w:r>
      <w:r>
        <w:rPr>
          <w:spacing w:val="-25"/>
        </w:rPr>
        <w:t> </w:t>
      </w:r>
      <w:r>
        <w:rPr>
          <w:spacing w:val="-25"/>
        </w:rPr>
      </w:r>
      <w:r>
        <w:rPr>
          <w:spacing w:val="-2"/>
        </w:rPr>
        <w:t>按照发行股份的面值总额作为股本，长期股权投资初始投资成本与所发行股份面值总额之间的差</w:t>
      </w:r>
      <w:r>
        <w:rPr>
          <w:spacing w:val="-25"/>
        </w:rPr>
        <w:t> </w:t>
      </w:r>
      <w:r>
        <w:rPr>
          <w:spacing w:val="-25"/>
        </w:rPr>
      </w:r>
      <w:r>
        <w:rPr>
          <w:spacing w:val="-2"/>
        </w:rPr>
        <w:t>额，调整资本公积；资本公积不足冲减的，调整留存收益。通过多次交易分步取得同一控制下被</w:t>
      </w:r>
    </w:p>
    <w:p>
      <w:pPr>
        <w:spacing w:after="0" w:line="35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jc w:val="both"/>
      </w:pPr>
      <w:r>
        <w:rPr>
          <w:spacing w:val="-2"/>
        </w:rPr>
        <w:t>合并方的股权，最终形成同一控制下企业合并的，应分别是否属于“一揽子交易”进行处理：属</w:t>
      </w:r>
      <w:r>
        <w:rPr>
          <w:spacing w:val="-25"/>
        </w:rPr>
        <w:t> </w:t>
      </w:r>
      <w:r>
        <w:rPr>
          <w:spacing w:val="-25"/>
        </w:rPr>
      </w:r>
      <w:r>
        <w:rPr>
          <w:spacing w:val="-2"/>
        </w:rPr>
        <w:t>于“一揽子交易”的，将各项交易作为一项取得控制权的交易进行会计处理。不属于“一揽子交</w:t>
      </w:r>
      <w:r>
        <w:rPr>
          <w:spacing w:val="-25"/>
        </w:rPr>
        <w:t> </w:t>
      </w:r>
      <w:r>
        <w:rPr>
          <w:spacing w:val="-25"/>
        </w:rPr>
      </w:r>
      <w:r>
        <w:rPr>
          <w:spacing w:val="-2"/>
        </w:rPr>
        <w:t>易”的，在合并日按照应享有被合并方股东权益在最终控制方合并财务报表中的账面价值的份额</w:t>
      </w:r>
      <w:r>
        <w:rPr>
          <w:spacing w:val="-25"/>
        </w:rPr>
        <w:t> </w:t>
      </w:r>
      <w:r>
        <w:rPr>
          <w:spacing w:val="-25"/>
        </w:rPr>
      </w:r>
      <w:r>
        <w:rPr>
          <w:spacing w:val="-2"/>
        </w:rPr>
        <w:t>作为长期股权投资的初始投资成本，长期股权投资初始投资成本与达到合并前的长期股权投资账</w:t>
      </w:r>
      <w:r>
        <w:rPr>
          <w:spacing w:val="-25"/>
        </w:rPr>
        <w:t> </w:t>
      </w:r>
      <w:r>
        <w:rPr>
          <w:spacing w:val="-25"/>
        </w:rPr>
      </w:r>
      <w:r>
        <w:rPr>
          <w:spacing w:val="-2"/>
        </w:rPr>
        <w:t>面价值加上合并日进一步取得股份新支付对价的账面价值之和的差额，调整资本公积；资本公积</w:t>
      </w:r>
      <w:r>
        <w:rPr>
          <w:spacing w:val="-25"/>
        </w:rPr>
        <w:t> </w:t>
      </w:r>
      <w:r>
        <w:rPr>
          <w:spacing w:val="-25"/>
        </w:rPr>
      </w:r>
      <w:r>
        <w:rPr>
          <w:spacing w:val="-2"/>
        </w:rPr>
        <w:t>不足冲减的，调整留存收益。合并日之前持有的股权投资因采用权益法核算或为可供出售金融资</w:t>
      </w:r>
      <w:r>
        <w:rPr>
          <w:spacing w:val="-25"/>
        </w:rPr>
        <w:t> </w:t>
      </w:r>
      <w:r>
        <w:rPr>
          <w:spacing w:val="-25"/>
        </w:rPr>
      </w:r>
      <w:r>
        <w:rPr/>
        <w:t>产而确认的其他综合收益，暂不进行会计处理。</w:t>
      </w:r>
    </w:p>
    <w:p>
      <w:pPr>
        <w:pStyle w:val="BodyText"/>
        <w:spacing w:line="350" w:lineRule="auto" w:before="29"/>
        <w:ind w:right="104" w:firstLine="419"/>
        <w:jc w:val="both"/>
      </w:pPr>
      <w:r>
        <w:rPr/>
        <w:t>对于非同一控制下的企业合并取得的长期股权投资，在购买日按照合并成本作为长期股权投</w:t>
      </w:r>
      <w:r>
        <w:rPr>
          <w:w w:val="100"/>
        </w:rPr>
        <w:t> </w:t>
      </w:r>
      <w:r>
        <w:rPr/>
        <w:t>资的初始投资成本，合并成本包括购买方付出的资产、发生或承担的负债、发行的权益性证券的</w:t>
      </w:r>
      <w:r>
        <w:rPr>
          <w:w w:val="100"/>
        </w:rPr>
        <w:t> </w:t>
      </w:r>
      <w:r>
        <w:rPr/>
        <w:t>公允价值之和。通过多次交易分步取得被购买方的股权，最终形成非同一控制下的企业合并的，</w:t>
      </w:r>
      <w:r>
        <w:rPr>
          <w:w w:val="100"/>
        </w:rPr>
        <w:t> </w:t>
      </w:r>
      <w:r>
        <w:rPr/>
        <w:t>应分别是否属于“一揽子交易”进行处理：属于“一揽子交易”的，将各项交易作为一项取得控</w:t>
      </w:r>
      <w:r>
        <w:rPr>
          <w:w w:val="100"/>
        </w:rPr>
        <w:t> </w:t>
      </w:r>
      <w:r>
        <w:rPr/>
        <w:t>制权的交易进行会计处理。不属于“一揽子交易”的，按照原持有被购买方的股权投资账面价值</w:t>
      </w:r>
      <w:r>
        <w:rPr>
          <w:w w:val="100"/>
        </w:rPr>
        <w:t> </w:t>
      </w:r>
      <w:r>
        <w:rPr/>
        <w:t>加上新增投资成本之和，作为改按成本法核算的长期股权投资的初始投资成本。原持有的股权采</w:t>
      </w:r>
      <w:r>
        <w:rPr>
          <w:w w:val="100"/>
        </w:rPr>
        <w:t> </w:t>
      </w:r>
      <w:r>
        <w:rPr>
          <w:spacing w:val="-6"/>
          <w:w w:val="100"/>
        </w:rPr>
        <w:t>用权益法核算的，相关其他综合收益暂不进行会计处理。原持有股权投资为可供出售金融资产的，</w:t>
      </w:r>
      <w:r>
        <w:rPr>
          <w:w w:val="100"/>
        </w:rPr>
        <w:t> </w:t>
      </w:r>
      <w:r>
        <w:rPr>
          <w:spacing w:val="-4"/>
          <w:w w:val="100"/>
        </w:rPr>
        <w:t>其公允价值与账面价值之间的差额，以及原计入其他综合收益的累计公允价值变动转入当期损益。</w:t>
      </w:r>
    </w:p>
    <w:p>
      <w:pPr>
        <w:pStyle w:val="BodyText"/>
        <w:spacing w:line="350" w:lineRule="auto" w:before="27"/>
        <w:ind w:right="101" w:firstLine="419"/>
        <w:jc w:val="left"/>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350" w:lineRule="auto" w:before="29"/>
        <w:ind w:right="101" w:firstLine="419"/>
        <w:jc w:val="left"/>
      </w:pPr>
      <w:r>
        <w:rPr/>
        <w:t>除企业合并形成的长期股权投资外的其他股权投资，按成本进行初始计量，该成本视长期股</w:t>
      </w:r>
      <w:r>
        <w:rPr>
          <w:w w:val="100"/>
        </w:rPr>
        <w:t> </w:t>
      </w:r>
      <w:r>
        <w:rPr/>
        <w:t>权投资取得方式的不同，分别按照本公司实际支付的现金购买价款、本公司发行的权益性证券的</w:t>
      </w:r>
      <w:r>
        <w:rPr>
          <w:w w:val="100"/>
        </w:rPr>
        <w:t> </w:t>
      </w:r>
      <w:r>
        <w:rPr/>
        <w:t>公允价值、投资合同或协议约定的价值、非货币性资产交换交易中换出资产的公允价值或原账面</w:t>
      </w:r>
      <w:r>
        <w:rPr>
          <w:w w:val="100"/>
        </w:rPr>
        <w:t> </w:t>
      </w:r>
      <w:r>
        <w:rPr/>
        <w:t>价值、该项长期股权投资自身的公允价值等方式确定。与取得长期股权投资直接相关的费用、税</w:t>
      </w:r>
      <w:r>
        <w:rPr>
          <w:w w:val="100"/>
        </w:rPr>
        <w:t> </w:t>
      </w:r>
      <w:r>
        <w:rPr/>
        <w:t>金及其他必要支出也计入投资成本。对于因追加投资能够对被投资单位实施重大影响或实施共同</w:t>
      </w:r>
      <w:r>
        <w:rPr>
          <w:w w:val="100"/>
        </w:rPr>
        <w:t> </w:t>
      </w:r>
      <w:r>
        <w:rPr>
          <w:spacing w:val="-9"/>
          <w:w w:val="100"/>
        </w:rPr>
        <w:t>控制但不构成控制的，长期股权投资成本为按照《企业会计准则第</w:t>
      </w:r>
      <w:r>
        <w:rPr>
          <w:spacing w:val="-41"/>
          <w:w w:val="100"/>
        </w:rPr>
        <w:t> </w:t>
      </w:r>
      <w:r>
        <w:rPr>
          <w:rFonts w:ascii="宋体" w:hAnsi="宋体" w:cs="宋体" w:eastAsia="宋体" w:hint="default"/>
          <w:w w:val="100"/>
        </w:rPr>
        <w:t>22</w:t>
      </w:r>
      <w:r>
        <w:rPr>
          <w:rFonts w:ascii="宋体" w:hAnsi="宋体" w:cs="宋体" w:eastAsia="宋体" w:hint="default"/>
          <w:spacing w:val="-44"/>
          <w:w w:val="100"/>
        </w:rPr>
        <w:t> </w:t>
      </w:r>
      <w:r>
        <w:rPr>
          <w:spacing w:val="-2"/>
          <w:w w:val="100"/>
        </w:rPr>
        <w:t>号——金融工具确认和计量》</w:t>
      </w:r>
      <w:r>
        <w:rPr>
          <w:spacing w:val="-101"/>
          <w:w w:val="100"/>
        </w:rPr>
        <w:t> </w:t>
      </w:r>
      <w:r>
        <w:rPr>
          <w:spacing w:val="-101"/>
          <w:w w:val="100"/>
        </w:rPr>
      </w:r>
      <w:r>
        <w:rPr/>
        <w:t>确定的原持有股权投资的公允价值加上新增投资成本之和。</w:t>
      </w:r>
    </w:p>
    <w:p>
      <w:pPr>
        <w:pStyle w:val="BodyText"/>
        <w:spacing w:line="350" w:lineRule="auto" w:before="27"/>
        <w:ind w:left="558" w:right="101"/>
        <w:jc w:val="left"/>
      </w:pPr>
      <w:r>
        <w:rPr/>
        <w:t>（</w:t>
      </w:r>
      <w:r>
        <w:rPr>
          <w:rFonts w:ascii="宋体" w:hAnsi="宋体" w:cs="宋体" w:eastAsia="宋体" w:hint="default"/>
        </w:rPr>
        <w:t>2</w:t>
      </w:r>
      <w:r>
        <w:rPr/>
        <w:t>）后续计量及损益确认方法</w:t>
      </w:r>
      <w:r>
        <w:rPr>
          <w:w w:val="100"/>
        </w:rPr>
        <w:t> </w:t>
      </w:r>
      <w:r>
        <w:rPr>
          <w:spacing w:val="-2"/>
        </w:rPr>
        <w:t>对被投资单位具有共同控制（构成共同经营者除外）或重大影响的长期股权投资，采用权益</w:t>
      </w:r>
    </w:p>
    <w:p>
      <w:pPr>
        <w:pStyle w:val="BodyText"/>
        <w:spacing w:line="240" w:lineRule="auto" w:before="29"/>
        <w:ind w:right="0"/>
        <w:jc w:val="both"/>
      </w:pPr>
      <w:r>
        <w:rPr/>
        <w:t>法核算。此外，公司财务报表采用成本法核算能够对被投资单位实施控制的长期股权投资。</w:t>
      </w:r>
    </w:p>
    <w:p>
      <w:pPr>
        <w:pStyle w:val="BodyText"/>
        <w:spacing w:line="350" w:lineRule="auto" w:before="123"/>
        <w:ind w:left="558" w:right="101"/>
        <w:jc w:val="left"/>
      </w:pPr>
      <w:r>
        <w:rPr/>
        <w:t>①成本法核算的长期股权投资</w:t>
      </w:r>
      <w:r>
        <w:rPr>
          <w:w w:val="100"/>
        </w:rPr>
        <w:t> </w:t>
      </w:r>
      <w:r>
        <w:rPr>
          <w:spacing w:val="-2"/>
        </w:rPr>
        <w:t>采用成本法核算时，长期股权投资按初始投资成本计价，追加或收回投资调整长期股权投资</w:t>
      </w:r>
    </w:p>
    <w:p>
      <w:pPr>
        <w:pStyle w:val="BodyText"/>
        <w:spacing w:line="348" w:lineRule="auto" w:before="29"/>
        <w:ind w:right="217"/>
        <w:jc w:val="both"/>
      </w:pPr>
      <w:r>
        <w:rPr>
          <w:spacing w:val="-2"/>
        </w:rPr>
        <w:t>的成本。除取得投资时实际支付的价款或者对价中包含的已宣告但尚未发放的现金股利或者利润</w:t>
      </w:r>
      <w:r>
        <w:rPr>
          <w:spacing w:val="-25"/>
        </w:rPr>
        <w:t> </w:t>
      </w:r>
      <w:r>
        <w:rPr>
          <w:spacing w:val="-25"/>
        </w:rPr>
      </w:r>
      <w:r>
        <w:rPr/>
        <w:t>外，当期投资收益按照享有被投资单位宣告发放的现金股利或利润确认。</w:t>
      </w:r>
    </w:p>
    <w:p>
      <w:pPr>
        <w:pStyle w:val="BodyText"/>
        <w:spacing w:line="240" w:lineRule="auto" w:before="31"/>
        <w:ind w:left="558" w:right="101"/>
        <w:jc w:val="left"/>
      </w:pPr>
      <w:r>
        <w:rPr/>
        <w:t>②权益法核算的长期股权投资</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firstLine="419"/>
        <w:jc w:val="both"/>
      </w:pPr>
      <w:r>
        <w:rPr>
          <w:spacing w:val="-2"/>
        </w:rPr>
        <w:t>采用权益法核算时，长期股权投资的初始投资成本大于投资时应享有被投资单位可辨认净资</w:t>
      </w:r>
      <w:r>
        <w:rPr>
          <w:w w:val="100"/>
        </w:rPr>
        <w:t> </w:t>
      </w: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50" w:lineRule="auto" w:before="27"/>
        <w:ind w:right="101" w:firstLine="419"/>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r>
        <w:rPr>
          <w:w w:val="100"/>
        </w:rPr>
        <w:t> </w:t>
      </w: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r>
        <w:rPr>
          <w:w w:val="100"/>
        </w:rPr>
        <w:t> </w:t>
      </w:r>
      <w:r>
        <w:rPr/>
        <w:t>本公司自联营企业及合营企业购入的资产构成业务的，按《企业会计准则第</w:t>
      </w:r>
      <w:r>
        <w:rPr>
          <w:spacing w:val="-54"/>
        </w:rPr>
        <w:t> </w:t>
      </w:r>
      <w:r>
        <w:rPr>
          <w:rFonts w:ascii="宋体" w:hAnsi="宋体" w:cs="宋体" w:eastAsia="宋体" w:hint="default"/>
        </w:rPr>
        <w:t>20</w:t>
      </w:r>
      <w:r>
        <w:rPr>
          <w:rFonts w:ascii="宋体" w:hAnsi="宋体" w:cs="宋体" w:eastAsia="宋体" w:hint="default"/>
          <w:spacing w:val="-51"/>
        </w:rPr>
        <w:t> </w:t>
      </w:r>
      <w:r>
        <w:rPr/>
        <w:t>号——企业合并》</w:t>
      </w:r>
      <w:r>
        <w:rPr>
          <w:w w:val="100"/>
        </w:rPr>
        <w:t> </w:t>
      </w:r>
      <w:r>
        <w:rPr/>
        <w:t>的规定进行会计处理，全额确认与交易相关的利得或损失。</w:t>
      </w:r>
    </w:p>
    <w:p>
      <w:pPr>
        <w:pStyle w:val="BodyText"/>
        <w:spacing w:line="350" w:lineRule="auto" w:before="29"/>
        <w:ind w:right="217" w:firstLine="419"/>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348" w:lineRule="auto" w:before="29"/>
        <w:ind w:left="558" w:right="101"/>
        <w:jc w:val="left"/>
      </w:pPr>
      <w:r>
        <w:rPr/>
        <w:t>③收购少数股权</w:t>
      </w:r>
      <w:r>
        <w:rPr>
          <w:spacing w:val="-103"/>
        </w:rPr>
        <w:t> </w:t>
      </w:r>
      <w:r>
        <w:rPr>
          <w:spacing w:val="-103"/>
        </w:rPr>
      </w:r>
      <w:r>
        <w:rPr>
          <w:spacing w:val="-2"/>
        </w:rPr>
        <w:t>在编制合并财务报表时，因购买少数股权新增的长期股权投资与按照新增持股比例计算应享</w:t>
      </w:r>
    </w:p>
    <w:p>
      <w:pPr>
        <w:pStyle w:val="BodyText"/>
        <w:spacing w:line="350" w:lineRule="auto" w:before="31"/>
        <w:ind w:right="217"/>
        <w:jc w:val="both"/>
      </w:pPr>
      <w:r>
        <w:rPr>
          <w:spacing w:val="-2"/>
        </w:rPr>
        <w:t>有子公司自购买日（或合并日）开始持续计算的净资产份额之间的差额，调整资本公积，资本公</w:t>
      </w:r>
      <w:r>
        <w:rPr>
          <w:spacing w:val="-25"/>
        </w:rPr>
        <w:t> </w:t>
      </w:r>
      <w:r>
        <w:rPr>
          <w:spacing w:val="-25"/>
        </w:rPr>
      </w:r>
      <w:r>
        <w:rPr/>
        <w:t>积不足冲减的，调整留存收益。</w:t>
      </w:r>
    </w:p>
    <w:p>
      <w:pPr>
        <w:pStyle w:val="BodyText"/>
        <w:spacing w:line="350" w:lineRule="auto" w:before="27"/>
        <w:ind w:left="558" w:right="101"/>
        <w:jc w:val="left"/>
      </w:pPr>
      <w:r>
        <w:rPr/>
        <w:t>④处置长期股权投资</w:t>
      </w:r>
      <w:r>
        <w:rPr>
          <w:w w:val="100"/>
        </w:rPr>
        <w:t> </w:t>
      </w:r>
      <w:r>
        <w:rPr>
          <w:spacing w:val="-2"/>
        </w:rPr>
        <w:t>在合并财务报表中，母公司在不丧失控制权的情况下部分处置对子公司的长期股权投资，处</w:t>
      </w:r>
    </w:p>
    <w:p>
      <w:pPr>
        <w:pStyle w:val="BodyText"/>
        <w:spacing w:line="348" w:lineRule="auto" w:before="29"/>
        <w:ind w:right="217"/>
        <w:jc w:val="both"/>
      </w:pPr>
      <w:r>
        <w:rPr>
          <w:spacing w:val="-2"/>
        </w:rPr>
        <w:t>置价款与处置长期股权投资相对应享有子公司净资产的差额计入股东权益；母公司部分处置对子</w:t>
      </w:r>
      <w:r>
        <w:rPr>
          <w:spacing w:val="-25"/>
        </w:rPr>
        <w:t> </w:t>
      </w:r>
      <w:r>
        <w:rPr>
          <w:spacing w:val="-25"/>
        </w:rPr>
      </w:r>
      <w:r>
        <w:rPr>
          <w:spacing w:val="-2"/>
        </w:rPr>
        <w:t>公司的长期股权投资导致丧失对子公司控制权的，按本报告第十一节、五、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）“合并财务</w:t>
      </w:r>
      <w:r>
        <w:rPr>
          <w:spacing w:val="-26"/>
        </w:rPr>
        <w:t> </w:t>
      </w:r>
      <w:r>
        <w:rPr>
          <w:spacing w:val="-26"/>
        </w:rPr>
      </w:r>
      <w:r>
        <w:rPr/>
        <w:t>报表编制的方法”中所述的相关会计政策处理。</w:t>
      </w:r>
    </w:p>
    <w:p>
      <w:pPr>
        <w:pStyle w:val="BodyText"/>
        <w:spacing w:line="348" w:lineRule="auto" w:before="31"/>
        <w:ind w:right="217" w:firstLine="419"/>
        <w:jc w:val="both"/>
      </w:pPr>
      <w:r>
        <w:rPr>
          <w:spacing w:val="-2"/>
        </w:rPr>
        <w:t>其他情形下的长期股权投资处置，对于处置的股权，其账面价值与实际取得价款的差额，计</w:t>
      </w:r>
      <w:r>
        <w:rPr>
          <w:w w:val="100"/>
        </w:rPr>
        <w:t> </w:t>
      </w:r>
      <w:r>
        <w:rPr/>
        <w:t>入当期损益。</w:t>
      </w:r>
    </w:p>
    <w:p>
      <w:pPr>
        <w:spacing w:after="0" w:line="348"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firstLine="419"/>
        <w:jc w:val="both"/>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5"/>
        </w:rPr>
        <w:t> </w:t>
      </w:r>
      <w:r>
        <w:rPr>
          <w:spacing w:val="-25"/>
        </w:rPr>
      </w:r>
      <w:r>
        <w:rPr/>
        <w:t>而确认的所有者权益，按比例结转入当期损益。</w:t>
      </w:r>
    </w:p>
    <w:p>
      <w:pPr>
        <w:pStyle w:val="BodyText"/>
        <w:spacing w:line="350" w:lineRule="auto" w:before="29"/>
        <w:ind w:right="137" w:firstLine="419"/>
        <w:jc w:val="both"/>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p>
    <w:p>
      <w:pPr>
        <w:pStyle w:val="BodyText"/>
        <w:spacing w:line="350" w:lineRule="auto" w:before="27"/>
        <w:ind w:right="137" w:firstLine="419"/>
        <w:jc w:val="both"/>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r>
        <w:rPr>
          <w:spacing w:val="-25"/>
        </w:rPr>
        <w:t> </w:t>
      </w:r>
      <w:r>
        <w:rPr>
          <w:spacing w:val="-25"/>
        </w:rPr>
      </w: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pStyle w:val="BodyText"/>
        <w:spacing w:line="350" w:lineRule="auto" w:before="29"/>
        <w:ind w:right="137" w:firstLine="419"/>
        <w:jc w:val="both"/>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6"/>
        </w:rPr>
        <w:t> </w:t>
      </w:r>
      <w:r>
        <w:rPr>
          <w:spacing w:val="-26"/>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pStyle w:val="BodyText"/>
        <w:spacing w:line="350" w:lineRule="auto" w:before="29"/>
        <w:ind w:right="137" w:firstLine="419"/>
        <w:jc w:val="both"/>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p>
    <w:p>
      <w:pPr>
        <w:pStyle w:val="Heading3"/>
        <w:spacing w:line="254" w:lineRule="exact" w:before="0"/>
        <w:ind w:left="138" w:right="125"/>
        <w:jc w:val="left"/>
        <w:rPr>
          <w:b w:val="0"/>
          <w:bCs w:val="0"/>
        </w:rPr>
      </w:pPr>
      <w:r>
        <w:rPr>
          <w:rFonts w:ascii="宋体" w:hAnsi="宋体" w:cs="宋体" w:eastAsia="宋体" w:hint="default"/>
        </w:rPr>
        <w:t>15.</w:t>
      </w:r>
      <w:r>
        <w:rPr>
          <w:rFonts w:ascii="宋体" w:hAnsi="宋体" w:cs="宋体" w:eastAsia="宋体" w:hint="default"/>
          <w:spacing w:val="3"/>
        </w:rPr>
        <w:t> </w:t>
      </w:r>
      <w:r>
        <w:rPr/>
        <w:t>投资性房地产</w:t>
      </w:r>
      <w:r>
        <w:rPr>
          <w:b w:val="0"/>
          <w:bCs w:val="0"/>
        </w:rPr>
      </w:r>
    </w:p>
    <w:p>
      <w:pPr>
        <w:pStyle w:val="BodyText"/>
        <w:spacing w:line="240" w:lineRule="auto" w:before="58"/>
        <w:ind w:right="125"/>
        <w:jc w:val="left"/>
      </w:pPr>
      <w:r>
        <w:rPr/>
        <w:t>不适用</w:t>
      </w:r>
    </w:p>
    <w:p>
      <w:pPr>
        <w:pStyle w:val="Heading3"/>
        <w:spacing w:line="292" w:lineRule="auto" w:before="56"/>
        <w:ind w:left="138" w:right="76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0"/>
        <w:ind w:right="125"/>
        <w:jc w:val="left"/>
      </w:pPr>
      <w:r>
        <w:rPr/>
        <w:t>√适用</w:t>
      </w:r>
      <w:r>
        <w:rPr>
          <w:spacing w:val="-1"/>
        </w:rPr>
        <w:t> </w:t>
      </w:r>
      <w:r>
        <w:rPr/>
        <w:t>□不适用</w:t>
      </w:r>
    </w:p>
    <w:p>
      <w:pPr>
        <w:spacing w:after="0" w:line="240" w:lineRule="auto"/>
        <w:jc w:val="left"/>
        <w:sectPr>
          <w:footerReference w:type="default" r:id="rId66"/>
          <w:pgSz w:w="11910" w:h="16840"/>
          <w:pgMar w:footer="1195" w:header="882" w:top="1120" w:bottom="1380" w:left="1660" w:right="1140"/>
          <w:pgNumType w:start="106"/>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218" w:right="237" w:firstLine="419"/>
        <w:jc w:val="both"/>
      </w:pPr>
      <w:r>
        <w:rPr>
          <w:spacing w:val="-2"/>
        </w:rPr>
        <w:t>固定资产是指为生产商品、提供劳务、出租或经营管理而持有的，使用寿命超过一个会计年</w:t>
      </w:r>
      <w:r>
        <w:rPr>
          <w:w w:val="100"/>
        </w:rPr>
        <w:t> </w:t>
      </w:r>
      <w:r>
        <w:rPr>
          <w:spacing w:val="-2"/>
        </w:rPr>
        <w:t>度的有形资产。固定资产仅在与其有关的经济利益很可能流入本公司，且其成本能够可靠地计量</w:t>
      </w:r>
      <w:r>
        <w:rPr>
          <w:spacing w:val="-25"/>
        </w:rPr>
        <w:t> </w:t>
      </w:r>
      <w:r>
        <w:rPr>
          <w:spacing w:val="-25"/>
        </w:rPr>
      </w:r>
      <w:r>
        <w:rPr/>
        <w:t>时才予以确认。固定资产按成本并考虑预计弃置费用因素的影响进行初始计量。</w:t>
      </w:r>
    </w:p>
    <w:p>
      <w:pPr>
        <w:pStyle w:val="Heading3"/>
        <w:spacing w:line="254" w:lineRule="exact" w:before="0"/>
        <w:ind w:right="246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13.57</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电子及办公设备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9.50-19.00</w:t>
            </w: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333" w:lineRule="auto" w:before="57"/>
        <w:ind w:left="638" w:right="239" w:hanging="420"/>
        <w:jc w:val="left"/>
      </w:pPr>
      <w:r>
        <w:rPr>
          <w:spacing w:val="-1"/>
        </w:rPr>
        <w:t>√适用</w:t>
        <w:tab/>
      </w:r>
      <w:r>
        <w:rPr>
          <w:spacing w:val="-2"/>
        </w:rPr>
        <w:t>□不适用</w:t>
      </w:r>
      <w:r>
        <w:rPr>
          <w:spacing w:val="-99"/>
        </w:rPr>
        <w:t> </w:t>
      </w:r>
      <w:r>
        <w:rPr>
          <w:spacing w:val="-99"/>
        </w:rPr>
      </w:r>
      <w:r>
        <w:rPr>
          <w:spacing w:val="-2"/>
        </w:rPr>
        <w:t>融资租赁为实质上转移了与资产所有权有关的全部风险和报酬的租赁，其所有权最终可能转</w:t>
      </w:r>
    </w:p>
    <w:p>
      <w:pPr>
        <w:pStyle w:val="BodyText"/>
        <w:spacing w:line="350" w:lineRule="auto" w:before="44"/>
        <w:ind w:left="218" w:right="237"/>
        <w:jc w:val="both"/>
      </w:pPr>
      <w:r>
        <w:rPr>
          <w:spacing w:val="-2"/>
        </w:rPr>
        <w:t>移，也可能不转移。以融资租赁方式租入的固定资产采用与自有固定资产一致的政策计提租赁资</w:t>
      </w:r>
      <w:r>
        <w:rPr>
          <w:spacing w:val="-25"/>
        </w:rPr>
        <w:t> </w:t>
      </w:r>
      <w:r>
        <w:rPr>
          <w:spacing w:val="-25"/>
        </w:rPr>
      </w:r>
      <w:r>
        <w:rPr>
          <w:spacing w:val="-2"/>
        </w:rPr>
        <w:t>产折旧。能够合理确定租赁期届满时取得租赁资产所有权的，在租赁资产使用寿命内计提折旧；</w:t>
      </w:r>
      <w:r>
        <w:rPr>
          <w:spacing w:val="-25"/>
        </w:rPr>
        <w:t> </w:t>
      </w:r>
      <w:r>
        <w:rPr>
          <w:spacing w:val="-25"/>
        </w:rPr>
      </w:r>
      <w:r>
        <w:rPr>
          <w:spacing w:val="-2"/>
        </w:rPr>
        <w:t>无法合理确定租赁期届满能够取得租赁资产所有权的，在租赁期与租赁资产使用寿命两者中较短</w:t>
      </w:r>
      <w:r>
        <w:rPr>
          <w:spacing w:val="-25"/>
        </w:rPr>
        <w:t> </w:t>
      </w:r>
      <w:r>
        <w:rPr>
          <w:spacing w:val="-25"/>
        </w:rPr>
      </w:r>
      <w:r>
        <w:rPr/>
        <w:t>的期间内计提折旧。</w:t>
      </w:r>
    </w:p>
    <w:p>
      <w:pPr>
        <w:spacing w:line="350" w:lineRule="auto" w:before="27"/>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）固定资产的减值测试方法及减值准备计提方法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固定资产的减值测试方法和减值准备计提方法详见本报告第十节五、22“长期资产减值”。</w:t>
      </w:r>
    </w:p>
    <w:p>
      <w:pPr>
        <w:pStyle w:val="Heading3"/>
        <w:spacing w:line="240" w:lineRule="auto" w:before="29"/>
        <w:ind w:right="2465"/>
        <w:jc w:val="left"/>
        <w:rPr>
          <w:b w:val="0"/>
          <w:bCs w:val="0"/>
        </w:rPr>
      </w:pPr>
      <w:r>
        <w:rPr/>
        <w:t>（</w:t>
      </w:r>
      <w:r>
        <w:rPr>
          <w:rFonts w:ascii="宋体" w:hAnsi="宋体" w:cs="宋体" w:eastAsia="宋体" w:hint="default"/>
        </w:rPr>
        <w:t>5</w:t>
      </w:r>
      <w:r>
        <w:rPr/>
        <w:t>）其他说明</w:t>
      </w:r>
      <w:r>
        <w:rPr>
          <w:b w:val="0"/>
          <w:bCs w:val="0"/>
        </w:rPr>
      </w:r>
    </w:p>
    <w:p>
      <w:pPr>
        <w:pStyle w:val="BodyText"/>
        <w:spacing w:line="350" w:lineRule="auto" w:before="123"/>
        <w:ind w:left="218" w:right="237" w:firstLine="419"/>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r>
        <w:rPr>
          <w:spacing w:val="-25"/>
        </w:rPr>
        <w:t> </w:t>
      </w:r>
      <w:r>
        <w:rPr>
          <w:spacing w:val="-25"/>
        </w:rPr>
      </w:r>
      <w:r>
        <w:rPr/>
        <w:t>在发生时计入当期损益。</w:t>
      </w:r>
    </w:p>
    <w:p>
      <w:pPr>
        <w:pStyle w:val="BodyText"/>
        <w:spacing w:line="350" w:lineRule="auto" w:before="27"/>
        <w:ind w:left="218" w:right="119" w:firstLine="419"/>
        <w:jc w:val="left"/>
      </w:pPr>
      <w:r>
        <w:rPr>
          <w:w w:val="100"/>
        </w:rPr>
        <w:t>当固</w:t>
      </w:r>
      <w:r>
        <w:rPr>
          <w:spacing w:val="-3"/>
          <w:w w:val="100"/>
        </w:rPr>
        <w:t>定</w:t>
      </w:r>
      <w:r>
        <w:rPr>
          <w:w w:val="100"/>
        </w:rPr>
        <w:t>资</w:t>
      </w:r>
      <w:r>
        <w:rPr>
          <w:spacing w:val="-3"/>
          <w:w w:val="100"/>
        </w:rPr>
        <w:t>产</w:t>
      </w:r>
      <w:r>
        <w:rPr>
          <w:w w:val="100"/>
        </w:rPr>
        <w:t>处</w:t>
      </w:r>
      <w:r>
        <w:rPr>
          <w:spacing w:val="-3"/>
          <w:w w:val="100"/>
        </w:rPr>
        <w:t>于</w:t>
      </w:r>
      <w:r>
        <w:rPr>
          <w:w w:val="100"/>
        </w:rPr>
        <w:t>处</w:t>
      </w:r>
      <w:r>
        <w:rPr>
          <w:spacing w:val="-3"/>
          <w:w w:val="100"/>
        </w:rPr>
        <w:t>置</w:t>
      </w:r>
      <w:r>
        <w:rPr>
          <w:w w:val="100"/>
        </w:rPr>
        <w:t>状</w:t>
      </w:r>
      <w:r>
        <w:rPr>
          <w:spacing w:val="-3"/>
          <w:w w:val="100"/>
        </w:rPr>
        <w:t>态</w:t>
      </w:r>
      <w:r>
        <w:rPr>
          <w:w w:val="100"/>
        </w:rPr>
        <w:t>或预</w:t>
      </w:r>
      <w:r>
        <w:rPr>
          <w:spacing w:val="-3"/>
          <w:w w:val="100"/>
        </w:rPr>
        <w:t>期</w:t>
      </w:r>
      <w:r>
        <w:rPr>
          <w:w w:val="100"/>
        </w:rPr>
        <w:t>通</w:t>
      </w:r>
      <w:r>
        <w:rPr>
          <w:spacing w:val="-3"/>
          <w:w w:val="100"/>
        </w:rPr>
        <w:t>过</w:t>
      </w:r>
      <w:r>
        <w:rPr>
          <w:w w:val="100"/>
        </w:rPr>
        <w:t>使</w:t>
      </w:r>
      <w:r>
        <w:rPr>
          <w:spacing w:val="-3"/>
          <w:w w:val="100"/>
        </w:rPr>
        <w:t>用</w:t>
      </w:r>
      <w:r>
        <w:rPr>
          <w:w w:val="100"/>
        </w:rPr>
        <w:t>或</w:t>
      </w:r>
      <w:r>
        <w:rPr>
          <w:spacing w:val="-3"/>
          <w:w w:val="100"/>
        </w:rPr>
        <w:t>处</w:t>
      </w:r>
      <w:r>
        <w:rPr>
          <w:w w:val="100"/>
        </w:rPr>
        <w:t>置</w:t>
      </w:r>
      <w:r>
        <w:rPr>
          <w:spacing w:val="-3"/>
          <w:w w:val="100"/>
        </w:rPr>
        <w:t>不</w:t>
      </w:r>
      <w:r>
        <w:rPr>
          <w:w w:val="100"/>
        </w:rPr>
        <w:t>能产</w:t>
      </w:r>
      <w:r>
        <w:rPr>
          <w:spacing w:val="-3"/>
          <w:w w:val="100"/>
        </w:rPr>
        <w:t>生</w:t>
      </w:r>
      <w:r>
        <w:rPr>
          <w:w w:val="100"/>
        </w:rPr>
        <w:t>经</w:t>
      </w:r>
      <w:r>
        <w:rPr>
          <w:spacing w:val="-3"/>
          <w:w w:val="100"/>
        </w:rPr>
        <w:t>济</w:t>
      </w:r>
      <w:r>
        <w:rPr>
          <w:w w:val="100"/>
        </w:rPr>
        <w:t>利</w:t>
      </w:r>
      <w:r>
        <w:rPr>
          <w:spacing w:val="-3"/>
          <w:w w:val="100"/>
        </w:rPr>
        <w:t>益时</w:t>
      </w:r>
      <w:r>
        <w:rPr>
          <w:spacing w:val="-92"/>
          <w:w w:val="100"/>
        </w:rPr>
        <w:t>，</w:t>
      </w:r>
      <w:r>
        <w:rPr>
          <w:spacing w:val="-3"/>
          <w:w w:val="100"/>
        </w:rPr>
        <w:t>终</w:t>
      </w:r>
      <w:r>
        <w:rPr>
          <w:w w:val="100"/>
        </w:rPr>
        <w:t>止</w:t>
      </w:r>
      <w:r>
        <w:rPr>
          <w:spacing w:val="-3"/>
          <w:w w:val="100"/>
        </w:rPr>
        <w:t>确</w:t>
      </w:r>
      <w:r>
        <w:rPr>
          <w:w w:val="100"/>
        </w:rPr>
        <w:t>认该</w:t>
      </w:r>
      <w:r>
        <w:rPr>
          <w:spacing w:val="-3"/>
          <w:w w:val="100"/>
        </w:rPr>
        <w:t>固</w:t>
      </w:r>
      <w:r>
        <w:rPr>
          <w:w w:val="100"/>
        </w:rPr>
        <w:t>定</w:t>
      </w:r>
      <w:r>
        <w:rPr>
          <w:spacing w:val="-3"/>
          <w:w w:val="100"/>
        </w:rPr>
        <w:t>资产</w:t>
      </w:r>
      <w:r>
        <w:rPr>
          <w:w w:val="100"/>
        </w:rPr>
        <w:t>。</w:t>
      </w:r>
      <w:r>
        <w:rPr>
          <w:w w:val="100"/>
        </w:rPr>
        <w:t> 固定</w:t>
      </w:r>
      <w:r>
        <w:rPr>
          <w:spacing w:val="-3"/>
          <w:w w:val="100"/>
        </w:rPr>
        <w:t>资</w:t>
      </w:r>
      <w:r>
        <w:rPr>
          <w:w w:val="100"/>
        </w:rPr>
        <w:t>产</w:t>
      </w:r>
      <w:r>
        <w:rPr>
          <w:spacing w:val="-3"/>
          <w:w w:val="100"/>
        </w:rPr>
        <w:t>出</w:t>
      </w:r>
      <w:r>
        <w:rPr>
          <w:w w:val="100"/>
        </w:rPr>
        <w:t>售</w:t>
      </w:r>
      <w:r>
        <w:rPr>
          <w:spacing w:val="-101"/>
          <w:w w:val="100"/>
        </w:rPr>
        <w:t>、</w:t>
      </w:r>
      <w:r>
        <w:rPr>
          <w:w w:val="100"/>
        </w:rPr>
        <w:t>转</w:t>
      </w:r>
      <w:r>
        <w:rPr>
          <w:spacing w:val="-3"/>
          <w:w w:val="100"/>
        </w:rPr>
        <w:t>让</w:t>
      </w:r>
      <w:r>
        <w:rPr>
          <w:spacing w:val="-101"/>
          <w:w w:val="100"/>
        </w:rPr>
        <w:t>、</w:t>
      </w:r>
      <w:r>
        <w:rPr>
          <w:w w:val="100"/>
        </w:rPr>
        <w:t>报</w:t>
      </w:r>
      <w:r>
        <w:rPr>
          <w:spacing w:val="-3"/>
          <w:w w:val="100"/>
        </w:rPr>
        <w:t>废</w:t>
      </w:r>
      <w:r>
        <w:rPr>
          <w:w w:val="100"/>
        </w:rPr>
        <w:t>或毁</w:t>
      </w:r>
      <w:r>
        <w:rPr>
          <w:spacing w:val="-3"/>
          <w:w w:val="100"/>
        </w:rPr>
        <w:t>损</w:t>
      </w:r>
      <w:r>
        <w:rPr>
          <w:w w:val="100"/>
        </w:rPr>
        <w:t>的</w:t>
      </w:r>
      <w:r>
        <w:rPr>
          <w:spacing w:val="-3"/>
          <w:w w:val="100"/>
        </w:rPr>
        <w:t>处</w:t>
      </w:r>
      <w:r>
        <w:rPr>
          <w:w w:val="100"/>
        </w:rPr>
        <w:t>置</w:t>
      </w:r>
      <w:r>
        <w:rPr>
          <w:spacing w:val="-3"/>
          <w:w w:val="100"/>
        </w:rPr>
        <w:t>收</w:t>
      </w:r>
      <w:r>
        <w:rPr>
          <w:w w:val="100"/>
        </w:rPr>
        <w:t>入</w:t>
      </w:r>
      <w:r>
        <w:rPr>
          <w:spacing w:val="-3"/>
          <w:w w:val="100"/>
        </w:rPr>
        <w:t>扣</w:t>
      </w:r>
      <w:r>
        <w:rPr>
          <w:w w:val="100"/>
        </w:rPr>
        <w:t>除</w:t>
      </w:r>
      <w:r>
        <w:rPr>
          <w:spacing w:val="-3"/>
          <w:w w:val="100"/>
        </w:rPr>
        <w:t>其</w:t>
      </w:r>
      <w:r>
        <w:rPr>
          <w:w w:val="100"/>
        </w:rPr>
        <w:t>账面</w:t>
      </w:r>
      <w:r>
        <w:rPr>
          <w:spacing w:val="-3"/>
          <w:w w:val="100"/>
        </w:rPr>
        <w:t>价</w:t>
      </w:r>
      <w:r>
        <w:rPr>
          <w:w w:val="100"/>
        </w:rPr>
        <w:t>值</w:t>
      </w:r>
      <w:r>
        <w:rPr>
          <w:spacing w:val="-3"/>
          <w:w w:val="100"/>
        </w:rPr>
        <w:t>和</w:t>
      </w:r>
      <w:r>
        <w:rPr>
          <w:w w:val="100"/>
        </w:rPr>
        <w:t>相</w:t>
      </w:r>
      <w:r>
        <w:rPr>
          <w:spacing w:val="-3"/>
          <w:w w:val="100"/>
        </w:rPr>
        <w:t>关</w:t>
      </w:r>
      <w:r>
        <w:rPr>
          <w:w w:val="100"/>
        </w:rPr>
        <w:t>税</w:t>
      </w:r>
      <w:r>
        <w:rPr>
          <w:spacing w:val="-3"/>
          <w:w w:val="100"/>
        </w:rPr>
        <w:t>费</w:t>
      </w:r>
      <w:r>
        <w:rPr>
          <w:w w:val="100"/>
        </w:rPr>
        <w:t>后</w:t>
      </w:r>
      <w:r>
        <w:rPr>
          <w:spacing w:val="-3"/>
          <w:w w:val="100"/>
        </w:rPr>
        <w:t>的</w:t>
      </w:r>
      <w:r>
        <w:rPr>
          <w:w w:val="100"/>
        </w:rPr>
        <w:t>差额</w:t>
      </w:r>
      <w:r>
        <w:rPr>
          <w:spacing w:val="-3"/>
          <w:w w:val="100"/>
        </w:rPr>
        <w:t>计</w:t>
      </w:r>
      <w:r>
        <w:rPr>
          <w:w w:val="100"/>
        </w:rPr>
        <w:t>入</w:t>
      </w:r>
      <w:r>
        <w:rPr>
          <w:spacing w:val="-3"/>
          <w:w w:val="100"/>
        </w:rPr>
        <w:t>当期损益</w:t>
      </w:r>
      <w:r>
        <w:rPr>
          <w:w w:val="100"/>
        </w:rPr>
        <w:t>。</w:t>
      </w:r>
    </w:p>
    <w:p>
      <w:pPr>
        <w:pStyle w:val="BodyText"/>
        <w:spacing w:line="348" w:lineRule="auto" w:before="29"/>
        <w:ind w:left="218" w:right="237" w:firstLine="419"/>
        <w:jc w:val="both"/>
      </w:pPr>
      <w:r>
        <w:rPr>
          <w:spacing w:val="-2"/>
        </w:rPr>
        <w:t>本公司至少于年度终了对固定资产的使用寿命、预计净残值和折旧方法进行复核，如发生改</w:t>
      </w:r>
      <w:r>
        <w:rPr>
          <w:w w:val="100"/>
        </w:rPr>
        <w:t> </w:t>
      </w:r>
      <w:r>
        <w:rPr/>
        <w:t>变则作为会计估计变更处理。</w:t>
      </w:r>
    </w:p>
    <w:p>
      <w:pPr>
        <w:pStyle w:val="Heading3"/>
        <w:spacing w:line="259" w:lineRule="exact" w:before="0"/>
        <w:ind w:right="2465"/>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60" w:val="left" w:leader="none"/>
        </w:tabs>
        <w:spacing w:line="333" w:lineRule="auto" w:before="56"/>
        <w:ind w:left="638" w:right="239" w:hanging="420"/>
        <w:jc w:val="left"/>
      </w:pPr>
      <w:r>
        <w:rPr>
          <w:spacing w:val="-1"/>
        </w:rPr>
        <w:t>√适用</w:t>
        <w:tab/>
      </w:r>
      <w:r>
        <w:rPr>
          <w:spacing w:val="-2"/>
        </w:rPr>
        <w:t>□不适用</w:t>
      </w:r>
      <w:r>
        <w:rPr>
          <w:spacing w:val="-99"/>
        </w:rPr>
        <w:t> </w:t>
      </w:r>
      <w:r>
        <w:rPr>
          <w:spacing w:val="-99"/>
        </w:rPr>
      </w:r>
      <w:r>
        <w:rPr>
          <w:spacing w:val="-2"/>
        </w:rPr>
        <w:t>在建工程成本按实际工程支出确定，包括在建期间发生的各项工程支出、工程达到预定可使</w:t>
      </w:r>
    </w:p>
    <w:p>
      <w:pPr>
        <w:pStyle w:val="BodyText"/>
        <w:spacing w:line="348" w:lineRule="auto" w:before="44"/>
        <w:ind w:left="218" w:right="227"/>
        <w:jc w:val="left"/>
      </w:pPr>
      <w:r>
        <w:rPr>
          <w:spacing w:val="-2"/>
        </w:rPr>
        <w:t>用状态前的资本化的借款费用以及其他相关费用等。在建工程在达到预定可使用状态后结转为固</w:t>
      </w:r>
      <w:r>
        <w:rPr>
          <w:spacing w:val="-25"/>
        </w:rPr>
        <w:t> </w:t>
      </w:r>
      <w:r>
        <w:rPr>
          <w:spacing w:val="-25"/>
        </w:rPr>
      </w:r>
      <w:r>
        <w:rPr/>
        <w:t>定资产。</w:t>
      </w:r>
    </w:p>
    <w:p>
      <w:pPr>
        <w:pStyle w:val="BodyText"/>
        <w:spacing w:line="307" w:lineRule="auto" w:before="31"/>
        <w:ind w:left="218" w:right="230" w:firstLine="419"/>
        <w:jc w:val="both"/>
        <w:rPr>
          <w:rFonts w:ascii="宋体" w:hAnsi="宋体" w:cs="宋体" w:eastAsia="宋体" w:hint="default"/>
        </w:rPr>
      </w:pPr>
      <w:r>
        <w:rPr>
          <w:spacing w:val="-7"/>
        </w:rPr>
        <w:t>在建工程的减值测试方法和减值准备计提方法详见本报告第十一节、五、</w:t>
      </w:r>
      <w:r>
        <w:rPr>
          <w:rFonts w:ascii="宋体" w:hAnsi="宋体" w:cs="宋体" w:eastAsia="宋体" w:hint="default"/>
          <w:spacing w:val="-7"/>
        </w:rPr>
        <w:t>22</w:t>
      </w:r>
      <w:r>
        <w:rPr>
          <w:spacing w:val="-7"/>
        </w:rPr>
        <w:t>、长期资产减值。</w:t>
      </w:r>
      <w:r>
        <w:rPr>
          <w:w w:val="100"/>
        </w:rPr>
        <w:t> </w:t>
      </w:r>
      <w:r>
        <w:rPr>
          <w:rFonts w:ascii="宋体" w:hAnsi="宋体" w:cs="宋体" w:eastAsia="宋体" w:hint="default"/>
          <w:b/>
          <w:bCs/>
        </w:rPr>
        <w:t>18.</w:t>
      </w:r>
      <w:r>
        <w:rPr>
          <w:rFonts w:ascii="宋体" w:hAnsi="宋体" w:cs="宋体" w:eastAsia="宋体" w:hint="default"/>
          <w:b/>
          <w:bCs/>
          <w:spacing w:val="2"/>
        </w:rPr>
        <w:t> </w:t>
      </w:r>
      <w:r>
        <w:rPr>
          <w:rFonts w:ascii="宋体" w:hAnsi="宋体" w:cs="宋体" w:eastAsia="宋体" w:hint="default"/>
          <w:b/>
          <w:bCs/>
        </w:rPr>
        <w:t>借款费用</w:t>
      </w:r>
      <w:r>
        <w:rPr>
          <w:rFonts w:ascii="宋体" w:hAnsi="宋体" w:cs="宋体" w:eastAsia="宋体" w:hint="default"/>
        </w:rPr>
      </w:r>
    </w:p>
    <w:p>
      <w:pPr>
        <w:tabs>
          <w:tab w:pos="1060" w:val="left" w:leader="none"/>
        </w:tabs>
        <w:spacing w:line="290" w:lineRule="auto" w:before="0"/>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19.</w:t>
      </w:r>
      <w:r>
        <w:rPr>
          <w:rFonts w:ascii="宋体" w:hAnsi="宋体" w:cs="宋体" w:eastAsia="宋体" w:hint="default"/>
          <w:b/>
          <w:bCs/>
          <w:spacing w:val="2"/>
          <w:sz w:val="21"/>
          <w:szCs w:val="21"/>
        </w:rPr>
        <w:t> </w:t>
      </w:r>
      <w:r>
        <w:rPr>
          <w:rFonts w:ascii="宋体" w:hAnsi="宋体" w:cs="宋体" w:eastAsia="宋体" w:hint="default"/>
          <w:b/>
          <w:bCs/>
          <w:sz w:val="21"/>
          <w:szCs w:val="21"/>
        </w:rPr>
        <w:t>生物资产</w:t>
      </w:r>
      <w:r>
        <w:rPr>
          <w:rFonts w:ascii="宋体" w:hAnsi="宋体" w:cs="宋体" w:eastAsia="宋体" w:hint="default"/>
          <w:sz w:val="21"/>
          <w:szCs w:val="21"/>
        </w:rPr>
      </w:r>
    </w:p>
    <w:p>
      <w:pPr>
        <w:pStyle w:val="BodyText"/>
        <w:tabs>
          <w:tab w:pos="1060" w:val="left" w:leader="none"/>
        </w:tabs>
        <w:spacing w:line="240" w:lineRule="auto" w:before="15"/>
        <w:ind w:left="218" w:right="2465"/>
        <w:jc w:val="left"/>
      </w:pPr>
      <w:r>
        <w:rPr>
          <w:spacing w:val="-1"/>
        </w:rPr>
        <w:t>□适用</w:t>
        <w:tab/>
      </w:r>
      <w:r>
        <w:rPr>
          <w:spacing w:val="-2"/>
        </w:rPr>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left="138" w:right="125"/>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tabs>
          <w:tab w:pos="980" w:val="left" w:leader="none"/>
        </w:tabs>
        <w:spacing w:line="290" w:lineRule="auto" w:before="58"/>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3"/>
        <w:spacing w:line="240" w:lineRule="auto" w:before="14"/>
        <w:ind w:left="138" w:right="125"/>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333" w:lineRule="auto" w:before="56"/>
        <w:ind w:left="558" w:right="1175" w:hanging="420"/>
        <w:jc w:val="left"/>
      </w:pPr>
      <w:r>
        <w:rPr/>
        <w:t>√适用</w:t>
      </w:r>
      <w:r>
        <w:rPr>
          <w:spacing w:val="-2"/>
        </w:rPr>
        <w:t> </w:t>
      </w:r>
      <w:r>
        <w:rPr/>
        <w:t>□不适用</w:t>
      </w:r>
      <w:r>
        <w:rPr>
          <w:w w:val="100"/>
        </w:rPr>
        <w:t> </w:t>
      </w:r>
      <w:r>
        <w:rPr>
          <w:spacing w:val="-2"/>
        </w:rPr>
        <w:t>无形资产是指本公司拥有或者控制的没有实物形态的可辨认非货币性资产。</w:t>
      </w:r>
    </w:p>
    <w:p>
      <w:pPr>
        <w:pStyle w:val="BodyText"/>
        <w:spacing w:line="350" w:lineRule="auto" w:before="41"/>
        <w:ind w:right="137" w:firstLine="419"/>
        <w:jc w:val="both"/>
      </w:pPr>
      <w:r>
        <w:rPr>
          <w:spacing w:val="-2"/>
        </w:rPr>
        <w:t>无形资产按成本进行初始计量。与无形资产有关的支出，如果相关的经济利益很可能流入本</w:t>
      </w:r>
      <w:r>
        <w:rPr>
          <w:w w:val="100"/>
        </w:rPr>
        <w:t> </w:t>
      </w:r>
      <w:r>
        <w:rPr>
          <w:spacing w:val="-2"/>
        </w:rPr>
        <w:t>公司且其成本能可靠地计量，则计入无形资产成本。除此以外的其他项目的支出，在发生时计入</w:t>
      </w:r>
      <w:r>
        <w:rPr>
          <w:spacing w:val="-25"/>
        </w:rPr>
        <w:t> </w:t>
      </w:r>
      <w:r>
        <w:rPr>
          <w:spacing w:val="-25"/>
        </w:rPr>
      </w:r>
      <w:r>
        <w:rPr/>
        <w:t>当期损益。</w:t>
      </w:r>
    </w:p>
    <w:p>
      <w:pPr>
        <w:pStyle w:val="BodyText"/>
        <w:spacing w:line="350" w:lineRule="auto" w:before="27"/>
        <w:ind w:right="137" w:firstLine="419"/>
        <w:jc w:val="both"/>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r>
        <w:rPr>
          <w:spacing w:val="-25"/>
        </w:rPr>
        <w:t> </w:t>
      </w:r>
      <w:r>
        <w:rPr>
          <w:spacing w:val="-25"/>
        </w:rPr>
      </w:r>
      <w:r>
        <w:rPr/>
        <w:t>关价款在土地使用权和建筑物之间进行分配，难以合理分配的，全部作为固定资产处理。</w:t>
      </w:r>
    </w:p>
    <w:p>
      <w:pPr>
        <w:pStyle w:val="BodyText"/>
        <w:spacing w:line="350" w:lineRule="auto" w:before="27"/>
        <w:ind w:right="137" w:firstLine="419"/>
        <w:jc w:val="both"/>
      </w:pPr>
      <w:r>
        <w:rPr>
          <w:spacing w:val="-2"/>
        </w:rPr>
        <w:t>使用寿命有限的无形资产自可供使用时起，对其原值在其预计使用寿命内采用直线法分期平</w:t>
      </w:r>
      <w:r>
        <w:rPr>
          <w:w w:val="100"/>
        </w:rPr>
        <w:t> </w:t>
      </w:r>
      <w:r>
        <w:rPr/>
        <w:t>均摊销。使用寿命不确定的无形资产不予摊销。</w:t>
      </w:r>
    </w:p>
    <w:p>
      <w:pPr>
        <w:pStyle w:val="BodyText"/>
        <w:spacing w:line="350" w:lineRule="auto" w:before="29"/>
        <w:ind w:right="137" w:firstLine="419"/>
        <w:jc w:val="both"/>
      </w:pPr>
      <w:r>
        <w:rPr>
          <w:spacing w:val="-2"/>
        </w:rPr>
        <w:t>期末，对使用寿命有限的无形资产的使用寿命和摊销方法进行复核，如发生变更则作为会计</w:t>
      </w:r>
      <w:r>
        <w:rPr>
          <w:w w:val="100"/>
        </w:rPr>
        <w:t> </w:t>
      </w:r>
      <w:r>
        <w:rPr>
          <w:spacing w:val="-2"/>
        </w:rPr>
        <w:t>估计变更处理。此外，还对使用寿命不确定的无形资产的使用寿命进行复核，如果有证据表明该</w:t>
      </w:r>
      <w:r>
        <w:rPr>
          <w:spacing w:val="-26"/>
        </w:rPr>
        <w:t> </w:t>
      </w:r>
      <w:r>
        <w:rPr>
          <w:spacing w:val="-26"/>
        </w:rPr>
      </w:r>
      <w:r>
        <w:rPr>
          <w:spacing w:val="-2"/>
        </w:rPr>
        <w:t>无形资产为企业带来经济利益的期限是可预见的，则估计其使用寿命并按照使用寿命有限的无形</w:t>
      </w:r>
      <w:r>
        <w:rPr>
          <w:spacing w:val="-25"/>
        </w:rPr>
        <w:t> </w:t>
      </w:r>
      <w:r>
        <w:rPr>
          <w:spacing w:val="-25"/>
        </w:rPr>
      </w:r>
      <w:r>
        <w:rPr/>
        <w:t>资产的摊销政策进行摊销。</w:t>
      </w:r>
    </w:p>
    <w:p>
      <w:pPr>
        <w:spacing w:line="307" w:lineRule="auto" w:before="27"/>
        <w:ind w:left="138" w:right="137" w:firstLine="419"/>
        <w:jc w:val="both"/>
        <w:rPr>
          <w:rFonts w:ascii="宋体" w:hAnsi="宋体" w:cs="宋体" w:eastAsia="宋体" w:hint="default"/>
          <w:sz w:val="21"/>
          <w:szCs w:val="21"/>
        </w:rPr>
      </w:pPr>
      <w:r>
        <w:rPr>
          <w:rFonts w:ascii="宋体" w:hAnsi="宋体" w:cs="宋体" w:eastAsia="宋体" w:hint="default"/>
          <w:spacing w:val="-2"/>
          <w:sz w:val="21"/>
          <w:szCs w:val="21"/>
        </w:rPr>
        <w:t>无形资产的减值测试方法和减值准备计提方法见本报告第十一节、五、</w:t>
      </w:r>
      <w:r>
        <w:rPr>
          <w:rFonts w:ascii="宋体" w:hAnsi="宋体" w:cs="宋体" w:eastAsia="宋体" w:hint="default"/>
          <w:spacing w:val="-2"/>
          <w:sz w:val="21"/>
          <w:szCs w:val="21"/>
        </w:rPr>
        <w:t>22</w:t>
      </w:r>
      <w:r>
        <w:rPr>
          <w:rFonts w:ascii="宋体" w:hAnsi="宋体" w:cs="宋体" w:eastAsia="宋体" w:hint="default"/>
          <w:spacing w:val="-2"/>
          <w:sz w:val="21"/>
          <w:szCs w:val="21"/>
        </w:rPr>
        <w:t>、长期资产减值。</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pStyle w:val="BodyText"/>
        <w:spacing w:line="340" w:lineRule="auto"/>
        <w:ind w:left="558" w:right="1175" w:hanging="420"/>
        <w:jc w:val="left"/>
      </w:pPr>
      <w:r>
        <w:rPr/>
        <w:t>√适用</w:t>
      </w:r>
      <w:r>
        <w:rPr>
          <w:spacing w:val="-2"/>
        </w:rPr>
        <w:t> </w:t>
      </w:r>
      <w:r>
        <w:rPr/>
        <w:t>□不适用</w:t>
      </w:r>
      <w:r>
        <w:rPr>
          <w:w w:val="100"/>
        </w:rPr>
        <w:t> </w:t>
      </w:r>
      <w:r>
        <w:rPr>
          <w:spacing w:val="-2"/>
        </w:rPr>
        <w:t>本公司内部研究开发项目的支出分为研究阶段支出与开发阶段支出。</w:t>
      </w:r>
      <w:r>
        <w:rPr>
          <w:w w:val="100"/>
        </w:rPr>
        <w:t> </w:t>
      </w:r>
      <w:r>
        <w:rPr/>
        <w:t>研究阶段的支出，于发生时计入当期损益。</w:t>
      </w:r>
    </w:p>
    <w:p>
      <w:pPr>
        <w:pStyle w:val="BodyText"/>
        <w:spacing w:line="350" w:lineRule="auto" w:before="35"/>
        <w:ind w:right="137" w:firstLine="419"/>
        <w:jc w:val="both"/>
      </w:pPr>
      <w:r>
        <w:rPr>
          <w:spacing w:val="-2"/>
        </w:rPr>
        <w:t>开发阶段的支出同时满足下列条件的，确认为无形资产，不能满足下述条件的开发阶段的支</w:t>
      </w:r>
      <w:r>
        <w:rPr>
          <w:w w:val="100"/>
        </w:rPr>
        <w:t> </w:t>
      </w:r>
      <w:r>
        <w:rPr/>
        <w:t>出计入当期损益。</w:t>
      </w:r>
    </w:p>
    <w:p>
      <w:pPr>
        <w:pStyle w:val="BodyText"/>
        <w:spacing w:line="240" w:lineRule="auto" w:before="29"/>
        <w:ind w:left="558" w:right="125"/>
        <w:jc w:val="left"/>
      </w:pPr>
      <w:r>
        <w:rPr/>
        <w:t>①完成该无形资产以使其能够使用或出售在技术上具有可行性；</w:t>
      </w:r>
    </w:p>
    <w:p>
      <w:pPr>
        <w:pStyle w:val="BodyText"/>
        <w:spacing w:line="240" w:lineRule="auto" w:before="124"/>
        <w:ind w:left="558" w:right="125"/>
        <w:jc w:val="left"/>
      </w:pPr>
      <w:r>
        <w:rPr/>
        <w:t>②具有完成该无形资产并使用或出售的意图；</w:t>
      </w:r>
    </w:p>
    <w:p>
      <w:pPr>
        <w:pStyle w:val="BodyText"/>
        <w:spacing w:line="350" w:lineRule="auto" w:before="126"/>
        <w:ind w:right="137" w:firstLine="419"/>
        <w:jc w:val="both"/>
      </w:pPr>
      <w:r>
        <w:rPr>
          <w:spacing w:val="-2"/>
        </w:rPr>
        <w:t>③无形资产产生经济利益的方式，包括能够证明运用该无形资产生产的产品存在市场或无形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350" w:lineRule="auto" w:before="27"/>
        <w:ind w:right="137" w:firstLine="419"/>
        <w:jc w:val="both"/>
      </w:pPr>
      <w:r>
        <w:rPr>
          <w:spacing w:val="-2"/>
        </w:rPr>
        <w:t>④有足够的技术、财务资源和其他资源支持，以完成该无形资产的开发，并有能力使用或出</w:t>
      </w:r>
      <w:r>
        <w:rPr>
          <w:w w:val="100"/>
        </w:rPr>
        <w:t> </w:t>
      </w:r>
      <w:r>
        <w:rPr/>
        <w:t>售该无形资产；</w:t>
      </w:r>
    </w:p>
    <w:p>
      <w:pPr>
        <w:pStyle w:val="BodyText"/>
        <w:spacing w:line="348" w:lineRule="auto" w:before="29"/>
        <w:ind w:left="558" w:right="125"/>
        <w:jc w:val="left"/>
      </w:pPr>
      <w:r>
        <w:rPr/>
        <w:t>⑤归属于该无形资产开发阶段的支出能够可靠地计量。</w:t>
      </w:r>
      <w:r>
        <w:rPr>
          <w:w w:val="100"/>
        </w:rPr>
        <w:t> </w:t>
      </w:r>
      <w:r>
        <w:rPr>
          <w:spacing w:val="-2"/>
        </w:rPr>
        <w:t>无法区分研究阶段支出和开发阶段支出的，将发生的研发支出全部计入当期损益。</w:t>
      </w:r>
    </w:p>
    <w:p>
      <w:pPr>
        <w:pStyle w:val="Heading3"/>
        <w:spacing w:line="258" w:lineRule="exact" w:before="0"/>
        <w:ind w:left="138" w:right="125"/>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240" w:lineRule="auto" w:before="59"/>
        <w:ind w:right="125"/>
        <w:jc w:val="left"/>
      </w:pPr>
      <w:r>
        <w:rPr>
          <w:spacing w:val="-1"/>
        </w:rPr>
        <w:t>√适用</w:t>
        <w:tab/>
      </w:r>
      <w:r>
        <w:rPr>
          <w:spacing w:val="-2"/>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firstLine="419"/>
        <w:jc w:val="both"/>
      </w:pPr>
      <w:r>
        <w:rPr>
          <w:spacing w:val="-2"/>
        </w:rPr>
        <w:t>对于固定资产、在建工程、使用寿命有限的无形资产、以成本模式计量的投资性房地产及对</w:t>
      </w:r>
      <w:r>
        <w:rPr>
          <w:w w:val="100"/>
        </w:rPr>
        <w:t> </w:t>
      </w:r>
      <w:r>
        <w:rPr>
          <w:spacing w:val="-2"/>
        </w:rPr>
        <w:t>子公司、合营企业、联营企业的长期股权投资等非流动非金融资产，本公司于资产负债表日判断</w:t>
      </w:r>
      <w:r>
        <w:rPr>
          <w:spacing w:val="-25"/>
        </w:rPr>
        <w:t> </w:t>
      </w:r>
      <w:r>
        <w:rPr>
          <w:spacing w:val="-25"/>
        </w:rPr>
      </w:r>
      <w:r>
        <w:rPr>
          <w:spacing w:val="-2"/>
        </w:rPr>
        <w:t>是否存在减值迹象。如存在减值迹象的，则估计其可收回金额，进行减值测试。商誉、使用寿命</w:t>
      </w:r>
      <w:r>
        <w:rPr>
          <w:spacing w:val="-25"/>
        </w:rPr>
        <w:t> </w:t>
      </w:r>
      <w:r>
        <w:rPr>
          <w:spacing w:val="-25"/>
        </w:rPr>
      </w: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350" w:lineRule="auto" w:before="29"/>
        <w:ind w:right="137" w:firstLine="419"/>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6"/>
        </w:rPr>
        <w:t> </w:t>
      </w:r>
      <w:r>
        <w:rPr>
          <w:spacing w:val="-26"/>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6"/>
        </w:rPr>
        <w:t> </w:t>
      </w:r>
      <w:r>
        <w:rPr>
          <w:spacing w:val="-26"/>
        </w:rPr>
      </w:r>
      <w:r>
        <w:rPr/>
        <w:t>现金流入的最小资产组合。</w:t>
      </w:r>
    </w:p>
    <w:p>
      <w:pPr>
        <w:pStyle w:val="BodyText"/>
        <w:spacing w:line="350" w:lineRule="auto" w:before="27"/>
        <w:ind w:right="137" w:firstLine="419"/>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5"/>
        </w:rPr>
        <w:t> </w:t>
      </w:r>
      <w:r>
        <w:rPr>
          <w:spacing w:val="-25"/>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spacing w:line="307" w:lineRule="auto" w:before="29"/>
        <w:ind w:left="138" w:right="1803" w:firstLine="419"/>
        <w:jc w:val="left"/>
        <w:rPr>
          <w:rFonts w:ascii="宋体" w:hAnsi="宋体" w:cs="宋体" w:eastAsia="宋体" w:hint="default"/>
          <w:sz w:val="21"/>
          <w:szCs w:val="21"/>
        </w:rPr>
      </w:pPr>
      <w:r>
        <w:rPr>
          <w:rFonts w:ascii="宋体" w:hAnsi="宋体" w:cs="宋体" w:eastAsia="宋体" w:hint="default"/>
          <w:spacing w:val="-2"/>
          <w:sz w:val="21"/>
          <w:szCs w:val="21"/>
        </w:rPr>
        <w:t>上述资产减值损失一经确认，以后期间不予转回价值得以恢复的部分。</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pacing w:val="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tabs>
          <w:tab w:pos="980" w:val="left" w:leader="none"/>
        </w:tabs>
        <w:spacing w:line="331" w:lineRule="auto"/>
        <w:ind w:left="558" w:right="137" w:hanging="420"/>
        <w:jc w:val="left"/>
      </w:pPr>
      <w:r>
        <w:rPr>
          <w:spacing w:val="-1"/>
        </w:rPr>
        <w:t>√适用</w:t>
        <w:tab/>
      </w:r>
      <w:r>
        <w:rPr>
          <w:spacing w:val="-2"/>
        </w:rPr>
        <w:t>□不适用</w:t>
      </w:r>
      <w:r>
        <w:rPr>
          <w:spacing w:val="-99"/>
        </w:rPr>
        <w:t> </w:t>
      </w:r>
      <w:r>
        <w:rPr>
          <w:spacing w:val="-99"/>
        </w:rPr>
      </w:r>
      <w:r>
        <w:rPr>
          <w:spacing w:val="-2"/>
        </w:rPr>
        <w:t>长期待摊费用为已经发生但应由报告期和以后各期负担的分摊期限在一年以上的各项费用。</w:t>
      </w:r>
    </w:p>
    <w:p>
      <w:pPr>
        <w:pStyle w:val="BodyText"/>
        <w:spacing w:line="350" w:lineRule="auto" w:before="46"/>
        <w:ind w:right="125"/>
        <w:jc w:val="left"/>
      </w:pPr>
      <w:r>
        <w:rPr>
          <w:spacing w:val="-2"/>
        </w:rPr>
        <w:t>本公司的长期待摊费用主要包括装修费和一年以上房租。长期待摊费用在预计受益期间按直线法</w:t>
      </w:r>
      <w:r>
        <w:rPr>
          <w:spacing w:val="-25"/>
        </w:rPr>
        <w:t> </w:t>
      </w:r>
      <w:r>
        <w:rPr>
          <w:spacing w:val="-25"/>
        </w:rPr>
      </w:r>
      <w:r>
        <w:rPr/>
        <w:t>摊销。</w:t>
      </w:r>
    </w:p>
    <w:p>
      <w:pPr>
        <w:pStyle w:val="Heading3"/>
        <w:spacing w:line="254" w:lineRule="exact" w:before="0"/>
        <w:ind w:left="138" w:right="125"/>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b w:val="0"/>
          <w:bCs w:val="0"/>
        </w:rPr>
      </w:r>
    </w:p>
    <w:p>
      <w:pPr>
        <w:pStyle w:val="Heading3"/>
        <w:spacing w:line="240" w:lineRule="auto" w:before="58"/>
        <w:ind w:left="138" w:right="125"/>
        <w:jc w:val="left"/>
        <w:rPr>
          <w:b w:val="0"/>
          <w:bCs w:val="0"/>
        </w:rPr>
      </w:pPr>
      <w:r>
        <w:rPr>
          <w:rFonts w:ascii="宋体" w:hAnsi="宋体" w:cs="宋体" w:eastAsia="宋体" w:hint="default"/>
        </w:rPr>
        <w:t>(1)</w:t>
      </w:r>
      <w:r>
        <w:rPr/>
        <w:t>、短期薪酬的会计处理方法</w:t>
      </w:r>
      <w:r>
        <w:rPr>
          <w:b w:val="0"/>
          <w:bCs w:val="0"/>
        </w:rPr>
      </w:r>
    </w:p>
    <w:p>
      <w:pPr>
        <w:pStyle w:val="BodyText"/>
        <w:tabs>
          <w:tab w:pos="980" w:val="left" w:leader="none"/>
        </w:tabs>
        <w:spacing w:line="333" w:lineRule="auto" w:before="56"/>
        <w:ind w:left="558" w:right="137" w:hanging="420"/>
        <w:jc w:val="left"/>
      </w:pPr>
      <w:r>
        <w:rPr>
          <w:spacing w:val="-1"/>
        </w:rPr>
        <w:t>√适用</w:t>
        <w:tab/>
      </w:r>
      <w:r>
        <w:rPr>
          <w:spacing w:val="-2"/>
        </w:rPr>
        <w:t>□不适用</w:t>
      </w:r>
      <w:r>
        <w:rPr>
          <w:spacing w:val="-99"/>
        </w:rPr>
        <w:t> </w:t>
      </w:r>
      <w:r>
        <w:rPr>
          <w:spacing w:val="-99"/>
        </w:rPr>
      </w:r>
      <w:r>
        <w:rPr>
          <w:spacing w:val="-2"/>
        </w:rPr>
        <w:t>短期薪酬主要包括工资、奖金、津贴和补贴、职工福利费、医疗保险费、生育保险费、工伤</w:t>
      </w:r>
    </w:p>
    <w:p>
      <w:pPr>
        <w:pStyle w:val="BodyText"/>
        <w:spacing w:line="350" w:lineRule="auto" w:before="41"/>
        <w:ind w:right="137"/>
        <w:jc w:val="both"/>
      </w:pP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p>
    <w:p>
      <w:pPr>
        <w:pStyle w:val="Heading3"/>
        <w:spacing w:line="254" w:lineRule="exact" w:before="0"/>
        <w:ind w:left="138" w:right="125"/>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40" w:lineRule="auto" w:before="58"/>
        <w:ind w:right="125"/>
        <w:jc w:val="left"/>
      </w:pPr>
      <w:r>
        <w:rPr>
          <w:spacing w:val="-1"/>
        </w:rPr>
        <w:t>√适用</w:t>
        <w:tab/>
      </w:r>
      <w:r>
        <w:rPr>
          <w:spacing w:val="-2"/>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firstLine="419"/>
        <w:jc w:val="both"/>
      </w:pPr>
      <w:r>
        <w:rPr>
          <w:spacing w:val="-2"/>
        </w:rPr>
        <w:t>离职后福利主要包括基本养老保险、失业保险以及年金等。离职后福利计划包括设定提存计</w:t>
      </w:r>
      <w:r>
        <w:rPr>
          <w:w w:val="100"/>
        </w:rPr>
        <w:t> </w:t>
      </w:r>
      <w:r>
        <w:rPr>
          <w:spacing w:val="-2"/>
        </w:rPr>
        <w:t>划及设定受益计划。采用设定提存计划的，相应的应缴存金额于发生时计入相关资产成本或当期</w:t>
      </w:r>
      <w:r>
        <w:rPr>
          <w:spacing w:val="-25"/>
        </w:rPr>
        <w:t> </w:t>
      </w:r>
      <w:r>
        <w:rPr>
          <w:spacing w:val="-25"/>
        </w:rPr>
      </w:r>
      <w:r>
        <w:rPr/>
        <w:t>损益。</w:t>
      </w:r>
    </w:p>
    <w:p>
      <w:pPr>
        <w:pStyle w:val="Heading3"/>
        <w:spacing w:line="254" w:lineRule="exact" w:before="0"/>
        <w:ind w:left="138" w:right="101"/>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331" w:lineRule="auto" w:before="58"/>
        <w:ind w:left="558" w:right="217" w:hanging="420"/>
        <w:jc w:val="left"/>
      </w:pPr>
      <w:r>
        <w:rPr>
          <w:spacing w:val="-1"/>
        </w:rPr>
        <w:t>√适用</w:t>
        <w:tab/>
      </w:r>
      <w:r>
        <w:rPr>
          <w:spacing w:val="-2"/>
        </w:rPr>
        <w:t>□不适用</w:t>
      </w:r>
      <w:r>
        <w:rPr>
          <w:spacing w:val="-99"/>
        </w:rPr>
        <w:t> </w:t>
      </w:r>
      <w:r>
        <w:rPr>
          <w:spacing w:val="-99"/>
        </w:rPr>
      </w:r>
      <w:r>
        <w:rPr>
          <w:spacing w:val="-2"/>
        </w:rPr>
        <w:t>在职工劳动合同到期之前解除与职工的劳动关系，或为鼓励职工自愿接受裁减而提出给予补</w:t>
      </w:r>
    </w:p>
    <w:p>
      <w:pPr>
        <w:pStyle w:val="BodyText"/>
        <w:spacing w:line="350" w:lineRule="auto" w:before="46"/>
        <w:ind w:right="101"/>
        <w:jc w:val="left"/>
      </w:pP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348" w:lineRule="auto" w:before="29"/>
        <w:ind w:right="217" w:firstLine="419"/>
        <w:jc w:val="both"/>
      </w:pPr>
      <w:r>
        <w:rPr>
          <w:spacing w:val="-2"/>
        </w:rPr>
        <w:t>职工内部退休计划采用与上述辞退福利相同的原则处理。本公司将自职工停止提供服务日至</w:t>
      </w:r>
      <w:r>
        <w:rPr>
          <w:w w:val="100"/>
        </w:rPr>
        <w:t> </w:t>
      </w:r>
      <w:r>
        <w:rPr>
          <w:spacing w:val="-2"/>
        </w:rPr>
        <w:t>正常退休日的期间拟支付的内退人员工资和缴纳的社会保险费等，在符合预计负债确认条件时，</w:t>
      </w:r>
      <w:r>
        <w:rPr>
          <w:spacing w:val="-25"/>
        </w:rPr>
        <w:t> </w:t>
      </w:r>
      <w:r>
        <w:rPr>
          <w:spacing w:val="-25"/>
        </w:rPr>
      </w:r>
      <w:r>
        <w:rPr/>
        <w:t>计入当期损益（辞退福利）。</w:t>
      </w:r>
    </w:p>
    <w:p>
      <w:pPr>
        <w:pStyle w:val="Heading3"/>
        <w:spacing w:line="258" w:lineRule="exact" w:before="0"/>
        <w:ind w:left="138" w:right="101"/>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333" w:lineRule="auto" w:before="56"/>
        <w:ind w:left="558" w:right="217" w:hanging="420"/>
        <w:jc w:val="left"/>
      </w:pPr>
      <w:r>
        <w:rPr>
          <w:spacing w:val="-1"/>
        </w:rPr>
        <w:t>√适用</w:t>
        <w:tab/>
      </w:r>
      <w:r>
        <w:rPr>
          <w:spacing w:val="-2"/>
        </w:rPr>
        <w:t>□不适用</w:t>
      </w:r>
      <w:r>
        <w:rPr>
          <w:spacing w:val="-99"/>
        </w:rPr>
        <w:t> </w:t>
      </w:r>
      <w:r>
        <w:rPr>
          <w:spacing w:val="-99"/>
        </w:rPr>
      </w:r>
      <w:r>
        <w:rPr>
          <w:spacing w:val="-2"/>
        </w:rPr>
        <w:t>本公司向职工提供的其他长期职工福利，符合设定提存计划的，按照设定提存计划进行会计</w:t>
      </w:r>
    </w:p>
    <w:p>
      <w:pPr>
        <w:spacing w:line="309" w:lineRule="auto" w:before="41"/>
        <w:ind w:left="138" w:right="4174" w:firstLine="0"/>
        <w:jc w:val="left"/>
        <w:rPr>
          <w:rFonts w:ascii="宋体" w:hAnsi="宋体" w:cs="宋体" w:eastAsia="宋体" w:hint="default"/>
          <w:sz w:val="21"/>
          <w:szCs w:val="21"/>
        </w:rPr>
      </w:pPr>
      <w:r>
        <w:rPr>
          <w:rFonts w:ascii="宋体" w:hAnsi="宋体" w:cs="宋体" w:eastAsia="宋体" w:hint="default"/>
          <w:spacing w:val="-2"/>
          <w:sz w:val="21"/>
          <w:szCs w:val="21"/>
        </w:rPr>
        <w:t>处理，除此之外按照设定受益计划进行会计处理。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25.</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tabs>
          <w:tab w:pos="980" w:val="left" w:leader="none"/>
        </w:tabs>
        <w:spacing w:line="333" w:lineRule="auto"/>
        <w:ind w:left="558" w:right="217" w:hanging="420"/>
        <w:jc w:val="left"/>
      </w:pPr>
      <w:r>
        <w:rPr>
          <w:spacing w:val="-1"/>
        </w:rPr>
        <w:t>√适用</w:t>
        <w:tab/>
      </w:r>
      <w:r>
        <w:rPr>
          <w:spacing w:val="-2"/>
        </w:rPr>
        <w:t>□不适用</w:t>
      </w:r>
      <w:r>
        <w:rPr>
          <w:spacing w:val="-99"/>
        </w:rPr>
        <w:t> </w:t>
      </w:r>
      <w:r>
        <w:rPr>
          <w:spacing w:val="-99"/>
        </w:rPr>
      </w: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w:t>
      </w:r>
    </w:p>
    <w:p>
      <w:pPr>
        <w:pStyle w:val="BodyText"/>
        <w:spacing w:line="348" w:lineRule="auto" w:before="44"/>
        <w:ind w:left="558" w:right="101" w:hanging="420"/>
        <w:jc w:val="left"/>
      </w:pPr>
      <w:r>
        <w:rPr/>
        <w:t>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r>
        <w:rPr>
          <w:w w:val="100"/>
        </w:rPr>
        <w:t> </w:t>
      </w:r>
      <w:r>
        <w:rPr>
          <w:spacing w:val="-2"/>
        </w:rPr>
        <w:t>在资产负债表日，考虑与或有事项有关的风险、不确定性和货币时间价值等因素，按照履行</w:t>
      </w:r>
    </w:p>
    <w:p>
      <w:pPr>
        <w:pStyle w:val="BodyText"/>
        <w:spacing w:line="350" w:lineRule="auto" w:before="31"/>
        <w:ind w:left="558" w:right="101" w:hanging="420"/>
        <w:jc w:val="left"/>
      </w:pPr>
      <w:r>
        <w:rPr/>
        <w:t>相关现时义务所需支出的最佳估计数对预计负债进行计量。</w:t>
      </w:r>
      <w:r>
        <w:rPr>
          <w:w w:val="100"/>
        </w:rPr>
        <w:t> </w:t>
      </w:r>
      <w:r>
        <w:rPr>
          <w:spacing w:val="-2"/>
        </w:rPr>
        <w:t>如果清偿预计负债所需支出全部或部分预期由第三方补偿的，补偿金额在基本确定能够收到</w:t>
      </w:r>
    </w:p>
    <w:p>
      <w:pPr>
        <w:pStyle w:val="BodyText"/>
        <w:spacing w:line="307" w:lineRule="auto" w:before="27"/>
        <w:ind w:right="2094"/>
        <w:jc w:val="left"/>
        <w:rPr>
          <w:rFonts w:ascii="宋体" w:hAnsi="宋体" w:cs="宋体" w:eastAsia="宋体" w:hint="default"/>
        </w:rPr>
      </w:pPr>
      <w:r>
        <w:rPr>
          <w:spacing w:val="-2"/>
        </w:rPr>
        <w:t>时，作为资产单独确认，且确认的补偿金额不超过预计负债的账面价值。</w:t>
      </w:r>
      <w:r>
        <w:rPr>
          <w:spacing w:val="-45"/>
        </w:rPr>
        <w:t> </w:t>
      </w:r>
      <w:r>
        <w:rPr>
          <w:spacing w:val="-45"/>
        </w:rPr>
      </w:r>
      <w:r>
        <w:rPr>
          <w:rFonts w:ascii="宋体" w:hAnsi="宋体" w:cs="宋体" w:eastAsia="宋体" w:hint="default"/>
          <w:b/>
          <w:bCs/>
        </w:rPr>
        <w:t>26.</w:t>
      </w:r>
      <w:r>
        <w:rPr>
          <w:rFonts w:ascii="宋体" w:hAnsi="宋体" w:cs="宋体" w:eastAsia="宋体" w:hint="default"/>
          <w:b/>
          <w:bCs/>
          <w:spacing w:val="2"/>
        </w:rPr>
        <w:t> </w:t>
      </w:r>
      <w:r>
        <w:rPr>
          <w:rFonts w:ascii="宋体" w:hAnsi="宋体" w:cs="宋体" w:eastAsia="宋体" w:hint="default"/>
          <w:b/>
          <w:bCs/>
        </w:rPr>
        <w:t>股份支付</w:t>
      </w:r>
      <w:r>
        <w:rPr>
          <w:rFonts w:ascii="宋体" w:hAnsi="宋体" w:cs="宋体" w:eastAsia="宋体" w:hint="default"/>
        </w:rPr>
      </w:r>
    </w:p>
    <w:p>
      <w:pPr>
        <w:pStyle w:val="BodyText"/>
        <w:tabs>
          <w:tab w:pos="980" w:val="left" w:leader="none"/>
        </w:tabs>
        <w:spacing w:line="273" w:lineRule="exact"/>
        <w:ind w:right="101"/>
        <w:jc w:val="left"/>
      </w:pPr>
      <w:r>
        <w:rPr>
          <w:spacing w:val="-1"/>
        </w:rPr>
        <w:t>□适用</w:t>
        <w:tab/>
      </w:r>
      <w:r>
        <w:rPr>
          <w:spacing w:val="-2"/>
        </w:rPr>
        <w:t>√不适用</w:t>
      </w:r>
    </w:p>
    <w:p>
      <w:pPr>
        <w:pStyle w:val="Heading3"/>
        <w:spacing w:line="240" w:lineRule="auto" w:before="58"/>
        <w:ind w:left="138" w:right="101"/>
        <w:jc w:val="left"/>
        <w:rPr>
          <w:b w:val="0"/>
          <w:bCs w:val="0"/>
        </w:rPr>
      </w:pPr>
      <w:r>
        <w:rPr>
          <w:rFonts w:ascii="宋体" w:hAnsi="宋体" w:cs="宋体" w:eastAsia="宋体" w:hint="default"/>
        </w:rPr>
        <w:t>27. </w:t>
      </w:r>
      <w:r>
        <w:rPr/>
        <w:t>优先股、永续债等其他金融工具</w:t>
      </w:r>
      <w:r>
        <w:rPr>
          <w:b w:val="0"/>
          <w:bCs w:val="0"/>
        </w:rPr>
      </w:r>
    </w:p>
    <w:p>
      <w:pPr>
        <w:tabs>
          <w:tab w:pos="980" w:val="left" w:leader="none"/>
        </w:tabs>
        <w:spacing w:line="290" w:lineRule="auto" w:before="56"/>
        <w:ind w:left="138" w:right="73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28.</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tabs>
          <w:tab w:pos="980" w:val="left" w:leader="none"/>
        </w:tabs>
        <w:spacing w:line="240" w:lineRule="auto" w:before="12"/>
        <w:ind w:right="101"/>
        <w:jc w:val="left"/>
      </w:pPr>
      <w:r>
        <w:rPr>
          <w:spacing w:val="-1"/>
        </w:rPr>
        <w:t>√适用</w:t>
        <w:tab/>
      </w:r>
      <w:r>
        <w:rPr>
          <w:spacing w:val="-2"/>
        </w:rPr>
        <w:t>□不适用</w:t>
      </w:r>
    </w:p>
    <w:p>
      <w:pPr>
        <w:pStyle w:val="BodyText"/>
        <w:spacing w:line="348" w:lineRule="auto" w:before="106"/>
        <w:ind w:left="558" w:right="101"/>
        <w:jc w:val="left"/>
      </w:pPr>
      <w:r>
        <w:rPr/>
        <w:t>（</w:t>
      </w:r>
      <w:r>
        <w:rPr>
          <w:rFonts w:ascii="宋体" w:hAnsi="宋体" w:cs="宋体" w:eastAsia="宋体" w:hint="default"/>
        </w:rPr>
        <w:t>1</w:t>
      </w:r>
      <w:r>
        <w:rPr/>
        <w:t>）商品销售收入</w:t>
      </w:r>
      <w:r>
        <w:rPr>
          <w:w w:val="100"/>
        </w:rPr>
        <w:t> </w:t>
      </w:r>
      <w:r>
        <w:rPr>
          <w:spacing w:val="-2"/>
        </w:rPr>
        <w:t>在已将商品所有权上的主要风险和报酬转移给买方，既没有保留通常与所有权相联系的继续</w:t>
      </w:r>
    </w:p>
    <w:p>
      <w:pPr>
        <w:pStyle w:val="BodyText"/>
        <w:spacing w:line="350" w:lineRule="auto" w:before="31"/>
        <w:ind w:right="101"/>
        <w:jc w:val="left"/>
      </w:pPr>
      <w:r>
        <w:rPr>
          <w:spacing w:val="-2"/>
        </w:rPr>
        <w:t>管理权，也没有对已售商品实施有效控制，收入的金额能够可靠地计量，相关的经济利益很可能</w:t>
      </w:r>
      <w:r>
        <w:rPr>
          <w:spacing w:val="-25"/>
        </w:rPr>
        <w:t> </w:t>
      </w:r>
      <w:r>
        <w:rPr>
          <w:spacing w:val="-25"/>
        </w:rPr>
      </w:r>
      <w:r>
        <w:rPr/>
        <w:t>流入企业，相关的已发生或将发生的成本能够可靠地计量时，确认商品销售收入的实现。</w:t>
      </w:r>
    </w:p>
    <w:p>
      <w:pPr>
        <w:pStyle w:val="BodyText"/>
        <w:spacing w:line="240" w:lineRule="auto" w:before="27"/>
        <w:ind w:left="558" w:right="101"/>
        <w:jc w:val="left"/>
      </w:pPr>
      <w:r>
        <w:rPr/>
        <w:t>（</w:t>
      </w:r>
      <w:r>
        <w:rPr>
          <w:rFonts w:ascii="宋体" w:hAnsi="宋体" w:cs="宋体" w:eastAsia="宋体" w:hint="default"/>
        </w:rPr>
        <w:t>2</w:t>
      </w:r>
      <w:r>
        <w:rPr/>
        <w:t>）提供劳务收入</w:t>
      </w:r>
    </w:p>
    <w:p>
      <w:pPr>
        <w:spacing w:after="0" w:line="240" w:lineRule="auto"/>
        <w:jc w:val="left"/>
        <w:sectPr>
          <w:footerReference w:type="default" r:id="rId67"/>
          <w:pgSz w:w="11910" w:h="16840"/>
          <w:pgMar w:footer="1195"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37" w:firstLine="419"/>
        <w:jc w:val="both"/>
      </w:pPr>
      <w:r>
        <w:rPr>
          <w:spacing w:val="-2"/>
        </w:rPr>
        <w:t>在提供劳务交易的结果能够可靠估计的情况下，于资产负债表日按照完工百分比法确认提供</w:t>
      </w:r>
      <w:r>
        <w:rPr>
          <w:w w:val="100"/>
        </w:rPr>
        <w:t> </w:t>
      </w:r>
      <w:r>
        <w:rPr/>
        <w:t>的劳务收入。劳务交易的完工进度按已经提供的劳务占应提供劳务总量的比例确定。</w:t>
      </w:r>
    </w:p>
    <w:p>
      <w:pPr>
        <w:pStyle w:val="BodyText"/>
        <w:spacing w:line="348" w:lineRule="auto" w:before="29"/>
        <w:ind w:right="137" w:firstLine="419"/>
        <w:jc w:val="both"/>
      </w:pPr>
      <w:r>
        <w:rPr>
          <w:spacing w:val="-2"/>
        </w:rPr>
        <w:t>提供劳务交易的结果能够可靠估计是指同时满足：①收入的金额能够可靠地计量；②相关的</w:t>
      </w:r>
      <w:r>
        <w:rPr>
          <w:w w:val="100"/>
        </w:rPr>
        <w:t> </w:t>
      </w:r>
      <w:r>
        <w:rPr>
          <w:spacing w:val="-2"/>
        </w:rPr>
        <w:t>经济利益很可能流入企业；③交易的完工程度能够可靠地确定；④交易中已发生和将发生的成本</w:t>
      </w:r>
      <w:r>
        <w:rPr>
          <w:spacing w:val="-27"/>
        </w:rPr>
        <w:t> </w:t>
      </w:r>
      <w:r>
        <w:rPr>
          <w:spacing w:val="-27"/>
        </w:rPr>
      </w:r>
      <w:r>
        <w:rPr/>
        <w:t>能够可靠地计量。</w:t>
      </w:r>
    </w:p>
    <w:p>
      <w:pPr>
        <w:pStyle w:val="BodyText"/>
        <w:spacing w:line="348" w:lineRule="auto" w:before="31"/>
        <w:ind w:right="137" w:firstLine="419"/>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p>
    <w:p>
      <w:pPr>
        <w:pStyle w:val="BodyText"/>
        <w:spacing w:line="348" w:lineRule="auto" w:before="32"/>
        <w:ind w:right="137" w:firstLine="419"/>
        <w:jc w:val="both"/>
      </w:pPr>
      <w:r>
        <w:rPr>
          <w:spacing w:val="-2"/>
        </w:rPr>
        <w:t>本公司与其他企业签订的合同或协议包括销售商品和提供劳务时，如销售商品部分和提供劳</w:t>
      </w:r>
      <w:r>
        <w:rPr>
          <w:w w:val="100"/>
        </w:rPr>
        <w:t> </w:t>
      </w:r>
      <w:r>
        <w:rPr>
          <w:spacing w:val="-2"/>
        </w:rPr>
        <w:t>务部分能够区分并单独计量的，将销售商品部分和提供劳务部分分别处理；如销售商品部分和提</w:t>
      </w:r>
      <w:r>
        <w:rPr>
          <w:spacing w:val="-25"/>
        </w:rPr>
        <w:t> </w:t>
      </w:r>
      <w:r>
        <w:rPr>
          <w:spacing w:val="-25"/>
        </w:rPr>
      </w:r>
      <w:r>
        <w:rPr/>
        <w:t>供劳务部分不能够区分，或虽能区分但不能够单独计量的，将该合同全部作为销售商品处理。</w:t>
      </w:r>
    </w:p>
    <w:p>
      <w:pPr>
        <w:pStyle w:val="BodyText"/>
        <w:spacing w:line="348" w:lineRule="auto" w:before="31"/>
        <w:ind w:left="558" w:right="3467"/>
        <w:jc w:val="left"/>
      </w:pPr>
      <w:r>
        <w:rPr/>
        <w:t>（</w:t>
      </w:r>
      <w:r>
        <w:rPr>
          <w:rFonts w:ascii="宋体" w:hAnsi="宋体" w:cs="宋体" w:eastAsia="宋体" w:hint="default"/>
        </w:rPr>
        <w:t>3</w:t>
      </w:r>
      <w:r>
        <w:rPr/>
        <w:t>）使用费收入</w:t>
      </w:r>
      <w:r>
        <w:rPr>
          <w:w w:val="100"/>
        </w:rPr>
        <w:t> </w:t>
      </w:r>
      <w:r>
        <w:rPr>
          <w:spacing w:val="-2"/>
        </w:rPr>
        <w:t>根据有关合同或协议，按权责发生制确认收入。</w:t>
      </w:r>
    </w:p>
    <w:p>
      <w:pPr>
        <w:pStyle w:val="BodyText"/>
        <w:spacing w:line="350" w:lineRule="auto" w:before="31"/>
        <w:ind w:left="558" w:right="1803"/>
        <w:jc w:val="left"/>
      </w:pPr>
      <w:r>
        <w:rPr/>
        <w:t>（</w:t>
      </w:r>
      <w:r>
        <w:rPr>
          <w:rFonts w:ascii="宋体" w:hAnsi="宋体" w:cs="宋体" w:eastAsia="宋体" w:hint="default"/>
        </w:rPr>
        <w:t>4</w:t>
      </w:r>
      <w:r>
        <w:rPr/>
        <w:t>）利息收入</w:t>
      </w:r>
      <w:r>
        <w:rPr>
          <w:w w:val="100"/>
        </w:rPr>
        <w:t> </w:t>
      </w:r>
      <w:r>
        <w:rPr>
          <w:spacing w:val="-2"/>
        </w:rPr>
        <w:t>按照他人使用本公司货币资金的时间和实际利率计算确定。</w:t>
      </w:r>
    </w:p>
    <w:p>
      <w:pPr>
        <w:pStyle w:val="BodyText"/>
        <w:spacing w:line="350" w:lineRule="auto" w:before="27"/>
        <w:ind w:left="558" w:right="125"/>
        <w:jc w:val="left"/>
      </w:pPr>
      <w:r>
        <w:rPr/>
        <w:t>（</w:t>
      </w:r>
      <w:r>
        <w:rPr>
          <w:rFonts w:ascii="宋体" w:hAnsi="宋体" w:cs="宋体" w:eastAsia="宋体" w:hint="default"/>
        </w:rPr>
        <w:t>5</w:t>
      </w:r>
      <w:r>
        <w:rPr/>
        <w:t>）本公司收入的具体确认方法</w:t>
      </w:r>
      <w:r>
        <w:rPr>
          <w:w w:val="100"/>
        </w:rPr>
        <w:t> </w:t>
      </w:r>
      <w:r>
        <w:rPr>
          <w:spacing w:val="-2"/>
        </w:rPr>
        <w:t>本公司广告发布及宣传服务收入，按照与客户签订的合同约定服务内容及价格，经与客户确</w:t>
      </w:r>
    </w:p>
    <w:p>
      <w:pPr>
        <w:pStyle w:val="BodyText"/>
        <w:spacing w:line="348" w:lineRule="auto" w:before="29"/>
        <w:ind w:right="125"/>
        <w:jc w:val="left"/>
      </w:pPr>
      <w:r>
        <w:rPr>
          <w:spacing w:val="-2"/>
        </w:rPr>
        <w:t>认的广告发布及宣传服务的排期表（具体发布期间），根据已提供服务的期间占服务总期间的比</w:t>
      </w:r>
      <w:r>
        <w:rPr>
          <w:spacing w:val="-25"/>
        </w:rPr>
        <w:t> </w:t>
      </w:r>
      <w:r>
        <w:rPr>
          <w:spacing w:val="-25"/>
        </w:rPr>
      </w:r>
      <w:r>
        <w:rPr/>
        <w:t>例来确定完工进度，按照完工百分比法确认当期收入。</w:t>
      </w:r>
    </w:p>
    <w:p>
      <w:pPr>
        <w:pStyle w:val="BodyText"/>
        <w:spacing w:line="348" w:lineRule="auto" w:before="31"/>
        <w:ind w:right="137" w:firstLine="419"/>
        <w:jc w:val="both"/>
      </w:pPr>
      <w:r>
        <w:rPr>
          <w:spacing w:val="-2"/>
        </w:rPr>
        <w:t>本公司信息服务收入，按照与客户签订的合同约定的服务内容、价格及信息服务提供期向客</w:t>
      </w:r>
      <w:r>
        <w:rPr>
          <w:w w:val="100"/>
        </w:rPr>
        <w:t> </w:t>
      </w:r>
      <w:r>
        <w:rPr>
          <w:spacing w:val="-2"/>
        </w:rPr>
        <w:t>户提供信息服务（新闻信息、图片信息等），依据已经提供服务期占总服务期的比例来确定完工</w:t>
      </w:r>
      <w:r>
        <w:rPr>
          <w:spacing w:val="-25"/>
        </w:rPr>
        <w:t> </w:t>
      </w:r>
      <w:r>
        <w:rPr>
          <w:spacing w:val="-25"/>
        </w:rPr>
      </w:r>
      <w:r>
        <w:rPr/>
        <w:t>进度，按照完工百分比法确认当期收入。</w:t>
      </w:r>
    </w:p>
    <w:p>
      <w:pPr>
        <w:pStyle w:val="BodyText"/>
        <w:spacing w:line="350" w:lineRule="auto" w:before="31"/>
        <w:ind w:right="137" w:firstLine="419"/>
        <w:jc w:val="both"/>
      </w:pPr>
      <w:r>
        <w:rPr>
          <w:spacing w:val="-2"/>
        </w:rPr>
        <w:t>本公司网站建设及技术服务和移动互联网服务收入，按照与客户签订的合同约定情况：①对</w:t>
      </w:r>
      <w:r>
        <w:rPr>
          <w:w w:val="100"/>
        </w:rPr>
        <w:t> </w:t>
      </w:r>
      <w:r>
        <w:rPr>
          <w:spacing w:val="-2"/>
        </w:rPr>
        <w:t>于固定期限的服务合同，依据合同约定的服务开始时点到财务报告基准日时点的期间占合同服务</w:t>
      </w:r>
      <w:r>
        <w:rPr>
          <w:spacing w:val="-25"/>
        </w:rPr>
        <w:t> </w:t>
      </w:r>
      <w:r>
        <w:rPr>
          <w:spacing w:val="-25"/>
        </w:rPr>
      </w:r>
      <w:r>
        <w:rPr>
          <w:spacing w:val="-2"/>
        </w:rPr>
        <w:t>总期间的比例确认收入；②对于提供一次性服务的服务合同，依据合同约定在项目实施完成并经</w:t>
      </w:r>
      <w:r>
        <w:rPr>
          <w:spacing w:val="-25"/>
        </w:rPr>
        <w:t> </w:t>
      </w:r>
      <w:r>
        <w:rPr>
          <w:spacing w:val="-25"/>
        </w:rPr>
      </w:r>
      <w:r>
        <w:rPr/>
        <w:t>对方验收合格或结算后确认收入。</w:t>
      </w:r>
    </w:p>
    <w:p>
      <w:pPr>
        <w:pStyle w:val="Heading3"/>
        <w:spacing w:line="256" w:lineRule="exact" w:before="0"/>
        <w:ind w:left="138" w:right="125"/>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350" w:lineRule="auto" w:before="164"/>
        <w:ind w:right="137" w:firstLine="419"/>
        <w:jc w:val="both"/>
      </w:pPr>
      <w:r>
        <w:rPr>
          <w:spacing w:val="-2"/>
        </w:rPr>
        <w:t>政府补助是指本公司从政府无偿取得货币性资产和非货币性资产，不包括政府以投资者身份</w:t>
      </w:r>
      <w:r>
        <w:rPr>
          <w:w w:val="100"/>
        </w:rPr>
        <w:t> </w:t>
      </w:r>
      <w:r>
        <w:rPr>
          <w:spacing w:val="-2"/>
        </w:rPr>
        <w:t>并享有相应所有者权益而投入的资本。政府补助分为与资产相关的政府补助和与收益相关的政府</w:t>
      </w:r>
      <w:r>
        <w:rPr>
          <w:spacing w:val="-25"/>
        </w:rPr>
        <w:t> </w:t>
      </w:r>
      <w:r>
        <w:rPr>
          <w:spacing w:val="-25"/>
        </w:rPr>
      </w:r>
      <w:r>
        <w:rPr/>
        <w:t>补助。</w:t>
      </w:r>
    </w:p>
    <w:p>
      <w:pPr>
        <w:pStyle w:val="BodyText"/>
        <w:spacing w:line="350" w:lineRule="auto" w:before="27"/>
        <w:ind w:right="128" w:firstLine="419"/>
        <w:jc w:val="both"/>
      </w:pPr>
      <w:r>
        <w:rPr>
          <w:spacing w:val="-2"/>
        </w:rPr>
        <w:t>本公司将所取得的用于购建或以其他方式形成长期资产的政府补助界定为与资产相关的政府</w:t>
      </w:r>
      <w:r>
        <w:rPr>
          <w:w w:val="100"/>
        </w:rPr>
        <w:t> </w:t>
      </w:r>
      <w:r>
        <w:rPr>
          <w:spacing w:val="-2"/>
        </w:rPr>
        <w:t>补助；其余政府补助界定为与收益相关的政府补助。若政府文件未明确规定补助对象，则采用以</w:t>
      </w:r>
      <w:r>
        <w:rPr>
          <w:spacing w:val="-25"/>
        </w:rPr>
        <w:t> </w:t>
      </w:r>
      <w:r>
        <w:rPr>
          <w:spacing w:val="-25"/>
        </w:rPr>
      </w:r>
      <w:r>
        <w:rPr>
          <w:spacing w:val="-4"/>
        </w:rPr>
        <w:t>下方式将补助款划分为与收益相关的政府补助和与资产相关的政府补助：（</w:t>
      </w:r>
      <w:r>
        <w:rPr>
          <w:rFonts w:ascii="宋体" w:hAnsi="宋体" w:cs="宋体" w:eastAsia="宋体" w:hint="default"/>
          <w:spacing w:val="-4"/>
        </w:rPr>
        <w:t>1</w:t>
      </w:r>
      <w:r>
        <w:rPr>
          <w:spacing w:val="-4"/>
        </w:rPr>
        <w:t>）政府文件明确了补</w:t>
      </w:r>
      <w:r>
        <w:rPr>
          <w:spacing w:val="-35"/>
        </w:rPr>
        <w:t> </w:t>
      </w:r>
      <w:r>
        <w:rPr>
          <w:spacing w:val="-35"/>
        </w:rPr>
      </w:r>
      <w:r>
        <w:rPr>
          <w:spacing w:val="-2"/>
        </w:rPr>
        <w:t>助所针对的特定项目的，根据该特定项目的预算中将形成资产的支出金额和计入费用的支出金额</w:t>
      </w:r>
    </w:p>
    <w:p>
      <w:pPr>
        <w:spacing w:after="0" w:line="350" w:lineRule="auto"/>
        <w:jc w:val="both"/>
        <w:sectPr>
          <w:footerReference w:type="default" r:id="rId68"/>
          <w:pgSz w:w="11910" w:h="16840"/>
          <w:pgMar w:footer="1195" w:header="882" w:top="1120" w:bottom="1380" w:left="1660" w:right="1140"/>
          <w:pgNumType w:start="11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125"/>
        <w:jc w:val="left"/>
      </w:pPr>
      <w:r>
        <w:rPr>
          <w:spacing w:val="-5"/>
        </w:rPr>
        <w:t>的相对比例进行划分，对该划分比例需在每个资产负债表日进行复核，必要时进行变更；（</w:t>
      </w:r>
      <w:r>
        <w:rPr>
          <w:rFonts w:ascii="宋体" w:hAnsi="宋体" w:cs="宋体" w:eastAsia="宋体" w:hint="default"/>
          <w:spacing w:val="-5"/>
        </w:rPr>
        <w:t>2</w:t>
      </w:r>
      <w:r>
        <w:rPr>
          <w:spacing w:val="-5"/>
        </w:rPr>
        <w:t>）政</w:t>
      </w:r>
      <w:r>
        <w:rPr>
          <w:spacing w:val="-12"/>
        </w:rPr>
        <w:t> </w:t>
      </w:r>
      <w:r>
        <w:rPr/>
        <w:t>府文件中对用途仅作一般性表述，没有指明特定项目的，作为与收益相关的政府补助。</w:t>
      </w:r>
    </w:p>
    <w:p>
      <w:pPr>
        <w:pStyle w:val="BodyText"/>
        <w:spacing w:line="348" w:lineRule="auto" w:before="29"/>
        <w:ind w:right="128" w:firstLine="419"/>
        <w:jc w:val="both"/>
      </w:pPr>
      <w:r>
        <w:rPr>
          <w:spacing w:val="-2"/>
        </w:rPr>
        <w:t>政府补助为货币性资产的，按照收到或应收的金额计量。政府补助为非货币性资产的，按照</w:t>
      </w:r>
      <w:r>
        <w:rPr>
          <w:w w:val="100"/>
        </w:rPr>
        <w:t> </w:t>
      </w:r>
      <w:r>
        <w:rPr>
          <w:spacing w:val="-6"/>
        </w:rPr>
        <w:t>公允价值计量；公允价值不能够可靠取得的，按照名义金额计量。按照名义金额计量的政府补助，</w:t>
      </w:r>
      <w:r>
        <w:rPr>
          <w:spacing w:val="-54"/>
        </w:rPr>
        <w:t> </w:t>
      </w:r>
      <w:r>
        <w:rPr>
          <w:spacing w:val="-54"/>
        </w:rPr>
      </w:r>
      <w:r>
        <w:rPr/>
        <w:t>直接计入当期损益。</w:t>
      </w:r>
    </w:p>
    <w:p>
      <w:pPr>
        <w:pStyle w:val="BodyText"/>
        <w:spacing w:line="350" w:lineRule="auto" w:before="31"/>
        <w:ind w:right="128" w:firstLine="419"/>
        <w:jc w:val="both"/>
      </w:pPr>
      <w:r>
        <w:rPr>
          <w:spacing w:val="-2"/>
        </w:rPr>
        <w:t>本公司对于政府补助通常在实际收到时，按照实收金额予以确认和计量。但对于期末有确凿</w:t>
      </w:r>
      <w:r>
        <w:rPr>
          <w:w w:val="100"/>
        </w:rPr>
        <w:t> </w:t>
      </w:r>
      <w:r>
        <w:rPr>
          <w:spacing w:val="-2"/>
        </w:rPr>
        <w:t>证据表明能够符合财政扶持政策规定的相关条件预计能够收到财政扶持资金，按照应收的金额计</w:t>
      </w:r>
      <w:r>
        <w:rPr>
          <w:spacing w:val="-25"/>
        </w:rPr>
        <w:t> </w:t>
      </w:r>
      <w:r>
        <w:rPr>
          <w:spacing w:val="-25"/>
        </w:rPr>
      </w:r>
      <w:r>
        <w:rPr>
          <w:spacing w:val="-4"/>
        </w:rPr>
        <w:t>量。按照应收金额计量的政府补助应同时符合以下条件：（</w:t>
      </w:r>
      <w:r>
        <w:rPr>
          <w:rFonts w:ascii="宋体" w:hAnsi="宋体" w:cs="宋体" w:eastAsia="宋体" w:hint="default"/>
          <w:spacing w:val="-4"/>
        </w:rPr>
        <w:t>1</w:t>
      </w:r>
      <w:r>
        <w:rPr>
          <w:spacing w:val="-4"/>
        </w:rPr>
        <w:t>）应收补助款的金额已经过有权政府</w:t>
      </w:r>
      <w:r>
        <w:rPr>
          <w:spacing w:val="-34"/>
        </w:rPr>
        <w:t> </w:t>
      </w:r>
      <w:r>
        <w:rPr>
          <w:spacing w:val="-34"/>
        </w:rPr>
      </w:r>
      <w:r>
        <w:rPr>
          <w:spacing w:val="-2"/>
        </w:rPr>
        <w:t>部门发文确认，或者可根据正式发布的财政资金管理办法的有关规定自行合理测算，且预计其金</w:t>
      </w:r>
      <w:r>
        <w:rPr>
          <w:spacing w:val="-25"/>
        </w:rPr>
        <w:t> </w:t>
      </w:r>
      <w:r>
        <w:rPr>
          <w:spacing w:val="-25"/>
        </w:rPr>
      </w:r>
      <w:r>
        <w:rPr>
          <w:spacing w:val="-4"/>
        </w:rPr>
        <w:t>额不存在重大不确定性；（</w:t>
      </w:r>
      <w:r>
        <w:rPr>
          <w:rFonts w:ascii="宋体" w:hAnsi="宋体" w:cs="宋体" w:eastAsia="宋体" w:hint="default"/>
          <w:spacing w:val="-4"/>
        </w:rPr>
        <w:t>2</w:t>
      </w:r>
      <w:r>
        <w:rPr>
          <w:spacing w:val="-4"/>
        </w:rPr>
        <w:t>）所依据的是当地财政部门正式发布并按照《政府信息公开条例》的</w:t>
      </w:r>
      <w:r>
        <w:rPr>
          <w:spacing w:val="-33"/>
        </w:rPr>
        <w:t> </w:t>
      </w:r>
      <w:r>
        <w:rPr>
          <w:spacing w:val="-33"/>
        </w:rPr>
      </w:r>
      <w:r>
        <w:rPr>
          <w:spacing w:val="-2"/>
        </w:rPr>
        <w:t>规定予以主动公开的财政扶持项目及其财政资金管理办法，且该管理办法应当是普惠性的（任何</w:t>
      </w:r>
      <w:r>
        <w:rPr>
          <w:spacing w:val="-25"/>
        </w:rPr>
        <w:t> </w:t>
      </w:r>
      <w:r>
        <w:rPr>
          <w:spacing w:val="-25"/>
        </w:rPr>
      </w:r>
      <w:r>
        <w:rPr>
          <w:spacing w:val="-4"/>
        </w:rPr>
        <w:t>符合规定条件的企业均可申请），而不是专门针对特定企业制定的；（</w:t>
      </w:r>
      <w:r>
        <w:rPr>
          <w:rFonts w:ascii="宋体" w:hAnsi="宋体" w:cs="宋体" w:eastAsia="宋体" w:hint="default"/>
          <w:spacing w:val="-4"/>
        </w:rPr>
        <w:t>3</w:t>
      </w:r>
      <w:r>
        <w:rPr>
          <w:spacing w:val="-4"/>
        </w:rPr>
        <w:t>）相关的补助款批文中已</w:t>
      </w:r>
      <w:r>
        <w:rPr>
          <w:spacing w:val="-34"/>
        </w:rPr>
        <w:t> </w:t>
      </w:r>
      <w:r>
        <w:rPr>
          <w:spacing w:val="-34"/>
        </w:rPr>
      </w:r>
      <w:r>
        <w:rPr>
          <w:spacing w:val="-2"/>
        </w:rPr>
        <w:t>明确承诺了拨付期限，且该款项的拨付是有相应财政预算作为保障的，因而可以合理保证其可在</w:t>
      </w:r>
    </w:p>
    <w:p>
      <w:pPr>
        <w:spacing w:line="307" w:lineRule="auto" w:before="29"/>
        <w:ind w:left="138" w:right="125" w:firstLine="0"/>
        <w:jc w:val="left"/>
        <w:rPr>
          <w:rFonts w:ascii="宋体" w:hAnsi="宋体" w:cs="宋体" w:eastAsia="宋体" w:hint="default"/>
          <w:sz w:val="21"/>
          <w:szCs w:val="21"/>
        </w:rPr>
      </w:pPr>
      <w:r>
        <w:rPr>
          <w:rFonts w:ascii="宋体" w:hAnsi="宋体" w:cs="宋体" w:eastAsia="宋体" w:hint="default"/>
          <w:spacing w:val="-2"/>
          <w:sz w:val="21"/>
          <w:szCs w:val="21"/>
        </w:rPr>
        <w:t>规定期限内收到；（</w:t>
      </w:r>
      <w:r>
        <w:rPr>
          <w:rFonts w:ascii="宋体" w:hAnsi="宋体" w:cs="宋体" w:eastAsia="宋体" w:hint="default"/>
          <w:spacing w:val="-2"/>
          <w:sz w:val="21"/>
          <w:szCs w:val="21"/>
        </w:rPr>
        <w:t>4</w:t>
      </w:r>
      <w:r>
        <w:rPr>
          <w:rFonts w:ascii="宋体" w:hAnsi="宋体" w:cs="宋体" w:eastAsia="宋体" w:hint="default"/>
          <w:spacing w:val="-2"/>
          <w:sz w:val="21"/>
          <w:szCs w:val="21"/>
        </w:rPr>
        <w:t>）根据本公司和该补助事项的具体情况，应满足的其他相关条件。</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pStyle w:val="BodyText"/>
        <w:tabs>
          <w:tab w:pos="980" w:val="left" w:leader="none"/>
        </w:tabs>
        <w:spacing w:line="333" w:lineRule="auto"/>
        <w:ind w:left="558" w:right="137" w:hanging="420"/>
        <w:jc w:val="left"/>
      </w:pPr>
      <w:r>
        <w:rPr>
          <w:spacing w:val="-1"/>
        </w:rPr>
        <w:t>√适用</w:t>
        <w:tab/>
      </w:r>
      <w:r>
        <w:rPr>
          <w:spacing w:val="-2"/>
        </w:rPr>
        <w:t>□不适用</w:t>
      </w:r>
      <w:r>
        <w:rPr>
          <w:spacing w:val="-99"/>
        </w:rPr>
        <w:t> </w:t>
      </w:r>
      <w:r>
        <w:rPr>
          <w:spacing w:val="-99"/>
        </w:rPr>
      </w:r>
      <w:r>
        <w:rPr>
          <w:spacing w:val="-2"/>
        </w:rPr>
        <w:t>与资产相关的政府补助，确认为递延收益，并在相关资产的使用寿命内按照合理、系统的方</w:t>
      </w:r>
    </w:p>
    <w:p>
      <w:pPr>
        <w:spacing w:line="307" w:lineRule="auto" w:before="42"/>
        <w:ind w:left="138" w:right="3467" w:firstLine="0"/>
        <w:jc w:val="left"/>
        <w:rPr>
          <w:rFonts w:ascii="宋体" w:hAnsi="宋体" w:cs="宋体" w:eastAsia="宋体" w:hint="default"/>
          <w:sz w:val="21"/>
          <w:szCs w:val="21"/>
        </w:rPr>
      </w:pPr>
      <w:r>
        <w:rPr>
          <w:rFonts w:ascii="宋体" w:hAnsi="宋体" w:cs="宋体" w:eastAsia="宋体" w:hint="default"/>
          <w:sz w:val="21"/>
          <w:szCs w:val="21"/>
        </w:rPr>
        <w:t>法分期计入当期损益。</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、与收益相关的政府补助判断依据及会计处理方法</w:t>
      </w:r>
      <w:r>
        <w:rPr>
          <w:rFonts w:ascii="宋体" w:hAnsi="宋体" w:cs="宋体" w:eastAsia="宋体" w:hint="default"/>
          <w:spacing w:val="-1"/>
          <w:sz w:val="21"/>
          <w:szCs w:val="21"/>
        </w:rPr>
      </w:r>
    </w:p>
    <w:p>
      <w:pPr>
        <w:pStyle w:val="BodyText"/>
        <w:tabs>
          <w:tab w:pos="980" w:val="left" w:leader="none"/>
        </w:tabs>
        <w:spacing w:line="331" w:lineRule="auto"/>
        <w:ind w:left="558" w:right="137" w:hanging="420"/>
        <w:jc w:val="left"/>
      </w:pPr>
      <w:r>
        <w:rPr>
          <w:spacing w:val="-1"/>
        </w:rPr>
        <w:t>√适用</w:t>
        <w:tab/>
      </w:r>
      <w:r>
        <w:rPr>
          <w:spacing w:val="-2"/>
        </w:rPr>
        <w:t>□不适用</w:t>
      </w:r>
      <w:r>
        <w:rPr>
          <w:spacing w:val="-99"/>
        </w:rPr>
        <w:t> </w:t>
      </w:r>
      <w:r>
        <w:rPr>
          <w:spacing w:val="-99"/>
        </w:rPr>
      </w:r>
      <w:r>
        <w:rPr>
          <w:spacing w:val="-2"/>
        </w:rPr>
        <w:t>与收益相关的政府补助，用于补偿以后期间的相关成本费用或损失的，确认为递延收益，并</w:t>
      </w:r>
    </w:p>
    <w:p>
      <w:pPr>
        <w:pStyle w:val="BodyText"/>
        <w:spacing w:line="348" w:lineRule="auto" w:before="46"/>
        <w:ind w:right="137"/>
        <w:jc w:val="both"/>
      </w:pPr>
      <w:r>
        <w:rPr>
          <w:spacing w:val="-2"/>
        </w:rPr>
        <w:t>在确认相关成本费用或损失的期间计入当期损益；用于补偿已经发生的相关成本费用或损失的，</w:t>
      </w:r>
      <w:r>
        <w:rPr>
          <w:spacing w:val="-25"/>
        </w:rPr>
        <w:t> </w:t>
      </w:r>
      <w:r>
        <w:rPr>
          <w:spacing w:val="-25"/>
        </w:rPr>
      </w:r>
      <w:r>
        <w:rPr>
          <w:spacing w:val="-2"/>
        </w:rPr>
        <w:t>直接计入当期损益。同时包含与资产相关部分和与收益相关部分的政府补助，区分不同部分分别</w:t>
      </w:r>
      <w:r>
        <w:rPr>
          <w:spacing w:val="-25"/>
        </w:rPr>
        <w:t> </w:t>
      </w:r>
      <w:r>
        <w:rPr>
          <w:spacing w:val="-25"/>
        </w:rPr>
      </w:r>
      <w:r>
        <w:rPr/>
        <w:t>进行会计处理；难以区分的，将其整体归类为与收益相关的政府补助。</w:t>
      </w:r>
    </w:p>
    <w:p>
      <w:pPr>
        <w:pStyle w:val="BodyText"/>
        <w:spacing w:line="348" w:lineRule="auto" w:before="31"/>
        <w:ind w:right="137" w:firstLine="419"/>
        <w:jc w:val="both"/>
      </w:pPr>
      <w:r>
        <w:rPr>
          <w:spacing w:val="-2"/>
        </w:rPr>
        <w:t>同时包含与资产相关部分和与收益相关部分的政府补助，区分不同部分分别进行会计处理；</w:t>
      </w:r>
      <w:r>
        <w:rPr>
          <w:w w:val="100"/>
        </w:rPr>
        <w:t> </w:t>
      </w:r>
      <w:r>
        <w:rPr/>
        <w:t>难以区分的，将其整体归类为与收益相关的政府补助。</w:t>
      </w:r>
    </w:p>
    <w:p>
      <w:pPr>
        <w:pStyle w:val="BodyText"/>
        <w:spacing w:line="350" w:lineRule="auto" w:before="31"/>
        <w:ind w:right="137" w:firstLine="419"/>
        <w:jc w:val="both"/>
      </w:pPr>
      <w:r>
        <w:rPr>
          <w:spacing w:val="-2"/>
        </w:rPr>
        <w:t>与本公司日常活动相关的政府补助，按照经济业务的实质，计入其他收益或冲减相关成本费</w:t>
      </w:r>
      <w:r>
        <w:rPr>
          <w:w w:val="100"/>
        </w:rPr>
        <w:t> </w:t>
      </w:r>
      <w:r>
        <w:rPr/>
        <w:t>用；与日常活动无关的政府补助，计入营业外收支。</w:t>
      </w:r>
    </w:p>
    <w:p>
      <w:pPr>
        <w:pStyle w:val="BodyText"/>
        <w:spacing w:line="350" w:lineRule="auto" w:before="27"/>
        <w:ind w:right="137" w:firstLine="419"/>
        <w:jc w:val="both"/>
      </w:pPr>
      <w:r>
        <w:rPr>
          <w:spacing w:val="-2"/>
        </w:rPr>
        <w:t>已确认的政府补助需要退回时，存在相关递延收益余额的，冲减相关递延收益账面余额，超</w:t>
      </w:r>
      <w:r>
        <w:rPr>
          <w:w w:val="100"/>
        </w:rPr>
        <w:t> </w:t>
      </w:r>
      <w:r>
        <w:rPr>
          <w:spacing w:val="-2"/>
        </w:rPr>
        <w:t>出部分计入当期损益或对初始确认时冲减相关资产账面价值的与资产相关的政府补助）调整资产</w:t>
      </w:r>
      <w:r>
        <w:rPr>
          <w:spacing w:val="-25"/>
        </w:rPr>
        <w:t> </w:t>
      </w:r>
      <w:r>
        <w:rPr>
          <w:spacing w:val="-25"/>
        </w:rPr>
      </w:r>
      <w:r>
        <w:rPr/>
        <w:t>账面价值；属于其他情况的，直接计入当期损益。</w:t>
      </w:r>
    </w:p>
    <w:p>
      <w:pPr>
        <w:pStyle w:val="Heading3"/>
        <w:spacing w:line="281" w:lineRule="exact" w:before="0"/>
        <w:ind w:left="138" w:right="125"/>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40" w:lineRule="auto" w:before="32"/>
        <w:ind w:right="125"/>
        <w:jc w:val="left"/>
      </w:pPr>
      <w:r>
        <w:rPr>
          <w:spacing w:val="-1"/>
        </w:rPr>
        <w:t>√适用</w:t>
        <w:tab/>
      </w:r>
      <w:r>
        <w:rPr>
          <w:spacing w:val="-2"/>
        </w:rPr>
        <w:t>□不适用</w:t>
      </w:r>
    </w:p>
    <w:p>
      <w:pPr>
        <w:pStyle w:val="BodyText"/>
        <w:spacing w:line="240" w:lineRule="auto" w:before="104"/>
        <w:ind w:left="558" w:right="125"/>
        <w:jc w:val="left"/>
      </w:pPr>
      <w:r>
        <w:rPr/>
        <w:t>（</w:t>
      </w:r>
      <w:r>
        <w:rPr>
          <w:rFonts w:ascii="宋体" w:hAnsi="宋体" w:cs="宋体" w:eastAsia="宋体" w:hint="default"/>
        </w:rPr>
        <w:t>1</w:t>
      </w:r>
      <w:r>
        <w:rPr/>
        <w:t>）当期所得税</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firstLine="419"/>
        <w:jc w:val="both"/>
      </w:pPr>
      <w:r>
        <w:rPr>
          <w:spacing w:val="-2"/>
        </w:rPr>
        <w:t>资产负债表日，对于当期和以前期间形成的当期所得税负债（或资产），以按照税法规定计</w:t>
      </w:r>
      <w:r>
        <w:rPr>
          <w:w w:val="100"/>
        </w:rPr>
        <w:t> </w:t>
      </w:r>
      <w:r>
        <w:rPr>
          <w:spacing w:val="-2"/>
        </w:rPr>
        <w:t>算的预期应交纳（或返还）的所得税金额计量。计算当期所得税费用所依据的应纳税所得额系根</w:t>
      </w:r>
      <w:r>
        <w:rPr>
          <w:spacing w:val="-25"/>
        </w:rPr>
        <w:t> </w:t>
      </w:r>
      <w:r>
        <w:rPr>
          <w:spacing w:val="-25"/>
        </w:rPr>
      </w:r>
      <w:r>
        <w:rPr/>
        <w:t>据有关税法规定对本年度税前会计利润作相应调整后计算得出。</w:t>
      </w:r>
    </w:p>
    <w:p>
      <w:pPr>
        <w:pStyle w:val="BodyText"/>
        <w:spacing w:line="350" w:lineRule="auto" w:before="27"/>
        <w:ind w:left="558" w:right="101"/>
        <w:jc w:val="left"/>
      </w:pPr>
      <w:r>
        <w:rPr/>
        <w:t>（</w:t>
      </w:r>
      <w:r>
        <w:rPr>
          <w:rFonts w:ascii="宋体" w:hAnsi="宋体" w:cs="宋体" w:eastAsia="宋体" w:hint="default"/>
        </w:rPr>
        <w:t>2</w:t>
      </w:r>
      <w:r>
        <w:rPr/>
        <w:t>）递延所得税资产及递延所得税负债</w:t>
      </w:r>
      <w:r>
        <w:rPr>
          <w:w w:val="100"/>
        </w:rPr>
        <w:t> </w:t>
      </w:r>
      <w:r>
        <w:rPr>
          <w:spacing w:val="-2"/>
        </w:rPr>
        <w:t>某些资产、负债项目的账面价值与其计税基础之间的差额，以及未作为资产和负债确认但按</w:t>
      </w:r>
    </w:p>
    <w:p>
      <w:pPr>
        <w:pStyle w:val="BodyText"/>
        <w:spacing w:line="348" w:lineRule="auto" w:before="29"/>
        <w:ind w:right="101"/>
        <w:jc w:val="left"/>
      </w:pP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p>
    <w:p>
      <w:pPr>
        <w:pStyle w:val="BodyText"/>
        <w:spacing w:line="240" w:lineRule="auto" w:before="31"/>
        <w:ind w:left="558" w:right="101"/>
        <w:jc w:val="left"/>
      </w:pPr>
      <w:r>
        <w:rPr/>
        <w:t>与商誉的初始确认有关，以及与既不是企业合并、发生时也不影响会计利润和应纳税所得额</w:t>
      </w:r>
    </w:p>
    <w:p>
      <w:pPr>
        <w:pStyle w:val="BodyText"/>
        <w:spacing w:line="348" w:lineRule="auto" w:before="126"/>
        <w:ind w:right="101"/>
        <w:jc w:val="left"/>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6"/>
          <w:w w:val="100"/>
        </w:rPr>
        <w:t> </w:t>
      </w:r>
      <w:r>
        <w:rPr>
          <w:spacing w:val="-86"/>
          <w:w w:val="100"/>
        </w:rPr>
      </w:r>
      <w:r>
        <w:rPr/>
        <w:t>也不予确认有关的递延所得税负债。除上述例外情况，本公司确认其他所有应纳税暂时性差异产</w:t>
      </w:r>
      <w:r>
        <w:rPr>
          <w:w w:val="100"/>
        </w:rPr>
        <w:t> </w:t>
      </w:r>
      <w:r>
        <w:rPr/>
        <w:t>生的递延所得税负债。</w:t>
      </w:r>
    </w:p>
    <w:p>
      <w:pPr>
        <w:pStyle w:val="BodyText"/>
        <w:spacing w:line="350" w:lineRule="auto" w:before="31"/>
        <w:ind w:right="217" w:firstLine="419"/>
        <w:jc w:val="both"/>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r>
        <w:rPr>
          <w:spacing w:val="-25"/>
        </w:rPr>
        <w:t> </w:t>
      </w:r>
      <w:r>
        <w:rPr>
          <w:spacing w:val="-25"/>
        </w:rPr>
      </w: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r>
        <w:rPr>
          <w:spacing w:val="-25"/>
        </w:rPr>
        <w:t> </w:t>
      </w:r>
      <w:r>
        <w:rPr>
          <w:spacing w:val="-25"/>
        </w:rPr>
      </w:r>
      <w:r>
        <w:rPr>
          <w:spacing w:val="-2"/>
        </w:rPr>
        <w:t>确认有关的递延所得税资产。除上述例外情况，本公司以很可能取得用来抵扣可抵扣暂时性差异</w:t>
      </w:r>
      <w:r>
        <w:rPr>
          <w:spacing w:val="-25"/>
        </w:rPr>
        <w:t> </w:t>
      </w:r>
      <w:r>
        <w:rPr>
          <w:spacing w:val="-25"/>
        </w:rPr>
      </w:r>
      <w:r>
        <w:rPr/>
        <w:t>的应纳税所得额为限，确认其他可抵扣暂时性差异产生的递延所得税资产。</w:t>
      </w:r>
    </w:p>
    <w:p>
      <w:pPr>
        <w:pStyle w:val="BodyText"/>
        <w:spacing w:line="350" w:lineRule="auto" w:before="29"/>
        <w:ind w:right="217" w:firstLine="419"/>
        <w:jc w:val="both"/>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350" w:lineRule="auto" w:before="27"/>
        <w:ind w:right="217" w:firstLine="419"/>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50" w:lineRule="auto" w:before="29"/>
        <w:ind w:right="217" w:firstLine="419"/>
        <w:jc w:val="both"/>
      </w:pPr>
      <w:r>
        <w:rPr>
          <w:spacing w:val="-2"/>
        </w:rPr>
        <w:t>于资产负债表日，对递延所得税资产的账面价值进行复核，如果未来很可能无法获得足够的</w:t>
      </w:r>
      <w:r>
        <w:rPr>
          <w:w w:val="100"/>
        </w:rPr>
        <w:t> </w:t>
      </w:r>
      <w:r>
        <w:rPr>
          <w:spacing w:val="-2"/>
        </w:rPr>
        <w:t>应纳税所得额用以抵扣递延所得税资产的利益，则减记递延所得税资产的账面价值。在很可能获</w:t>
      </w:r>
      <w:r>
        <w:rPr>
          <w:spacing w:val="-25"/>
        </w:rPr>
        <w:t> </w:t>
      </w:r>
      <w:r>
        <w:rPr>
          <w:spacing w:val="-25"/>
        </w:rPr>
      </w:r>
      <w:r>
        <w:rPr/>
        <w:t>得足够的应纳税所得额时，减记的金额予以转回。</w:t>
      </w:r>
    </w:p>
    <w:p>
      <w:pPr>
        <w:pStyle w:val="BodyText"/>
        <w:spacing w:line="348" w:lineRule="auto" w:before="29"/>
        <w:ind w:left="558" w:right="4174"/>
        <w:jc w:val="left"/>
      </w:pPr>
      <w:r>
        <w:rPr/>
        <w:t>（</w:t>
      </w:r>
      <w:r>
        <w:rPr>
          <w:rFonts w:ascii="宋体" w:hAnsi="宋体" w:cs="宋体" w:eastAsia="宋体" w:hint="default"/>
        </w:rPr>
        <w:t>3</w:t>
      </w:r>
      <w:r>
        <w:rPr/>
        <w:t>）所得税费用</w:t>
      </w:r>
      <w:r>
        <w:rPr>
          <w:w w:val="100"/>
        </w:rPr>
        <w:t> </w:t>
      </w:r>
      <w:r>
        <w:rPr>
          <w:spacing w:val="-2"/>
        </w:rPr>
        <w:t>所得税费用包括当期所得税和递延所得税。</w:t>
      </w:r>
    </w:p>
    <w:p>
      <w:pPr>
        <w:pStyle w:val="BodyText"/>
        <w:spacing w:line="348" w:lineRule="auto" w:before="31"/>
        <w:ind w:right="217" w:firstLine="419"/>
        <w:jc w:val="both"/>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w:t>
      </w:r>
      <w:r>
        <w:rPr>
          <w:spacing w:val="-25"/>
        </w:rPr>
        <w:t> </w:t>
      </w:r>
      <w:r>
        <w:rPr>
          <w:spacing w:val="-25"/>
        </w:rPr>
      </w:r>
      <w:r>
        <w:rPr/>
        <w:t>所得税和递延所得税费用或收益计入当期损益。</w:t>
      </w:r>
    </w:p>
    <w:p>
      <w:pPr>
        <w:pStyle w:val="BodyText"/>
        <w:spacing w:line="350" w:lineRule="auto" w:before="31"/>
        <w:ind w:left="558" w:right="101"/>
        <w:jc w:val="left"/>
      </w:pPr>
      <w:r>
        <w:rPr/>
        <w:t>（</w:t>
      </w:r>
      <w:r>
        <w:rPr>
          <w:rFonts w:ascii="宋体" w:hAnsi="宋体" w:cs="宋体" w:eastAsia="宋体"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240" w:lineRule="auto" w:before="27"/>
        <w:ind w:right="101"/>
        <w:jc w:val="left"/>
      </w:pPr>
      <w:r>
        <w:rPr/>
        <w:t>司当期所得税资产及当期所得税负债以抵销后的净额列报。</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firstLine="419"/>
        <w:jc w:val="both"/>
      </w:pPr>
      <w:r>
        <w:rPr>
          <w:spacing w:val="-2"/>
        </w:rPr>
        <w:t>当拥有以净额结算当期所得税资产及当期所得税负债的法定权利，且递延所得税资产及递延</w:t>
      </w:r>
      <w:r>
        <w:rPr>
          <w:w w:val="100"/>
        </w:rPr>
        <w:t> </w:t>
      </w: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pStyle w:val="Heading3"/>
        <w:spacing w:line="256" w:lineRule="exact" w:before="0"/>
        <w:ind w:left="138" w:right="0"/>
        <w:jc w:val="both"/>
        <w:rPr>
          <w:b w:val="0"/>
          <w:bCs w:val="0"/>
        </w:rPr>
      </w:pPr>
      <w:r>
        <w:rPr>
          <w:rFonts w:ascii="宋体" w:hAnsi="宋体" w:cs="宋体" w:eastAsia="宋体" w:hint="default"/>
        </w:rPr>
        <w:t>31.</w:t>
      </w:r>
      <w:r>
        <w:rPr>
          <w:rFonts w:ascii="宋体" w:hAnsi="宋体" w:cs="宋体" w:eastAsia="宋体" w:hint="default"/>
          <w:spacing w:val="2"/>
        </w:rPr>
        <w:t> </w:t>
      </w:r>
      <w:r>
        <w:rPr/>
        <w:t>租赁</w:t>
      </w:r>
      <w:r>
        <w:rPr>
          <w:b w:val="0"/>
          <w:bCs w:val="0"/>
        </w:rPr>
      </w:r>
    </w:p>
    <w:p>
      <w:pPr>
        <w:pStyle w:val="Heading3"/>
        <w:spacing w:line="240" w:lineRule="auto" w:before="56"/>
        <w:ind w:left="138" w:right="0"/>
        <w:jc w:val="both"/>
        <w:rPr>
          <w:b w:val="0"/>
          <w:bCs w:val="0"/>
        </w:rPr>
      </w:pPr>
      <w:r>
        <w:rPr>
          <w:rFonts w:ascii="宋体" w:hAnsi="宋体" w:cs="宋体" w:eastAsia="宋体" w:hint="default"/>
        </w:rPr>
        <w:t>(1)</w:t>
      </w:r>
      <w:r>
        <w:rPr/>
        <w:t>、经营租赁的会计处理方法</w:t>
      </w:r>
      <w:r>
        <w:rPr>
          <w:b w:val="0"/>
          <w:bCs w:val="0"/>
        </w:rPr>
      </w:r>
    </w:p>
    <w:p>
      <w:pPr>
        <w:pStyle w:val="BodyText"/>
        <w:tabs>
          <w:tab w:pos="980" w:val="left" w:leader="none"/>
        </w:tabs>
        <w:spacing w:line="331" w:lineRule="auto" w:before="58"/>
        <w:ind w:left="558" w:right="217" w:hanging="420"/>
        <w:jc w:val="left"/>
      </w:pPr>
      <w:r>
        <w:rPr>
          <w:spacing w:val="-1"/>
        </w:rPr>
        <w:t>√适用</w:t>
        <w:tab/>
      </w:r>
      <w:r>
        <w:rPr>
          <w:spacing w:val="-2"/>
        </w:rPr>
        <w:t>□不适用</w:t>
      </w:r>
      <w:r>
        <w:rPr>
          <w:spacing w:val="-99"/>
        </w:rPr>
        <w:t> </w:t>
      </w:r>
      <w:r>
        <w:rPr>
          <w:spacing w:val="-99"/>
        </w:rPr>
      </w:r>
      <w:r>
        <w:rPr>
          <w:spacing w:val="-2"/>
        </w:rPr>
        <w:t>本公司作为承租人记录经营租赁业务，经营租赁的租金支出在租赁期内的各个期间按直线法</w:t>
      </w:r>
    </w:p>
    <w:p>
      <w:pPr>
        <w:pStyle w:val="BodyText"/>
        <w:spacing w:line="350" w:lineRule="auto" w:before="46"/>
        <w:ind w:right="217"/>
        <w:jc w:val="both"/>
      </w:pPr>
      <w:r>
        <w:rPr>
          <w:spacing w:val="-2"/>
        </w:rPr>
        <w:t>计入相关资产成本或当期损益。初始直接费用计入当期损益。或有租金于实际发生时计入当期损</w:t>
      </w:r>
      <w:r>
        <w:rPr>
          <w:spacing w:val="-25"/>
        </w:rPr>
        <w:t> </w:t>
      </w:r>
      <w:r>
        <w:rPr>
          <w:spacing w:val="-25"/>
        </w:rPr>
      </w:r>
      <w:r>
        <w:rPr/>
        <w:t>益。</w:t>
      </w:r>
    </w:p>
    <w:p>
      <w:pPr>
        <w:pStyle w:val="BodyText"/>
        <w:spacing w:line="350" w:lineRule="auto" w:before="27"/>
        <w:ind w:right="101" w:firstLine="419"/>
        <w:jc w:val="left"/>
      </w:pPr>
      <w:r>
        <w:rPr/>
        <w:t>本公司作为出租人记录经营租赁业务，经营租赁的租金收入在租赁期内的各个期间按直线法</w:t>
      </w:r>
      <w:r>
        <w:rPr>
          <w:w w:val="100"/>
        </w:rPr>
        <w:t> </w:t>
      </w:r>
      <w:r>
        <w:rPr/>
        <w:t>确认为当期损益。对金额较大的初始直接费用于发生时予以资本化，在整个租赁期间内按照与确</w:t>
      </w:r>
      <w:r>
        <w:rPr>
          <w:w w:val="100"/>
        </w:rPr>
        <w:t> </w:t>
      </w:r>
      <w:r>
        <w:rPr>
          <w:spacing w:val="-4"/>
          <w:w w:val="100"/>
        </w:rPr>
        <w:t>认租金收入相同的基础分期计入当期损益；其他金额较小的初始直接费用于发生时计入当期损益。</w:t>
      </w:r>
      <w:r>
        <w:rPr>
          <w:spacing w:val="-85"/>
          <w:w w:val="100"/>
        </w:rPr>
        <w:t> </w:t>
      </w:r>
      <w:r>
        <w:rPr>
          <w:spacing w:val="-85"/>
          <w:w w:val="100"/>
        </w:rPr>
      </w:r>
      <w:r>
        <w:rPr/>
        <w:t>或有租金于实际发生时计入当期损益。</w:t>
      </w:r>
    </w:p>
    <w:p>
      <w:pPr>
        <w:pStyle w:val="Heading3"/>
        <w:spacing w:line="256" w:lineRule="exact" w:before="0"/>
        <w:ind w:left="138" w:right="0"/>
        <w:jc w:val="both"/>
        <w:rPr>
          <w:b w:val="0"/>
          <w:bCs w:val="0"/>
        </w:rPr>
      </w:pPr>
      <w:r>
        <w:rPr>
          <w:rFonts w:ascii="宋体" w:hAnsi="宋体" w:cs="宋体" w:eastAsia="宋体" w:hint="default"/>
        </w:rPr>
        <w:t>(2)</w:t>
      </w:r>
      <w:r>
        <w:rPr/>
        <w:t>、融资租赁的会计处理方法</w:t>
      </w:r>
      <w:r>
        <w:rPr>
          <w:b w:val="0"/>
          <w:bCs w:val="0"/>
        </w:rPr>
      </w:r>
    </w:p>
    <w:p>
      <w:pPr>
        <w:pStyle w:val="BodyText"/>
        <w:tabs>
          <w:tab w:pos="980" w:val="left" w:leader="none"/>
        </w:tabs>
        <w:spacing w:line="333" w:lineRule="auto" w:before="56"/>
        <w:ind w:left="558" w:right="217" w:hanging="420"/>
        <w:jc w:val="left"/>
      </w:pPr>
      <w:r>
        <w:rPr>
          <w:spacing w:val="-1"/>
        </w:rPr>
        <w:t>√适用</w:t>
        <w:tab/>
      </w:r>
      <w:r>
        <w:rPr>
          <w:spacing w:val="-2"/>
        </w:rPr>
        <w:t>□不适用</w:t>
      </w:r>
      <w:r>
        <w:rPr>
          <w:spacing w:val="-99"/>
        </w:rPr>
        <w:t> </w:t>
      </w:r>
      <w:r>
        <w:rPr>
          <w:spacing w:val="-99"/>
        </w:rPr>
      </w:r>
      <w:r>
        <w:rPr>
          <w:spacing w:val="-2"/>
        </w:rPr>
        <w:t>本公司作为承租人记录融资租赁业务，于租赁期开始日，将租赁开始日租赁资产的公允价值</w:t>
      </w:r>
    </w:p>
    <w:p>
      <w:pPr>
        <w:pStyle w:val="BodyText"/>
        <w:spacing w:line="350" w:lineRule="auto" w:before="41"/>
        <w:ind w:right="217"/>
        <w:jc w:val="both"/>
      </w:pPr>
      <w:r>
        <w:rPr>
          <w:spacing w:val="-2"/>
        </w:rPr>
        <w:t>与最低租赁付款额现值两者中较低者作为租入资产的入账价值，将最低租赁付款额作为长期应付</w:t>
      </w:r>
      <w:r>
        <w:rPr>
          <w:spacing w:val="-25"/>
        </w:rPr>
        <w:t> </w:t>
      </w:r>
      <w:r>
        <w:rPr>
          <w:spacing w:val="-25"/>
        </w:rPr>
      </w:r>
      <w:r>
        <w:rPr>
          <w:spacing w:val="-2"/>
        </w:rPr>
        <w:t>款的入账价值，其差额作为未确认融资费用。此外，在租赁谈判和签订租赁合同过程中发生的，</w:t>
      </w:r>
      <w:r>
        <w:rPr>
          <w:spacing w:val="-25"/>
        </w:rPr>
        <w:t> </w:t>
      </w:r>
      <w:r>
        <w:rPr>
          <w:spacing w:val="-25"/>
        </w:rPr>
      </w:r>
      <w:r>
        <w:rPr>
          <w:spacing w:val="-2"/>
        </w:rPr>
        <w:t>可归属于租赁项目的初始直接费用也计入租入资产价值。最低租赁付款额扣除未确认融资费用后</w:t>
      </w:r>
      <w:r>
        <w:rPr>
          <w:spacing w:val="-25"/>
        </w:rPr>
        <w:t> </w:t>
      </w:r>
      <w:r>
        <w:rPr>
          <w:spacing w:val="-25"/>
        </w:rPr>
      </w:r>
      <w:r>
        <w:rPr>
          <w:spacing w:val="-2"/>
        </w:rPr>
        <w:t>的余额分别长期负债和一年内到期的长期负债列示。未确认融资费用在租赁期内采用实际利率法</w:t>
      </w:r>
      <w:r>
        <w:rPr>
          <w:spacing w:val="-25"/>
        </w:rPr>
        <w:t> </w:t>
      </w:r>
      <w:r>
        <w:rPr>
          <w:spacing w:val="-25"/>
        </w:rPr>
      </w:r>
      <w:r>
        <w:rPr/>
        <w:t>计算确认当期的融资费用。或有租金于实际发生时计入当期损益。</w:t>
      </w:r>
    </w:p>
    <w:p>
      <w:pPr>
        <w:pStyle w:val="BodyText"/>
        <w:spacing w:line="350" w:lineRule="auto" w:before="29"/>
        <w:ind w:right="217" w:firstLine="419"/>
        <w:jc w:val="both"/>
      </w:pPr>
      <w:r>
        <w:rPr>
          <w:spacing w:val="-2"/>
        </w:rPr>
        <w:t>本公司作为出租人记录融资租赁业务，于租赁期开始日，将租赁开始日最低租赁收款额与初</w:t>
      </w:r>
      <w:r>
        <w:rPr>
          <w:w w:val="100"/>
        </w:rPr>
        <w:t> </w:t>
      </w:r>
      <w:r>
        <w:rPr>
          <w:spacing w:val="-2"/>
        </w:rPr>
        <w:t>始直接费用之和作为应收融资租赁款的入账价值，同时记录未担保余值；将最低租赁收款额、初</w:t>
      </w:r>
      <w:r>
        <w:rPr>
          <w:spacing w:val="-25"/>
        </w:rPr>
        <w:t> </w:t>
      </w:r>
      <w:r>
        <w:rPr>
          <w:spacing w:val="-25"/>
        </w:rPr>
      </w:r>
      <w:r>
        <w:rPr>
          <w:spacing w:val="-2"/>
        </w:rPr>
        <w:t>始直接费用及未担保余值之和与其现值之和的差额确认为未实现融资收益。应收融资租赁款扣除</w:t>
      </w:r>
      <w:r>
        <w:rPr>
          <w:spacing w:val="-25"/>
        </w:rPr>
        <w:t> </w:t>
      </w:r>
      <w:r>
        <w:rPr>
          <w:spacing w:val="-25"/>
        </w:rPr>
      </w:r>
      <w:r>
        <w:rPr/>
        <w:t>未实现融资收益后的余额分别长期债权和一年内到期的长期债权列示。</w:t>
      </w:r>
    </w:p>
    <w:p>
      <w:pPr>
        <w:pStyle w:val="BodyText"/>
        <w:spacing w:line="350" w:lineRule="auto" w:before="27"/>
        <w:ind w:right="217" w:firstLine="419"/>
        <w:jc w:val="both"/>
      </w:pPr>
      <w:r>
        <w:rPr>
          <w:spacing w:val="-2"/>
        </w:rPr>
        <w:t>未实现融资收益在租赁期内采用实际利率法计算确认当期的融资收入。或有租金于实际发生</w:t>
      </w:r>
      <w:r>
        <w:rPr>
          <w:w w:val="100"/>
        </w:rPr>
        <w:t> </w:t>
      </w:r>
      <w:r>
        <w:rPr/>
        <w:t>时计入当期损益。</w:t>
      </w:r>
    </w:p>
    <w:p>
      <w:pPr>
        <w:pStyle w:val="Heading3"/>
        <w:spacing w:line="256" w:lineRule="exact" w:before="0"/>
        <w:ind w:left="138"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tabs>
          <w:tab w:pos="980" w:val="left" w:leader="none"/>
        </w:tabs>
        <w:spacing w:line="333" w:lineRule="auto" w:before="56"/>
        <w:ind w:left="558" w:right="217" w:hanging="420"/>
        <w:jc w:val="left"/>
      </w:pPr>
      <w:r>
        <w:rPr>
          <w:spacing w:val="-1"/>
        </w:rPr>
        <w:t>√适用</w:t>
        <w:tab/>
      </w:r>
      <w:r>
        <w:rPr>
          <w:spacing w:val="-2"/>
        </w:rPr>
        <w:t>□不适用</w:t>
      </w:r>
      <w:r>
        <w:rPr>
          <w:spacing w:val="-99"/>
        </w:rPr>
        <w:t> </w:t>
      </w:r>
      <w:r>
        <w:rPr>
          <w:spacing w:val="-99"/>
        </w:rPr>
      </w:r>
      <w:r>
        <w:rPr>
          <w:spacing w:val="-2"/>
        </w:rPr>
        <w:t>本公司在运用会计政策过程中，由于经营活动内在的不确定性，本公司需要对无法准确计量</w:t>
      </w:r>
    </w:p>
    <w:p>
      <w:pPr>
        <w:pStyle w:val="BodyText"/>
        <w:spacing w:line="350" w:lineRule="auto" w:before="41"/>
        <w:ind w:right="208"/>
        <w:jc w:val="both"/>
      </w:pPr>
      <w:r>
        <w:rPr>
          <w:spacing w:val="-2"/>
        </w:rPr>
        <w:t>的报表项目的账面价值进行判断、估计和假设。这些判断、估计和假设是基于本公司管理层过去</w:t>
      </w:r>
      <w:r>
        <w:rPr>
          <w:spacing w:val="-25"/>
        </w:rPr>
        <w:t> </w:t>
      </w:r>
      <w:r>
        <w:rPr>
          <w:spacing w:val="-25"/>
        </w:rPr>
      </w:r>
      <w:r>
        <w:rPr>
          <w:spacing w:val="-6"/>
        </w:rPr>
        <w:t>的历史经验，并在考虑其他相关因素的基础上做出的。这些判断、估计和假设会影响收入、费用、</w:t>
      </w:r>
      <w:r>
        <w:rPr>
          <w:spacing w:val="-51"/>
        </w:rPr>
        <w:t> </w:t>
      </w:r>
      <w:r>
        <w:rPr>
          <w:spacing w:val="-51"/>
        </w:rPr>
      </w:r>
      <w:r>
        <w:rPr>
          <w:spacing w:val="-2"/>
        </w:rPr>
        <w:t>资产和负债的报告金额以及资产负债表日或有负债的披露。然而，这些估计的不确定性所导致的</w:t>
      </w:r>
    </w:p>
    <w:p>
      <w:pPr>
        <w:spacing w:after="0" w:line="350"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7"/>
        <w:jc w:val="both"/>
      </w:pPr>
      <w:r>
        <w:rPr>
          <w:spacing w:val="-2"/>
        </w:rPr>
        <w:t>实际结果可能与本公司管理层当前的估计存在差异，进而造成对未来受影响的资产或负债的账面</w:t>
      </w:r>
      <w:r>
        <w:rPr>
          <w:spacing w:val="-25"/>
        </w:rPr>
        <w:t> </w:t>
      </w:r>
      <w:r>
        <w:rPr>
          <w:spacing w:val="-25"/>
        </w:rPr>
      </w:r>
      <w:r>
        <w:rPr/>
        <w:t>金额进行重大调整。</w:t>
      </w:r>
    </w:p>
    <w:p>
      <w:pPr>
        <w:pStyle w:val="BodyText"/>
        <w:spacing w:line="348" w:lineRule="auto" w:before="29"/>
        <w:ind w:right="217" w:firstLine="419"/>
        <w:jc w:val="both"/>
      </w:pPr>
      <w:r>
        <w:rPr>
          <w:spacing w:val="-2"/>
        </w:rPr>
        <w:t>本公司对前述判断、估计和假设在持续经营的基础上进行定期复核，会计估计的变更仅影响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40" w:lineRule="auto" w:before="31"/>
        <w:ind w:left="558" w:right="101"/>
        <w:jc w:val="left"/>
      </w:pPr>
      <w:r>
        <w:rPr/>
        <w:t>于资产负债表日，本公司需对财务报表项目金额进行判断、估计和假设的重要领域如下：</w:t>
      </w:r>
    </w:p>
    <w:p>
      <w:pPr>
        <w:pStyle w:val="BodyText"/>
        <w:spacing w:line="240" w:lineRule="auto" w:before="123"/>
        <w:ind w:left="558" w:right="101"/>
        <w:jc w:val="left"/>
      </w:pPr>
      <w:r>
        <w:rPr/>
        <w:t>（</w:t>
      </w:r>
      <w:r>
        <w:rPr>
          <w:rFonts w:ascii="宋体" w:hAnsi="宋体" w:cs="宋体" w:eastAsia="宋体" w:hint="default"/>
        </w:rPr>
        <w:t>1</w:t>
      </w:r>
      <w:r>
        <w:rPr/>
        <w:t>）租赁的归类</w:t>
      </w:r>
    </w:p>
    <w:p>
      <w:pPr>
        <w:pStyle w:val="BodyText"/>
        <w:spacing w:line="350" w:lineRule="auto" w:before="126"/>
        <w:ind w:right="104" w:firstLine="419"/>
        <w:jc w:val="left"/>
      </w:pPr>
      <w:r>
        <w:rPr/>
        <w:t>本公司根据《企业会计准则第</w:t>
      </w:r>
      <w:r>
        <w:rPr>
          <w:spacing w:val="-52"/>
        </w:rPr>
        <w:t> </w:t>
      </w:r>
      <w:r>
        <w:rPr>
          <w:rFonts w:ascii="宋体" w:hAnsi="宋体" w:cs="宋体" w:eastAsia="宋体" w:hint="default"/>
        </w:rPr>
        <w:t>21</w:t>
      </w:r>
      <w:r>
        <w:rPr>
          <w:rFonts w:ascii="宋体" w:hAnsi="宋体" w:cs="宋体" w:eastAsia="宋体" w:hint="default"/>
          <w:spacing w:val="-53"/>
        </w:rPr>
        <w:t> </w:t>
      </w:r>
      <w:r>
        <w:rPr/>
        <w:t>号——租赁》的规定，将租赁归类为经营租赁和融资租赁，</w:t>
      </w:r>
      <w:r>
        <w:rPr>
          <w:w w:val="100"/>
        </w:rPr>
        <w:t> </w:t>
      </w:r>
      <w:r>
        <w:rPr/>
        <w:t>在进行归类时，管理层需要对是否已将与租出资产所有权有关的全部风险和报酬实质上转移给承</w:t>
      </w:r>
      <w:r>
        <w:rPr>
          <w:w w:val="100"/>
        </w:rPr>
        <w:t> </w:t>
      </w:r>
      <w:r>
        <w:rPr/>
        <w:t>租人，或者本公司是否已经实质上承担与租入资产所有权有关的全部风险和报酬，作出分析和判</w:t>
      </w:r>
      <w:r>
        <w:rPr>
          <w:w w:val="100"/>
        </w:rPr>
        <w:t> </w:t>
      </w:r>
      <w:r>
        <w:rPr/>
        <w:t>断。</w:t>
      </w:r>
    </w:p>
    <w:p>
      <w:pPr>
        <w:pStyle w:val="BodyText"/>
        <w:spacing w:line="348" w:lineRule="auto" w:before="29"/>
        <w:ind w:left="558" w:right="101"/>
        <w:jc w:val="left"/>
      </w:pPr>
      <w:r>
        <w:rPr/>
        <w:t>（</w:t>
      </w:r>
      <w:r>
        <w:rPr>
          <w:rFonts w:ascii="宋体" w:hAnsi="宋体" w:cs="宋体" w:eastAsia="宋体" w:hint="default"/>
        </w:rPr>
        <w:t>2</w:t>
      </w:r>
      <w:r>
        <w:rPr/>
        <w:t>）坏账准备计提</w:t>
      </w:r>
      <w:r>
        <w:rPr>
          <w:w w:val="100"/>
        </w:rPr>
        <w:t> </w:t>
      </w:r>
      <w:r>
        <w:rPr>
          <w:spacing w:val="-2"/>
        </w:rPr>
        <w:t>本公司根据应收款项的会计政策，采用备抵法核算坏账损失。应收账款减值是基于评估应收</w:t>
      </w:r>
    </w:p>
    <w:p>
      <w:pPr>
        <w:pStyle w:val="BodyText"/>
        <w:spacing w:line="350" w:lineRule="auto" w:before="31"/>
        <w:ind w:right="217"/>
        <w:jc w:val="both"/>
      </w:pPr>
      <w:r>
        <w:rPr>
          <w:spacing w:val="-2"/>
        </w:rPr>
        <w:t>账款的可收回性。鉴定应收账款减值要求管理层的判断和估计。实际的结果与原先估计的差异将</w:t>
      </w:r>
      <w:r>
        <w:rPr>
          <w:spacing w:val="-25"/>
        </w:rPr>
        <w:t> </w:t>
      </w:r>
      <w:r>
        <w:rPr>
          <w:spacing w:val="-25"/>
        </w:rPr>
      </w:r>
      <w:r>
        <w:rPr/>
        <w:t>在估计被改变的期间影响应收账款的账面价值及应收账款坏账准备的计提或转回。</w:t>
      </w:r>
    </w:p>
    <w:p>
      <w:pPr>
        <w:pStyle w:val="BodyText"/>
        <w:spacing w:line="350" w:lineRule="auto" w:before="27"/>
        <w:ind w:left="558" w:right="101"/>
        <w:jc w:val="left"/>
      </w:pPr>
      <w:r>
        <w:rPr/>
        <w:t>（</w:t>
      </w:r>
      <w:r>
        <w:rPr>
          <w:rFonts w:ascii="宋体" w:hAnsi="宋体" w:cs="宋体" w:eastAsia="宋体" w:hint="default"/>
        </w:rPr>
        <w:t>3</w:t>
      </w:r>
      <w:r>
        <w:rPr/>
        <w:t>）存货跌价准备</w:t>
      </w:r>
      <w:r>
        <w:rPr>
          <w:w w:val="100"/>
        </w:rPr>
        <w:t> </w:t>
      </w:r>
      <w:r>
        <w:rPr>
          <w:spacing w:val="-2"/>
        </w:rPr>
        <w:t>本公司根据存货会计政策，按照成本与可变现净值孰低计量，对成本高于可变现净值及陈旧</w:t>
      </w:r>
    </w:p>
    <w:p>
      <w:pPr>
        <w:pStyle w:val="BodyText"/>
        <w:spacing w:line="350" w:lineRule="auto" w:before="29"/>
        <w:ind w:right="217"/>
        <w:jc w:val="both"/>
      </w:pPr>
      <w:r>
        <w:rPr>
          <w:spacing w:val="-2"/>
        </w:rPr>
        <w:t>和滞销的存货，计提存货跌价准备。存货减值至可变现净值是基于评估存货的可售性及其可变现</w:t>
      </w:r>
      <w:r>
        <w:rPr>
          <w:spacing w:val="-25"/>
        </w:rPr>
        <w:t> </w:t>
      </w:r>
      <w:r>
        <w:rPr>
          <w:spacing w:val="-25"/>
        </w:rPr>
      </w:r>
      <w:r>
        <w:rPr>
          <w:spacing w:val="-2"/>
        </w:rPr>
        <w:t>净值。鉴定存货减值要求管理层在取得确凿证据，并且考虑持有存货的目的、资产负债表日后事</w:t>
      </w:r>
      <w:r>
        <w:rPr>
          <w:spacing w:val="-25"/>
        </w:rPr>
        <w:t> </w:t>
      </w:r>
      <w:r>
        <w:rPr>
          <w:spacing w:val="-25"/>
        </w:rPr>
      </w:r>
      <w:r>
        <w:rPr>
          <w:spacing w:val="-2"/>
        </w:rPr>
        <w:t>项的影响等因素的基础上作出判断和估计。实际的结果与原先估计的差异将在估计被改变的期间</w:t>
      </w:r>
      <w:r>
        <w:rPr>
          <w:spacing w:val="-25"/>
        </w:rPr>
        <w:t> </w:t>
      </w:r>
      <w:r>
        <w:rPr>
          <w:spacing w:val="-25"/>
        </w:rPr>
      </w:r>
      <w:r>
        <w:rPr/>
        <w:t>影响存货的账面价值及存货跌价准备的计提或转回。</w:t>
      </w:r>
    </w:p>
    <w:p>
      <w:pPr>
        <w:pStyle w:val="BodyText"/>
        <w:spacing w:line="350" w:lineRule="auto" w:before="27"/>
        <w:ind w:left="558" w:right="101"/>
        <w:jc w:val="left"/>
      </w:pPr>
      <w:r>
        <w:rPr/>
        <w:t>（</w:t>
      </w:r>
      <w:r>
        <w:rPr>
          <w:rFonts w:ascii="宋体" w:hAnsi="宋体" w:cs="宋体" w:eastAsia="宋体" w:hint="default"/>
        </w:rPr>
        <w:t>4</w:t>
      </w:r>
      <w:r>
        <w:rPr/>
        <w:t>）金融工具公允价值</w:t>
      </w:r>
      <w:r>
        <w:rPr>
          <w:w w:val="100"/>
        </w:rPr>
        <w:t> </w:t>
      </w:r>
      <w:r>
        <w:rPr>
          <w:spacing w:val="-2"/>
        </w:rPr>
        <w:t>对不存在活跃交易市场的金融工具，本公司通过各种估值方法确定其公允价值。这些估值方</w:t>
      </w:r>
    </w:p>
    <w:p>
      <w:pPr>
        <w:pStyle w:val="BodyText"/>
        <w:spacing w:line="350" w:lineRule="auto" w:before="29"/>
        <w:ind w:right="217"/>
        <w:jc w:val="both"/>
      </w:pPr>
      <w:r>
        <w:rPr>
          <w:spacing w:val="-2"/>
        </w:rPr>
        <w:t>法包括贴现现金流模型分析等。估值时本公司需对未来现金流量、信用风险、市场波动率和相关</w:t>
      </w:r>
      <w:r>
        <w:rPr>
          <w:spacing w:val="-25"/>
        </w:rPr>
        <w:t> </w:t>
      </w:r>
      <w:r>
        <w:rPr>
          <w:spacing w:val="-25"/>
        </w:rPr>
      </w:r>
      <w:r>
        <w:rPr>
          <w:spacing w:val="-2"/>
        </w:rPr>
        <w:t>性等方面进行估计，并选择适当的折现率。这些相关假设具有不确定性，其变化会对金融工具的</w:t>
      </w:r>
      <w:r>
        <w:rPr>
          <w:spacing w:val="-25"/>
        </w:rPr>
        <w:t> </w:t>
      </w:r>
      <w:r>
        <w:rPr>
          <w:spacing w:val="-25"/>
        </w:rPr>
      </w:r>
      <w:r>
        <w:rPr/>
        <w:t>公允价值产生影响。</w:t>
      </w:r>
    </w:p>
    <w:p>
      <w:pPr>
        <w:pStyle w:val="BodyText"/>
        <w:spacing w:line="348" w:lineRule="auto" w:before="29"/>
        <w:ind w:left="558" w:right="101"/>
        <w:jc w:val="left"/>
      </w:pPr>
      <w:r>
        <w:rPr/>
        <w:t>（</w:t>
      </w:r>
      <w:r>
        <w:rPr>
          <w:rFonts w:ascii="宋体" w:hAnsi="宋体" w:cs="宋体" w:eastAsia="宋体" w:hint="default"/>
        </w:rPr>
        <w:t>5</w:t>
      </w:r>
      <w:r>
        <w:rPr/>
        <w:t>）可供出售金融资产减值</w:t>
      </w:r>
      <w:r>
        <w:rPr>
          <w:w w:val="100"/>
        </w:rPr>
        <w:t> </w:t>
      </w:r>
      <w:r>
        <w:rPr>
          <w:spacing w:val="-2"/>
        </w:rPr>
        <w:t>本公司确定可供出售金融资产是否减值在很大程度上依赖于管理层的判断和假设，以确定是</w:t>
      </w:r>
    </w:p>
    <w:p>
      <w:pPr>
        <w:pStyle w:val="BodyText"/>
        <w:spacing w:line="348" w:lineRule="auto" w:before="31"/>
        <w:ind w:right="217"/>
        <w:jc w:val="both"/>
      </w:pPr>
      <w:r>
        <w:rPr>
          <w:spacing w:val="-2"/>
        </w:rPr>
        <w:t>否需要在利润表中确认其减值损失。在进行判断和作出假设的过程中，本公司需评估该项投资的</w:t>
      </w:r>
      <w:r>
        <w:rPr>
          <w:spacing w:val="-25"/>
        </w:rPr>
        <w:t> </w:t>
      </w:r>
      <w:r>
        <w:rPr>
          <w:spacing w:val="-25"/>
        </w:rPr>
      </w:r>
      <w:r>
        <w:rPr>
          <w:spacing w:val="-2"/>
        </w:rPr>
        <w:t>公允价值低于成本的程度和持续期间，以及被投资对象的财务状况和短期业务展望，包括行业状</w:t>
      </w:r>
      <w:r>
        <w:rPr>
          <w:spacing w:val="-25"/>
        </w:rPr>
        <w:t> </w:t>
      </w:r>
      <w:r>
        <w:rPr>
          <w:spacing w:val="-25"/>
        </w:rPr>
      </w:r>
      <w:r>
        <w:rPr/>
        <w:t>况、技术变革、信用评级、违约率和对手方的风险。</w:t>
      </w:r>
    </w:p>
    <w:p>
      <w:pPr>
        <w:pStyle w:val="BodyText"/>
        <w:spacing w:line="240" w:lineRule="auto" w:before="31"/>
        <w:ind w:left="558" w:right="101"/>
        <w:jc w:val="left"/>
      </w:pPr>
      <w:r>
        <w:rPr/>
        <w:t>（</w:t>
      </w:r>
      <w:r>
        <w:rPr>
          <w:rFonts w:ascii="宋体" w:hAnsi="宋体" w:cs="宋体" w:eastAsia="宋体" w:hint="default"/>
        </w:rPr>
        <w:t>6</w:t>
      </w:r>
      <w:r>
        <w:rPr/>
        <w:t>）非金融非流动资产减值准备</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210" w:firstLine="419"/>
        <w:jc w:val="right"/>
      </w:pPr>
      <w:r>
        <w:rPr>
          <w:spacing w:val="-2"/>
        </w:rPr>
        <w:t>本公司于资产负债表日对除金融资产之外的非流动资产判断是否存在可能发生减值的迹象。</w:t>
      </w:r>
      <w:r>
        <w:rPr>
          <w:w w:val="100"/>
        </w:rPr>
        <w:t> </w:t>
      </w:r>
      <w:r>
        <w:rPr>
          <w:spacing w:val="-2"/>
        </w:rPr>
        <w:t>对使用寿命不确定的无形资产，除每年进行的减值测试外，当其存在减值迹象时，也进行减值测</w:t>
      </w:r>
      <w:r>
        <w:rPr>
          <w:spacing w:val="-50"/>
        </w:rPr>
        <w:t> </w:t>
      </w:r>
      <w:r>
        <w:rPr>
          <w:spacing w:val="-50"/>
        </w:rPr>
      </w:r>
      <w:r>
        <w:rPr>
          <w:spacing w:val="-7"/>
        </w:rPr>
        <w:t>试。其他除金融资产之外的非流动资产，当存在迹象表明其账面金额不可收回时，进行减值测试。</w:t>
      </w:r>
      <w:r>
        <w:rPr>
          <w:spacing w:val="-35"/>
        </w:rPr>
        <w:t> </w:t>
      </w:r>
      <w:r>
        <w:rPr>
          <w:spacing w:val="-35"/>
        </w:rPr>
      </w:r>
      <w:r>
        <w:rPr>
          <w:spacing w:val="-2"/>
        </w:rPr>
        <w:t>当资产或资产组的账面价值高于可收回金额，即公允价值减去处置费用后的净额和预计未来</w:t>
      </w:r>
    </w:p>
    <w:p>
      <w:pPr>
        <w:pStyle w:val="BodyText"/>
        <w:spacing w:line="350" w:lineRule="auto" w:before="29"/>
        <w:ind w:left="558" w:right="101" w:hanging="420"/>
        <w:jc w:val="left"/>
      </w:pPr>
      <w:r>
        <w:rPr/>
        <w:t>现金流量的现值中的较高者，表明发生了减值。</w:t>
      </w:r>
      <w:r>
        <w:rPr>
          <w:w w:val="100"/>
        </w:rPr>
        <w:t> </w:t>
      </w:r>
      <w:r>
        <w:rPr>
          <w:spacing w:val="-2"/>
        </w:rPr>
        <w:t>公允价值减去处置费用后的净额，参考公平交易中类似资产的销售协议价格或可观察到的市</w:t>
      </w:r>
    </w:p>
    <w:p>
      <w:pPr>
        <w:pStyle w:val="BodyText"/>
        <w:spacing w:line="350" w:lineRule="auto" w:before="27"/>
        <w:ind w:left="558" w:right="101" w:hanging="420"/>
        <w:jc w:val="left"/>
      </w:pPr>
      <w:r>
        <w:rPr/>
        <w:t>场价格，减去可直接归属于该资产处置的增量成本确定。</w:t>
      </w:r>
      <w:r>
        <w:rPr>
          <w:w w:val="100"/>
        </w:rPr>
        <w:t> </w:t>
      </w:r>
      <w:r>
        <w:rPr>
          <w:spacing w:val="-2"/>
        </w:rPr>
        <w:t>在预计未来现金流量现值时，需要对该资产（或资产组）的产量、售价、相关经营成本以及</w:t>
      </w:r>
    </w:p>
    <w:p>
      <w:pPr>
        <w:pStyle w:val="BodyText"/>
        <w:spacing w:line="348" w:lineRule="auto" w:before="30"/>
        <w:ind w:right="217"/>
        <w:jc w:val="both"/>
      </w:pP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pStyle w:val="BodyText"/>
        <w:spacing w:line="348" w:lineRule="auto" w:before="31"/>
        <w:ind w:right="217" w:firstLine="419"/>
        <w:jc w:val="both"/>
      </w:pPr>
      <w:r>
        <w:rPr>
          <w:spacing w:val="-2"/>
        </w:rPr>
        <w:t>本公司至少每年测试商誉是否发生减值。这要求对分配了商誉的资产组或者资产组组合的未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r>
        <w:rPr>
          <w:spacing w:val="-25"/>
        </w:rPr>
        <w:t> </w:t>
      </w:r>
      <w:r>
        <w:rPr>
          <w:spacing w:val="-25"/>
        </w:rPr>
      </w:r>
      <w:r>
        <w:rPr/>
        <w:t>者资产组组合产生的现金流量，同时选择恰当的折现率确定未来现金流量的现值。</w:t>
      </w:r>
    </w:p>
    <w:p>
      <w:pPr>
        <w:pStyle w:val="BodyText"/>
        <w:spacing w:line="350" w:lineRule="auto" w:before="31"/>
        <w:ind w:left="558" w:right="101"/>
        <w:jc w:val="left"/>
      </w:pPr>
      <w:r>
        <w:rPr/>
        <w:t>（</w:t>
      </w:r>
      <w:r>
        <w:rPr>
          <w:rFonts w:ascii="宋体" w:hAnsi="宋体" w:cs="宋体" w:eastAsia="宋体" w:hint="default"/>
        </w:rPr>
        <w:t>7</w:t>
      </w:r>
      <w:r>
        <w:rPr/>
        <w:t>）折旧和摊销</w:t>
      </w:r>
      <w:r>
        <w:rPr>
          <w:w w:val="100"/>
        </w:rPr>
        <w:t> </w:t>
      </w:r>
      <w:r>
        <w:rPr>
          <w:spacing w:val="-2"/>
        </w:rPr>
        <w:t>本公司对投资性房地产、固定资产和无形资产在考虑其残值后，在使用寿命内按直线法计提</w:t>
      </w:r>
    </w:p>
    <w:p>
      <w:pPr>
        <w:pStyle w:val="BodyText"/>
        <w:spacing w:line="350" w:lineRule="auto" w:before="27"/>
        <w:ind w:right="217"/>
        <w:jc w:val="both"/>
      </w:pPr>
      <w:r>
        <w:rPr>
          <w:spacing w:val="-2"/>
        </w:rPr>
        <w:t>折旧和摊销。本公司定期复核使用寿命，以决定将计入每个报告期的折旧和摊销费用数额。使用</w:t>
      </w:r>
      <w:r>
        <w:rPr>
          <w:spacing w:val="-25"/>
        </w:rPr>
        <w:t> </w:t>
      </w:r>
      <w:r>
        <w:rPr>
          <w:spacing w:val="-25"/>
        </w:rPr>
      </w:r>
      <w:r>
        <w:rPr>
          <w:spacing w:val="-2"/>
        </w:rPr>
        <w:t>寿命是本公司根据对同类资产的以往经验并结合预期的技术更新而确定的。如果以前的估计发生</w:t>
      </w:r>
      <w:r>
        <w:rPr>
          <w:spacing w:val="-26"/>
        </w:rPr>
        <w:t> </w:t>
      </w:r>
      <w:r>
        <w:rPr>
          <w:spacing w:val="-26"/>
        </w:rPr>
      </w:r>
      <w:r>
        <w:rPr/>
        <w:t>重大变化，则会在未来期间对折旧和摊销费用进行调整。</w:t>
      </w:r>
    </w:p>
    <w:p>
      <w:pPr>
        <w:pStyle w:val="BodyText"/>
        <w:spacing w:line="350" w:lineRule="auto" w:before="27"/>
        <w:ind w:left="558" w:right="101"/>
        <w:jc w:val="left"/>
      </w:pPr>
      <w:r>
        <w:rPr/>
        <w:t>（</w:t>
      </w:r>
      <w:r>
        <w:rPr>
          <w:rFonts w:ascii="宋体" w:hAnsi="宋体" w:cs="宋体" w:eastAsia="宋体" w:hint="default"/>
        </w:rPr>
        <w:t>8</w:t>
      </w:r>
      <w:r>
        <w:rPr/>
        <w:t>）开发支出</w:t>
      </w:r>
      <w:r>
        <w:rPr>
          <w:w w:val="100"/>
        </w:rPr>
        <w:t> </w:t>
      </w:r>
      <w:r>
        <w:rPr>
          <w:spacing w:val="-2"/>
        </w:rPr>
        <w:t>确定资本化的金额时，本公司管理层需要作出有关资产的预计未来现金流量、适用的折现率</w:t>
      </w:r>
    </w:p>
    <w:p>
      <w:pPr>
        <w:pStyle w:val="BodyText"/>
        <w:spacing w:line="240" w:lineRule="auto" w:before="29"/>
        <w:ind w:right="0"/>
        <w:jc w:val="both"/>
      </w:pPr>
      <w:r>
        <w:rPr/>
        <w:t>以及预计受益期间的假设。</w:t>
      </w:r>
    </w:p>
    <w:p>
      <w:pPr>
        <w:pStyle w:val="BodyText"/>
        <w:spacing w:line="350" w:lineRule="auto" w:before="123"/>
        <w:ind w:left="558" w:right="101"/>
        <w:jc w:val="left"/>
      </w:pPr>
      <w:r>
        <w:rPr/>
        <w:t>（</w:t>
      </w:r>
      <w:r>
        <w:rPr>
          <w:rFonts w:ascii="宋体" w:hAnsi="宋体" w:cs="宋体" w:eastAsia="宋体" w:hint="default"/>
        </w:rPr>
        <w:t>9</w:t>
      </w:r>
      <w:r>
        <w:rPr/>
        <w:t>）递延所得税资产</w:t>
      </w:r>
      <w:r>
        <w:rPr>
          <w:w w:val="100"/>
        </w:rPr>
        <w:t> </w:t>
      </w:r>
      <w:r>
        <w:rPr>
          <w:spacing w:val="-2"/>
        </w:rPr>
        <w:t>在很有可能有足够的应纳税利润来抵扣亏损的限度内，本公司就所有未利用的税务亏损确认</w:t>
      </w:r>
    </w:p>
    <w:p>
      <w:pPr>
        <w:pStyle w:val="BodyText"/>
        <w:spacing w:line="348" w:lineRule="auto" w:before="29"/>
        <w:ind w:right="101"/>
        <w:jc w:val="left"/>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p>
    <w:p>
      <w:pPr>
        <w:pStyle w:val="BodyText"/>
        <w:spacing w:line="350" w:lineRule="auto" w:before="31"/>
        <w:ind w:left="558" w:right="101"/>
        <w:jc w:val="left"/>
      </w:pPr>
      <w:r>
        <w:rPr/>
        <w:t>（</w:t>
      </w:r>
      <w:r>
        <w:rPr>
          <w:rFonts w:ascii="宋体" w:hAnsi="宋体" w:cs="宋体" w:eastAsia="宋体" w:hint="default"/>
        </w:rPr>
        <w:t>10</w:t>
      </w:r>
      <w:r>
        <w:rPr/>
        <w:t>）所得税</w:t>
      </w:r>
      <w:r>
        <w:rPr>
          <w:w w:val="100"/>
        </w:rPr>
        <w:t> </w:t>
      </w:r>
      <w:r>
        <w:rPr>
          <w:spacing w:val="-2"/>
        </w:rPr>
        <w:t>本公司在正常的经营活动中，有部分交易其最终的税务处理和计算存在一定的不确定性。部</w:t>
      </w:r>
    </w:p>
    <w:p>
      <w:pPr>
        <w:pStyle w:val="BodyText"/>
        <w:spacing w:line="350" w:lineRule="auto" w:before="27"/>
        <w:ind w:right="217"/>
        <w:jc w:val="both"/>
      </w:pPr>
      <w:r>
        <w:rPr>
          <w:spacing w:val="-2"/>
        </w:rPr>
        <w:t>分项目是否能够在税前列支需要税收主管机关的审批。如果这些税务事项的最终认定结果同最初</w:t>
      </w:r>
      <w:r>
        <w:rPr>
          <w:spacing w:val="-25"/>
        </w:rPr>
        <w:t> </w:t>
      </w:r>
      <w:r>
        <w:rPr>
          <w:spacing w:val="-25"/>
        </w:rPr>
      </w:r>
      <w:r>
        <w:rPr/>
        <w:t>估计的金额存在差异，则该差异将对其最终认定期间的当期所得税和递延所得税产生影响。</w:t>
      </w:r>
    </w:p>
    <w:p>
      <w:pPr>
        <w:pStyle w:val="BodyText"/>
        <w:spacing w:line="348" w:lineRule="auto" w:before="29"/>
        <w:ind w:left="558" w:right="101"/>
        <w:jc w:val="left"/>
      </w:pPr>
      <w:r>
        <w:rPr/>
        <w:t>（</w:t>
      </w:r>
      <w:r>
        <w:rPr>
          <w:rFonts w:ascii="宋体" w:hAnsi="宋体" w:cs="宋体" w:eastAsia="宋体" w:hint="default"/>
        </w:rPr>
        <w:t>11</w:t>
      </w:r>
      <w:r>
        <w:rPr/>
        <w:t>）公允价值计量</w:t>
      </w:r>
      <w:r>
        <w:rPr>
          <w:w w:val="100"/>
        </w:rPr>
        <w:t> </w:t>
      </w:r>
      <w:r>
        <w:rPr>
          <w:spacing w:val="-2"/>
        </w:rPr>
        <w:t>本公司的某些资产和负债在财务报表中按公允价值计量。在对某项资产或负债的公允价值作</w:t>
      </w:r>
    </w:p>
    <w:p>
      <w:pPr>
        <w:pStyle w:val="BodyText"/>
        <w:spacing w:line="348" w:lineRule="auto" w:before="31"/>
        <w:ind w:right="217"/>
        <w:jc w:val="both"/>
      </w:pPr>
      <w:r>
        <w:rPr>
          <w:spacing w:val="-2"/>
        </w:rPr>
        <w:t>出估计时，本公司采用可获得的可观察市场数据。如果无法获得第一层次输入值，本公司会聘用</w:t>
      </w:r>
      <w:r>
        <w:rPr>
          <w:spacing w:val="-25"/>
        </w:rPr>
        <w:t> </w:t>
      </w:r>
      <w:r>
        <w:rPr>
          <w:spacing w:val="-25"/>
        </w:rPr>
      </w:r>
      <w:r>
        <w:rPr>
          <w:spacing w:val="-2"/>
        </w:rPr>
        <w:t>第三方有资质的评估师来执行估价。本公司与有资质的外部估价师紧密合作，以确定适当的估值</w:t>
      </w:r>
      <w:r>
        <w:rPr>
          <w:spacing w:val="-25"/>
        </w:rPr>
        <w:t> </w:t>
      </w:r>
      <w:r>
        <w:rPr>
          <w:spacing w:val="-25"/>
        </w:rPr>
      </w:r>
      <w:r>
        <w:rPr/>
        <w:t>技术和相关模型的输入值。</w:t>
      </w:r>
    </w:p>
    <w:p>
      <w:pPr>
        <w:spacing w:after="0" w:line="348"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3"/>
        <w:spacing w:line="290"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333" w:lineRule="auto" w:before="12"/>
        <w:ind w:left="638" w:right="3655" w:hanging="420"/>
        <w:jc w:val="left"/>
      </w:pPr>
      <w:r>
        <w:rPr/>
        <w:t>√适用</w:t>
      </w:r>
      <w:r>
        <w:rPr>
          <w:spacing w:val="-2"/>
        </w:rPr>
        <w:t> </w:t>
      </w:r>
      <w:r>
        <w:rPr/>
        <w:t>□不适用</w:t>
      </w:r>
      <w:r>
        <w:rPr>
          <w:w w:val="100"/>
        </w:rPr>
        <w:t> </w:t>
      </w:r>
      <w:r>
        <w:rPr>
          <w:spacing w:val="-2"/>
        </w:rPr>
        <w:t>因执行新企业会计准则导致的会计政策变更</w:t>
      </w:r>
    </w:p>
    <w:p>
      <w:pPr>
        <w:pStyle w:val="BodyText"/>
        <w:spacing w:line="240" w:lineRule="auto" w:before="44"/>
        <w:ind w:left="638" w:right="123"/>
        <w:jc w:val="left"/>
      </w:pP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8"/>
        </w:rPr>
        <w:t> </w:t>
      </w:r>
      <w:r>
        <w:rPr>
          <w:rFonts w:ascii="宋体" w:hAnsi="宋体" w:cs="宋体" w:eastAsia="宋体" w:hint="default"/>
        </w:rPr>
        <w:t>28</w:t>
      </w:r>
      <w:r>
        <w:rPr>
          <w:rFonts w:ascii="宋体" w:hAnsi="宋体" w:cs="宋体" w:eastAsia="宋体" w:hint="default"/>
          <w:spacing w:val="-50"/>
        </w:rPr>
        <w:t> </w:t>
      </w:r>
      <w:r>
        <w:rPr>
          <w:spacing w:val="-4"/>
        </w:rPr>
        <w:t>日，财政部以财会</w:t>
      </w:r>
      <w:r>
        <w:rPr>
          <w:rFonts w:ascii="宋体" w:hAnsi="宋体" w:cs="宋体" w:eastAsia="宋体" w:hint="default"/>
          <w:spacing w:val="-4"/>
        </w:rPr>
        <w:t>[2017]13</w:t>
      </w:r>
      <w:r>
        <w:rPr>
          <w:rFonts w:ascii="宋体" w:hAnsi="宋体" w:cs="宋体" w:eastAsia="宋体" w:hint="default"/>
          <w:spacing w:val="-48"/>
        </w:rPr>
        <w:t> </w:t>
      </w:r>
      <w:r>
        <w:rPr>
          <w:spacing w:val="-6"/>
        </w:rPr>
        <w:t>号发布了《企业会计准则第</w:t>
      </w:r>
      <w:r>
        <w:rPr>
          <w:spacing w:val="-48"/>
        </w:rPr>
        <w:t> </w:t>
      </w:r>
      <w:r>
        <w:rPr>
          <w:rFonts w:ascii="宋体" w:hAnsi="宋体" w:cs="宋体" w:eastAsia="宋体" w:hint="default"/>
        </w:rPr>
        <w:t>42</w:t>
      </w:r>
      <w:r>
        <w:rPr>
          <w:rFonts w:ascii="宋体" w:hAnsi="宋体" w:cs="宋体" w:eastAsia="宋体" w:hint="default"/>
          <w:spacing w:val="-47"/>
        </w:rPr>
        <w:t> </w:t>
      </w:r>
      <w:r>
        <w:rPr/>
        <w:t>号——持有待售的</w:t>
      </w:r>
    </w:p>
    <w:p>
      <w:pPr>
        <w:pStyle w:val="BodyText"/>
        <w:spacing w:line="240" w:lineRule="auto" w:before="123"/>
        <w:ind w:left="218" w:right="227"/>
        <w:jc w:val="left"/>
      </w:pPr>
      <w:r>
        <w:rPr/>
        <w:t>非流动资产、处置组和终止经营》，自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28</w:t>
      </w:r>
      <w:r>
        <w:rPr>
          <w:rFonts w:ascii="宋体" w:hAnsi="宋体" w:cs="宋体" w:eastAsia="宋体" w:hint="default"/>
          <w:spacing w:val="-55"/>
        </w:rPr>
        <w:t> </w:t>
      </w:r>
      <w:r>
        <w:rPr/>
        <w:t>日起实施。</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2"/>
        </w:rPr>
        <w:t> </w:t>
      </w:r>
      <w:r>
        <w:rPr>
          <w:rFonts w:ascii="宋体" w:hAnsi="宋体" w:cs="宋体" w:eastAsia="宋体" w:hint="default"/>
        </w:rPr>
        <w:t>10</w:t>
      </w:r>
      <w:r>
        <w:rPr>
          <w:rFonts w:ascii="宋体" w:hAnsi="宋体" w:cs="宋体" w:eastAsia="宋体" w:hint="default"/>
          <w:spacing w:val="-53"/>
        </w:rPr>
        <w:t> </w:t>
      </w:r>
      <w:r>
        <w:rPr/>
        <w:t>日，财政部以</w:t>
      </w:r>
    </w:p>
    <w:p>
      <w:pPr>
        <w:pStyle w:val="BodyText"/>
        <w:spacing w:line="240" w:lineRule="auto" w:before="126"/>
        <w:ind w:left="218" w:right="227"/>
        <w:jc w:val="left"/>
        <w:rPr>
          <w:rFonts w:ascii="宋体" w:hAnsi="宋体" w:cs="宋体" w:eastAsia="宋体" w:hint="default"/>
        </w:rPr>
      </w:pPr>
      <w:r>
        <w:rPr/>
        <w:t>财会</w:t>
      </w:r>
      <w:r>
        <w:rPr>
          <w:rFonts w:ascii="宋体" w:hAnsi="宋体" w:cs="宋体" w:eastAsia="宋体" w:hint="default"/>
        </w:rPr>
        <w:t>[2017]15</w:t>
      </w:r>
      <w:r>
        <w:rPr>
          <w:rFonts w:ascii="宋体" w:hAnsi="宋体" w:cs="宋体" w:eastAsia="宋体" w:hint="default"/>
          <w:spacing w:val="-56"/>
        </w:rPr>
        <w:t> </w:t>
      </w:r>
      <w:r>
        <w:rPr/>
        <w:t>号发布了《企业会计准则第</w:t>
      </w:r>
      <w:r>
        <w:rPr>
          <w:spacing w:val="-54"/>
        </w:rPr>
        <w:t> </w:t>
      </w:r>
      <w:r>
        <w:rPr>
          <w:rFonts w:ascii="宋体" w:hAnsi="宋体" w:cs="宋体" w:eastAsia="宋体" w:hint="default"/>
        </w:rPr>
        <w:t>16</w:t>
      </w:r>
      <w:r>
        <w:rPr>
          <w:rFonts w:ascii="宋体" w:hAnsi="宋体" w:cs="宋体" w:eastAsia="宋体" w:hint="default"/>
          <w:spacing w:val="-56"/>
        </w:rPr>
        <w:t> </w:t>
      </w:r>
      <w:r>
        <w:rPr/>
        <w:t>号——政府补助（</w:t>
      </w:r>
      <w:r>
        <w:rPr>
          <w:rFonts w:ascii="宋体" w:hAnsi="宋体" w:cs="宋体" w:eastAsia="宋体" w:hint="default"/>
        </w:rPr>
        <w:t>2017</w:t>
      </w:r>
      <w:r>
        <w:rPr>
          <w:rFonts w:ascii="宋体" w:hAnsi="宋体" w:cs="宋体" w:eastAsia="宋体" w:hint="default"/>
          <w:spacing w:val="-54"/>
        </w:rPr>
        <w:t> </w:t>
      </w:r>
      <w:r>
        <w:rPr/>
        <w:t>年修订）》，自</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p>
    <w:p>
      <w:pPr>
        <w:pStyle w:val="BodyText"/>
        <w:spacing w:line="348" w:lineRule="auto" w:before="126"/>
        <w:ind w:left="218" w:right="239"/>
        <w:jc w:val="left"/>
      </w:pPr>
      <w:r>
        <w:rPr/>
        <w:t>月</w:t>
      </w:r>
      <w:r>
        <w:rPr>
          <w:spacing w:val="-53"/>
        </w:rPr>
        <w:t> </w:t>
      </w:r>
      <w:r>
        <w:rPr>
          <w:rFonts w:ascii="宋体" w:hAnsi="宋体" w:cs="宋体" w:eastAsia="宋体" w:hint="default"/>
        </w:rPr>
        <w:t>12</w:t>
      </w:r>
      <w:r>
        <w:rPr>
          <w:rFonts w:ascii="宋体" w:hAnsi="宋体" w:cs="宋体" w:eastAsia="宋体" w:hint="default"/>
          <w:spacing w:val="-55"/>
        </w:rPr>
        <w:t> </w:t>
      </w:r>
      <w:r>
        <w:rPr/>
        <w:t>日起实施。经本公司第三届董事会第四次（临时）会议于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t>日决议通过，本</w:t>
      </w:r>
      <w:r>
        <w:rPr>
          <w:w w:val="100"/>
        </w:rPr>
        <w:t> </w:t>
      </w:r>
      <w:r>
        <w:rPr/>
        <w:t>公司按照财政部的要求时间开始执行前述两项会计准则。</w:t>
      </w:r>
    </w:p>
    <w:p>
      <w:pPr>
        <w:pStyle w:val="BodyText"/>
        <w:spacing w:line="350" w:lineRule="auto" w:before="32"/>
        <w:ind w:left="218" w:right="230" w:firstLine="419"/>
        <w:jc w:val="both"/>
      </w:pPr>
      <w:r>
        <w:rPr/>
        <w:t>执行《企业会计准则第</w:t>
      </w:r>
      <w:r>
        <w:rPr>
          <w:spacing w:val="-54"/>
        </w:rPr>
        <w:t> </w:t>
      </w:r>
      <w:r>
        <w:rPr>
          <w:rFonts w:ascii="宋体" w:hAnsi="宋体" w:cs="宋体" w:eastAsia="宋体" w:hint="default"/>
        </w:rPr>
        <w:t>16</w:t>
      </w:r>
      <w:r>
        <w:rPr>
          <w:rFonts w:ascii="宋体" w:hAnsi="宋体" w:cs="宋体" w:eastAsia="宋体" w:hint="default"/>
          <w:spacing w:val="-57"/>
        </w:rPr>
        <w:t> </w:t>
      </w:r>
      <w:r>
        <w:rPr/>
        <w:t>号——政府补助（</w:t>
      </w:r>
      <w:r>
        <w:rPr>
          <w:rFonts w:ascii="宋体" w:hAnsi="宋体" w:cs="宋体" w:eastAsia="宋体" w:hint="default"/>
        </w:rPr>
        <w:t>2017</w:t>
      </w:r>
      <w:r>
        <w:rPr>
          <w:rFonts w:ascii="宋体" w:hAnsi="宋体" w:cs="宋体" w:eastAsia="宋体" w:hint="default"/>
          <w:spacing w:val="-57"/>
        </w:rPr>
        <w:t> </w:t>
      </w:r>
      <w:r>
        <w:rPr/>
        <w:t>年修订）》之前，本公司将取得的政府补</w:t>
      </w:r>
      <w:r>
        <w:rPr>
          <w:w w:val="100"/>
        </w:rPr>
        <w:t> </w:t>
      </w:r>
      <w:r>
        <w:rPr>
          <w:spacing w:val="-2"/>
        </w:rPr>
        <w:t>助计入营业外收入；与资产相关的政府补助确认为递延收益，在资产使用寿命内平均摊销计入当</w:t>
      </w:r>
      <w:r>
        <w:rPr>
          <w:spacing w:val="-26"/>
        </w:rPr>
        <w:t> </w:t>
      </w:r>
      <w:r>
        <w:rPr>
          <w:spacing w:val="-26"/>
        </w:rPr>
      </w:r>
      <w:r>
        <w:rPr>
          <w:spacing w:val="-3"/>
        </w:rPr>
        <w:t>期损益。执行《企业会计准则第</w:t>
      </w:r>
      <w:r>
        <w:rPr>
          <w:spacing w:val="-50"/>
        </w:rPr>
        <w:t> </w:t>
      </w:r>
      <w:r>
        <w:rPr>
          <w:rFonts w:ascii="宋体" w:hAnsi="宋体" w:cs="宋体" w:eastAsia="宋体" w:hint="default"/>
        </w:rPr>
        <w:t>16</w:t>
      </w:r>
      <w:r>
        <w:rPr>
          <w:rFonts w:ascii="宋体" w:hAnsi="宋体" w:cs="宋体" w:eastAsia="宋体" w:hint="default"/>
          <w:spacing w:val="-52"/>
        </w:rPr>
        <w:t> </w:t>
      </w:r>
      <w:r>
        <w:rPr/>
        <w:t>号——政府补助（</w:t>
      </w:r>
      <w:r>
        <w:rPr>
          <w:rFonts w:ascii="宋体" w:hAnsi="宋体" w:cs="宋体" w:eastAsia="宋体" w:hint="default"/>
        </w:rPr>
        <w:t>2017</w:t>
      </w:r>
      <w:r>
        <w:rPr>
          <w:rFonts w:ascii="宋体" w:hAnsi="宋体" w:cs="宋体" w:eastAsia="宋体" w:hint="default"/>
          <w:spacing w:val="-52"/>
        </w:rPr>
        <w:t> </w:t>
      </w:r>
      <w:r>
        <w:rPr>
          <w:spacing w:val="-4"/>
        </w:rPr>
        <w:t>年修订）》之后，对</w:t>
      </w:r>
      <w:r>
        <w:rPr>
          <w:spacing w:val="-49"/>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1</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t>日</w:t>
      </w:r>
      <w:r>
        <w:rPr>
          <w:w w:val="100"/>
        </w:rPr>
        <w:t> </w:t>
      </w:r>
      <w:r>
        <w:rPr>
          <w:spacing w:val="-2"/>
        </w:rPr>
        <w:t>之后发生的与日常活动相关的政府补助，计入其他收益；与日常活动无关的政府补助，计入营业</w:t>
      </w:r>
      <w:r>
        <w:rPr>
          <w:spacing w:val="-25"/>
        </w:rPr>
        <w:t> </w:t>
      </w:r>
      <w:r>
        <w:rPr>
          <w:spacing w:val="-25"/>
        </w:rPr>
      </w:r>
      <w:r>
        <w:rPr/>
        <w:t>外收支。</w:t>
      </w:r>
    </w:p>
    <w:p>
      <w:pPr>
        <w:pStyle w:val="Heading3"/>
        <w:spacing w:line="254" w:lineRule="exact" w:before="0"/>
        <w:ind w:right="2465"/>
        <w:jc w:val="left"/>
        <w:rPr>
          <w:b w:val="0"/>
          <w:bCs w:val="0"/>
        </w:rPr>
      </w:pPr>
      <w:r>
        <w:rPr>
          <w:rFonts w:ascii="宋体" w:hAnsi="宋体" w:cs="宋体" w:eastAsia="宋体" w:hint="default"/>
        </w:rPr>
        <w:t>(2)</w:t>
      </w:r>
      <w:r>
        <w:rPr/>
        <w:t>、重要会计估计变更</w:t>
      </w:r>
      <w:r>
        <w:rPr>
          <w:b w:val="0"/>
          <w:bCs w:val="0"/>
        </w:rPr>
      </w:r>
    </w:p>
    <w:p>
      <w:pPr>
        <w:spacing w:line="290"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1060" w:val="left" w:leader="none"/>
        </w:tabs>
        <w:spacing w:line="290" w:lineRule="auto" w:before="14"/>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六、税项</w:t>
      </w:r>
      <w:r>
        <w:rPr>
          <w:rFonts w:ascii="宋体" w:hAnsi="宋体" w:cs="宋体" w:eastAsia="宋体" w:hint="default"/>
          <w:sz w:val="21"/>
          <w:szCs w:val="21"/>
        </w:rPr>
      </w:r>
    </w:p>
    <w:p>
      <w:pPr>
        <w:tabs>
          <w:tab w:pos="642" w:val="left" w:leader="none"/>
        </w:tabs>
        <w:spacing w:line="290" w:lineRule="auto" w:before="14"/>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tabs>
          <w:tab w:pos="1060" w:val="left" w:leader="none"/>
        </w:tabs>
        <w:spacing w:line="229" w:lineRule="exact"/>
        <w:ind w:left="218" w:right="2465"/>
        <w:jc w:val="left"/>
      </w:pPr>
      <w:r>
        <w:rPr/>
        <w:t>√适用</w:t>
        <w:tab/>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3970"/>
        <w:gridCol w:w="2703"/>
      </w:tblGrid>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6"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30"/>
                <w:sz w:val="21"/>
                <w:szCs w:val="21"/>
              </w:rPr>
              <w:t> </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的税率计算销项税，</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8"/>
                <w:sz w:val="21"/>
                <w:szCs w:val="21"/>
              </w:rPr>
              <w:t>并按扣除当期允许抵扣的进项税额后的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差额计缴增值税。</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计缴。</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详见下表。</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按应税收入的</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r>
        <w:trPr>
          <w:trHeight w:val="28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其他税项</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按国家的有关具体规定计缴。</w:t>
            </w:r>
          </w:p>
        </w:tc>
        <w:tc>
          <w:tcPr>
            <w:tcW w:w="27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存在不同企业所得税税率纳税主体的，披露情况说明</w:t>
      </w:r>
    </w:p>
    <w:p>
      <w:pPr>
        <w:pStyle w:val="BodyText"/>
        <w:tabs>
          <w:tab w:pos="1060" w:val="left" w:leader="none"/>
        </w:tabs>
        <w:spacing w:line="274" w:lineRule="exact"/>
        <w:ind w:left="218" w:right="2465"/>
        <w:jc w:val="left"/>
      </w:pPr>
      <w:r>
        <w:rPr>
          <w:spacing w:val="-1"/>
        </w:rPr>
        <w:t>√适用</w:t>
        <w:tab/>
      </w:r>
      <w:r>
        <w:rPr>
          <w:spacing w:val="-2"/>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6" w:hRule="exact"/>
        </w:trPr>
        <w:tc>
          <w:tcPr>
            <w:tcW w:w="337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5679"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亿连科技</w:t>
            </w:r>
          </w:p>
        </w:tc>
        <w:tc>
          <w:tcPr>
            <w:tcW w:w="567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p>
        </w:tc>
        <w:tc>
          <w:tcPr>
            <w:tcW w:w="567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p>
        </w:tc>
        <w:tc>
          <w:tcPr>
            <w:tcW w:w="567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p>
        </w:tc>
        <w:tc>
          <w:tcPr>
            <w:tcW w:w="567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p>
        </w:tc>
        <w:tc>
          <w:tcPr>
            <w:tcW w:w="567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p>
        </w:tc>
        <w:tc>
          <w:tcPr>
            <w:tcW w:w="5679"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33.99</w:t>
            </w:r>
          </w:p>
        </w:tc>
      </w:tr>
      <w:tr>
        <w:trPr>
          <w:trHeight w:val="286" w:hRule="exact"/>
        </w:trPr>
        <w:tc>
          <w:tcPr>
            <w:tcW w:w="337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p>
        </w:tc>
        <w:tc>
          <w:tcPr>
            <w:tcW w:w="567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4" w:hRule="exact"/>
        </w:trPr>
        <w:tc>
          <w:tcPr>
            <w:tcW w:w="3370" w:type="dxa"/>
            <w:tcBorders>
              <w:top w:val="single" w:sz="4" w:space="0" w:color="000000"/>
              <w:left w:val="single" w:sz="4" w:space="0" w:color="000000"/>
              <w:bottom w:val="single" w:sz="4"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p>
        </w:tc>
        <w:tc>
          <w:tcPr>
            <w:tcW w:w="5679"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16.50</w:t>
            </w:r>
          </w:p>
        </w:tc>
      </w:tr>
    </w:tbl>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tabs>
          <w:tab w:pos="1060" w:val="left" w:leader="none"/>
        </w:tabs>
        <w:spacing w:line="362" w:lineRule="auto" w:before="56"/>
        <w:ind w:left="638" w:right="239" w:hanging="420"/>
        <w:jc w:val="left"/>
      </w:pPr>
      <w:r>
        <w:rPr>
          <w:spacing w:val="-1"/>
        </w:rPr>
        <w:t>√适用</w:t>
        <w:tab/>
      </w:r>
      <w:r>
        <w:rPr>
          <w:spacing w:val="-2"/>
        </w:rPr>
        <w:t>□不适用</w:t>
      </w:r>
      <w:r>
        <w:rPr>
          <w:spacing w:val="-99"/>
        </w:rPr>
        <w:t> </w:t>
      </w:r>
      <w:r>
        <w:rPr>
          <w:spacing w:val="-99"/>
        </w:rPr>
      </w:r>
      <w:r>
        <w:rPr>
          <w:spacing w:val="-2"/>
        </w:rPr>
        <w:t>根据《财政部、国家税务总局关于文化体制改革中经营性文化事业单位转制为企业的若干税</w:t>
      </w:r>
    </w:p>
    <w:p>
      <w:pPr>
        <w:pStyle w:val="BodyText"/>
        <w:spacing w:line="384" w:lineRule="auto" w:before="57"/>
        <w:ind w:left="218" w:right="227"/>
        <w:jc w:val="both"/>
      </w:pPr>
      <w:r>
        <w:rPr/>
        <w:t>收优惠政策的通知》（财税</w:t>
      </w:r>
      <w:r>
        <w:rPr>
          <w:rFonts w:ascii="宋体" w:hAnsi="宋体" w:cs="宋体" w:eastAsia="宋体" w:hint="default"/>
        </w:rPr>
        <w:t>[2009]34</w:t>
      </w:r>
      <w:r>
        <w:rPr>
          <w:rFonts w:ascii="宋体" w:hAnsi="宋体" w:cs="宋体" w:eastAsia="宋体" w:hint="default"/>
          <w:spacing w:val="-36"/>
        </w:rPr>
        <w:t> </w:t>
      </w:r>
      <w:r>
        <w:rPr>
          <w:spacing w:val="-3"/>
        </w:rPr>
        <w:t>号）规定：经营性文化事业单位转制为企业，自转制注册之</w:t>
      </w:r>
      <w:r>
        <w:rPr>
          <w:spacing w:val="-97"/>
        </w:rPr>
        <w:t> </w:t>
      </w:r>
      <w:r>
        <w:rPr>
          <w:spacing w:val="-97"/>
        </w:rPr>
      </w:r>
      <w:r>
        <w:rPr>
          <w:spacing w:val="-2"/>
        </w:rPr>
        <w:t>日起免征企业所得税；根据《关于下发红旗出版社有限责任公司等中央所属转制文化企业名单的</w:t>
      </w:r>
      <w:r>
        <w:rPr>
          <w:spacing w:val="-25"/>
        </w:rPr>
        <w:t> </w:t>
      </w:r>
      <w:r>
        <w:rPr>
          <w:spacing w:val="-25"/>
        </w:rPr>
      </w:r>
      <w:r>
        <w:rPr/>
        <w:t>通知》（财税</w:t>
      </w:r>
      <w:r>
        <w:rPr>
          <w:rFonts w:ascii="宋体" w:hAnsi="宋体" w:cs="宋体" w:eastAsia="宋体" w:hint="default"/>
        </w:rPr>
        <w:t>[2011]3</w:t>
      </w:r>
      <w:r>
        <w:rPr>
          <w:rFonts w:ascii="宋体" w:hAnsi="宋体" w:cs="宋体" w:eastAsia="宋体" w:hint="default"/>
          <w:spacing w:val="-56"/>
        </w:rPr>
        <w:t> </w:t>
      </w:r>
      <w:r>
        <w:rPr/>
        <w:t>号）规定：本公司被认定为转制文化企业，应按照财税</w:t>
      </w:r>
      <w:r>
        <w:rPr>
          <w:rFonts w:ascii="宋体" w:hAnsi="宋体" w:cs="宋体" w:eastAsia="宋体" w:hint="default"/>
        </w:rPr>
        <w:t>[2009]34</w:t>
      </w:r>
      <w:r>
        <w:rPr>
          <w:rFonts w:ascii="宋体" w:hAnsi="宋体" w:cs="宋体" w:eastAsia="宋体" w:hint="default"/>
          <w:spacing w:val="-56"/>
        </w:rPr>
        <w:t> </w:t>
      </w:r>
      <w:r>
        <w:rPr/>
        <w:t>号规定享</w:t>
      </w:r>
      <w:r>
        <w:rPr>
          <w:w w:val="100"/>
        </w:rPr>
        <w:t> </w:t>
      </w:r>
      <w:r>
        <w:rPr/>
        <w:t>受税收优惠政策。执行期限为</w:t>
      </w:r>
      <w:r>
        <w:rPr>
          <w:spacing w:val="-52"/>
        </w:rPr>
        <w:t> </w:t>
      </w:r>
      <w:r>
        <w:rPr>
          <w:rFonts w:ascii="宋体" w:hAnsi="宋体" w:cs="宋体" w:eastAsia="宋体" w:hint="default"/>
        </w:rPr>
        <w:t>2010</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2013</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w:t>
      </w:r>
    </w:p>
    <w:p>
      <w:pPr>
        <w:pStyle w:val="BodyText"/>
        <w:spacing w:line="384" w:lineRule="auto" w:before="39"/>
        <w:ind w:left="218" w:right="227" w:firstLine="419"/>
        <w:jc w:val="both"/>
      </w:pPr>
      <w:r>
        <w:rPr>
          <w:spacing w:val="-2"/>
        </w:rPr>
        <w:t>根据《国务院办公厅关于印发文化体制改革中经营性文化事业单位转制为企业和进一步支持</w:t>
      </w:r>
      <w:r>
        <w:rPr>
          <w:w w:val="100"/>
        </w:rPr>
        <w:t> </w:t>
      </w:r>
      <w:r>
        <w:rPr/>
        <w:t>文化企业发展两个规定的通知》（国办发</w:t>
      </w:r>
      <w:r>
        <w:rPr>
          <w:rFonts w:ascii="宋体" w:hAnsi="宋体" w:cs="宋体" w:eastAsia="宋体" w:hint="default"/>
        </w:rPr>
        <w:t>[2014]15</w:t>
      </w:r>
      <w:r>
        <w:rPr>
          <w:rFonts w:ascii="宋体" w:hAnsi="宋体" w:cs="宋体" w:eastAsia="宋体" w:hint="default"/>
          <w:spacing w:val="-47"/>
        </w:rPr>
        <w:t> </w:t>
      </w:r>
      <w:r>
        <w:rPr>
          <w:spacing w:val="-3"/>
        </w:rPr>
        <w:t>号）及《关于继续实施支持文化体制改革中经</w:t>
      </w:r>
      <w:r>
        <w:rPr>
          <w:spacing w:val="-102"/>
        </w:rPr>
        <w:t> </w:t>
      </w:r>
      <w:r>
        <w:rPr>
          <w:spacing w:val="-102"/>
        </w:rPr>
      </w:r>
      <w:r>
        <w:rPr>
          <w:spacing w:val="-2"/>
        </w:rPr>
        <w:t>营性文化事业单位转制为企业若干税收政策的通知》（财税</w:t>
      </w:r>
      <w:r>
        <w:rPr>
          <w:rFonts w:ascii="宋体" w:hAnsi="宋体" w:cs="宋体" w:eastAsia="宋体" w:hint="default"/>
          <w:spacing w:val="-2"/>
        </w:rPr>
        <w:t>[2014]84</w:t>
      </w:r>
      <w:r>
        <w:rPr>
          <w:rFonts w:ascii="宋体" w:hAnsi="宋体" w:cs="宋体" w:eastAsia="宋体" w:hint="default"/>
        </w:rPr>
        <w:t> </w:t>
      </w:r>
      <w:r>
        <w:rPr>
          <w:spacing w:val="-4"/>
        </w:rPr>
        <w:t>号）规定：保留和延续原有</w:t>
      </w:r>
      <w:r>
        <w:rPr>
          <w:spacing w:val="-91"/>
        </w:rPr>
        <w:t> </w:t>
      </w:r>
      <w:r>
        <w:rPr>
          <w:spacing w:val="-91"/>
        </w:rPr>
      </w:r>
      <w:r>
        <w:rPr>
          <w:spacing w:val="-2"/>
        </w:rPr>
        <w:t>给予转制企业的财政支持、税收减免、社保接续、人员分流安置等多方面优惠政策；对文化企业</w:t>
      </w:r>
      <w:r>
        <w:rPr>
          <w:spacing w:val="-25"/>
        </w:rPr>
        <w:t> </w:t>
      </w:r>
      <w:r>
        <w:rPr>
          <w:spacing w:val="-25"/>
        </w:rPr>
      </w:r>
      <w:r>
        <w:rPr/>
        <w:t>按照规定应予减免的税款已征收入库的，可抵减以后纳税期应缴税款或办理退库。执行期限为</w:t>
      </w:r>
    </w:p>
    <w:p>
      <w:pPr>
        <w:spacing w:after="0" w:line="384" w:lineRule="auto"/>
        <w:jc w:val="both"/>
        <w:sectPr>
          <w:pgSz w:w="11910" w:h="16840"/>
          <w:pgMar w:header="882" w:footer="1195" w:top="1120" w:bottom="1380" w:left="1580" w:right="1040"/>
        </w:sectPr>
      </w:pPr>
    </w:p>
    <w:p>
      <w:pPr>
        <w:pStyle w:val="BodyText"/>
        <w:spacing w:line="240" w:lineRule="auto" w:before="38"/>
        <w:ind w:left="218" w:right="-9"/>
        <w:jc w:val="left"/>
      </w:pPr>
      <w:r>
        <w:rPr>
          <w:rFonts w:ascii="宋体" w:hAnsi="宋体" w:cs="宋体" w:eastAsia="宋体" w:hint="default"/>
        </w:rPr>
        <w:t>2014</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t>日至</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w:t>
      </w:r>
    </w:p>
    <w:p>
      <w:pPr>
        <w:pStyle w:val="Heading3"/>
        <w:tabs>
          <w:tab w:pos="642" w:val="left" w:leader="none"/>
        </w:tabs>
        <w:spacing w:line="240" w:lineRule="auto" w:before="82"/>
        <w:ind w:right="-9"/>
        <w:jc w:val="left"/>
        <w:rPr>
          <w:b w:val="0"/>
          <w:bCs w:val="0"/>
        </w:rPr>
      </w:pPr>
      <w:r>
        <w:rPr>
          <w:rFonts w:ascii="宋体" w:hAnsi="宋体" w:cs="宋体" w:eastAsia="宋体" w:hint="default"/>
          <w:w w:val="95"/>
        </w:rPr>
        <w:t>3.</w:t>
        <w:tab/>
      </w:r>
      <w:r>
        <w:rPr/>
        <w:t>其他</w:t>
      </w:r>
      <w:r>
        <w:rPr>
          <w:b w:val="0"/>
          <w:bCs w:val="0"/>
        </w:rPr>
      </w:r>
    </w:p>
    <w:p>
      <w:pPr>
        <w:tabs>
          <w:tab w:pos="1060" w:val="left" w:leader="none"/>
        </w:tabs>
        <w:spacing w:line="290" w:lineRule="auto" w:before="59"/>
        <w:ind w:left="218" w:right="119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七、合并财务报表项目注释</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tabs>
          <w:tab w:pos="1060" w:val="left" w:leader="none"/>
        </w:tabs>
        <w:spacing w:line="240" w:lineRule="auto" w:before="12"/>
        <w:ind w:left="218" w:right="-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75" w:val="left" w:leader="none"/>
        </w:tabs>
        <w:spacing w:line="240" w:lineRule="auto" w:before="16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51" w:space="2467"/>
            <w:col w:w="2872"/>
          </w:cols>
        </w:sectPr>
      </w:pPr>
    </w:p>
    <w:p>
      <w:pPr>
        <w:spacing w:line="240" w:lineRule="auto" w:before="4"/>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2981"/>
        <w:gridCol w:w="2976"/>
        <w:gridCol w:w="2888"/>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16,704.92</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36,740.81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2,186,828,904.33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1,234,132,907.00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2,306,988.00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3,235,250.00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2,189,152,597.25</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1,237,404,897.81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5"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26,641,430.17</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4,023,106.47</w:t>
            </w:r>
          </w:p>
        </w:tc>
      </w:tr>
    </w:tbl>
    <w:p>
      <w:pPr>
        <w:spacing w:line="240" w:lineRule="auto" w:before="8"/>
        <w:rPr>
          <w:rFonts w:ascii="宋体" w:hAnsi="宋体" w:cs="宋体" w:eastAsia="宋体" w:hint="default"/>
          <w:sz w:val="15"/>
          <w:szCs w:val="15"/>
        </w:rPr>
      </w:pPr>
    </w:p>
    <w:p>
      <w:pPr>
        <w:pStyle w:val="BodyText"/>
        <w:spacing w:line="240" w:lineRule="auto" w:before="36"/>
        <w:ind w:left="218" w:right="2465"/>
        <w:jc w:val="left"/>
      </w:pPr>
      <w:r>
        <w:rPr/>
        <w:t>其他说明</w:t>
      </w:r>
    </w:p>
    <w:p>
      <w:pPr>
        <w:pStyle w:val="BodyText"/>
        <w:spacing w:line="240" w:lineRule="auto" w:before="104"/>
        <w:ind w:left="638" w:right="227"/>
        <w:jc w:val="left"/>
      </w:pPr>
      <w:r>
        <w:rPr/>
        <w:t>（</w:t>
      </w:r>
      <w:r>
        <w:rPr>
          <w:rFonts w:ascii="宋体" w:hAnsi="宋体" w:cs="宋体" w:eastAsia="宋体" w:hint="default"/>
        </w:rPr>
        <w:t>1</w:t>
      </w:r>
      <w:r>
        <w:rPr/>
        <w:t>）期末银行存款中具有明确持有至到期意图的定期存款</w:t>
      </w:r>
      <w:r>
        <w:rPr>
          <w:spacing w:val="-56"/>
        </w:rPr>
        <w:t> </w:t>
      </w:r>
      <w:r>
        <w:rPr>
          <w:rFonts w:ascii="宋体" w:hAnsi="宋体" w:cs="宋体" w:eastAsia="宋体" w:hint="default"/>
        </w:rPr>
        <w:t>859,219,996.21</w:t>
      </w:r>
      <w:r>
        <w:rPr>
          <w:rFonts w:ascii="宋体" w:hAnsi="宋体" w:cs="宋体" w:eastAsia="宋体" w:hint="default"/>
          <w:spacing w:val="-58"/>
        </w:rPr>
        <w:t> </w:t>
      </w:r>
      <w:r>
        <w:rPr/>
        <w:t>元（年初为</w:t>
      </w:r>
    </w:p>
    <w:p>
      <w:pPr>
        <w:pStyle w:val="BodyText"/>
        <w:spacing w:line="240" w:lineRule="auto" w:before="126"/>
        <w:ind w:left="218" w:right="2465"/>
        <w:jc w:val="left"/>
      </w:pPr>
      <w:r>
        <w:rPr>
          <w:rFonts w:ascii="宋体" w:hAnsi="宋体" w:cs="宋体" w:eastAsia="宋体" w:hint="default"/>
        </w:rPr>
        <w:t>394,000,000.00</w:t>
      </w:r>
      <w:r>
        <w:rPr>
          <w:rFonts w:ascii="宋体" w:hAnsi="宋体" w:cs="宋体" w:eastAsia="宋体" w:hint="default"/>
          <w:spacing w:val="-53"/>
        </w:rPr>
        <w:t> </w:t>
      </w:r>
      <w:r>
        <w:rPr/>
        <w:t>元）；</w:t>
      </w:r>
    </w:p>
    <w:p>
      <w:pPr>
        <w:pStyle w:val="BodyText"/>
        <w:spacing w:line="240" w:lineRule="auto" w:before="123"/>
        <w:ind w:left="638" w:right="0"/>
        <w:jc w:val="left"/>
      </w:pPr>
      <w:r>
        <w:rPr>
          <w:w w:val="100"/>
        </w:rPr>
        <w:t>（</w:t>
      </w:r>
      <w:r>
        <w:rPr>
          <w:rFonts w:ascii="宋体" w:hAnsi="宋体" w:cs="宋体" w:eastAsia="宋体" w:hint="default"/>
          <w:w w:val="100"/>
        </w:rPr>
        <w:t>2</w:t>
      </w:r>
      <w:r>
        <w:rPr>
          <w:spacing w:val="-101"/>
          <w:w w:val="100"/>
        </w:rPr>
        <w:t>）</w:t>
      </w:r>
      <w:r>
        <w:rPr>
          <w:w w:val="100"/>
        </w:rPr>
        <w:t>其</w:t>
      </w:r>
      <w:r>
        <w:rPr>
          <w:spacing w:val="-3"/>
          <w:w w:val="100"/>
        </w:rPr>
        <w:t>他</w:t>
      </w:r>
      <w:r>
        <w:rPr>
          <w:w w:val="100"/>
        </w:rPr>
        <w:t>货</w:t>
      </w:r>
      <w:r>
        <w:rPr>
          <w:spacing w:val="-3"/>
          <w:w w:val="100"/>
        </w:rPr>
        <w:t>币</w:t>
      </w:r>
      <w:r>
        <w:rPr>
          <w:w w:val="100"/>
        </w:rPr>
        <w:t>资</w:t>
      </w:r>
      <w:r>
        <w:rPr>
          <w:spacing w:val="-3"/>
          <w:w w:val="100"/>
        </w:rPr>
        <w:t>金</w:t>
      </w:r>
      <w:r>
        <w:rPr>
          <w:w w:val="100"/>
        </w:rPr>
        <w:t>资</w:t>
      </w:r>
      <w:r>
        <w:rPr>
          <w:spacing w:val="-3"/>
          <w:w w:val="100"/>
        </w:rPr>
        <w:t>金为</w:t>
      </w:r>
      <w:r>
        <w:rPr>
          <w:w w:val="100"/>
        </w:rPr>
        <w:t>向银</w:t>
      </w:r>
      <w:r>
        <w:rPr>
          <w:spacing w:val="-3"/>
          <w:w w:val="100"/>
        </w:rPr>
        <w:t>行</w:t>
      </w:r>
      <w:r>
        <w:rPr>
          <w:w w:val="100"/>
        </w:rPr>
        <w:t>申</w:t>
      </w:r>
      <w:r>
        <w:rPr>
          <w:spacing w:val="-3"/>
          <w:w w:val="100"/>
        </w:rPr>
        <w:t>请</w:t>
      </w:r>
      <w:r>
        <w:rPr>
          <w:w w:val="100"/>
        </w:rPr>
        <w:t>开</w:t>
      </w:r>
      <w:r>
        <w:rPr>
          <w:spacing w:val="-3"/>
          <w:w w:val="100"/>
        </w:rPr>
        <w:t>具</w:t>
      </w:r>
      <w:r>
        <w:rPr>
          <w:w w:val="100"/>
        </w:rPr>
        <w:t>无</w:t>
      </w:r>
      <w:r>
        <w:rPr>
          <w:spacing w:val="-3"/>
          <w:w w:val="100"/>
        </w:rPr>
        <w:t>条</w:t>
      </w:r>
      <w:r>
        <w:rPr>
          <w:w w:val="100"/>
        </w:rPr>
        <w:t>件</w:t>
      </w:r>
      <w:r>
        <w:rPr>
          <w:spacing w:val="-101"/>
          <w:w w:val="100"/>
        </w:rPr>
        <w:t>、</w:t>
      </w:r>
      <w:r>
        <w:rPr>
          <w:spacing w:val="-3"/>
          <w:w w:val="100"/>
        </w:rPr>
        <w:t>不</w:t>
      </w:r>
      <w:r>
        <w:rPr>
          <w:w w:val="100"/>
        </w:rPr>
        <w:t>可撤</w:t>
      </w:r>
      <w:r>
        <w:rPr>
          <w:spacing w:val="-3"/>
          <w:w w:val="100"/>
        </w:rPr>
        <w:t>销</w:t>
      </w:r>
      <w:r>
        <w:rPr>
          <w:w w:val="100"/>
        </w:rPr>
        <w:t>的</w:t>
      </w:r>
      <w:r>
        <w:rPr>
          <w:spacing w:val="-3"/>
          <w:w w:val="100"/>
        </w:rPr>
        <w:t>履</w:t>
      </w:r>
      <w:r>
        <w:rPr>
          <w:w w:val="100"/>
        </w:rPr>
        <w:t>约</w:t>
      </w:r>
      <w:r>
        <w:rPr>
          <w:spacing w:val="-3"/>
          <w:w w:val="100"/>
        </w:rPr>
        <w:t>保</w:t>
      </w:r>
      <w:r>
        <w:rPr>
          <w:w w:val="100"/>
        </w:rPr>
        <w:t>函</w:t>
      </w:r>
      <w:r>
        <w:rPr>
          <w:spacing w:val="-3"/>
          <w:w w:val="100"/>
        </w:rPr>
        <w:t>所</w:t>
      </w:r>
      <w:r>
        <w:rPr>
          <w:w w:val="100"/>
        </w:rPr>
        <w:t>存</w:t>
      </w:r>
      <w:r>
        <w:rPr>
          <w:spacing w:val="-3"/>
          <w:w w:val="100"/>
        </w:rPr>
        <w:t>入</w:t>
      </w:r>
      <w:r>
        <w:rPr>
          <w:w w:val="100"/>
        </w:rPr>
        <w:t>的保</w:t>
      </w:r>
      <w:r>
        <w:rPr>
          <w:spacing w:val="-3"/>
          <w:w w:val="100"/>
        </w:rPr>
        <w:t>证</w:t>
      </w:r>
      <w:r>
        <w:rPr>
          <w:w w:val="100"/>
        </w:rPr>
        <w:t>金</w:t>
      </w:r>
      <w:r>
        <w:rPr>
          <w:spacing w:val="-3"/>
          <w:w w:val="100"/>
        </w:rPr>
        <w:t>存款</w:t>
      </w:r>
      <w:r>
        <w:rPr>
          <w:w w:val="100"/>
        </w:rPr>
        <w:t>；</w:t>
      </w:r>
    </w:p>
    <w:p>
      <w:pPr>
        <w:pStyle w:val="BodyText"/>
        <w:spacing w:line="350" w:lineRule="auto" w:before="126"/>
        <w:ind w:left="218" w:right="227" w:firstLine="419"/>
        <w:jc w:val="left"/>
      </w:pPr>
      <w:r>
        <w:rPr>
          <w:spacing w:val="-2"/>
        </w:rPr>
        <w:t>（</w:t>
      </w:r>
      <w:r>
        <w:rPr>
          <w:rFonts w:ascii="宋体" w:hAnsi="宋体" w:cs="宋体" w:eastAsia="宋体" w:hint="default"/>
          <w:spacing w:val="-2"/>
        </w:rPr>
        <w:t>3</w:t>
      </w:r>
      <w:r>
        <w:rPr>
          <w:spacing w:val="-2"/>
        </w:rPr>
        <w:t>）年末存放于境外的货币资金汇回不受限制，外币情况详见本报告第十一节、七、</w:t>
      </w:r>
      <w:r>
        <w:rPr>
          <w:rFonts w:ascii="宋体" w:hAnsi="宋体" w:cs="宋体" w:eastAsia="宋体" w:hint="default"/>
          <w:spacing w:val="-2"/>
        </w:rPr>
        <w:t>77</w:t>
      </w:r>
      <w:r>
        <w:rPr>
          <w:rFonts w:ascii="宋体" w:hAnsi="宋体" w:cs="宋体" w:eastAsia="宋体" w:hint="default"/>
          <w:spacing w:val="-1"/>
        </w:rPr>
        <w:t> </w:t>
      </w:r>
      <w:r>
        <w:rPr/>
        <w:t>外</w:t>
      </w:r>
      <w:r>
        <w:rPr>
          <w:w w:val="100"/>
        </w:rPr>
        <w:t> </w:t>
      </w:r>
      <w:r>
        <w:rPr/>
        <w:t>币货币项目。</w:t>
      </w:r>
    </w:p>
    <w:p>
      <w:pPr>
        <w:pStyle w:val="Heading3"/>
        <w:spacing w:line="254" w:lineRule="exact" w:before="0"/>
        <w:ind w:right="2465"/>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spacing w:line="290" w:lineRule="auto" w:before="58"/>
        <w:ind w:left="218" w:right="73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pStyle w:val="BodyText"/>
        <w:spacing w:line="240" w:lineRule="auto" w:before="14"/>
        <w:ind w:left="218"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40" w:right="1120"/>
        </w:sectPr>
      </w:pPr>
    </w:p>
    <w:p>
      <w:pPr>
        <w:pStyle w:val="Heading3"/>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3"/>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15"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2476" w:space="3942"/>
            <w:col w:w="2832"/>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3"/>
              <w:jc w:val="right"/>
              <w:rPr>
                <w:rFonts w:ascii="宋体" w:hAnsi="宋体" w:cs="宋体" w:eastAsia="宋体" w:hint="default"/>
                <w:sz w:val="21"/>
                <w:szCs w:val="21"/>
              </w:rPr>
            </w:pPr>
            <w:r>
              <w:rPr>
                <w:rFonts w:ascii="宋体"/>
                <w:spacing w:val="-1"/>
                <w:sz w:val="21"/>
              </w:rPr>
              <w:t>15,043,226.50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6"/>
              <w:jc w:val="right"/>
              <w:rPr>
                <w:rFonts w:ascii="宋体" w:hAnsi="宋体" w:cs="宋体" w:eastAsia="宋体" w:hint="default"/>
                <w:sz w:val="21"/>
                <w:szCs w:val="21"/>
              </w:rPr>
            </w:pPr>
            <w:r>
              <w:rPr>
                <w:rFonts w:ascii="宋体"/>
                <w:spacing w:val="-1"/>
                <w:sz w:val="21"/>
              </w:rPr>
              <w:t>13,439,966.00</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6"/>
              <w:jc w:val="right"/>
              <w:rPr>
                <w:rFonts w:ascii="宋体" w:hAnsi="宋体" w:cs="宋体" w:eastAsia="宋体" w:hint="default"/>
                <w:sz w:val="21"/>
                <w:szCs w:val="21"/>
              </w:rPr>
            </w:pPr>
            <w:r>
              <w:rPr>
                <w:rFonts w:ascii="宋体"/>
                <w:spacing w:val="-1"/>
                <w:sz w:val="21"/>
              </w:rPr>
              <w:t>1,330,000.00</w:t>
            </w:r>
          </w:p>
        </w:tc>
      </w:tr>
      <w:tr>
        <w:trPr>
          <w:trHeight w:val="35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15,043,226.50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14,769,966.00</w:t>
            </w:r>
          </w:p>
        </w:tc>
      </w:tr>
    </w:tbl>
    <w:p>
      <w:pPr>
        <w:spacing w:line="240" w:lineRule="auto" w:before="12"/>
        <w:rPr>
          <w:rFonts w:ascii="宋体" w:hAnsi="宋体" w:cs="宋体" w:eastAsia="宋体" w:hint="default"/>
          <w:sz w:val="19"/>
          <w:szCs w:val="19"/>
        </w:rPr>
      </w:pPr>
    </w:p>
    <w:p>
      <w:pPr>
        <w:pStyle w:val="Heading3"/>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9"/>
        <w:ind w:left="258" w:right="0"/>
        <w:jc w:val="left"/>
      </w:pPr>
      <w:r>
        <w:rPr/>
        <w:t>□适用</w:t>
      </w:r>
      <w:r>
        <w:rPr>
          <w:spacing w:val="-1"/>
        </w:rPr>
        <w:t> </w:t>
      </w:r>
      <w:r>
        <w:rPr/>
        <w:t>√不适用</w:t>
      </w:r>
    </w:p>
    <w:p>
      <w:pPr>
        <w:pStyle w:val="Heading3"/>
        <w:spacing w:line="240" w:lineRule="auto" w:before="56"/>
        <w:ind w:left="25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8" w:right="0"/>
        <w:jc w:val="left"/>
      </w:pPr>
      <w:r>
        <w:rPr/>
        <w:t>□适用</w:t>
      </w:r>
      <w:r>
        <w:rPr>
          <w:spacing w:val="-1"/>
        </w:rPr>
        <w:t> </w:t>
      </w:r>
      <w:r>
        <w:rPr/>
        <w:t>√不适用</w:t>
      </w:r>
    </w:p>
    <w:p>
      <w:pPr>
        <w:pStyle w:val="Heading3"/>
        <w:spacing w:line="240" w:lineRule="auto" w:before="56"/>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258" w:right="0"/>
        <w:jc w:val="left"/>
      </w:pPr>
      <w:r>
        <w:rPr/>
        <w:t>□适用</w:t>
      </w:r>
      <w:r>
        <w:rPr>
          <w:spacing w:val="-1"/>
        </w:rPr>
        <w:t> </w:t>
      </w:r>
      <w:r>
        <w:rPr/>
        <w:t>√不适用</w:t>
      </w:r>
    </w:p>
    <w:p>
      <w:pPr>
        <w:spacing w:after="0" w:line="240" w:lineRule="auto"/>
        <w:jc w:val="left"/>
        <w:sectPr>
          <w:type w:val="continuous"/>
          <w:pgSz w:w="11910" w:h="16840"/>
          <w:pgMar w:top="1120" w:bottom="1380" w:left="15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220" w:right="60"/>
        <w:jc w:val="left"/>
      </w:pPr>
      <w:r>
        <w:rPr/>
        <w:t>其他说明</w:t>
      </w:r>
    </w:p>
    <w:p>
      <w:pPr>
        <w:pStyle w:val="BodyText"/>
        <w:spacing w:line="273" w:lineRule="exact"/>
        <w:ind w:left="220" w:right="6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69"/>
          <w:footerReference w:type="default" r:id="rId70"/>
          <w:pgSz w:w="16840" w:h="11910" w:orient="landscape"/>
          <w:pgMar w:header="882" w:footer="1195" w:top="1120" w:bottom="1380" w:left="1220" w:right="1300"/>
          <w:pgNumType w:start="120"/>
        </w:sectPr>
      </w:pPr>
    </w:p>
    <w:p>
      <w:pPr>
        <w:pStyle w:val="Heading3"/>
        <w:spacing w:line="240" w:lineRule="auto"/>
        <w:ind w:left="220"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3"/>
        <w:spacing w:line="240" w:lineRule="auto" w:before="58"/>
        <w:ind w:left="220"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6"/>
        <w:ind w:left="22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376"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2484" w:space="8872"/>
            <w:col w:w="2964"/>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755"/>
        <w:gridCol w:w="1531"/>
        <w:gridCol w:w="747"/>
        <w:gridCol w:w="1531"/>
        <w:gridCol w:w="775"/>
        <w:gridCol w:w="1534"/>
        <w:gridCol w:w="1531"/>
        <w:gridCol w:w="776"/>
        <w:gridCol w:w="1428"/>
        <w:gridCol w:w="797"/>
        <w:gridCol w:w="1532"/>
      </w:tblGrid>
      <w:tr>
        <w:trPr>
          <w:trHeight w:val="283" w:hRule="exact"/>
        </w:trPr>
        <w:tc>
          <w:tcPr>
            <w:tcW w:w="175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755" w:type="dxa"/>
            <w:vMerge/>
            <w:tcBorders>
              <w:left w:val="single" w:sz="4" w:space="0" w:color="000000"/>
              <w:right w:val="single" w:sz="4" w:space="0" w:color="000000"/>
            </w:tcBorders>
          </w:tcPr>
          <w:p>
            <w:pP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4" w:type="dxa"/>
            <w:vMerge w:val="restart"/>
            <w:tcBorders>
              <w:top w:val="single" w:sz="4" w:space="0" w:color="000000"/>
              <w:left w:val="single" w:sz="4" w:space="0" w:color="000000"/>
              <w:right w:val="single" w:sz="4" w:space="0" w:color="000000"/>
            </w:tcBorders>
          </w:tcPr>
          <w:p>
            <w:pPr>
              <w:pStyle w:val="TableParagraph"/>
              <w:spacing w:line="272" w:lineRule="exact" w:before="135"/>
              <w:ind w:left="552" w:right="54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5"/>
              <w:ind w:left="551"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755"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hanging="54"/>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1" w:right="0"/>
              <w:jc w:val="left"/>
              <w:rPr>
                <w:rFonts w:ascii="宋体" w:hAnsi="宋体" w:cs="宋体" w:eastAsia="宋体" w:hint="default"/>
                <w:sz w:val="21"/>
                <w:szCs w:val="21"/>
              </w:rPr>
            </w:pPr>
            <w:r>
              <w:rPr>
                <w:rFonts w:ascii="宋体"/>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4"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25" w:right="0"/>
              <w:jc w:val="left"/>
              <w:rPr>
                <w:rFonts w:ascii="宋体" w:hAnsi="宋体" w:cs="宋体" w:eastAsia="宋体" w:hint="default"/>
                <w:sz w:val="21"/>
                <w:szCs w:val="21"/>
              </w:rPr>
            </w:pPr>
            <w:r>
              <w:rPr>
                <w:rFonts w:ascii="宋体"/>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2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r>
      <w:tr>
        <w:trPr>
          <w:trHeight w:val="828"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40" w:lineRule="auto"/>
              <w:ind w:left="26" w:right="34"/>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63,931,122.38</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10.31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63,931,122.38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47,820,000.00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9.64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38,320,000.00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80.13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9,500,000.00</w:t>
            </w:r>
          </w:p>
        </w:tc>
      </w:tr>
      <w:tr>
        <w:trPr>
          <w:trHeight w:val="828"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7"/>
              <w:ind w:left="26" w:right="34"/>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539,791,284.04</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87.08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25,282,084.93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4.80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514,509,199.11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434,942,308.00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87.73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12,200,929.82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2.81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422,741,378.18</w:t>
            </w:r>
          </w:p>
        </w:tc>
      </w:tr>
      <w:tr>
        <w:trPr>
          <w:trHeight w:val="826"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6" w:right="34"/>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16,177,450.94</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2.61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16,177,450.94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13,053,300.00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2.63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13,053,300.00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619,899,857.36</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105,390,658.25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514,509,199.11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495,815,608.00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63,574,229.82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432,241,378.18</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220" w:right="1300"/>
        </w:sectPr>
      </w:pPr>
    </w:p>
    <w:p>
      <w:pPr>
        <w:pStyle w:val="BodyText"/>
        <w:spacing w:line="273" w:lineRule="exact" w:before="36"/>
        <w:ind w:left="220" w:right="0"/>
        <w:jc w:val="left"/>
      </w:pPr>
      <w:r>
        <w:rPr>
          <w:spacing w:val="-2"/>
        </w:rPr>
        <w:t>期末单项金额重大并单项计提坏帐准备的应收账款</w:t>
      </w:r>
    </w:p>
    <w:p>
      <w:pPr>
        <w:pStyle w:val="BodyText"/>
        <w:spacing w:line="273" w:lineRule="exact"/>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76"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4846" w:space="6614"/>
            <w:col w:w="2860"/>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70"/>
        <w:gridCol w:w="1985"/>
        <w:gridCol w:w="2124"/>
        <w:gridCol w:w="1562"/>
        <w:gridCol w:w="5048"/>
      </w:tblGrid>
      <w:tr>
        <w:trPr>
          <w:trHeight w:val="351" w:hRule="exact"/>
        </w:trPr>
        <w:tc>
          <w:tcPr>
            <w:tcW w:w="3370" w:type="dxa"/>
            <w:vMerge w:val="restart"/>
            <w:tcBorders>
              <w:top w:val="single" w:sz="4" w:space="0" w:color="000000"/>
              <w:left w:val="single" w:sz="4" w:space="0" w:color="000000"/>
              <w:right w:val="single" w:sz="4" w:space="0" w:color="000000"/>
            </w:tcBorders>
          </w:tcPr>
          <w:p>
            <w:pPr>
              <w:pStyle w:val="TableParagraph"/>
              <w:spacing w:line="274" w:lineRule="exact" w:before="38"/>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107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3370"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投资管理有限公司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15,891,122.38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15,891,122.38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4,500,000.00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4,500,000.00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bl>
    <w:p>
      <w:pPr>
        <w:spacing w:after="0" w:line="240" w:lineRule="auto"/>
        <w:jc w:val="center"/>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370"/>
        <w:gridCol w:w="1985"/>
        <w:gridCol w:w="2124"/>
        <w:gridCol w:w="1562"/>
        <w:gridCol w:w="5048"/>
      </w:tblGrid>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3,820,000.00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3,820,000.00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3,250,000.00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3,250,000.00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信息服务（深圳）有限公司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网络科技有限公司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2,400,000.00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2,400,000.00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w:t>
            </w:r>
            <w:r>
              <w:rPr>
                <w:rFonts w:ascii="宋体" w:hAnsi="宋体" w:cs="宋体" w:eastAsia="宋体" w:hint="default"/>
                <w:sz w:val="21"/>
                <w:szCs w:val="21"/>
              </w:rPr>
              <w:t>股权基金管理有限公司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2,400,000.00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2,400,000.00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投资管理（北京）有限公司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1,820,000.00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1,820,000.00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传媒广告有限公司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1,450,000.00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1,450,000.00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1,200,000.00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山东</w:t>
            </w:r>
            <w:r>
              <w:rPr>
                <w:rFonts w:ascii="宋体" w:hAnsi="宋体" w:cs="宋体" w:eastAsia="宋体" w:hint="default"/>
                <w:sz w:val="21"/>
                <w:szCs w:val="21"/>
              </w:rPr>
              <w:t>****</w:t>
            </w:r>
            <w:r>
              <w:rPr>
                <w:rFonts w:ascii="宋体" w:hAnsi="宋体" w:cs="宋体" w:eastAsia="宋体" w:hint="default"/>
                <w:sz w:val="21"/>
                <w:szCs w:val="21"/>
              </w:rPr>
              <w:t>传媒投资有限公司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1,100,000.00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1,100,000.00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w:t>
            </w:r>
            <w:r>
              <w:rPr>
                <w:rFonts w:ascii="宋体" w:hAnsi="宋体" w:cs="宋体" w:eastAsia="宋体" w:hint="default"/>
                <w:sz w:val="21"/>
                <w:szCs w:val="21"/>
              </w:rPr>
              <w:t>传播有限公司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1,100,000.00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1,100,000.00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（北京）信息技术研究所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4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公关策划有限公司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z w:val="21"/>
                <w:szCs w:val="21"/>
              </w:rPr>
              <w:t>****</w:t>
            </w:r>
            <w:r>
              <w:rPr>
                <w:rFonts w:ascii="宋体" w:hAnsi="宋体" w:cs="宋体" w:eastAsia="宋体" w:hint="default"/>
                <w:sz w:val="21"/>
                <w:szCs w:val="21"/>
              </w:rPr>
              <w:t>广告有限公司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100.00</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已有明显迹象表明债务人很可能无法履行还款义务</w:t>
            </w:r>
          </w:p>
        </w:tc>
      </w:tr>
      <w:tr>
        <w:trPr>
          <w:trHeight w:val="3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63,931,122.38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63,931,122.38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w w:val="100"/>
                <w:sz w:val="21"/>
              </w:rPr>
              <w:t>/</w:t>
            </w:r>
          </w:p>
        </w:tc>
      </w:tr>
    </w:tbl>
    <w:p>
      <w:pPr>
        <w:spacing w:after="0" w:line="274" w:lineRule="exact"/>
        <w:jc w:val="center"/>
        <w:rPr>
          <w:rFonts w:ascii="宋体" w:hAnsi="宋体" w:cs="宋体" w:eastAsia="宋体" w:hint="default"/>
          <w:sz w:val="21"/>
          <w:szCs w:val="21"/>
        </w:rPr>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71"/>
          <w:footerReference w:type="default" r:id="rId72"/>
          <w:pgSz w:w="11910" w:h="16840"/>
          <w:pgMar w:header="882" w:footer="1195" w:top="1120" w:bottom="1380" w:left="1660" w:right="1060"/>
          <w:pgNumType w:start="122"/>
        </w:sectPr>
      </w:pPr>
    </w:p>
    <w:p>
      <w:pPr>
        <w:pStyle w:val="BodyText"/>
        <w:spacing w:line="273" w:lineRule="exact" w:before="178"/>
        <w:ind w:right="0"/>
        <w:jc w:val="left"/>
      </w:pPr>
      <w:r>
        <w:rPr>
          <w:spacing w:val="-2"/>
        </w:rPr>
        <w:t>组合中，按账龄分析法计提坏账准备的应收账款：</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95"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4764" w:space="1654"/>
            <w:col w:w="2772"/>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339,909,564.90</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82,982,841.89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4,149,142.09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82,103,411.67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8,210,341.17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25,771,905.58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7,731,571.67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7,665,060.00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3,832,530.00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1,358,500.00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1,358,500.00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539,791,284.04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25,282,084.93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sz w:val="21"/>
              </w:rPr>
              <w:t>4.68</w:t>
            </w:r>
          </w:p>
        </w:tc>
      </w:tr>
    </w:tbl>
    <w:p>
      <w:pPr>
        <w:pStyle w:val="BodyText"/>
        <w:spacing w:line="240" w:lineRule="exact"/>
        <w:ind w:right="101"/>
        <w:jc w:val="left"/>
      </w:pPr>
      <w:r>
        <w:rPr/>
        <w:t>确定该组合依据的说明：</w:t>
      </w:r>
    </w:p>
    <w:p>
      <w:pPr>
        <w:pStyle w:val="BodyText"/>
        <w:spacing w:line="272" w:lineRule="exact" w:before="27"/>
        <w:ind w:right="101"/>
        <w:jc w:val="left"/>
      </w:pPr>
      <w:r>
        <w:rPr/>
        <w:t>本公司以账龄为信用风险特征组合的确定依据。</w:t>
      </w:r>
      <w:r>
        <w:rPr>
          <w:w w:val="100"/>
        </w:rPr>
        <w:t> </w:t>
      </w:r>
      <w:r>
        <w:rPr>
          <w:spacing w:val="-2"/>
        </w:rPr>
        <w:t>组合中，采用余额百分比法计提坏账准备的应收账款：</w:t>
      </w:r>
    </w:p>
    <w:p>
      <w:pPr>
        <w:pStyle w:val="BodyText"/>
        <w:spacing w:line="272" w:lineRule="exact" w:before="1"/>
        <w:ind w:right="4174"/>
        <w:jc w:val="left"/>
      </w:pPr>
      <w:r>
        <w:rPr/>
        <w:t>□适用</w:t>
      </w:r>
      <w:r>
        <w:rPr>
          <w:spacing w:val="-2"/>
        </w:rPr>
        <w:t> </w:t>
      </w:r>
      <w:r>
        <w:rPr/>
        <w:t>√不适用</w:t>
      </w:r>
      <w:r>
        <w:rPr>
          <w:w w:val="100"/>
        </w:rPr>
        <w:t> </w:t>
      </w:r>
      <w:r>
        <w:rPr>
          <w:spacing w:val="-2"/>
        </w:rPr>
        <w:t>组合中，采用其他方法计提坏账准备的应收账款：</w:t>
      </w:r>
    </w:p>
    <w:p>
      <w:pPr>
        <w:pStyle w:val="BodyText"/>
        <w:tabs>
          <w:tab w:pos="980" w:val="left" w:leader="none"/>
        </w:tabs>
        <w:spacing w:line="249" w:lineRule="exact"/>
        <w:ind w:right="101"/>
        <w:jc w:val="left"/>
      </w:pPr>
      <w:r>
        <w:rPr>
          <w:spacing w:val="-1"/>
        </w:rPr>
        <w:t>□适用</w:t>
        <w:tab/>
      </w:r>
      <w:r>
        <w:rPr>
          <w:spacing w:val="-2"/>
        </w:rPr>
        <w:t>√不适用</w:t>
      </w:r>
    </w:p>
    <w:p>
      <w:pPr>
        <w:pStyle w:val="Heading3"/>
        <w:spacing w:line="240" w:lineRule="auto" w:before="56"/>
        <w:ind w:left="138" w:right="101"/>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72" w:lineRule="exact" w:before="86"/>
        <w:ind w:right="1377"/>
        <w:jc w:val="left"/>
      </w:pPr>
      <w:r>
        <w:rPr/>
        <w:t>本期计提坏账准备金额</w:t>
      </w:r>
      <w:r>
        <w:rPr>
          <w:spacing w:val="-54"/>
        </w:rPr>
        <w:t> </w:t>
      </w:r>
      <w:r>
        <w:rPr>
          <w:rFonts w:ascii="宋体" w:hAnsi="宋体" w:cs="宋体" w:eastAsia="宋体" w:hint="default"/>
        </w:rPr>
        <w:t>41,816,428.43</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4"/>
        </w:rPr>
        <w:t> </w:t>
      </w:r>
      <w:r>
        <w:rPr>
          <w:spacing w:val="-3"/>
        </w:rPr>
        <w:t>元。</w:t>
      </w:r>
      <w:r>
        <w:rPr>
          <w:spacing w:val="-3"/>
          <w:w w:val="100"/>
        </w:rPr>
        <w:t> </w:t>
      </w:r>
      <w:r>
        <w:rPr/>
        <w:t>其中本期坏账准备收回或转回金额重要的：</w:t>
      </w:r>
    </w:p>
    <w:p>
      <w:pPr>
        <w:pStyle w:val="BodyText"/>
        <w:spacing w:line="249" w:lineRule="exact"/>
        <w:ind w:right="101"/>
        <w:jc w:val="left"/>
      </w:pPr>
      <w:r>
        <w:rPr/>
        <w:t>□适用</w:t>
      </w:r>
      <w:r>
        <w:rPr>
          <w:spacing w:val="-1"/>
        </w:rPr>
        <w:t> </w:t>
      </w:r>
      <w:r>
        <w:rPr/>
        <w:t>√不适用</w:t>
      </w:r>
    </w:p>
    <w:p>
      <w:pPr>
        <w:pStyle w:val="Heading3"/>
        <w:spacing w:line="240" w:lineRule="auto" w:before="56"/>
        <w:ind w:left="138" w:right="101"/>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right="101"/>
        <w:jc w:val="left"/>
      </w:pPr>
      <w:r>
        <w:rPr/>
        <w:t>□适用</w:t>
      </w:r>
      <w:r>
        <w:rPr>
          <w:spacing w:val="-1"/>
        </w:rPr>
        <w:t> </w:t>
      </w:r>
      <w:r>
        <w:rPr/>
        <w:t>√不适用</w:t>
      </w:r>
    </w:p>
    <w:p>
      <w:pPr>
        <w:pStyle w:val="Heading3"/>
        <w:spacing w:line="240" w:lineRule="auto" w:before="56"/>
        <w:ind w:left="138" w:right="101"/>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980" w:val="left" w:leader="none"/>
        </w:tabs>
        <w:spacing w:line="274" w:lineRule="exact" w:before="56"/>
        <w:ind w:right="101"/>
        <w:jc w:val="left"/>
      </w:pPr>
      <w:r>
        <w:rPr>
          <w:spacing w:val="-1"/>
        </w:rPr>
        <w:t>√适用</w:t>
        <w:tab/>
      </w:r>
      <w:r>
        <w:rPr>
          <w:spacing w:val="-2"/>
        </w:rPr>
        <w:t>□不适用</w:t>
      </w:r>
    </w:p>
    <w:p>
      <w:pPr>
        <w:pStyle w:val="BodyText"/>
        <w:spacing w:line="272" w:lineRule="exact" w:before="27"/>
        <w:ind w:right="99"/>
        <w:jc w:val="left"/>
      </w:pPr>
      <w:r>
        <w:rPr>
          <w:spacing w:val="-2"/>
          <w:w w:val="100"/>
        </w:rPr>
        <w:t>本公司本年按欠款方归集的年末余额前五名应收账款汇总金额为</w:t>
      </w:r>
      <w:r>
        <w:rPr>
          <w:spacing w:val="-48"/>
          <w:w w:val="100"/>
        </w:rPr>
        <w:t> </w:t>
      </w:r>
      <w:r>
        <w:rPr>
          <w:rFonts w:ascii="宋体" w:hAnsi="宋体" w:cs="宋体" w:eastAsia="宋体" w:hint="default"/>
          <w:spacing w:val="-1"/>
          <w:w w:val="100"/>
        </w:rPr>
        <w:t>114,630,724.20</w:t>
      </w:r>
      <w:r>
        <w:rPr>
          <w:rFonts w:ascii="宋体" w:hAnsi="宋体" w:cs="宋体" w:eastAsia="宋体" w:hint="default"/>
          <w:spacing w:val="-50"/>
          <w:w w:val="100"/>
        </w:rPr>
        <w:t> </w:t>
      </w:r>
      <w:r>
        <w:rPr>
          <w:spacing w:val="-15"/>
          <w:w w:val="100"/>
        </w:rPr>
        <w:t>元，占应收账款</w:t>
      </w:r>
      <w:r>
        <w:rPr>
          <w:spacing w:val="-91"/>
          <w:w w:val="100"/>
        </w:rPr>
        <w:t> </w:t>
      </w:r>
      <w:r>
        <w:rPr>
          <w:spacing w:val="-91"/>
          <w:w w:val="100"/>
        </w:rPr>
      </w:r>
      <w:r>
        <w:rPr/>
        <w:t>年末余额合计数的比例为</w:t>
      </w:r>
      <w:r>
        <w:rPr>
          <w:spacing w:val="-38"/>
        </w:rPr>
        <w:t> </w:t>
      </w:r>
      <w:r>
        <w:rPr>
          <w:rFonts w:ascii="宋体" w:hAnsi="宋体" w:cs="宋体" w:eastAsia="宋体" w:hint="default"/>
        </w:rPr>
        <w:t>18.49%</w:t>
      </w:r>
      <w:r>
        <w:rPr/>
        <w:t>，相应计提的坏账准备年末余额汇总金额为</w:t>
      </w:r>
      <w:r>
        <w:rPr>
          <w:spacing w:val="-33"/>
        </w:rPr>
        <w:t> </w:t>
      </w:r>
      <w:r>
        <w:rPr>
          <w:rFonts w:ascii="宋体" w:hAnsi="宋体" w:cs="宋体" w:eastAsia="宋体" w:hint="default"/>
        </w:rPr>
        <w:t>17,091,122.38</w:t>
      </w:r>
      <w:r>
        <w:rPr>
          <w:rFonts w:ascii="宋体" w:hAnsi="宋体" w:cs="宋体" w:eastAsia="宋体" w:hint="default"/>
          <w:spacing w:val="-30"/>
        </w:rPr>
        <w:t> </w:t>
      </w:r>
      <w:r>
        <w:rPr/>
        <w:t>元。</w:t>
      </w:r>
    </w:p>
    <w:p>
      <w:pPr>
        <w:pStyle w:val="Heading3"/>
        <w:spacing w:line="240" w:lineRule="auto" w:before="34"/>
        <w:ind w:left="138" w:right="101"/>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980" w:val="left" w:leader="none"/>
        </w:tabs>
        <w:spacing w:line="240" w:lineRule="auto" w:before="56"/>
        <w:ind w:right="101"/>
        <w:jc w:val="left"/>
      </w:pPr>
      <w:r>
        <w:rPr>
          <w:spacing w:val="-1"/>
        </w:rPr>
        <w:t>□适用</w:t>
        <w:tab/>
      </w:r>
      <w:r>
        <w:rPr>
          <w:spacing w:val="-2"/>
        </w:rPr>
        <w:t>√不适用</w:t>
      </w:r>
    </w:p>
    <w:p>
      <w:pPr>
        <w:pStyle w:val="Heading3"/>
        <w:spacing w:line="240" w:lineRule="auto" w:before="58"/>
        <w:ind w:left="138" w:right="101"/>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980" w:val="left" w:leader="none"/>
        </w:tabs>
        <w:spacing w:line="240" w:lineRule="auto" w:before="56"/>
        <w:ind w:right="7363"/>
        <w:jc w:val="left"/>
      </w:pPr>
      <w:r>
        <w:rPr>
          <w:spacing w:val="-1"/>
        </w:rPr>
        <w:t>□适用</w:t>
        <w:tab/>
      </w:r>
      <w:r>
        <w:rPr>
          <w:spacing w:val="-2"/>
        </w:rPr>
        <w:t>√不适用</w:t>
      </w:r>
      <w:r>
        <w:rPr>
          <w:spacing w:val="-99"/>
        </w:rPr>
        <w:t> </w:t>
      </w:r>
      <w:r>
        <w:rPr>
          <w:spacing w:val="-99"/>
        </w:rPr>
      </w:r>
      <w:r>
        <w:rPr/>
        <w:t>其他说明：</w:t>
      </w:r>
    </w:p>
    <w:p>
      <w:pPr>
        <w:tabs>
          <w:tab w:pos="980" w:val="left" w:leader="none"/>
        </w:tabs>
        <w:spacing w:line="290" w:lineRule="auto" w:before="0"/>
        <w:ind w:left="138" w:right="73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3"/>
        <w:spacing w:line="240" w:lineRule="auto" w:before="12"/>
        <w:ind w:left="138" w:right="101"/>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980" w:val="left" w:leader="none"/>
        </w:tabs>
        <w:spacing w:line="240" w:lineRule="auto" w:before="58"/>
        <w:ind w:right="101"/>
        <w:jc w:val="left"/>
      </w:pPr>
      <w:r>
        <w:rPr>
          <w:spacing w:val="-1"/>
        </w:rPr>
        <w:t>√适用</w:t>
        <w:tab/>
      </w:r>
      <w:r>
        <w:rPr>
          <w:spacing w:val="-2"/>
        </w:rPr>
        <w:t>□不适用</w:t>
      </w:r>
    </w:p>
    <w:p>
      <w:pPr>
        <w:pStyle w:val="BodyText"/>
        <w:tabs>
          <w:tab w:pos="1157" w:val="left" w:leader="none"/>
        </w:tabs>
        <w:spacing w:line="271" w:lineRule="exact"/>
        <w:ind w:left="0" w:right="2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1"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51,147,768.96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98.81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30,070,145.72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100.00</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616,625.17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1.19</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51,764,394.13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30,070,145.72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100.00</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758" w:right="775"/>
        <w:jc w:val="left"/>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年且金额重要的预付款项未及时结算原因的说明：无</w:t>
      </w:r>
    </w:p>
    <w:p>
      <w:pPr>
        <w:pStyle w:val="Heading3"/>
        <w:spacing w:line="240" w:lineRule="auto" w:before="58"/>
        <w:ind w:left="758" w:right="775"/>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600" w:val="left" w:leader="none"/>
        </w:tabs>
        <w:spacing w:line="274" w:lineRule="exact" w:before="56"/>
        <w:ind w:left="758" w:right="775"/>
        <w:jc w:val="left"/>
      </w:pPr>
      <w:r>
        <w:rPr>
          <w:spacing w:val="-1"/>
        </w:rPr>
        <w:t>√适用</w:t>
        <w:tab/>
      </w:r>
      <w:r>
        <w:rPr>
          <w:spacing w:val="-2"/>
        </w:rPr>
        <w:t>□不适用</w:t>
      </w:r>
    </w:p>
    <w:p>
      <w:pPr>
        <w:pStyle w:val="BodyText"/>
        <w:spacing w:line="272" w:lineRule="exact" w:before="27"/>
        <w:ind w:left="758" w:right="775" w:firstLine="419"/>
        <w:jc w:val="left"/>
      </w:pPr>
      <w:r>
        <w:rPr/>
        <w:t>本公司按预付对象归集的年末余额前五名预付账款汇总金额为</w:t>
      </w:r>
      <w:r>
        <w:rPr>
          <w:spacing w:val="-56"/>
        </w:rPr>
        <w:t> </w:t>
      </w:r>
      <w:r>
        <w:rPr>
          <w:rFonts w:ascii="宋体" w:hAnsi="宋体" w:cs="宋体" w:eastAsia="宋体" w:hint="default"/>
        </w:rPr>
        <w:t>47,203,437.29</w:t>
      </w:r>
      <w:r>
        <w:rPr>
          <w:rFonts w:ascii="宋体" w:hAnsi="宋体" w:cs="宋体" w:eastAsia="宋体" w:hint="default"/>
          <w:spacing w:val="-55"/>
        </w:rPr>
        <w:t> </w:t>
      </w:r>
      <w:r>
        <w:rPr/>
        <w:t>元，占预付账</w:t>
      </w:r>
      <w:r>
        <w:rPr>
          <w:w w:val="100"/>
        </w:rPr>
        <w:t> </w:t>
      </w:r>
      <w:r>
        <w:rPr/>
        <w:t>款年末余额合计数的比例为</w:t>
      </w:r>
      <w:r>
        <w:rPr>
          <w:spacing w:val="-55"/>
        </w:rPr>
        <w:t> </w:t>
      </w:r>
      <w:r>
        <w:rPr>
          <w:rFonts w:ascii="宋体" w:hAnsi="宋体" w:cs="宋体" w:eastAsia="宋体" w:hint="default"/>
        </w:rPr>
        <w:t>91.19%</w:t>
      </w:r>
      <w:r>
        <w:rPr/>
        <w:t>。</w:t>
      </w:r>
    </w:p>
    <w:p>
      <w:pPr>
        <w:pStyle w:val="BodyText"/>
        <w:spacing w:line="247" w:lineRule="exact"/>
        <w:ind w:left="758" w:right="775"/>
        <w:jc w:val="left"/>
      </w:pPr>
      <w:r>
        <w:rPr/>
        <w:t>其他说明</w:t>
      </w:r>
    </w:p>
    <w:p>
      <w:pPr>
        <w:tabs>
          <w:tab w:pos="1600" w:val="left" w:leader="none"/>
        </w:tabs>
        <w:spacing w:line="290" w:lineRule="auto" w:before="0"/>
        <w:ind w:left="758" w:right="792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pStyle w:val="Heading3"/>
        <w:spacing w:line="240" w:lineRule="auto" w:before="12"/>
        <w:ind w:left="758" w:right="775"/>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spacing w:line="240" w:lineRule="auto" w:before="58"/>
        <w:ind w:left="758" w:right="775"/>
        <w:jc w:val="left"/>
      </w:pPr>
      <w:r>
        <w:rPr/>
        <w:t>√适用</w:t>
      </w:r>
      <w:r>
        <w:rPr>
          <w:spacing w:val="-1"/>
        </w:rPr>
        <w:t> </w:t>
      </w:r>
      <w:r>
        <w:rPr/>
        <w:t>□不适用</w:t>
      </w:r>
    </w:p>
    <w:p>
      <w:pPr>
        <w:pStyle w:val="BodyText"/>
        <w:tabs>
          <w:tab w:pos="1157" w:val="left" w:leader="none"/>
        </w:tabs>
        <w:spacing w:line="271" w:lineRule="exact"/>
        <w:ind w:left="0" w:right="7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22"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3,243,172.79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3,967,516.20</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3,243,172.79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3,967,516.20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500"/>
        </w:sectPr>
      </w:pPr>
    </w:p>
    <w:p>
      <w:pPr>
        <w:pStyle w:val="Heading3"/>
        <w:spacing w:line="240" w:lineRule="auto" w:before="52"/>
        <w:ind w:left="758" w:right="-17"/>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72" w:lineRule="exact" w:before="86"/>
        <w:ind w:left="758" w:right="2148"/>
        <w:jc w:val="left"/>
      </w:pPr>
      <w:r>
        <w:rPr/>
        <w:t>□适用</w:t>
      </w:r>
      <w:r>
        <w:rPr>
          <w:spacing w:val="-1"/>
        </w:rPr>
        <w:t> </w:t>
      </w:r>
      <w:r>
        <w:rPr/>
        <w:t>√不适用</w:t>
      </w:r>
      <w:r>
        <w:rPr>
          <w:w w:val="100"/>
        </w:rPr>
        <w:t> </w:t>
      </w:r>
      <w:r>
        <w:rPr/>
        <w:t>其他说明：</w:t>
      </w:r>
    </w:p>
    <w:p>
      <w:pPr>
        <w:pStyle w:val="BodyText"/>
        <w:tabs>
          <w:tab w:pos="1600" w:val="left" w:leader="none"/>
        </w:tabs>
        <w:spacing w:line="249" w:lineRule="exact"/>
        <w:ind w:left="758" w:right="-17"/>
        <w:jc w:val="left"/>
      </w:pPr>
      <w:r>
        <w:rPr>
          <w:spacing w:val="-1"/>
        </w:rPr>
        <w:t>□适用</w:t>
        <w:tab/>
      </w:r>
      <w:r>
        <w:rPr>
          <w:spacing w:val="-2"/>
        </w:rPr>
        <w:t>√不适用</w:t>
      </w:r>
    </w:p>
    <w:p>
      <w:pPr>
        <w:pStyle w:val="Heading3"/>
        <w:spacing w:line="290" w:lineRule="auto" w:before="56"/>
        <w:ind w:left="758" w:right="2319"/>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left="758" w:right="-17"/>
        <w:jc w:val="left"/>
      </w:pPr>
      <w:r>
        <w:rPr/>
        <w:t>□适用</w:t>
      </w:r>
      <w:r>
        <w:rPr>
          <w:spacing w:val="-1"/>
        </w:rPr>
        <w:t> </w:t>
      </w:r>
      <w:r>
        <w:rPr/>
        <w:t>√不适用</w:t>
      </w:r>
    </w:p>
    <w:p>
      <w:pPr>
        <w:pStyle w:val="Heading3"/>
        <w:spacing w:line="240" w:lineRule="auto" w:before="56"/>
        <w:ind w:left="758" w:right="-17"/>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2" w:lineRule="exact" w:before="69"/>
        <w:ind w:left="758" w:right="2148"/>
        <w:jc w:val="left"/>
      </w:pPr>
      <w:r>
        <w:rPr/>
        <w:t>□适用</w:t>
      </w:r>
      <w:r>
        <w:rPr>
          <w:spacing w:val="-1"/>
        </w:rPr>
        <w:t> </w:t>
      </w:r>
      <w:r>
        <w:rPr/>
        <w:t>√不适用</w:t>
      </w:r>
      <w:r>
        <w:rPr>
          <w:w w:val="100"/>
        </w:rPr>
        <w:t> </w:t>
      </w:r>
      <w:r>
        <w:rPr/>
        <w:t>其他说明：</w:t>
      </w:r>
    </w:p>
    <w:p>
      <w:pPr>
        <w:pStyle w:val="BodyText"/>
        <w:spacing w:line="249" w:lineRule="exact"/>
        <w:ind w:left="758" w:right="-17"/>
        <w:jc w:val="left"/>
      </w:pPr>
      <w:r>
        <w:rPr/>
        <w:t>□适用</w:t>
      </w:r>
      <w:r>
        <w:rPr>
          <w:spacing w:val="-1"/>
        </w:rPr>
        <w:t> </w:t>
      </w:r>
      <w:r>
        <w:rPr/>
        <w:t>√不适用</w:t>
      </w:r>
    </w:p>
    <w:p>
      <w:pPr>
        <w:pStyle w:val="Heading3"/>
        <w:spacing w:line="240" w:lineRule="auto" w:before="56"/>
        <w:ind w:left="758" w:right="-17"/>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3"/>
        <w:spacing w:line="240" w:lineRule="auto" w:before="58"/>
        <w:ind w:left="758" w:right="-17"/>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6"/>
        <w:ind w:left="7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tabs>
          <w:tab w:pos="1915" w:val="left" w:leader="none"/>
        </w:tabs>
        <w:spacing w:line="240" w:lineRule="auto"/>
        <w:ind w:left="758" w:right="0"/>
        <w:jc w:val="left"/>
      </w:pPr>
      <w:r>
        <w:rPr>
          <w:spacing w:val="-1"/>
        </w:rPr>
        <w:t>单位：元</w:t>
        <w:tab/>
      </w:r>
      <w:r>
        <w:rPr>
          <w:spacing w:val="-2"/>
        </w:rPr>
        <w:t>币种：人民币</w:t>
      </w:r>
    </w:p>
    <w:p>
      <w:pPr>
        <w:spacing w:after="0" w:line="240" w:lineRule="auto"/>
        <w:jc w:val="left"/>
        <w:sectPr>
          <w:type w:val="continuous"/>
          <w:pgSz w:w="11910" w:h="16840"/>
          <w:pgMar w:top="1120" w:bottom="1380" w:left="1040" w:right="500"/>
          <w:cols w:num="2" w:equalWidth="0">
            <w:col w:w="4501" w:space="1815"/>
            <w:col w:w="4054"/>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67"/>
        <w:gridCol w:w="1429"/>
        <w:gridCol w:w="691"/>
        <w:gridCol w:w="271"/>
        <w:gridCol w:w="636"/>
        <w:gridCol w:w="1426"/>
        <w:gridCol w:w="1428"/>
        <w:gridCol w:w="384"/>
        <w:gridCol w:w="387"/>
        <w:gridCol w:w="581"/>
        <w:gridCol w:w="1426"/>
      </w:tblGrid>
      <w:tr>
        <w:trPr>
          <w:trHeight w:val="293" w:hRule="exact"/>
        </w:trPr>
        <w:tc>
          <w:tcPr>
            <w:tcW w:w="14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4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67" w:type="dxa"/>
            <w:vMerge/>
            <w:tcBorders>
              <w:left w:val="single" w:sz="4" w:space="0" w:color="000000"/>
              <w:right w:val="single" w:sz="4" w:space="0" w:color="000000"/>
            </w:tcBorders>
          </w:tcPr>
          <w:p>
            <w:pPr/>
          </w:p>
        </w:tc>
        <w:tc>
          <w:tcPr>
            <w:tcW w:w="2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6" w:right="49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6"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829" w:hRule="exact"/>
        </w:trPr>
        <w:tc>
          <w:tcPr>
            <w:tcW w:w="1467"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2" w:right="12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23"/>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53"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2" w:lineRule="exact" w:before="27"/>
              <w:ind w:left="28" w:right="26" w:firstLine="5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1" w:right="83"/>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24" w:right="7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26" w:type="dxa"/>
            <w:vMerge/>
            <w:tcBorders>
              <w:left w:val="single" w:sz="4" w:space="0" w:color="000000"/>
              <w:bottom w:val="single" w:sz="4" w:space="0" w:color="000000"/>
              <w:right w:val="single" w:sz="4" w:space="0" w:color="000000"/>
            </w:tcBorders>
          </w:tcPr>
          <w:p>
            <w:pPr/>
          </w:p>
        </w:tc>
      </w:tr>
      <w:tr>
        <w:trPr>
          <w:trHeight w:val="1099"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ind w:left="26" w:right="166"/>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42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166"/>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50,506,567.65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27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50,506,567.65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11,898,841.62</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100</w:t>
            </w:r>
          </w:p>
        </w:tc>
        <w:tc>
          <w:tcPr>
            <w:tcW w:w="38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11,898,841.62</w:t>
            </w:r>
          </w:p>
        </w:tc>
      </w:tr>
      <w:tr>
        <w:trPr>
          <w:trHeight w:val="1100"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166"/>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142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50,506,567.65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27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50,506,567.65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11,898,841.62</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387"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11,898,841.62</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BodyText"/>
        <w:spacing w:line="273" w:lineRule="exact" w:before="36"/>
        <w:ind w:left="218" w:right="0"/>
        <w:jc w:val="left"/>
      </w:pPr>
      <w:r>
        <w:rPr>
          <w:spacing w:val="-2"/>
        </w:rPr>
        <w:t>期末单项金额重大并单项计提坏帐准备的其他应收款</w:t>
      </w:r>
    </w:p>
    <w:p>
      <w:pPr>
        <w:pStyle w:val="BodyText"/>
        <w:spacing w:line="240" w:lineRule="auto"/>
        <w:ind w:left="21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71"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366"/>
            <w:col w:w="287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31,200,000.00</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31,200,000.00</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18" w:right="2465"/>
        <w:jc w:val="left"/>
      </w:pPr>
      <w:r>
        <w:rPr/>
        <w:t>确定该组合依据的说明：</w:t>
      </w:r>
    </w:p>
    <w:p>
      <w:pPr>
        <w:pStyle w:val="BodyText"/>
        <w:spacing w:line="240" w:lineRule="auto"/>
        <w:ind w:left="218" w:right="2465"/>
        <w:jc w:val="left"/>
      </w:pPr>
      <w:r>
        <w:rPr/>
        <w:t>本公司以账龄为信用风险特征组合的确定依据。</w:t>
      </w:r>
      <w:r>
        <w:rPr>
          <w:w w:val="100"/>
        </w:rPr>
        <w:t> </w:t>
      </w:r>
      <w:r>
        <w:rPr>
          <w:spacing w:val="-2"/>
        </w:rPr>
        <w:t>组合中，采用余额百分比法计提坏账准备的其他应收款：</w:t>
      </w:r>
    </w:p>
    <w:p>
      <w:pPr>
        <w:pStyle w:val="BodyText"/>
        <w:spacing w:line="274" w:lineRule="exact" w:before="22"/>
        <w:ind w:left="218" w:right="3655"/>
        <w:jc w:val="left"/>
      </w:pPr>
      <w:r>
        <w:rPr/>
        <w:t>□适用</w:t>
      </w:r>
      <w:r>
        <w:rPr>
          <w:spacing w:val="-2"/>
        </w:rPr>
        <w:t> </w:t>
      </w:r>
      <w:r>
        <w:rPr/>
        <w:t>√不适用</w:t>
      </w:r>
      <w:r>
        <w:rPr>
          <w:w w:val="100"/>
        </w:rPr>
        <w:t> </w:t>
      </w:r>
      <w:r>
        <w:rPr>
          <w:spacing w:val="-2"/>
        </w:rPr>
        <w:t>组合中，采用其他方法计提坏账准备的其他应收款：</w:t>
      </w:r>
    </w:p>
    <w:p>
      <w:pPr>
        <w:pStyle w:val="BodyText"/>
        <w:spacing w:line="245" w:lineRule="exact"/>
        <w:ind w:left="218" w:right="2465"/>
        <w:jc w:val="left"/>
      </w:pPr>
      <w:r>
        <w:rPr/>
        <w:t>√适用</w:t>
      </w:r>
      <w:r>
        <w:rPr>
          <w:spacing w:val="-1"/>
        </w:rPr>
        <w:t> </w:t>
      </w:r>
      <w:r>
        <w:rPr/>
        <w:t>□不适用</w:t>
      </w:r>
    </w:p>
    <w:p>
      <w:pPr>
        <w:pStyle w:val="BodyText"/>
        <w:spacing w:line="274" w:lineRule="exact"/>
        <w:ind w:left="218" w:right="2465"/>
        <w:jc w:val="left"/>
      </w:pPr>
      <w:r>
        <w:rPr/>
        <w:t>组合中，采用个别认定法计提坏账准备的其他应收款</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3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63"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0"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3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16,679,211.91</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3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个人备用金</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2,335,411.97</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35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驻外社保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291,943.77</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3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19,306,567.65</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left="218" w:right="2343"/>
        <w:jc w:val="left"/>
      </w:pPr>
      <w:r>
        <w:rPr/>
        <w:t>本期计提坏账准备金额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9" w:lineRule="exact"/>
        <w:ind w:left="218" w:right="2465"/>
        <w:jc w:val="left"/>
      </w:pPr>
      <w:r>
        <w:rPr/>
        <w:t>□适用</w:t>
      </w:r>
      <w:r>
        <w:rPr>
          <w:spacing w:val="-1"/>
        </w:rPr>
        <w:t> </w:t>
      </w:r>
      <w:r>
        <w:rPr/>
        <w:t>√不适用</w:t>
      </w:r>
    </w:p>
    <w:p>
      <w:pPr>
        <w:pStyle w:val="Heading3"/>
        <w:spacing w:line="240" w:lineRule="auto" w:before="56"/>
        <w:ind w:right="2465"/>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218" w:right="4688"/>
        <w:jc w:val="left"/>
      </w:pPr>
      <w:r>
        <w:rPr/>
        <w:t>□适用</w:t>
      </w:r>
      <w:r>
        <w:rPr>
          <w:spacing w:val="-2"/>
        </w:rPr>
        <w:t> </w:t>
      </w:r>
      <w:r>
        <w:rPr/>
        <w:t>√不适用</w:t>
      </w:r>
      <w:r>
        <w:rPr>
          <w:w w:val="100"/>
        </w:rPr>
        <w:t> </w:t>
      </w:r>
      <w:r>
        <w:rPr>
          <w:spacing w:val="-2"/>
        </w:rPr>
        <w:t>其中重要的其他应收款核销情况：</w:t>
      </w:r>
    </w:p>
    <w:p>
      <w:pPr>
        <w:pStyle w:val="BodyText"/>
        <w:spacing w:line="274" w:lineRule="exact" w:before="23"/>
        <w:ind w:left="218" w:right="6323"/>
        <w:jc w:val="left"/>
      </w:pPr>
      <w:r>
        <w:rPr/>
        <w:t>□适用</w:t>
      </w:r>
      <w:r>
        <w:rPr>
          <w:spacing w:val="-2"/>
        </w:rPr>
        <w:t> </w:t>
      </w:r>
      <w:r>
        <w:rPr/>
        <w:t>√不适用</w:t>
      </w:r>
      <w:r>
        <w:rPr>
          <w:w w:val="100"/>
        </w:rPr>
        <w:t> </w:t>
      </w:r>
      <w:r>
        <w:rPr>
          <w:spacing w:val="-2"/>
        </w:rPr>
        <w:t>其他应收款核销说明：</w:t>
      </w:r>
    </w:p>
    <w:p>
      <w:pPr>
        <w:pStyle w:val="BodyText"/>
        <w:spacing w:line="246" w:lineRule="exact"/>
        <w:ind w:left="218" w:right="2465"/>
        <w:jc w:val="left"/>
      </w:pPr>
      <w:r>
        <w:rPr/>
        <w:t>□适用</w:t>
      </w:r>
      <w:r>
        <w:rPr>
          <w:spacing w:val="-1"/>
        </w:rPr>
        <w:t> </w:t>
      </w:r>
      <w:r>
        <w:rPr/>
        <w:t>√不适用</w:t>
      </w:r>
    </w:p>
    <w:p>
      <w:pPr>
        <w:pStyle w:val="Heading3"/>
        <w:spacing w:line="240" w:lineRule="auto" w:before="58"/>
        <w:ind w:right="2465"/>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left="218" w:right="2465"/>
        <w:jc w:val="left"/>
      </w:pPr>
      <w:r>
        <w:rPr/>
        <w:t>√适用</w:t>
      </w:r>
      <w:r>
        <w:rPr>
          <w:spacing w:val="-1"/>
        </w:rPr>
        <w:t> </w:t>
      </w:r>
      <w:r>
        <w:rPr/>
        <w:t>□不适用</w:t>
      </w:r>
    </w:p>
    <w:p>
      <w:pPr>
        <w:pStyle w:val="BodyText"/>
        <w:tabs>
          <w:tab w:pos="1111" w:val="left" w:leader="none"/>
        </w:tabs>
        <w:spacing w:line="274" w:lineRule="exact"/>
        <w:ind w:left="0" w:right="232"/>
        <w:jc w:val="right"/>
      </w:pPr>
      <w:r>
        <w:rPr>
          <w:spacing w:val="-13"/>
        </w:rPr>
        <w:t>单位：元</w:t>
        <w:tab/>
      </w:r>
      <w:r>
        <w:rPr>
          <w:spacing w:val="-11"/>
        </w:rPr>
        <w:t>币种：人民币</w:t>
      </w:r>
      <w:r>
        <w:rPr/>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16,679,211.91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8,804,935.58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2,335,411.97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2,604,463.14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驻外社保</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291,943.77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305,279.61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31,200,000.00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184,163.29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50,506,567.65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11,898,841.62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3"/>
        <w:spacing w:line="240" w:lineRule="auto"/>
        <w:ind w:left="138"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95"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5575" w:space="844"/>
            <w:col w:w="271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00"/>
        <w:gridCol w:w="852"/>
        <w:gridCol w:w="1560"/>
        <w:gridCol w:w="1133"/>
        <w:gridCol w:w="1431"/>
        <w:gridCol w:w="1620"/>
      </w:tblGrid>
      <w:tr>
        <w:trPr>
          <w:trHeight w:val="82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2" w:right="139" w:hanging="106"/>
              <w:jc w:val="left"/>
              <w:rPr>
                <w:rFonts w:ascii="宋体" w:hAnsi="宋体" w:cs="宋体" w:eastAsia="宋体" w:hint="default"/>
                <w:sz w:val="21"/>
                <w:szCs w:val="21"/>
              </w:rPr>
            </w:pPr>
            <w:r>
              <w:rPr>
                <w:rFonts w:ascii="宋体" w:hAnsi="宋体" w:cs="宋体" w:eastAsia="宋体" w:hint="default"/>
                <w:sz w:val="21"/>
                <w:szCs w:val="21"/>
              </w:rPr>
              <w:t>款项的</w:t>
            </w:r>
            <w:r>
              <w:rPr>
                <w:rFonts w:ascii="宋体" w:hAnsi="宋体" w:cs="宋体" w:eastAsia="宋体" w:hint="default"/>
                <w:spacing w:val="-102"/>
                <w:sz w:val="21"/>
                <w:szCs w:val="21"/>
              </w:rPr>
              <w:t> </w:t>
            </w:r>
            <w:r>
              <w:rPr>
                <w:rFonts w:ascii="宋体" w:hAnsi="宋体" w:cs="宋体" w:eastAsia="宋体" w:hint="default"/>
                <w:sz w:val="21"/>
                <w:szCs w:val="21"/>
              </w:rPr>
              <w:t>性质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账龄</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29" w:right="80"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3" w:right="38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7"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上海朴银信息技术有限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31,200,000.00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61.77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北京金隅股份有限公司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2"/>
              <w:jc w:val="center"/>
              <w:rPr>
                <w:rFonts w:ascii="宋体" w:hAnsi="宋体" w:cs="宋体" w:eastAsia="宋体" w:hint="default"/>
                <w:sz w:val="21"/>
                <w:szCs w:val="21"/>
              </w:rPr>
            </w:pPr>
            <w:r>
              <w:rPr>
                <w:rFonts w:ascii="宋体" w:hAnsi="宋体" w:cs="宋体" w:eastAsia="宋体" w:hint="default"/>
                <w:sz w:val="21"/>
                <w:szCs w:val="21"/>
              </w:rPr>
              <w:t>押金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8,228,571.80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2"/>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sz w:val="21"/>
              </w:rPr>
              <w:t>16.29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北京天宁华韵文化科技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押金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1,935,401.55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3.83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 w:right="0"/>
              <w:jc w:val="left"/>
              <w:rPr>
                <w:rFonts w:ascii="宋体" w:hAnsi="宋体" w:cs="宋体" w:eastAsia="宋体" w:hint="default"/>
                <w:sz w:val="21"/>
                <w:szCs w:val="21"/>
              </w:rPr>
            </w:pPr>
            <w:r>
              <w:rPr>
                <w:rFonts w:ascii="宋体" w:hAnsi="宋体" w:cs="宋体" w:eastAsia="宋体" w:hint="default"/>
                <w:sz w:val="21"/>
                <w:szCs w:val="21"/>
              </w:rPr>
              <w:t>福建省产权交易中心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72"/>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7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center"/>
              <w:rPr>
                <w:rFonts w:ascii="宋体" w:hAnsi="宋体" w:cs="宋体" w:eastAsia="宋体" w:hint="default"/>
                <w:sz w:val="21"/>
                <w:szCs w:val="21"/>
              </w:rPr>
            </w:pPr>
            <w:r>
              <w:rPr>
                <w:rFonts w:ascii="宋体"/>
                <w:sz w:val="21"/>
              </w:rPr>
              <w:t>0.99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南京新城商务服务有限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398,200.00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0.79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2"/>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42,262,173.35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
              <w:jc w:val="center"/>
              <w:rPr>
                <w:rFonts w:ascii="宋体" w:hAnsi="宋体" w:cs="宋体" w:eastAsia="宋体" w:hint="default"/>
                <w:sz w:val="21"/>
                <w:szCs w:val="21"/>
              </w:rPr>
            </w:pPr>
            <w:r>
              <w:rPr>
                <w:rFonts w:ascii="宋体"/>
                <w:w w:val="100"/>
                <w:sz w:val="21"/>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sz w:val="21"/>
              </w:rPr>
              <w:t>83.67</w:t>
            </w:r>
          </w:p>
        </w:tc>
        <w:tc>
          <w:tcPr>
            <w:tcW w:w="16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8" w:lineRule="auto" w:before="74"/>
        <w:ind w:right="0" w:firstLine="419"/>
        <w:jc w:val="left"/>
      </w:pPr>
      <w:r>
        <w:rPr>
          <w:spacing w:val="-2"/>
        </w:rPr>
        <w:t>注：本公司应收上海朴银信息技术有限公司余额系转让星程同创股权款，详见本报告第十一</w:t>
      </w:r>
      <w:r>
        <w:rPr>
          <w:w w:val="100"/>
        </w:rPr>
        <w:t> </w:t>
      </w:r>
      <w:r>
        <w:rPr/>
        <w:t>节、八、</w:t>
      </w:r>
      <w:r>
        <w:rPr>
          <w:rFonts w:ascii="宋体" w:hAnsi="宋体" w:cs="宋体" w:eastAsia="宋体" w:hint="default"/>
        </w:rPr>
        <w:t>5</w:t>
      </w:r>
      <w:r>
        <w:rPr/>
        <w:t>、（</w:t>
      </w:r>
      <w:r>
        <w:rPr>
          <w:rFonts w:ascii="宋体" w:hAnsi="宋体" w:cs="宋体" w:eastAsia="宋体" w:hint="default"/>
        </w:rPr>
        <w:t>1</w:t>
      </w:r>
      <w:r>
        <w:rPr/>
        <w:t>）本年新设成立并处置的单位。</w:t>
      </w:r>
    </w:p>
    <w:p>
      <w:pPr>
        <w:pStyle w:val="Heading3"/>
        <w:spacing w:line="258" w:lineRule="exact" w:before="0"/>
        <w:ind w:left="138"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right="0"/>
        <w:jc w:val="left"/>
      </w:pPr>
      <w:r>
        <w:rPr/>
        <w:t>□适用</w:t>
      </w:r>
      <w:r>
        <w:rPr>
          <w:spacing w:val="-1"/>
        </w:rPr>
        <w:t> </w:t>
      </w:r>
      <w:r>
        <w:rPr/>
        <w:t>√不适用</w:t>
      </w:r>
    </w:p>
    <w:p>
      <w:pPr>
        <w:pStyle w:val="Heading3"/>
        <w:spacing w:line="240" w:lineRule="auto" w:before="56"/>
        <w:ind w:left="138"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pStyle w:val="Heading3"/>
        <w:spacing w:line="240" w:lineRule="auto" w:before="58"/>
        <w:ind w:left="138"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980" w:val="left" w:leader="none"/>
        </w:tabs>
        <w:spacing w:line="240" w:lineRule="auto" w:before="56"/>
        <w:ind w:right="7303"/>
        <w:jc w:val="left"/>
      </w:pPr>
      <w:r>
        <w:rPr>
          <w:spacing w:val="-1"/>
        </w:rPr>
        <w:t>□适用</w:t>
        <w:tab/>
      </w:r>
      <w:r>
        <w:rPr>
          <w:spacing w:val="-2"/>
        </w:rPr>
        <w:t>√不适用</w:t>
      </w:r>
      <w:r>
        <w:rPr>
          <w:spacing w:val="-99"/>
        </w:rPr>
        <w:t> </w:t>
      </w:r>
      <w:r>
        <w:rPr>
          <w:spacing w:val="-99"/>
        </w:rPr>
      </w:r>
      <w:r>
        <w:rPr/>
        <w:t>其他说明：</w:t>
      </w:r>
    </w:p>
    <w:p>
      <w:pPr>
        <w:tabs>
          <w:tab w:pos="769" w:val="left" w:leader="none"/>
          <w:tab w:pos="977" w:val="left" w:leader="none"/>
        </w:tabs>
        <w:spacing w:line="290" w:lineRule="auto" w:before="0"/>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10</w:t>
      </w:r>
      <w:r>
        <w:rPr>
          <w:rFonts w:ascii="宋体" w:hAnsi="宋体" w:cs="宋体" w:eastAsia="宋体" w:hint="default"/>
          <w:b/>
          <w:bCs/>
          <w:spacing w:val="-1"/>
          <w:sz w:val="21"/>
          <w:szCs w:val="21"/>
        </w:rPr>
        <w:t>、</w:t>
        <w:tab/>
        <w:tab/>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存货分类</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pStyle w:val="BodyText"/>
        <w:tabs>
          <w:tab w:pos="1157" w:val="left" w:leader="none"/>
        </w:tabs>
        <w:spacing w:line="271"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66"/>
        <w:gridCol w:w="1328"/>
        <w:gridCol w:w="1116"/>
        <w:gridCol w:w="1328"/>
        <w:gridCol w:w="1327"/>
        <w:gridCol w:w="1105"/>
        <w:gridCol w:w="1327"/>
      </w:tblGrid>
      <w:tr>
        <w:trPr>
          <w:trHeight w:val="281" w:hRule="exact"/>
        </w:trPr>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66" w:type="dxa"/>
            <w:vMerge/>
            <w:tcBorders>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5"/>
              <w:jc w:val="right"/>
              <w:rPr>
                <w:rFonts w:ascii="宋体" w:hAnsi="宋体" w:cs="宋体" w:eastAsia="宋体" w:hint="default"/>
                <w:sz w:val="21"/>
                <w:szCs w:val="21"/>
              </w:rPr>
            </w:pPr>
            <w:r>
              <w:rPr>
                <w:rFonts w:ascii="宋体" w:hAnsi="宋体" w:cs="宋体" w:eastAsia="宋体" w:hint="default"/>
                <w:spacing w:val="-1"/>
                <w:sz w:val="21"/>
                <w:szCs w:val="21"/>
              </w:rPr>
              <w:t>库存商品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1,863,558.08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1,863,558.08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1,072,429.58</w:t>
            </w:r>
          </w:p>
        </w:tc>
        <w:tc>
          <w:tcPr>
            <w:tcW w:w="110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1,072,429.58</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hAnsi="宋体" w:cs="宋体" w:eastAsia="宋体" w:hint="default"/>
                <w:sz w:val="21"/>
                <w:szCs w:val="21"/>
              </w:rPr>
              <w:t>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1,863,558.08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1,863,558.08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1,072,429.58</w:t>
            </w:r>
          </w:p>
        </w:tc>
        <w:tc>
          <w:tcPr>
            <w:tcW w:w="110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1,072,429.58</w:t>
            </w:r>
          </w:p>
        </w:tc>
      </w:tr>
    </w:tbl>
    <w:p>
      <w:pPr>
        <w:spacing w:line="240" w:lineRule="auto" w:before="12"/>
        <w:rPr>
          <w:rFonts w:ascii="宋体" w:hAnsi="宋体" w:cs="宋体" w:eastAsia="宋体" w:hint="default"/>
          <w:sz w:val="19"/>
          <w:szCs w:val="19"/>
        </w:rPr>
      </w:pPr>
    </w:p>
    <w:p>
      <w:pPr>
        <w:pStyle w:val="Heading3"/>
        <w:tabs>
          <w:tab w:pos="769" w:val="left" w:leader="none"/>
        </w:tabs>
        <w:spacing w:line="240" w:lineRule="auto"/>
        <w:ind w:left="138" w:right="0"/>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6"/>
        <w:ind w:right="0"/>
        <w:jc w:val="left"/>
      </w:pPr>
      <w:r>
        <w:rPr/>
        <w:t>□适用</w:t>
      </w:r>
      <w:r>
        <w:rPr>
          <w:spacing w:val="-1"/>
        </w:rPr>
        <w:t> </w:t>
      </w:r>
      <w:r>
        <w:rPr/>
        <w:t>√不适用</w:t>
      </w:r>
    </w:p>
    <w:p>
      <w:pPr>
        <w:pStyle w:val="Heading3"/>
        <w:tabs>
          <w:tab w:pos="769" w:val="left" w:leader="none"/>
        </w:tabs>
        <w:spacing w:line="240" w:lineRule="auto" w:before="58"/>
        <w:ind w:left="13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3"/>
        <w:tabs>
          <w:tab w:pos="769" w:val="left" w:leader="none"/>
        </w:tabs>
        <w:spacing w:line="240" w:lineRule="auto" w:before="0"/>
        <w:ind w:left="138"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6"/>
        <w:ind w:right="7394"/>
        <w:jc w:val="left"/>
      </w:pPr>
      <w:r>
        <w:rPr/>
        <w:t>□适用</w:t>
      </w:r>
      <w:r>
        <w:rPr>
          <w:spacing w:val="-1"/>
        </w:rPr>
        <w:t> </w:t>
      </w:r>
      <w:r>
        <w:rPr/>
        <w:t>√不适用</w:t>
      </w:r>
      <w:r>
        <w:rPr>
          <w:w w:val="100"/>
        </w:rPr>
        <w:t> </w:t>
      </w:r>
      <w:r>
        <w:rPr/>
        <w:t>其他说明</w:t>
      </w:r>
    </w:p>
    <w:p>
      <w:pPr>
        <w:pStyle w:val="BodyText"/>
        <w:tabs>
          <w:tab w:pos="980" w:val="left" w:leader="none"/>
        </w:tabs>
        <w:spacing w:line="249" w:lineRule="exact"/>
        <w:ind w:right="0"/>
        <w:jc w:val="left"/>
      </w:pPr>
      <w:r>
        <w:rPr>
          <w:spacing w:val="-1"/>
        </w:rPr>
        <w:t>□适用</w:t>
        <w:tab/>
      </w:r>
      <w:r>
        <w:rPr>
          <w:spacing w:val="-2"/>
        </w:rPr>
        <w:t>√不适用</w:t>
      </w:r>
    </w:p>
    <w:p>
      <w:pPr>
        <w:spacing w:after="0" w:line="249"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360" w:right="840"/>
        </w:sectPr>
      </w:pPr>
    </w:p>
    <w:p>
      <w:pPr>
        <w:pStyle w:val="Heading3"/>
        <w:spacing w:line="240" w:lineRule="auto"/>
        <w:ind w:left="438" w:right="-18"/>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left="438" w:right="-18"/>
        <w:jc w:val="left"/>
      </w:pPr>
      <w:r>
        <w:rPr/>
        <w:t>□适用</w:t>
      </w:r>
      <w:r>
        <w:rPr>
          <w:spacing w:val="-1"/>
        </w:rPr>
        <w:t> </w:t>
      </w:r>
      <w:r>
        <w:rPr/>
        <w:t>√不适用</w:t>
      </w:r>
    </w:p>
    <w:p>
      <w:pPr>
        <w:pStyle w:val="Heading3"/>
        <w:spacing w:line="240" w:lineRule="auto" w:before="56"/>
        <w:ind w:left="438"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spacing w:line="290" w:lineRule="auto" w:before="58"/>
        <w:ind w:left="438" w:right="10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spacing w:line="240" w:lineRule="auto" w:before="14"/>
        <w:ind w:left="4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595" w:val="left" w:leader="none"/>
        </w:tabs>
        <w:spacing w:line="240" w:lineRule="auto" w:before="138"/>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840"/>
          <w:cols w:num="2" w:equalWidth="0">
            <w:col w:w="3263" w:space="3155"/>
            <w:col w:w="3292"/>
          </w:cols>
        </w:sectPr>
      </w:pPr>
    </w:p>
    <w:p>
      <w:pPr>
        <w:spacing w:line="240" w:lineRule="auto" w:before="7"/>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725,000,000.00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360" w:right="840"/>
        </w:sectPr>
      </w:pPr>
    </w:p>
    <w:p>
      <w:pPr>
        <w:pStyle w:val="BodyText"/>
        <w:spacing w:line="241" w:lineRule="exact"/>
        <w:ind w:left="438" w:right="-9"/>
        <w:jc w:val="left"/>
      </w:pPr>
      <w:r>
        <w:rPr/>
        <w:t>其他说明：无</w:t>
      </w:r>
    </w:p>
    <w:p>
      <w:pPr>
        <w:pStyle w:val="Heading3"/>
        <w:spacing w:line="240" w:lineRule="auto" w:before="57"/>
        <w:ind w:left="43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3"/>
        <w:tabs>
          <w:tab w:pos="1081" w:val="left" w:leader="none"/>
        </w:tabs>
        <w:spacing w:line="240" w:lineRule="auto" w:before="58"/>
        <w:ind w:left="43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6"/>
        <w:ind w:left="438" w:right="-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595"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840"/>
          <w:cols w:num="2" w:equalWidth="0">
            <w:col w:w="3191" w:space="3227"/>
            <w:col w:w="3292"/>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189"/>
        <w:gridCol w:w="1532"/>
        <w:gridCol w:w="583"/>
        <w:gridCol w:w="1534"/>
        <w:gridCol w:w="1534"/>
        <w:gridCol w:w="560"/>
        <w:gridCol w:w="1531"/>
      </w:tblGrid>
      <w:tr>
        <w:trPr>
          <w:trHeight w:val="350" w:hRule="exact"/>
        </w:trPr>
        <w:tc>
          <w:tcPr>
            <w:tcW w:w="218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189"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76"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6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53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194,340,296.14</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194,340,296.14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251,993,315.88</w:t>
            </w:r>
          </w:p>
        </w:tc>
        <w:tc>
          <w:tcPr>
            <w:tcW w:w="56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251,993,315.88</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193,020,296.14</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193,020,296.14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223,736,415.88</w:t>
            </w:r>
          </w:p>
        </w:tc>
        <w:tc>
          <w:tcPr>
            <w:tcW w:w="56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223,736,415.88</w:t>
            </w:r>
          </w:p>
        </w:tc>
      </w:tr>
      <w:tr>
        <w:trPr>
          <w:trHeight w:val="351"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1"/>
                <w:szCs w:val="21"/>
              </w:rPr>
            </w:pPr>
            <w:r>
              <w:rPr>
                <w:rFonts w:ascii="宋体"/>
                <w:spacing w:val="-1"/>
                <w:sz w:val="21"/>
              </w:rPr>
              <w:t>1,320,000.00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1"/>
                <w:szCs w:val="21"/>
              </w:rPr>
            </w:pPr>
            <w:r>
              <w:rPr>
                <w:rFonts w:ascii="宋体"/>
                <w:spacing w:val="-1"/>
                <w:sz w:val="21"/>
              </w:rPr>
              <w:t>1,320,000.00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1"/>
                <w:szCs w:val="21"/>
              </w:rPr>
            </w:pPr>
            <w:r>
              <w:rPr>
                <w:rFonts w:ascii="宋体"/>
                <w:spacing w:val="-1"/>
                <w:sz w:val="21"/>
              </w:rPr>
              <w:t>28,256,900.00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1"/>
                <w:szCs w:val="21"/>
              </w:rPr>
            </w:pPr>
            <w:r>
              <w:rPr>
                <w:rFonts w:ascii="宋体"/>
                <w:spacing w:val="-1"/>
                <w:sz w:val="21"/>
              </w:rPr>
              <w:t>28,256,900.00</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194,340,296.14</w:t>
            </w:r>
          </w:p>
        </w:tc>
        <w:tc>
          <w:tcPr>
            <w:tcW w:w="5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194,340,296.14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251,993,315.88</w:t>
            </w:r>
          </w:p>
        </w:tc>
        <w:tc>
          <w:tcPr>
            <w:tcW w:w="560"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251,993,315.88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360" w:right="840"/>
        </w:sectPr>
      </w:pPr>
    </w:p>
    <w:p>
      <w:pPr>
        <w:pStyle w:val="Heading3"/>
        <w:tabs>
          <w:tab w:pos="1081" w:val="left" w:leader="none"/>
        </w:tabs>
        <w:spacing w:line="240" w:lineRule="auto"/>
        <w:ind w:left="438"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tabs>
          <w:tab w:pos="1280" w:val="left" w:leader="none"/>
        </w:tabs>
        <w:spacing w:line="240" w:lineRule="auto" w:before="56"/>
        <w:ind w:left="4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95"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840"/>
          <w:cols w:num="2" w:equalWidth="0">
            <w:col w:w="4879" w:space="1540"/>
            <w:col w:w="3291"/>
          </w:cols>
        </w:sectPr>
      </w:pPr>
    </w:p>
    <w:p>
      <w:pPr>
        <w:spacing w:line="240" w:lineRule="auto" w:before="4"/>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1327"/>
        <w:gridCol w:w="1589"/>
        <w:gridCol w:w="1589"/>
        <w:gridCol w:w="1589"/>
        <w:gridCol w:w="1589"/>
        <w:gridCol w:w="1687"/>
      </w:tblGrid>
      <w:tr>
        <w:trPr>
          <w:trHeight w:val="557" w:hRule="exact"/>
        </w:trPr>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107"/>
              <w:ind w:left="131" w:right="129"/>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融资产分类</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1327" w:type="dxa"/>
            <w:vMerge/>
            <w:tcBorders>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（号百控股）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（华强方特）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（道有道）</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（中证金牛）</w:t>
            </w:r>
          </w:p>
        </w:tc>
        <w:tc>
          <w:tcPr>
            <w:tcW w:w="1687" w:type="dxa"/>
            <w:vMerge/>
            <w:tcBorders>
              <w:left w:val="single" w:sz="4" w:space="0" w:color="000000"/>
              <w:bottom w:val="single" w:sz="4" w:space="0" w:color="000000"/>
              <w:right w:val="single" w:sz="4" w:space="0" w:color="000000"/>
            </w:tcBorders>
          </w:tcPr>
          <w:p>
            <w:pPr/>
          </w:p>
        </w:tc>
      </w:tr>
      <w:tr>
        <w:trPr>
          <w:trHeight w:val="1100"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w:t>
            </w:r>
          </w:p>
          <w:p>
            <w:pPr>
              <w:pStyle w:val="TableParagraph"/>
              <w:spacing w:line="237" w:lineRule="auto" w:before="2"/>
              <w:ind w:left="103" w:right="158"/>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w:t>
            </w:r>
            <w:r>
              <w:rPr>
                <w:rFonts w:ascii="宋体" w:hAnsi="宋体" w:cs="宋体" w:eastAsia="宋体" w:hint="default"/>
                <w:sz w:val="21"/>
                <w:szCs w:val="21"/>
              </w:rPr>
              <w:t>债务</w:t>
            </w:r>
            <w:r>
              <w:rPr>
                <w:rFonts w:ascii="宋体" w:hAnsi="宋体" w:cs="宋体" w:eastAsia="宋体" w:hint="default"/>
                <w:w w:val="100"/>
                <w:sz w:val="21"/>
                <w:szCs w:val="21"/>
              </w:rPr>
              <w:t> </w:t>
            </w:r>
            <w:r>
              <w:rPr>
                <w:rFonts w:ascii="宋体" w:hAnsi="宋体" w:cs="宋体" w:eastAsia="宋体" w:hint="default"/>
                <w:sz w:val="21"/>
                <w:szCs w:val="21"/>
              </w:rPr>
              <w:t>工具的摊余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成本</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29,726,597.80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 w:right="0"/>
              <w:jc w:val="center"/>
              <w:rPr>
                <w:rFonts w:ascii="宋体" w:hAnsi="宋体" w:cs="宋体" w:eastAsia="宋体" w:hint="default"/>
                <w:sz w:val="21"/>
                <w:szCs w:val="21"/>
              </w:rPr>
            </w:pPr>
            <w:r>
              <w:rPr>
                <w:rFonts w:ascii="宋体"/>
                <w:sz w:val="21"/>
              </w:rPr>
              <w:t>75,400,000.00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9" w:right="0"/>
              <w:jc w:val="center"/>
              <w:rPr>
                <w:rFonts w:ascii="宋体" w:hAnsi="宋体" w:cs="宋体" w:eastAsia="宋体" w:hint="default"/>
                <w:sz w:val="21"/>
                <w:szCs w:val="21"/>
              </w:rPr>
            </w:pPr>
            <w:r>
              <w:rPr>
                <w:rFonts w:ascii="宋体"/>
                <w:sz w:val="21"/>
              </w:rPr>
              <w:t>80,000,000.00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14" w:right="0"/>
              <w:jc w:val="center"/>
              <w:rPr>
                <w:rFonts w:ascii="宋体" w:hAnsi="宋体" w:cs="宋体" w:eastAsia="宋体" w:hint="default"/>
                <w:sz w:val="21"/>
                <w:szCs w:val="21"/>
              </w:rPr>
            </w:pPr>
            <w:r>
              <w:rPr>
                <w:rFonts w:ascii="宋体"/>
                <w:sz w:val="21"/>
              </w:rPr>
              <w:t>8,180,000.00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193,306,597.80</w:t>
            </w:r>
          </w:p>
        </w:tc>
      </w:tr>
      <w:tr>
        <w:trPr>
          <w:trHeight w:val="283"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30,076,322.48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80,080,000.00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77,066,652.00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 w:right="0"/>
              <w:jc w:val="center"/>
              <w:rPr>
                <w:rFonts w:ascii="宋体" w:hAnsi="宋体" w:cs="宋体" w:eastAsia="宋体" w:hint="default"/>
                <w:sz w:val="21"/>
                <w:szCs w:val="21"/>
              </w:rPr>
            </w:pPr>
            <w:r>
              <w:rPr>
                <w:rFonts w:ascii="宋体"/>
                <w:sz w:val="21"/>
              </w:rPr>
              <w:t>5,797,321.66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193,020,296.14</w:t>
            </w:r>
          </w:p>
        </w:tc>
      </w:tr>
      <w:tr>
        <w:trPr>
          <w:trHeight w:val="1099"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累计计入其</w:t>
            </w:r>
          </w:p>
          <w:p>
            <w:pPr>
              <w:pStyle w:val="TableParagraph"/>
              <w:spacing w:line="237" w:lineRule="auto" w:before="2"/>
              <w:ind w:left="103" w:right="158"/>
              <w:jc w:val="both"/>
              <w:rPr>
                <w:rFonts w:ascii="宋体" w:hAnsi="宋体" w:cs="宋体" w:eastAsia="宋体" w:hint="default"/>
                <w:sz w:val="21"/>
                <w:szCs w:val="21"/>
              </w:rPr>
            </w:pPr>
            <w:r>
              <w:rPr>
                <w:rFonts w:ascii="宋体" w:hAnsi="宋体" w:cs="宋体" w:eastAsia="宋体" w:hint="default"/>
                <w:sz w:val="21"/>
                <w:szCs w:val="21"/>
              </w:rPr>
              <w:t>他综合收益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的公允价值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变动金额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349,724.68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5" w:right="0"/>
              <w:jc w:val="center"/>
              <w:rPr>
                <w:rFonts w:ascii="宋体" w:hAnsi="宋体" w:cs="宋体" w:eastAsia="宋体" w:hint="default"/>
                <w:sz w:val="21"/>
                <w:szCs w:val="21"/>
              </w:rPr>
            </w:pPr>
            <w:r>
              <w:rPr>
                <w:rFonts w:ascii="宋体"/>
                <w:sz w:val="21"/>
              </w:rPr>
              <w:t>4,680,000.00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 w:right="0"/>
              <w:jc w:val="center"/>
              <w:rPr>
                <w:rFonts w:ascii="宋体" w:hAnsi="宋体" w:cs="宋体" w:eastAsia="宋体" w:hint="default"/>
                <w:sz w:val="21"/>
                <w:szCs w:val="21"/>
              </w:rPr>
            </w:pPr>
            <w:r>
              <w:rPr>
                <w:rFonts w:ascii="宋体"/>
                <w:sz w:val="21"/>
              </w:rPr>
              <w:t>-2,933,348.00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 w:right="0"/>
              <w:jc w:val="center"/>
              <w:rPr>
                <w:rFonts w:ascii="宋体" w:hAnsi="宋体" w:cs="宋体" w:eastAsia="宋体" w:hint="default"/>
                <w:sz w:val="21"/>
                <w:szCs w:val="21"/>
              </w:rPr>
            </w:pPr>
            <w:r>
              <w:rPr>
                <w:rFonts w:ascii="宋体"/>
                <w:sz w:val="21"/>
              </w:rPr>
              <w:t>-2,382,678.34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-286,301.66</w:t>
            </w:r>
          </w:p>
        </w:tc>
      </w:tr>
      <w:tr>
        <w:trPr>
          <w:trHeight w:val="55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4"/>
        <w:ind w:left="858" w:right="0"/>
        <w:jc w:val="left"/>
      </w:pPr>
      <w:r>
        <w:rPr/>
        <w:t>注：①</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3"/>
        </w:rPr>
        <w:t> </w:t>
      </w:r>
      <w:r>
        <w:rPr>
          <w:rFonts w:ascii="宋体" w:hAnsi="宋体" w:cs="宋体" w:eastAsia="宋体" w:hint="default"/>
        </w:rPr>
        <w:t>28</w:t>
      </w:r>
      <w:r>
        <w:rPr>
          <w:rFonts w:ascii="宋体" w:hAnsi="宋体" w:cs="宋体" w:eastAsia="宋体" w:hint="default"/>
          <w:spacing w:val="-54"/>
        </w:rPr>
        <w:t> </w:t>
      </w:r>
      <w:r>
        <w:rPr/>
        <w:t>日，本公司与号百控股、中国电信、中文在线、凤凰传媒、思本投资</w:t>
      </w:r>
    </w:p>
    <w:p>
      <w:pPr>
        <w:pStyle w:val="BodyText"/>
        <w:spacing w:line="350" w:lineRule="auto" w:before="126"/>
        <w:ind w:left="438" w:right="0"/>
        <w:jc w:val="left"/>
      </w:pPr>
      <w:r>
        <w:rPr/>
        <w:t>及万卷投资签订《发行股份及支付现金购买资产协议》，并于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29</w:t>
      </w:r>
      <w:r>
        <w:rPr>
          <w:rFonts w:ascii="宋体" w:hAnsi="宋体" w:cs="宋体" w:eastAsia="宋体" w:hint="default"/>
          <w:spacing w:val="-53"/>
        </w:rPr>
        <w:t> </w:t>
      </w:r>
      <w:r>
        <w:rPr/>
        <w:t>日签署了《发行股</w:t>
      </w:r>
      <w:r>
        <w:rPr>
          <w:w w:val="100"/>
        </w:rPr>
        <w:t> </w:t>
      </w:r>
      <w:r>
        <w:rPr>
          <w:spacing w:val="-6"/>
        </w:rPr>
        <w:t>份购买资产协议之补充协议》，协议约定：号百控股拟通过发行股份及支付现金的方式向本公司、</w:t>
      </w:r>
    </w:p>
    <w:p>
      <w:pPr>
        <w:spacing w:after="0" w:line="350" w:lineRule="auto"/>
        <w:jc w:val="left"/>
        <w:sectPr>
          <w:type w:val="continuous"/>
          <w:pgSz w:w="11910" w:h="16840"/>
          <w:pgMar w:top="1120" w:bottom="1380" w:left="1360" w:right="8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458" w:right="448"/>
        <w:jc w:val="both"/>
      </w:pPr>
      <w:r>
        <w:rPr/>
        <w:t>中国电信、中文在线、凤凰传媒、思本投资和万卷投资购买其持有的天翼阅读</w:t>
      </w:r>
      <w:r>
        <w:rPr>
          <w:spacing w:val="-54"/>
        </w:rPr>
        <w:t> </w:t>
      </w:r>
      <w:r>
        <w:rPr>
          <w:rFonts w:ascii="宋体" w:hAnsi="宋体" w:cs="宋体" w:eastAsia="宋体" w:hint="default"/>
        </w:rPr>
        <w:t>100.00%</w:t>
      </w:r>
      <w:r>
        <w:rPr/>
        <w:t>的股权，</w:t>
      </w:r>
      <w:r>
        <w:rPr>
          <w:w w:val="100"/>
        </w:rPr>
        <w:t> </w:t>
      </w:r>
      <w:r>
        <w:rPr>
          <w:spacing w:val="-5"/>
        </w:rPr>
        <w:t>其中，本公司以</w:t>
      </w:r>
      <w:r>
        <w:rPr>
          <w:spacing w:val="-43"/>
        </w:rPr>
        <w:t> </w:t>
      </w:r>
      <w:r>
        <w:rPr>
          <w:rFonts w:ascii="宋体" w:hAnsi="宋体" w:cs="宋体" w:eastAsia="宋体" w:hint="default"/>
        </w:rPr>
        <w:t>29,726,597.80</w:t>
      </w:r>
      <w:r>
        <w:rPr>
          <w:rFonts w:ascii="宋体" w:hAnsi="宋体" w:cs="宋体" w:eastAsia="宋体" w:hint="default"/>
          <w:spacing w:val="-45"/>
        </w:rPr>
        <w:t> </w:t>
      </w:r>
      <w:r>
        <w:rPr/>
        <w:t>元的交易对价出售持有天翼阅读</w:t>
      </w:r>
      <w:r>
        <w:rPr>
          <w:spacing w:val="-43"/>
        </w:rPr>
        <w:t> </w:t>
      </w:r>
      <w:r>
        <w:rPr>
          <w:rFonts w:ascii="宋体" w:hAnsi="宋体" w:cs="宋体" w:eastAsia="宋体" w:hint="default"/>
          <w:spacing w:val="-3"/>
        </w:rPr>
        <w:t>4.211%</w:t>
      </w:r>
      <w:r>
        <w:rPr>
          <w:spacing w:val="-3"/>
        </w:rPr>
        <w:t>的股权（共计取得号百控</w:t>
      </w:r>
      <w:r>
        <w:rPr>
          <w:spacing w:val="-100"/>
        </w:rPr>
        <w:t> </w:t>
      </w:r>
      <w:r>
        <w:rPr>
          <w:spacing w:val="-100"/>
        </w:rPr>
      </w:r>
      <w:r>
        <w:rPr/>
        <w:t>股股份</w:t>
      </w:r>
      <w:r>
        <w:rPr>
          <w:spacing w:val="-55"/>
        </w:rPr>
        <w:t> </w:t>
      </w:r>
      <w:r>
        <w:rPr>
          <w:rFonts w:ascii="宋体" w:hAnsi="宋体" w:cs="宋体" w:eastAsia="宋体" w:hint="default"/>
        </w:rPr>
        <w:t>2,057,204</w:t>
      </w:r>
      <w:r>
        <w:rPr>
          <w:rFonts w:ascii="宋体" w:hAnsi="宋体" w:cs="宋体" w:eastAsia="宋体" w:hint="default"/>
          <w:spacing w:val="-55"/>
        </w:rPr>
        <w:t> </w:t>
      </w:r>
      <w:r>
        <w:rPr>
          <w:spacing w:val="-5"/>
        </w:rPr>
        <w:t>股）。</w:t>
      </w:r>
      <w:r>
        <w:rPr>
          <w:rFonts w:ascii="宋体" w:hAnsi="宋体" w:cs="宋体" w:eastAsia="宋体" w:hint="default"/>
          <w:spacing w:val="-5"/>
        </w:rPr>
        <w:t>2017</w:t>
      </w:r>
      <w:r>
        <w:rPr>
          <w:rFonts w:ascii="宋体" w:hAnsi="宋体" w:cs="宋体" w:eastAsia="宋体" w:hint="default"/>
          <w:spacing w:val="-55"/>
        </w:rPr>
        <w:t> </w:t>
      </w:r>
      <w:r>
        <w:rPr/>
        <w:t>年</w:t>
      </w:r>
      <w:r>
        <w:rPr>
          <w:spacing w:val="-57"/>
        </w:rPr>
        <w:t> </w:t>
      </w:r>
      <w:r>
        <w:rPr>
          <w:rFonts w:ascii="宋体" w:hAnsi="宋体" w:cs="宋体" w:eastAsia="宋体" w:hint="default"/>
        </w:rPr>
        <w:t>3</w:t>
      </w:r>
      <w:r>
        <w:rPr>
          <w:rFonts w:ascii="宋体" w:hAnsi="宋体" w:cs="宋体" w:eastAsia="宋体" w:hint="default"/>
          <w:spacing w:val="-55"/>
        </w:rPr>
        <w:t> </w:t>
      </w:r>
      <w:r>
        <w:rPr/>
        <w:t>月</w:t>
      </w:r>
      <w:r>
        <w:rPr>
          <w:spacing w:val="-57"/>
        </w:rPr>
        <w:t> </w:t>
      </w:r>
      <w:r>
        <w:rPr>
          <w:rFonts w:ascii="宋体" w:hAnsi="宋体" w:cs="宋体" w:eastAsia="宋体" w:hint="default"/>
        </w:rPr>
        <w:t>7</w:t>
      </w:r>
      <w:r>
        <w:rPr>
          <w:rFonts w:ascii="宋体" w:hAnsi="宋体" w:cs="宋体" w:eastAsia="宋体" w:hint="default"/>
          <w:spacing w:val="-55"/>
        </w:rPr>
        <w:t> </w:t>
      </w:r>
      <w:r>
        <w:rPr/>
        <w:t>日，上述股份在中国证券登记结算有限责任公司上海分公</w:t>
      </w:r>
    </w:p>
    <w:p>
      <w:pPr>
        <w:pStyle w:val="BodyText"/>
        <w:spacing w:line="240" w:lineRule="auto" w:before="27"/>
        <w:ind w:left="458" w:right="0"/>
        <w:jc w:val="left"/>
      </w:pPr>
      <w:r>
        <w:rPr/>
        <w:t>司办理完毕股份登记手续。号百控股于</w:t>
      </w:r>
      <w:r>
        <w:rPr>
          <w:spacing w:val="-54"/>
        </w:rPr>
        <w:t> </w:t>
      </w:r>
      <w:r>
        <w:rPr>
          <w:rFonts w:ascii="宋体" w:hAnsi="宋体" w:cs="宋体" w:eastAsia="宋体" w:hint="default"/>
        </w:rPr>
        <w:t>2017</w:t>
      </w:r>
      <w:r>
        <w:rPr>
          <w:rFonts w:ascii="宋体" w:hAnsi="宋体" w:cs="宋体" w:eastAsia="宋体" w:hint="default"/>
          <w:spacing w:val="-56"/>
        </w:rPr>
        <w:t> </w:t>
      </w:r>
      <w:r>
        <w:rPr/>
        <w:t>年末的收盘价为</w:t>
      </w:r>
      <w:r>
        <w:rPr>
          <w:spacing w:val="-54"/>
        </w:rPr>
        <w:t> </w:t>
      </w:r>
      <w:r>
        <w:rPr>
          <w:rFonts w:ascii="宋体" w:hAnsi="宋体" w:cs="宋体" w:eastAsia="宋体" w:hint="default"/>
        </w:rPr>
        <w:t>14.62</w:t>
      </w:r>
      <w:r>
        <w:rPr>
          <w:rFonts w:ascii="宋体" w:hAnsi="宋体" w:cs="宋体" w:eastAsia="宋体" w:hint="default"/>
          <w:spacing w:val="-56"/>
        </w:rPr>
        <w:t> </w:t>
      </w:r>
      <w:r>
        <w:rPr/>
        <w:t>元</w:t>
      </w:r>
      <w:r>
        <w:rPr>
          <w:rFonts w:ascii="宋体" w:hAnsi="宋体" w:cs="宋体" w:eastAsia="宋体" w:hint="default"/>
        </w:rPr>
        <w:t>/</w:t>
      </w:r>
      <w:r>
        <w:rPr/>
        <w:t>股。</w:t>
      </w:r>
    </w:p>
    <w:p>
      <w:pPr>
        <w:pStyle w:val="BodyText"/>
        <w:spacing w:line="240" w:lineRule="auto" w:before="126"/>
        <w:ind w:left="878" w:right="0"/>
        <w:jc w:val="left"/>
      </w:pPr>
      <w:r>
        <w:rPr/>
        <w:t>②本公司持有华强方特股份</w:t>
      </w:r>
      <w:r>
        <w:rPr>
          <w:spacing w:val="-52"/>
        </w:rPr>
        <w:t> </w:t>
      </w:r>
      <w:r>
        <w:rPr>
          <w:rFonts w:ascii="宋体" w:hAnsi="宋体" w:cs="宋体" w:eastAsia="宋体" w:hint="default"/>
        </w:rPr>
        <w:t>520.00</w:t>
      </w:r>
      <w:r>
        <w:rPr>
          <w:rFonts w:ascii="宋体" w:hAnsi="宋体" w:cs="宋体" w:eastAsia="宋体" w:hint="default"/>
          <w:spacing w:val="-55"/>
        </w:rPr>
        <w:t> </w:t>
      </w:r>
      <w:r>
        <w:rPr/>
        <w:t>万股，于</w:t>
      </w:r>
      <w:r>
        <w:rPr>
          <w:spacing w:val="-55"/>
        </w:rPr>
        <w:t> </w:t>
      </w:r>
      <w:r>
        <w:rPr>
          <w:rFonts w:ascii="宋体" w:hAnsi="宋体" w:cs="宋体" w:eastAsia="宋体" w:hint="default"/>
        </w:rPr>
        <w:t>2017</w:t>
      </w:r>
      <w:r>
        <w:rPr>
          <w:rFonts w:ascii="宋体" w:hAnsi="宋体" w:cs="宋体" w:eastAsia="宋体" w:hint="default"/>
          <w:spacing w:val="-55"/>
        </w:rPr>
        <w:t> </w:t>
      </w:r>
      <w:r>
        <w:rPr/>
        <w:t>年末的收盘价为</w:t>
      </w:r>
      <w:r>
        <w:rPr>
          <w:spacing w:val="-53"/>
        </w:rPr>
        <w:t> </w:t>
      </w:r>
      <w:r>
        <w:rPr>
          <w:rFonts w:ascii="宋体" w:hAnsi="宋体" w:cs="宋体" w:eastAsia="宋体" w:hint="default"/>
        </w:rPr>
        <w:t>15.40</w:t>
      </w:r>
      <w:r>
        <w:rPr>
          <w:rFonts w:ascii="宋体" w:hAnsi="宋体" w:cs="宋体" w:eastAsia="宋体" w:hint="default"/>
          <w:spacing w:val="-52"/>
        </w:rPr>
        <w:t> </w:t>
      </w:r>
      <w:r>
        <w:rPr/>
        <w:t>元</w:t>
      </w:r>
      <w:r>
        <w:rPr>
          <w:rFonts w:ascii="宋体" w:hAnsi="宋体" w:cs="宋体" w:eastAsia="宋体" w:hint="default"/>
        </w:rPr>
        <w:t>/</w:t>
      </w:r>
      <w:r>
        <w:rPr/>
        <w:t>股。</w:t>
      </w:r>
    </w:p>
    <w:p>
      <w:pPr>
        <w:pStyle w:val="BodyText"/>
        <w:spacing w:line="240" w:lineRule="auto" w:before="126"/>
        <w:ind w:left="878" w:right="0"/>
        <w:jc w:val="left"/>
      </w:pPr>
      <w:r>
        <w:rPr/>
        <w:t>③截至</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5"/>
        </w:rPr>
        <w:t> </w:t>
      </w:r>
      <w:r>
        <w:rPr/>
        <w:t>月</w:t>
      </w:r>
      <w:r>
        <w:rPr>
          <w:spacing w:val="-44"/>
        </w:rPr>
        <w:t> </w:t>
      </w:r>
      <w:r>
        <w:rPr>
          <w:rFonts w:ascii="宋体" w:hAnsi="宋体" w:cs="宋体" w:eastAsia="宋体" w:hint="default"/>
        </w:rPr>
        <w:t>31</w:t>
      </w:r>
      <w:r>
        <w:rPr>
          <w:rFonts w:ascii="宋体" w:hAnsi="宋体" w:cs="宋体" w:eastAsia="宋体" w:hint="default"/>
          <w:spacing w:val="-47"/>
        </w:rPr>
        <w:t> </w:t>
      </w:r>
      <w:r>
        <w:rPr>
          <w:spacing w:val="-5"/>
        </w:rPr>
        <w:t>日，道有道自认购后一直处于停牌状态，本公司根据北京经纬东元资</w:t>
      </w:r>
    </w:p>
    <w:p>
      <w:pPr>
        <w:pStyle w:val="BodyText"/>
        <w:spacing w:line="240" w:lineRule="auto" w:before="123"/>
        <w:ind w:left="458" w:right="0"/>
        <w:jc w:val="left"/>
      </w:pPr>
      <w:r>
        <w:rPr/>
        <w:t>产评估有限公司</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日出具的京经咨报字</w:t>
      </w:r>
      <w:r>
        <w:rPr>
          <w:rFonts w:ascii="宋体" w:hAnsi="宋体" w:cs="宋体" w:eastAsia="宋体" w:hint="default"/>
        </w:rPr>
        <w:t>[2018]</w:t>
      </w:r>
      <w:r>
        <w:rPr/>
        <w:t>第</w:t>
      </w:r>
      <w:r>
        <w:rPr>
          <w:spacing w:val="-54"/>
        </w:rPr>
        <w:t> </w:t>
      </w:r>
      <w:r>
        <w:rPr>
          <w:rFonts w:ascii="宋体" w:hAnsi="宋体" w:cs="宋体" w:eastAsia="宋体" w:hint="default"/>
        </w:rPr>
        <w:t>006</w:t>
      </w:r>
      <w:r>
        <w:rPr>
          <w:rFonts w:ascii="宋体" w:hAnsi="宋体" w:cs="宋体" w:eastAsia="宋体" w:hint="default"/>
          <w:spacing w:val="-54"/>
        </w:rPr>
        <w:t> </w:t>
      </w:r>
      <w:r>
        <w:rPr/>
        <w:t>号资产评估咨询报告，采用市</w:t>
      </w:r>
    </w:p>
    <w:p>
      <w:pPr>
        <w:pStyle w:val="BodyText"/>
        <w:spacing w:line="240" w:lineRule="auto" w:before="126"/>
        <w:ind w:left="458" w:right="0"/>
        <w:jc w:val="left"/>
      </w:pPr>
      <w:r>
        <w:rPr/>
        <w:t>场价格模型法对</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日本公司持有的道有道</w:t>
      </w:r>
      <w:r>
        <w:rPr>
          <w:spacing w:val="-54"/>
        </w:rPr>
        <w:t> </w:t>
      </w:r>
      <w:r>
        <w:rPr>
          <w:rFonts w:ascii="宋体" w:hAnsi="宋体" w:cs="宋体" w:eastAsia="宋体" w:hint="default"/>
        </w:rPr>
        <w:t>5,621,200</w:t>
      </w:r>
      <w:r>
        <w:rPr>
          <w:rFonts w:ascii="宋体" w:hAnsi="宋体" w:cs="宋体" w:eastAsia="宋体" w:hint="default"/>
          <w:spacing w:val="-56"/>
        </w:rPr>
        <w:t> </w:t>
      </w:r>
      <w:r>
        <w:rPr/>
        <w:t>股股票价值的评估结果</w:t>
      </w:r>
    </w:p>
    <w:p>
      <w:pPr>
        <w:pStyle w:val="BodyText"/>
        <w:spacing w:line="240" w:lineRule="auto" w:before="126"/>
        <w:ind w:left="458" w:right="0"/>
        <w:jc w:val="left"/>
      </w:pPr>
      <w:r>
        <w:rPr>
          <w:rFonts w:ascii="宋体" w:hAnsi="宋体" w:cs="宋体" w:eastAsia="宋体" w:hint="default"/>
        </w:rPr>
        <w:t>77,066,652.00</w:t>
      </w:r>
      <w:r>
        <w:rPr>
          <w:rFonts w:ascii="宋体" w:hAnsi="宋体" w:cs="宋体" w:eastAsia="宋体" w:hint="default"/>
          <w:spacing w:val="-52"/>
        </w:rPr>
        <w:t> </w:t>
      </w:r>
      <w:r>
        <w:rPr/>
        <w:t>元作为公允价值的依据。</w:t>
      </w:r>
    </w:p>
    <w:p>
      <w:pPr>
        <w:pStyle w:val="BodyText"/>
        <w:spacing w:line="240" w:lineRule="auto" w:before="123"/>
        <w:ind w:left="878" w:right="0"/>
        <w:jc w:val="left"/>
      </w:pPr>
      <w:r>
        <w:rPr/>
        <w:t>④</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日，本公司在北京产权交易所公开挂牌转让了中证金牛（北京）投资咨询</w:t>
      </w:r>
    </w:p>
    <w:p>
      <w:pPr>
        <w:pStyle w:val="BodyText"/>
        <w:spacing w:line="348" w:lineRule="auto" w:before="126"/>
        <w:ind w:left="458" w:right="0"/>
        <w:jc w:val="left"/>
      </w:pPr>
      <w:r>
        <w:rPr/>
        <w:t>有限公司（简称“中证金牛”）</w:t>
      </w:r>
      <w:r>
        <w:rPr>
          <w:rFonts w:ascii="宋体" w:hAnsi="宋体" w:cs="宋体" w:eastAsia="宋体" w:hint="default"/>
        </w:rPr>
        <w:t>25%</w:t>
      </w:r>
      <w:r>
        <w:rPr/>
        <w:t>的股权，交易价格为</w:t>
      </w:r>
      <w:r>
        <w:rPr>
          <w:spacing w:val="-55"/>
        </w:rPr>
        <w:t> </w:t>
      </w:r>
      <w:r>
        <w:rPr>
          <w:rFonts w:ascii="宋体" w:hAnsi="宋体" w:cs="宋体" w:eastAsia="宋体" w:hint="default"/>
        </w:rPr>
        <w:t>4,090.00</w:t>
      </w:r>
      <w:r>
        <w:rPr>
          <w:rFonts w:ascii="宋体" w:hAnsi="宋体" w:cs="宋体" w:eastAsia="宋体" w:hint="default"/>
          <w:spacing w:val="-57"/>
        </w:rPr>
        <w:t> </w:t>
      </w:r>
      <w:r>
        <w:rPr/>
        <w:t>万元。转让后，本公司持有中</w:t>
      </w:r>
      <w:r>
        <w:rPr>
          <w:w w:val="100"/>
        </w:rPr>
        <w:t> </w:t>
      </w:r>
      <w:r>
        <w:rPr/>
        <w:t>证金牛</w:t>
      </w:r>
      <w:r>
        <w:rPr>
          <w:spacing w:val="-10"/>
        </w:rPr>
        <w:t> </w:t>
      </w:r>
      <w:r>
        <w:rPr>
          <w:rFonts w:ascii="宋体" w:hAnsi="宋体" w:cs="宋体" w:eastAsia="宋体" w:hint="default"/>
        </w:rPr>
        <w:t>5%</w:t>
      </w:r>
      <w:r>
        <w:rPr/>
        <w:t>的股权，对中证金牛不具有控制、共同控制或重大影响，按照可供出售金融资产核算。</w:t>
      </w:r>
      <w:r>
        <w:rPr>
          <w:spacing w:val="-94"/>
        </w:rPr>
        <w:t> </w:t>
      </w:r>
      <w:r>
        <w:rPr>
          <w:spacing w:val="-94"/>
        </w:rPr>
      </w:r>
      <w:r>
        <w:rPr/>
        <w:t>本公司根据北京东方燕都资产评估有限责任公司</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t>日出具的东方燕都评字</w:t>
      </w:r>
      <w:r>
        <w:rPr>
          <w:rFonts w:ascii="宋体" w:hAnsi="宋体" w:cs="宋体" w:eastAsia="宋体" w:hint="default"/>
        </w:rPr>
        <w:t>[2018]</w:t>
      </w:r>
      <w:r>
        <w:rPr/>
        <w:t>第</w:t>
      </w:r>
    </w:p>
    <w:p>
      <w:pPr>
        <w:pStyle w:val="BodyText"/>
        <w:spacing w:line="240" w:lineRule="auto" w:before="31"/>
        <w:ind w:left="458" w:right="0"/>
        <w:jc w:val="left"/>
      </w:pPr>
      <w:r>
        <w:rPr>
          <w:rFonts w:ascii="宋体" w:hAnsi="宋体" w:cs="宋体" w:eastAsia="宋体" w:hint="default"/>
        </w:rPr>
        <w:t>0421</w:t>
      </w:r>
      <w:r>
        <w:rPr>
          <w:rFonts w:ascii="宋体" w:hAnsi="宋体" w:cs="宋体" w:eastAsia="宋体" w:hint="default"/>
          <w:spacing w:val="-56"/>
        </w:rPr>
        <w:t> </w:t>
      </w:r>
      <w:r>
        <w:rPr/>
        <w:t>号资产评估报告，采用目标公司比较法对中证金牛</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日股权可回收价值的评</w:t>
      </w:r>
    </w:p>
    <w:p>
      <w:pPr>
        <w:pStyle w:val="BodyText"/>
        <w:spacing w:line="240" w:lineRule="auto" w:before="126"/>
        <w:ind w:left="458" w:right="0"/>
        <w:jc w:val="left"/>
      </w:pPr>
      <w:r>
        <w:rPr/>
        <w:t>估结果</w:t>
      </w:r>
      <w:r>
        <w:rPr>
          <w:spacing w:val="-56"/>
        </w:rPr>
        <w:t> </w:t>
      </w:r>
      <w:r>
        <w:rPr>
          <w:rFonts w:ascii="宋体" w:hAnsi="宋体" w:cs="宋体" w:eastAsia="宋体" w:hint="default"/>
        </w:rPr>
        <w:t>5,797,321.66</w:t>
      </w:r>
      <w:r>
        <w:rPr>
          <w:rFonts w:ascii="宋体" w:hAnsi="宋体" w:cs="宋体" w:eastAsia="宋体" w:hint="default"/>
          <w:spacing w:val="-56"/>
        </w:rPr>
        <w:t> </w:t>
      </w:r>
      <w:r>
        <w:rPr/>
        <w:t>作为公允价值的依据。</w:t>
      </w:r>
    </w:p>
    <w:p>
      <w:pPr>
        <w:pStyle w:val="Heading3"/>
        <w:tabs>
          <w:tab w:pos="1101" w:val="left" w:leader="none"/>
        </w:tabs>
        <w:spacing w:line="240" w:lineRule="auto" w:before="75"/>
        <w:ind w:left="458"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8"/>
        <w:ind w:left="458" w:right="0"/>
        <w:jc w:val="left"/>
      </w:pPr>
      <w:r>
        <w:rPr/>
        <w:t>√适用</w:t>
      </w:r>
      <w:r>
        <w:rPr>
          <w:spacing w:val="-1"/>
        </w:rPr>
        <w:t> </w:t>
      </w:r>
      <w:r>
        <w:rPr/>
        <w:t>□不适用</w:t>
      </w:r>
    </w:p>
    <w:p>
      <w:pPr>
        <w:pStyle w:val="BodyText"/>
        <w:tabs>
          <w:tab w:pos="1111" w:val="left" w:leader="none"/>
        </w:tabs>
        <w:spacing w:line="272" w:lineRule="exact"/>
        <w:ind w:left="0" w:right="452"/>
        <w:jc w:val="right"/>
      </w:pPr>
      <w:r>
        <w:rPr>
          <w:spacing w:val="-13"/>
        </w:rPr>
        <w:t>单位：元</w:t>
        <w:tab/>
      </w:r>
      <w:r>
        <w:rPr>
          <w:spacing w:val="-11"/>
        </w:rPr>
        <w:t>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87"/>
        <w:gridCol w:w="1582"/>
        <w:gridCol w:w="1477"/>
        <w:gridCol w:w="1582"/>
        <w:gridCol w:w="1476"/>
        <w:gridCol w:w="425"/>
        <w:gridCol w:w="428"/>
        <w:gridCol w:w="425"/>
        <w:gridCol w:w="427"/>
        <w:gridCol w:w="636"/>
        <w:gridCol w:w="557"/>
      </w:tblGrid>
      <w:tr>
        <w:trPr>
          <w:trHeight w:val="350" w:hRule="exact"/>
        </w:trPr>
        <w:tc>
          <w:tcPr>
            <w:tcW w:w="487" w:type="dxa"/>
            <w:vMerge w:val="restart"/>
            <w:tcBorders>
              <w:top w:val="single" w:sz="4" w:space="0" w:color="000000"/>
              <w:left w:val="single" w:sz="4" w:space="0" w:color="000000"/>
              <w:right w:val="single" w:sz="4" w:space="0" w:color="000000"/>
            </w:tcBorders>
          </w:tcPr>
          <w:p>
            <w:pPr>
              <w:pStyle w:val="TableParagraph"/>
              <w:spacing w:line="237" w:lineRule="auto" w:before="105"/>
              <w:ind w:left="131" w:right="132"/>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位</w:t>
            </w:r>
          </w:p>
        </w:tc>
        <w:tc>
          <w:tcPr>
            <w:tcW w:w="61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636" w:type="dxa"/>
            <w:vMerge w:val="restart"/>
            <w:tcBorders>
              <w:top w:val="single" w:sz="4" w:space="0" w:color="000000"/>
              <w:left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557"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65" w:right="16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r>
      <w:tr>
        <w:trPr>
          <w:trHeight w:val="1294" w:hRule="exact"/>
        </w:trPr>
        <w:tc>
          <w:tcPr>
            <w:tcW w:w="487"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523" w:right="518"/>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575" w:right="573"/>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4"/>
              <w:ind w:left="103"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4"/>
              <w:ind w:left="100" w:right="101"/>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p>
        </w:tc>
        <w:tc>
          <w:tcPr>
            <w:tcW w:w="636"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r>
      <w:tr>
        <w:trPr>
          <w:trHeight w:val="1099"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both"/>
              <w:rPr>
                <w:rFonts w:ascii="宋体" w:hAnsi="宋体" w:cs="宋体" w:eastAsia="宋体" w:hint="default"/>
                <w:sz w:val="21"/>
                <w:szCs w:val="21"/>
              </w:rPr>
            </w:pPr>
            <w:r>
              <w:rPr>
                <w:rFonts w:ascii="宋体" w:hAnsi="宋体" w:cs="宋体" w:eastAsia="宋体" w:hint="default"/>
                <w:w w:val="100"/>
                <w:sz w:val="21"/>
                <w:szCs w:val="21"/>
              </w:rPr>
              <w:t>天</w:t>
            </w:r>
          </w:p>
          <w:p>
            <w:pPr>
              <w:pStyle w:val="TableParagraph"/>
              <w:spacing w:line="272" w:lineRule="exact" w:before="27"/>
              <w:ind w:left="131" w:right="132"/>
              <w:jc w:val="both"/>
              <w:rPr>
                <w:rFonts w:ascii="宋体" w:hAnsi="宋体" w:cs="宋体" w:eastAsia="宋体" w:hint="default"/>
                <w:sz w:val="21"/>
                <w:szCs w:val="21"/>
              </w:rPr>
            </w:pPr>
            <w:r>
              <w:rPr>
                <w:rFonts w:ascii="宋体" w:hAnsi="宋体" w:cs="宋体" w:eastAsia="宋体" w:hint="default"/>
                <w:sz w:val="21"/>
                <w:szCs w:val="21"/>
              </w:rPr>
              <w:t>翼</w:t>
            </w:r>
            <w:r>
              <w:rPr>
                <w:rFonts w:ascii="宋体" w:hAnsi="宋体" w:cs="宋体" w:eastAsia="宋体" w:hint="default"/>
                <w:w w:val="100"/>
                <w:sz w:val="21"/>
                <w:szCs w:val="21"/>
              </w:rPr>
              <w:t> </w:t>
            </w:r>
            <w:r>
              <w:rPr>
                <w:rFonts w:ascii="宋体" w:hAnsi="宋体" w:cs="宋体" w:eastAsia="宋体" w:hint="default"/>
                <w:sz w:val="21"/>
                <w:szCs w:val="21"/>
              </w:rPr>
              <w:t>阅</w:t>
            </w:r>
            <w:r>
              <w:rPr>
                <w:rFonts w:ascii="宋体" w:hAnsi="宋体" w:cs="宋体" w:eastAsia="宋体" w:hint="default"/>
                <w:w w:val="100"/>
                <w:sz w:val="21"/>
                <w:szCs w:val="21"/>
              </w:rPr>
              <w:t> </w:t>
            </w:r>
            <w:r>
              <w:rPr>
                <w:rFonts w:ascii="宋体" w:hAnsi="宋体" w:cs="宋体" w:eastAsia="宋体" w:hint="default"/>
                <w:sz w:val="21"/>
                <w:szCs w:val="21"/>
              </w:rPr>
              <w:t>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28,256,900.00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28,256,900.00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both"/>
              <w:rPr>
                <w:rFonts w:ascii="宋体" w:hAnsi="宋体" w:cs="宋体" w:eastAsia="宋体" w:hint="default"/>
                <w:sz w:val="21"/>
                <w:szCs w:val="21"/>
              </w:rPr>
            </w:pPr>
            <w:r>
              <w:rPr>
                <w:rFonts w:ascii="宋体" w:hAnsi="宋体" w:cs="宋体" w:eastAsia="宋体" w:hint="default"/>
                <w:w w:val="100"/>
                <w:sz w:val="21"/>
                <w:szCs w:val="21"/>
              </w:rPr>
              <w:t>文</w:t>
            </w:r>
          </w:p>
          <w:p>
            <w:pPr>
              <w:pStyle w:val="TableParagraph"/>
              <w:spacing w:line="237" w:lineRule="auto" w:before="2"/>
              <w:ind w:left="131" w:right="132"/>
              <w:jc w:val="both"/>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sz w:val="21"/>
              </w:rPr>
              <w:t>1,320,000.00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1,320,000.00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0.29</w:t>
            </w:r>
          </w:p>
        </w:tc>
        <w:tc>
          <w:tcPr>
            <w:tcW w:w="55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28,256,900.00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1,320,000.00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28,256,900.00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1,320,000.00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w w:val="100"/>
                <w:sz w:val="21"/>
              </w:rPr>
              <w:t>/</w:t>
            </w:r>
          </w:p>
        </w:tc>
        <w:tc>
          <w:tcPr>
            <w:tcW w:w="5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6"/>
          <w:szCs w:val="16"/>
        </w:rPr>
      </w:pPr>
    </w:p>
    <w:p>
      <w:pPr>
        <w:pStyle w:val="BodyText"/>
        <w:spacing w:line="350" w:lineRule="auto" w:before="36"/>
        <w:ind w:left="458" w:right="0" w:firstLine="419"/>
        <w:jc w:val="left"/>
      </w:pPr>
      <w:r>
        <w:rPr>
          <w:spacing w:val="-7"/>
          <w:w w:val="100"/>
        </w:rPr>
        <w:t>注：①号百控股通过发行股份的方式购买本公司持有的天翼阅读股权，详见本报告第十一节、</w:t>
      </w:r>
      <w:r>
        <w:rPr>
          <w:w w:val="100"/>
        </w:rPr>
        <w:t> </w:t>
      </w:r>
      <w:r>
        <w:rPr/>
        <w:t>六、</w:t>
      </w:r>
      <w:r>
        <w:rPr>
          <w:rFonts w:ascii="宋体" w:hAnsi="宋体" w:cs="宋体" w:eastAsia="宋体" w:hint="default"/>
        </w:rPr>
        <w:t>9</w:t>
      </w:r>
      <w:r>
        <w:rPr/>
        <w:t>、（</w:t>
      </w:r>
      <w:r>
        <w:rPr>
          <w:rFonts w:ascii="宋体" w:hAnsi="宋体" w:cs="宋体" w:eastAsia="宋体" w:hint="default"/>
        </w:rPr>
        <w:t>2</w:t>
      </w:r>
      <w:r>
        <w:rPr/>
        <w:t>）号百控股。</w:t>
      </w:r>
    </w:p>
    <w:p>
      <w:pPr>
        <w:pStyle w:val="BodyText"/>
        <w:spacing w:line="240" w:lineRule="auto" w:before="27"/>
        <w:ind w:left="878" w:right="0"/>
        <w:jc w:val="left"/>
      </w:pPr>
      <w:r>
        <w:rPr/>
        <w:t>②</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5</w:t>
      </w:r>
      <w:r>
        <w:rPr>
          <w:rFonts w:ascii="宋体" w:hAnsi="宋体" w:cs="宋体" w:eastAsia="宋体" w:hint="default"/>
          <w:spacing w:val="-54"/>
        </w:rPr>
        <w:t> </w:t>
      </w:r>
      <w:r>
        <w:rPr/>
        <w:t>日，本公司全资孙公司新华网亿连投资管理（天津）有限公司出资人民币</w:t>
      </w:r>
    </w:p>
    <w:p>
      <w:pPr>
        <w:pStyle w:val="BodyText"/>
        <w:spacing w:line="350" w:lineRule="auto" w:before="126"/>
        <w:ind w:left="458" w:right="0"/>
        <w:jc w:val="left"/>
      </w:pPr>
      <w:r>
        <w:rPr>
          <w:rFonts w:ascii="宋体" w:hAnsi="宋体" w:cs="宋体" w:eastAsia="宋体" w:hint="default"/>
        </w:rPr>
        <w:t>132.00 </w:t>
      </w:r>
      <w:r>
        <w:rPr>
          <w:spacing w:val="-8"/>
        </w:rPr>
        <w:t>万元参与设立新华网文投创新（天津）投资合伙企业（有限合伙），详见本报告第十一节、</w:t>
      </w:r>
      <w:r>
        <w:rPr>
          <w:spacing w:val="-98"/>
        </w:rPr>
        <w:t> </w:t>
      </w:r>
      <w:r>
        <w:rPr>
          <w:spacing w:val="-98"/>
        </w:rPr>
      </w:r>
      <w:r>
        <w:rPr/>
        <w:t>八、</w:t>
      </w:r>
      <w:r>
        <w:rPr>
          <w:rFonts w:ascii="宋体" w:hAnsi="宋体" w:cs="宋体" w:eastAsia="宋体" w:hint="default"/>
        </w:rPr>
        <w:t>4</w:t>
      </w:r>
      <w:r>
        <w:rPr/>
        <w:t>、在未纳入合并财务报表范围的结构化主体中的权益。</w:t>
      </w:r>
    </w:p>
    <w:p>
      <w:pPr>
        <w:spacing w:after="0" w:line="350" w:lineRule="auto"/>
        <w:jc w:val="left"/>
        <w:sectPr>
          <w:pgSz w:w="11910" w:h="16840"/>
          <w:pgMar w:header="882" w:footer="1195" w:top="1120" w:bottom="1380" w:left="1340" w:right="820"/>
        </w:sectPr>
      </w:pPr>
    </w:p>
    <w:p>
      <w:pPr>
        <w:spacing w:line="240" w:lineRule="auto" w:before="1"/>
        <w:rPr>
          <w:rFonts w:ascii="宋体" w:hAnsi="宋体" w:cs="宋体" w:eastAsia="宋体" w:hint="default"/>
          <w:sz w:val="25"/>
          <w:szCs w:val="25"/>
        </w:rPr>
      </w:pPr>
    </w:p>
    <w:p>
      <w:pPr>
        <w:pStyle w:val="Heading3"/>
        <w:tabs>
          <w:tab w:pos="781" w:val="left" w:leader="none"/>
        </w:tabs>
        <w:spacing w:line="240" w:lineRule="auto"/>
        <w:ind w:left="138" w:right="101"/>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8"/>
        <w:ind w:right="101"/>
        <w:jc w:val="left"/>
      </w:pPr>
      <w:r>
        <w:rPr/>
        <w:t>□适用</w:t>
      </w:r>
      <w:r>
        <w:rPr>
          <w:spacing w:val="-1"/>
        </w:rPr>
        <w:t> </w:t>
      </w:r>
      <w:r>
        <w:rPr/>
        <w:t>√不适用</w:t>
      </w:r>
    </w:p>
    <w:p>
      <w:pPr>
        <w:pStyle w:val="Heading3"/>
        <w:tabs>
          <w:tab w:pos="781" w:val="left" w:leader="none"/>
        </w:tabs>
        <w:spacing w:line="240" w:lineRule="auto" w:before="56"/>
        <w:ind w:left="138" w:right="101"/>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6"/>
        <w:ind w:right="7454"/>
        <w:jc w:val="left"/>
      </w:pPr>
      <w:r>
        <w:rPr/>
        <w:t>□适用</w:t>
      </w:r>
      <w:r>
        <w:rPr>
          <w:spacing w:val="-1"/>
        </w:rPr>
        <w:t> </w:t>
      </w:r>
      <w:r>
        <w:rPr/>
        <w:t>√不适用</w:t>
      </w:r>
      <w:r>
        <w:rPr>
          <w:w w:val="100"/>
        </w:rPr>
        <w:t> </w:t>
      </w:r>
      <w:r>
        <w:rPr/>
        <w:t>其他说明</w:t>
      </w:r>
    </w:p>
    <w:p>
      <w:pPr>
        <w:pStyle w:val="BodyText"/>
        <w:spacing w:line="249" w:lineRule="exact"/>
        <w:ind w:right="101"/>
        <w:jc w:val="left"/>
      </w:pPr>
      <w:r>
        <w:rPr/>
        <w:t>□适用</w:t>
      </w:r>
      <w:r>
        <w:rPr>
          <w:spacing w:val="-1"/>
        </w:rPr>
        <w:t> </w:t>
      </w:r>
      <w:r>
        <w:rPr/>
        <w:t>√不适用</w:t>
      </w:r>
    </w:p>
    <w:p>
      <w:pPr>
        <w:pStyle w:val="Heading3"/>
        <w:spacing w:line="290" w:lineRule="auto" w:before="56"/>
        <w:ind w:left="138" w:right="649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6" w:lineRule="exact"/>
        <w:ind w:right="101"/>
        <w:jc w:val="left"/>
      </w:pPr>
      <w:r>
        <w:rPr/>
        <w:t>□适用</w:t>
      </w:r>
      <w:r>
        <w:rPr>
          <w:spacing w:val="-1"/>
        </w:rPr>
        <w:t> </w:t>
      </w:r>
      <w:r>
        <w:rPr/>
        <w:t>√不适用</w:t>
      </w:r>
    </w:p>
    <w:p>
      <w:pPr>
        <w:pStyle w:val="Heading3"/>
        <w:spacing w:line="272" w:lineRule="exact" w:before="0"/>
        <w:ind w:left="138" w:right="101"/>
        <w:jc w:val="left"/>
        <w:rPr>
          <w:b w:val="0"/>
          <w:bCs w:val="0"/>
        </w:rPr>
      </w:pPr>
      <w:r>
        <w:rPr>
          <w:rFonts w:ascii="宋体" w:hAnsi="宋体" w:cs="宋体" w:eastAsia="宋体" w:hint="default"/>
        </w:rPr>
        <w:t>(2).</w:t>
      </w:r>
      <w:r>
        <w:rPr/>
        <w:t>期末重要的持有至到期投资：</w:t>
      </w:r>
      <w:r>
        <w:rPr>
          <w:b w:val="0"/>
          <w:bCs w:val="0"/>
        </w:rPr>
      </w:r>
    </w:p>
    <w:p>
      <w:pPr>
        <w:spacing w:before="0"/>
        <w:ind w:left="138" w:right="56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980" w:val="left" w:leader="none"/>
        </w:tabs>
        <w:spacing w:line="274" w:lineRule="exact" w:before="22"/>
        <w:ind w:right="7363"/>
        <w:jc w:val="left"/>
      </w:pPr>
      <w:r>
        <w:rPr>
          <w:spacing w:val="-1"/>
        </w:rPr>
        <w:t>□适用</w:t>
        <w:tab/>
      </w:r>
      <w:r>
        <w:rPr>
          <w:spacing w:val="-2"/>
        </w:rPr>
        <w:t>√不适用</w:t>
      </w:r>
      <w:r>
        <w:rPr>
          <w:spacing w:val="-99"/>
        </w:rPr>
        <w:t> </w:t>
      </w:r>
      <w:r>
        <w:rPr>
          <w:spacing w:val="-99"/>
        </w:rPr>
      </w:r>
      <w:r>
        <w:rPr/>
        <w:t>其他说明：</w:t>
      </w:r>
    </w:p>
    <w:p>
      <w:pPr>
        <w:pStyle w:val="BodyText"/>
        <w:spacing w:line="246" w:lineRule="exact"/>
        <w:ind w:right="101"/>
        <w:jc w:val="left"/>
      </w:pPr>
      <w:r>
        <w:rPr/>
        <w:t>□适用</w:t>
      </w:r>
      <w:r>
        <w:rPr>
          <w:spacing w:val="-1"/>
        </w:rPr>
        <w:t> </w:t>
      </w:r>
      <w:r>
        <w:rPr/>
        <w:t>√不适用</w:t>
      </w:r>
    </w:p>
    <w:p>
      <w:pPr>
        <w:pStyle w:val="Heading3"/>
        <w:spacing w:line="240" w:lineRule="auto" w:before="58"/>
        <w:ind w:left="138" w:right="101"/>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3"/>
        <w:spacing w:line="240" w:lineRule="auto" w:before="56"/>
        <w:ind w:left="138" w:right="101"/>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8"/>
        <w:ind w:right="101"/>
        <w:jc w:val="left"/>
      </w:pPr>
      <w:r>
        <w:rPr/>
        <w:t>□适用</w:t>
      </w:r>
      <w:r>
        <w:rPr>
          <w:spacing w:val="-1"/>
        </w:rPr>
        <w:t> </w:t>
      </w:r>
      <w:r>
        <w:rPr/>
        <w:t>√不适用</w:t>
      </w:r>
    </w:p>
    <w:p>
      <w:pPr>
        <w:pStyle w:val="Heading3"/>
        <w:spacing w:line="240" w:lineRule="auto" w:before="56"/>
        <w:ind w:left="138" w:right="101"/>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980" w:val="left" w:leader="none"/>
        </w:tabs>
        <w:spacing w:line="240" w:lineRule="auto" w:before="56"/>
        <w:ind w:right="101"/>
        <w:jc w:val="left"/>
      </w:pPr>
      <w:r>
        <w:rPr>
          <w:spacing w:val="-1"/>
        </w:rPr>
        <w:t>□适用</w:t>
        <w:tab/>
      </w:r>
      <w:r>
        <w:rPr>
          <w:spacing w:val="-2"/>
        </w:rPr>
        <w:t>√不适用</w:t>
      </w:r>
    </w:p>
    <w:p>
      <w:pPr>
        <w:pStyle w:val="Heading3"/>
        <w:spacing w:line="240" w:lineRule="auto" w:before="58"/>
        <w:ind w:left="138" w:right="101"/>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980" w:val="left" w:leader="none"/>
        </w:tabs>
        <w:spacing w:line="240" w:lineRule="auto" w:before="56"/>
        <w:ind w:right="7363"/>
        <w:jc w:val="left"/>
      </w:pPr>
      <w:r>
        <w:rPr>
          <w:spacing w:val="-1"/>
        </w:rPr>
        <w:t>□适用</w:t>
        <w:tab/>
      </w:r>
      <w:r>
        <w:rPr>
          <w:spacing w:val="-2"/>
        </w:rPr>
        <w:t>√不适用</w:t>
      </w:r>
      <w:r>
        <w:rPr>
          <w:spacing w:val="-99"/>
        </w:rPr>
        <w:t> </w:t>
      </w:r>
      <w:r>
        <w:rPr>
          <w:spacing w:val="-99"/>
        </w:rPr>
      </w:r>
      <w:r>
        <w:rPr/>
        <w:t>其他说明</w:t>
      </w:r>
    </w:p>
    <w:p>
      <w:pPr>
        <w:pStyle w:val="BodyText"/>
        <w:spacing w:line="271" w:lineRule="exact"/>
        <w:ind w:right="101"/>
        <w:jc w:val="left"/>
      </w:pPr>
      <w:r>
        <w:rPr/>
        <w:t>□适用</w:t>
      </w:r>
      <w:r>
        <w:rPr>
          <w:spacing w:val="-1"/>
        </w:rPr>
        <w:t> </w:t>
      </w:r>
      <w:r>
        <w:rPr/>
        <w:t>√不适用</w:t>
      </w:r>
    </w:p>
    <w:p>
      <w:pPr>
        <w:spacing w:after="0" w:line="271" w:lineRule="exact"/>
        <w:jc w:val="left"/>
        <w:sectPr>
          <w:pgSz w:w="11910" w:h="16840"/>
          <w:pgMar w:header="882" w:footer="1195" w:top="1120" w:bottom="1380" w:left="1660" w:right="1060"/>
        </w:sectPr>
      </w:pPr>
    </w:p>
    <w:p>
      <w:pPr>
        <w:spacing w:before="20"/>
        <w:ind w:left="6575" w:right="659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3"/>
          <w:footerReference w:type="default" r:id="rId74"/>
          <w:pgSz w:w="16840" w:h="11910" w:orient="landscape"/>
          <w:pgMar w:header="0" w:footer="0" w:top="800" w:bottom="280" w:left="1120" w:right="1200"/>
        </w:sectPr>
      </w:pPr>
    </w:p>
    <w:p>
      <w:pPr>
        <w:pStyle w:val="Heading3"/>
        <w:spacing w:line="240" w:lineRule="auto" w:before="169"/>
        <w:ind w:left="320"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6"/>
        <w:ind w:left="3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1476" w:val="left" w:leader="none"/>
        </w:tabs>
        <w:spacing w:line="240" w:lineRule="auto"/>
        <w:ind w:left="3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120" w:right="1200"/>
          <w:cols w:num="2" w:equalWidth="0">
            <w:col w:w="2092" w:space="9367"/>
            <w:col w:w="3061"/>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773"/>
        <w:gridCol w:w="1591"/>
        <w:gridCol w:w="1697"/>
        <w:gridCol w:w="1488"/>
        <w:gridCol w:w="1865"/>
        <w:gridCol w:w="722"/>
        <w:gridCol w:w="636"/>
        <w:gridCol w:w="850"/>
        <w:gridCol w:w="634"/>
        <w:gridCol w:w="1594"/>
        <w:gridCol w:w="1700"/>
        <w:gridCol w:w="718"/>
      </w:tblGrid>
      <w:tr>
        <w:trPr>
          <w:trHeight w:val="408" w:hRule="exact"/>
        </w:trPr>
        <w:tc>
          <w:tcPr>
            <w:tcW w:w="7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70" w:right="168"/>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48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33" w:right="63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41" w:right="143"/>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773"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减少投资</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06" w:right="187" w:hanging="315"/>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46" w:right="14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206" w:right="206"/>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206" w:right="206"/>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00"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r>
      <w:tr>
        <w:trPr>
          <w:trHeight w:val="406" w:hRule="exact"/>
        </w:trPr>
        <w:tc>
          <w:tcPr>
            <w:tcW w:w="1426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55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智云</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130,000,000.00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-10,170,713.94</w:t>
            </w:r>
          </w:p>
        </w:tc>
        <w:tc>
          <w:tcPr>
            <w:tcW w:w="7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sz w:val="21"/>
              </w:rPr>
              <w:t>37,118,039.94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156,947,326.00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b/>
                <w:w w:val="95"/>
                <w:sz w:val="21"/>
              </w:rPr>
              <w:t>130,000,000.00</w:t>
            </w:r>
            <w:r>
              <w:rPr>
                <w:rFonts w:ascii="宋体"/>
                <w:sz w:val="21"/>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b/>
                <w:w w:val="95"/>
                <w:sz w:val="21"/>
              </w:rPr>
              <w:t>-10,170,713.94</w:t>
            </w:r>
            <w:r>
              <w:rPr>
                <w:rFonts w:ascii="宋体"/>
                <w:sz w:val="21"/>
              </w:rPr>
            </w:r>
          </w:p>
        </w:tc>
        <w:tc>
          <w:tcPr>
            <w:tcW w:w="7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b/>
                <w:sz w:val="21"/>
              </w:rPr>
              <w:t>37,118,039.94</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b/>
                <w:w w:val="95"/>
                <w:sz w:val="21"/>
              </w:rPr>
              <w:t>156,947,326.00</w:t>
            </w:r>
            <w:r>
              <w:rPr>
                <w:rFonts w:ascii="宋体"/>
                <w:sz w:val="21"/>
              </w:rPr>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426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5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金牛</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9,457,792.48</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sz w:val="21"/>
              </w:rPr>
              <w:t>6,908,674.48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-2,555,118.00</w:t>
            </w:r>
          </w:p>
        </w:tc>
        <w:tc>
          <w:tcPr>
            <w:tcW w:w="7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康美</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49,391,677.82</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-491,474.95</w:t>
            </w:r>
          </w:p>
        </w:tc>
        <w:tc>
          <w:tcPr>
            <w:tcW w:w="7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48,900,202.87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华章</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5,705,113.40</w:t>
            </w:r>
          </w:p>
        </w:tc>
        <w:tc>
          <w:tcPr>
            <w:tcW w:w="169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223,706.86</w:t>
            </w:r>
          </w:p>
        </w:tc>
        <w:tc>
          <w:tcPr>
            <w:tcW w:w="7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5,928,820.26</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4,000,000.00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-924,018.76</w:t>
            </w:r>
          </w:p>
        </w:tc>
        <w:tc>
          <w:tcPr>
            <w:tcW w:w="7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3,075,981.24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瑞德</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5,728,232.65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263,302.84</w:t>
            </w:r>
          </w:p>
        </w:tc>
        <w:tc>
          <w:tcPr>
            <w:tcW w:w="7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5,991,535.49</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b/>
                <w:w w:val="95"/>
                <w:sz w:val="21"/>
              </w:rPr>
              <w:t>64,554,583.70</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b/>
                <w:w w:val="95"/>
                <w:sz w:val="21"/>
              </w:rPr>
              <w:t>9,728,232.65</w:t>
            </w:r>
            <w:r>
              <w:rPr>
                <w:rFonts w:ascii="宋体"/>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b/>
                <w:sz w:val="21"/>
              </w:rPr>
              <w:t>6,908,674.48</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b/>
                <w:w w:val="95"/>
                <w:sz w:val="21"/>
              </w:rPr>
              <w:t>-3,483,602.01</w:t>
            </w:r>
            <w:r>
              <w:rPr>
                <w:rFonts w:ascii="宋体"/>
                <w:sz w:val="21"/>
              </w:rPr>
            </w:r>
          </w:p>
        </w:tc>
        <w:tc>
          <w:tcPr>
            <w:tcW w:w="7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b/>
                <w:w w:val="95"/>
                <w:sz w:val="21"/>
              </w:rPr>
              <w:t>63,896,539.86</w:t>
            </w:r>
            <w:r>
              <w:rPr>
                <w:rFonts w:ascii="宋体"/>
                <w:sz w:val="21"/>
              </w:rPr>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b/>
                <w:w w:val="95"/>
                <w:sz w:val="21"/>
              </w:rPr>
              <w:t>64,554,583.70</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b/>
                <w:w w:val="95"/>
                <w:sz w:val="21"/>
              </w:rPr>
              <w:t>139,728,232.65</w:t>
            </w:r>
            <w:r>
              <w:rPr>
                <w:rFonts w:ascii="宋体"/>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b/>
                <w:sz w:val="21"/>
              </w:rPr>
              <w:t>6,908,674.48</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b/>
                <w:w w:val="95"/>
                <w:sz w:val="21"/>
              </w:rPr>
              <w:t>-13,654,315.95</w:t>
            </w:r>
            <w:r>
              <w:rPr>
                <w:rFonts w:ascii="宋体"/>
                <w:sz w:val="21"/>
              </w:rPr>
            </w:r>
          </w:p>
        </w:tc>
        <w:tc>
          <w:tcPr>
            <w:tcW w:w="72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b/>
                <w:sz w:val="21"/>
              </w:rPr>
              <w:t>37,118,039.94</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b/>
                <w:w w:val="95"/>
                <w:sz w:val="21"/>
              </w:rPr>
              <w:t>220,843,865.86</w:t>
            </w:r>
            <w:r>
              <w:rPr>
                <w:rFonts w:ascii="宋体"/>
                <w:sz w:val="21"/>
              </w:rPr>
            </w: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spacing w:before="63"/>
        <w:ind w:left="6575" w:right="6579" w:firstLine="0"/>
        <w:jc w:val="center"/>
        <w:rPr>
          <w:rFonts w:ascii="Calibri" w:hAnsi="Calibri" w:cs="Calibri" w:eastAsia="Calibri" w:hint="default"/>
          <w:sz w:val="18"/>
          <w:szCs w:val="18"/>
        </w:rPr>
      </w:pPr>
      <w:r>
        <w:rPr>
          <w:rFonts w:ascii="Calibri"/>
          <w:b/>
          <w:sz w:val="18"/>
        </w:rPr>
        <w:t>129 </w:t>
      </w:r>
      <w:r>
        <w:rPr>
          <w:rFonts w:ascii="Calibri"/>
          <w:sz w:val="18"/>
        </w:rPr>
        <w:t>/</w:t>
      </w:r>
      <w:r>
        <w:rPr>
          <w:rFonts w:ascii="Calibri"/>
          <w:spacing w:val="-5"/>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20" w:right="1200"/>
        </w:sectPr>
      </w:pPr>
    </w:p>
    <w:p>
      <w:pPr>
        <w:spacing w:line="240" w:lineRule="auto" w:before="11"/>
        <w:rPr>
          <w:rFonts w:ascii="Calibri" w:hAnsi="Calibri" w:cs="Calibri" w:eastAsia="Calibri" w:hint="default"/>
          <w:b/>
          <w:bCs/>
          <w:sz w:val="26"/>
          <w:szCs w:val="26"/>
        </w:rPr>
      </w:pPr>
    </w:p>
    <w:p>
      <w:pPr>
        <w:pStyle w:val="BodyText"/>
        <w:spacing w:line="240" w:lineRule="auto" w:before="36"/>
        <w:ind w:right="993"/>
        <w:jc w:val="left"/>
      </w:pPr>
      <w:r>
        <w:rPr/>
        <w:t>其他说明</w:t>
      </w:r>
      <w:r>
        <w:rPr>
          <w:w w:val="100"/>
        </w:rPr>
        <w:t> </w:t>
      </w:r>
      <w:r>
        <w:rPr>
          <w:spacing w:val="-2"/>
        </w:rPr>
        <w:t>注：上述投资详见本报告第十一节、九、</w:t>
      </w:r>
      <w:r>
        <w:rPr>
          <w:rFonts w:ascii="宋体" w:hAnsi="宋体" w:cs="宋体" w:eastAsia="宋体" w:hint="default"/>
          <w:spacing w:val="-2"/>
        </w:rPr>
        <w:t>3</w:t>
      </w:r>
      <w:r>
        <w:rPr>
          <w:spacing w:val="-2"/>
        </w:rPr>
        <w:t>、在合营安排或联营企业中的权益。</w:t>
      </w:r>
    </w:p>
    <w:p>
      <w:pPr>
        <w:pStyle w:val="Heading3"/>
        <w:spacing w:line="240" w:lineRule="auto" w:before="56"/>
        <w:ind w:left="138" w:right="0"/>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72" w:lineRule="exact" w:before="86"/>
        <w:ind w:right="6668"/>
        <w:jc w:val="left"/>
      </w:pPr>
      <w:r>
        <w:rPr>
          <w:spacing w:val="-2"/>
        </w:rPr>
        <w:t>投资性房地产计量模式</w:t>
      </w:r>
      <w:r>
        <w:rPr>
          <w:spacing w:val="-86"/>
        </w:rPr>
        <w:t> </w:t>
      </w:r>
      <w:r>
        <w:rPr>
          <w:spacing w:val="-86"/>
        </w:rPr>
      </w:r>
      <w:r>
        <w:rPr/>
        <w:t>不适用</w:t>
      </w:r>
    </w:p>
    <w:p>
      <w:pPr>
        <w:pStyle w:val="Heading3"/>
        <w:spacing w:line="240" w:lineRule="auto" w:before="34"/>
        <w:ind w:left="138" w:right="0"/>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3"/>
        <w:spacing w:line="240" w:lineRule="auto" w:before="56"/>
        <w:ind w:left="138" w:right="0"/>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8"/>
        <w:ind w:right="0"/>
        <w:jc w:val="left"/>
      </w:pPr>
      <w:r>
        <w:rPr/>
        <w:t>√适用</w:t>
      </w:r>
      <w:r>
        <w:rPr>
          <w:spacing w:val="-1"/>
        </w:rPr>
        <w:t> </w:t>
      </w:r>
      <w:r>
        <w:rPr/>
        <w:t>□不适用</w:t>
      </w:r>
    </w:p>
    <w:p>
      <w:pPr>
        <w:pStyle w:val="BodyText"/>
        <w:tabs>
          <w:tab w:pos="1157" w:val="left" w:leader="none"/>
        </w:tabs>
        <w:spacing w:line="271" w:lineRule="exact"/>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53"/>
        <w:gridCol w:w="1923"/>
        <w:gridCol w:w="1922"/>
        <w:gridCol w:w="2098"/>
      </w:tblGrid>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电子及办公设备</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7,517,031.66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113,744,196.92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121,261,228.58</w:t>
            </w: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16,280,264.87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102,751,327.88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119,031,592.75</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15,345,464.87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17,158,061.91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32,503,526.78</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5"/>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）在建工程转入</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85,321,510.78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85,321,510.78</w:t>
            </w: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5"/>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3</w:t>
            </w:r>
            <w:r>
              <w:rPr>
                <w:rFonts w:ascii="宋体" w:hAnsi="宋体" w:cs="宋体" w:eastAsia="宋体" w:hint="default"/>
                <w:spacing w:val="-1"/>
                <w:sz w:val="21"/>
                <w:szCs w:val="21"/>
              </w:rPr>
              <w:t>）企业合并增加</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934,800.00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271,755.19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1,206,555.19</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934,800.00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271,755.19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1,206,555.19</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934,800.00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271,755.19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1,206,555.19</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22,862,496.53</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216,223,769.61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239,086,266.14</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2,009,776.49</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31,166,989.05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33,176,765.54</w:t>
            </w: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2,056,804.48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19,609,566.60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21,666,371.08</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2,056,804.48</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19,609,566.60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21,666,371.08</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140,220.00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111,468.57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251,688.57</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140,220.00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111,468.57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251,688.57</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3,926,360.97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50,665,087.08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54,591,448.05</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23"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18,936,135.56</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165,558,682.53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184,494,818.09</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5,507,255.17</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82,577,207.87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88,084,463.04</w:t>
            </w:r>
          </w:p>
        </w:tc>
      </w:tr>
    </w:tbl>
    <w:p>
      <w:pPr>
        <w:pStyle w:val="BodyText"/>
        <w:spacing w:line="267" w:lineRule="exact"/>
        <w:ind w:right="0"/>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日，本公司固定资产无减值迹象，无需计提减值准备。</w:t>
      </w:r>
    </w:p>
    <w:p>
      <w:pPr>
        <w:pStyle w:val="Heading3"/>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63"/>
        <w:ind w:left="3060" w:right="3077" w:firstLine="0"/>
        <w:jc w:val="center"/>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headerReference w:type="default" r:id="rId75"/>
          <w:footerReference w:type="default" r:id="rId76"/>
          <w:pgSz w:w="11910" w:h="16840"/>
          <w:pgMar w:header="882" w:footer="0" w:top="1120" w:bottom="280" w:left="1660" w:right="112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headerReference w:type="default" r:id="rId77"/>
          <w:footerReference w:type="default" r:id="rId78"/>
          <w:pgSz w:w="16840" w:h="11910" w:orient="landscape"/>
          <w:pgMar w:header="882" w:footer="1195" w:top="1120" w:bottom="1380" w:left="1300" w:right="1380"/>
          <w:pgNumType w:start="131"/>
        </w:sectPr>
      </w:pPr>
    </w:p>
    <w:p>
      <w:pPr>
        <w:pStyle w:val="Heading3"/>
        <w:spacing w:line="240" w:lineRule="auto"/>
        <w:ind w:left="140" w:right="-18"/>
        <w:jc w:val="left"/>
        <w:rPr>
          <w:b w:val="0"/>
          <w:bCs w:val="0"/>
        </w:rPr>
      </w:pPr>
      <w:r>
        <w:rPr>
          <w:rFonts w:ascii="宋体" w:hAnsi="宋体" w:cs="宋体" w:eastAsia="宋体" w:hint="default"/>
        </w:rPr>
        <w:t>(3).</w:t>
      </w:r>
      <w:r>
        <w:rPr>
          <w:rFonts w:ascii="宋体" w:hAnsi="宋体" w:cs="宋体" w:eastAsia="宋体" w:hint="default"/>
          <w:spacing w:val="58"/>
        </w:rPr>
        <w:t> </w:t>
      </w:r>
      <w:r>
        <w:rPr/>
        <w:t>通过融资租赁租入的固定资产情况</w:t>
      </w:r>
      <w:r>
        <w:rPr>
          <w:b w:val="0"/>
          <w:bCs w:val="0"/>
        </w:rPr>
      </w:r>
    </w:p>
    <w:p>
      <w:pPr>
        <w:pStyle w:val="BodyText"/>
        <w:spacing w:line="240" w:lineRule="auto" w:before="56"/>
        <w:ind w:left="140" w:right="-18"/>
        <w:jc w:val="left"/>
      </w:pPr>
      <w:r>
        <w:rPr/>
        <w:t>□适用 √不适用</w:t>
      </w:r>
    </w:p>
    <w:p>
      <w:pPr>
        <w:pStyle w:val="Heading3"/>
        <w:spacing w:line="240" w:lineRule="auto" w:before="58"/>
        <w:ind w:left="140" w:right="-18"/>
        <w:jc w:val="left"/>
        <w:rPr>
          <w:b w:val="0"/>
          <w:bCs w:val="0"/>
        </w:rPr>
      </w:pPr>
      <w:r>
        <w:rPr>
          <w:rFonts w:ascii="宋体" w:hAnsi="宋体" w:cs="宋体" w:eastAsia="宋体" w:hint="default"/>
        </w:rPr>
        <w:t>(4).</w:t>
      </w:r>
      <w:r>
        <w:rPr>
          <w:rFonts w:ascii="宋体" w:hAnsi="宋体" w:cs="宋体" w:eastAsia="宋体" w:hint="default"/>
          <w:spacing w:val="57"/>
        </w:rPr>
        <w:t> </w:t>
      </w:r>
      <w:r>
        <w:rPr/>
        <w:t>通过经营租赁租出的固定资产</w:t>
      </w:r>
      <w:r>
        <w:rPr>
          <w:b w:val="0"/>
          <w:bCs w:val="0"/>
        </w:rPr>
      </w:r>
    </w:p>
    <w:p>
      <w:pPr>
        <w:pStyle w:val="BodyText"/>
        <w:spacing w:line="240" w:lineRule="auto" w:before="56"/>
        <w:ind w:left="140" w:right="-18"/>
        <w:jc w:val="left"/>
      </w:pPr>
      <w:r>
        <w:rPr/>
        <w:t>□适用 √不适用</w:t>
      </w:r>
    </w:p>
    <w:p>
      <w:pPr>
        <w:pStyle w:val="Heading3"/>
        <w:spacing w:line="240" w:lineRule="auto" w:before="58"/>
        <w:ind w:left="140" w:right="-18"/>
        <w:jc w:val="left"/>
        <w:rPr>
          <w:b w:val="0"/>
          <w:bCs w:val="0"/>
        </w:rPr>
      </w:pPr>
      <w:r>
        <w:rPr>
          <w:rFonts w:ascii="宋体" w:hAnsi="宋体" w:cs="宋体" w:eastAsia="宋体" w:hint="default"/>
        </w:rPr>
        <w:t>(5).</w:t>
      </w:r>
      <w:r>
        <w:rPr>
          <w:rFonts w:ascii="宋体" w:hAnsi="宋体" w:cs="宋体" w:eastAsia="宋体" w:hint="default"/>
          <w:spacing w:val="58"/>
        </w:rPr>
        <w:t> </w:t>
      </w:r>
      <w:r>
        <w:rPr/>
        <w:t>未办妥产权证书的固定资产情况</w:t>
      </w:r>
      <w:r>
        <w:rPr>
          <w:b w:val="0"/>
          <w:bCs w:val="0"/>
        </w:rPr>
      </w:r>
    </w:p>
    <w:p>
      <w:pPr>
        <w:pStyle w:val="BodyText"/>
        <w:spacing w:line="240" w:lineRule="auto" w:before="56"/>
        <w:ind w:left="140" w:right="2156"/>
        <w:jc w:val="left"/>
      </w:pPr>
      <w:r>
        <w:rPr/>
        <w:t>□适用 √不适用</w:t>
      </w:r>
      <w:r>
        <w:rPr>
          <w:w w:val="100"/>
        </w:rPr>
        <w:t> </w:t>
      </w:r>
      <w:r>
        <w:rPr/>
        <w:t>其他说明：</w:t>
      </w:r>
    </w:p>
    <w:p>
      <w:pPr>
        <w:spacing w:line="290" w:lineRule="auto" w:before="0"/>
        <w:ind w:left="140" w:right="2156"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Heading3"/>
        <w:spacing w:line="240" w:lineRule="auto" w:before="12"/>
        <w:ind w:left="140" w:right="-18"/>
        <w:jc w:val="left"/>
        <w:rPr>
          <w:b w:val="0"/>
          <w:bCs w:val="0"/>
        </w:rPr>
      </w:pPr>
      <w:r>
        <w:rPr>
          <w:rFonts w:ascii="宋体" w:hAnsi="宋体" w:cs="宋体" w:eastAsia="宋体" w:hint="default"/>
        </w:rPr>
        <w:t>(1).</w:t>
      </w:r>
      <w:r>
        <w:rPr>
          <w:rFonts w:ascii="宋体" w:hAnsi="宋体" w:cs="宋体" w:eastAsia="宋体" w:hint="default"/>
          <w:spacing w:val="61"/>
        </w:rPr>
        <w:t> </w:t>
      </w:r>
      <w:r>
        <w:rPr/>
        <w:t>在建工程情况</w:t>
      </w:r>
      <w:r>
        <w:rPr>
          <w:b w:val="0"/>
          <w:bCs w:val="0"/>
        </w:rPr>
      </w:r>
    </w:p>
    <w:p>
      <w:pPr>
        <w:pStyle w:val="BodyText"/>
        <w:spacing w:line="240" w:lineRule="auto" w:before="58"/>
        <w:ind w:left="14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tabs>
          <w:tab w:pos="1296"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3892" w:space="7567"/>
            <w:col w:w="270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763"/>
        <w:gridCol w:w="1644"/>
        <w:gridCol w:w="905"/>
        <w:gridCol w:w="1615"/>
        <w:gridCol w:w="1551"/>
        <w:gridCol w:w="907"/>
        <w:gridCol w:w="1551"/>
      </w:tblGrid>
      <w:tr>
        <w:trPr>
          <w:trHeight w:val="408" w:hRule="exact"/>
        </w:trPr>
        <w:tc>
          <w:tcPr>
            <w:tcW w:w="57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8" w:hRule="exact"/>
        </w:trPr>
        <w:tc>
          <w:tcPr>
            <w:tcW w:w="5763" w:type="dxa"/>
            <w:vMerge/>
            <w:tcBorders>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6"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多语种网站建设和海外访问提速等项目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265,327,462.28</w:t>
            </w:r>
          </w:p>
        </w:tc>
        <w:tc>
          <w:tcPr>
            <w:tcW w:w="90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宋体" w:hAnsi="宋体" w:cs="宋体" w:eastAsia="宋体" w:hint="default"/>
                <w:sz w:val="21"/>
                <w:szCs w:val="21"/>
              </w:rPr>
            </w:pPr>
            <w:r>
              <w:rPr>
                <w:rFonts w:ascii="宋体"/>
                <w:sz w:val="21"/>
              </w:rPr>
              <w:t>265,327,462.28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316,152,362.45</w:t>
            </w:r>
          </w:p>
        </w:tc>
        <w:tc>
          <w:tcPr>
            <w:tcW w:w="907"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316,152,362.45</w:t>
            </w:r>
          </w:p>
        </w:tc>
      </w:tr>
      <w:tr>
        <w:trPr>
          <w:trHeight w:val="408"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宋体" w:hAnsi="宋体" w:cs="宋体" w:eastAsia="宋体" w:hint="default"/>
                <w:sz w:val="21"/>
                <w:szCs w:val="21"/>
              </w:rPr>
              <w:t>4G</w:t>
            </w:r>
            <w:r>
              <w:rPr>
                <w:rFonts w:ascii="宋体" w:hAnsi="宋体" w:cs="宋体" w:eastAsia="宋体" w:hint="default"/>
                <w:spacing w:val="-55"/>
                <w:sz w:val="21"/>
                <w:szCs w:val="21"/>
              </w:rPr>
              <w:t> </w:t>
            </w:r>
            <w:r>
              <w:rPr>
                <w:rFonts w:ascii="宋体" w:hAnsi="宋体" w:cs="宋体" w:eastAsia="宋体" w:hint="default"/>
                <w:sz w:val="21"/>
                <w:szCs w:val="21"/>
              </w:rPr>
              <w:t>移动互联网大数据分析及移动云服务交互系统项目</w:t>
            </w:r>
          </w:p>
        </w:tc>
        <w:tc>
          <w:tcPr>
            <w:tcW w:w="164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16,331,142.95</w:t>
            </w:r>
          </w:p>
        </w:tc>
        <w:tc>
          <w:tcPr>
            <w:tcW w:w="907"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16,331,142.95</w:t>
            </w:r>
          </w:p>
        </w:tc>
      </w:tr>
      <w:tr>
        <w:trPr>
          <w:trHeight w:val="406"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移动化社交化分享传播系统</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4" w:right="0"/>
              <w:jc w:val="left"/>
              <w:rPr>
                <w:rFonts w:ascii="宋体" w:hAnsi="宋体" w:cs="宋体" w:eastAsia="宋体" w:hint="default"/>
                <w:sz w:val="21"/>
                <w:szCs w:val="21"/>
              </w:rPr>
            </w:pPr>
            <w:r>
              <w:rPr>
                <w:rFonts w:ascii="宋体"/>
                <w:sz w:val="21"/>
              </w:rPr>
              <w:t>19,676,055.34</w:t>
            </w:r>
          </w:p>
        </w:tc>
        <w:tc>
          <w:tcPr>
            <w:tcW w:w="90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left"/>
              <w:rPr>
                <w:rFonts w:ascii="宋体" w:hAnsi="宋体" w:cs="宋体" w:eastAsia="宋体" w:hint="default"/>
                <w:sz w:val="21"/>
                <w:szCs w:val="21"/>
              </w:rPr>
            </w:pPr>
            <w:r>
              <w:rPr>
                <w:rFonts w:ascii="宋体"/>
                <w:sz w:val="21"/>
              </w:rPr>
              <w:t>19,676,055.34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15,608,224.84</w:t>
            </w:r>
          </w:p>
        </w:tc>
        <w:tc>
          <w:tcPr>
            <w:tcW w:w="907"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15,608,224.84</w:t>
            </w:r>
          </w:p>
        </w:tc>
      </w:tr>
      <w:tr>
        <w:trPr>
          <w:trHeight w:val="408"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交互式高清视频数字系统及移动化社交化分享传播平台项目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0" w:right="0"/>
              <w:jc w:val="left"/>
              <w:rPr>
                <w:rFonts w:ascii="宋体" w:hAnsi="宋体" w:cs="宋体" w:eastAsia="宋体" w:hint="default"/>
                <w:sz w:val="21"/>
                <w:szCs w:val="21"/>
              </w:rPr>
            </w:pPr>
            <w:r>
              <w:rPr>
                <w:rFonts w:ascii="宋体"/>
                <w:sz w:val="21"/>
              </w:rPr>
              <w:t>3,235,440.51</w:t>
            </w:r>
          </w:p>
        </w:tc>
        <w:tc>
          <w:tcPr>
            <w:tcW w:w="90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4" w:right="0"/>
              <w:jc w:val="left"/>
              <w:rPr>
                <w:rFonts w:ascii="宋体" w:hAnsi="宋体" w:cs="宋体" w:eastAsia="宋体" w:hint="default"/>
                <w:sz w:val="21"/>
                <w:szCs w:val="21"/>
              </w:rPr>
            </w:pPr>
            <w:r>
              <w:rPr>
                <w:rFonts w:ascii="宋体"/>
                <w:sz w:val="21"/>
              </w:rPr>
              <w:t>3,235,440.51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3,235,440.51</w:t>
            </w:r>
          </w:p>
        </w:tc>
        <w:tc>
          <w:tcPr>
            <w:tcW w:w="907"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3,235,440.51</w:t>
            </w:r>
          </w:p>
        </w:tc>
      </w:tr>
      <w:tr>
        <w:trPr>
          <w:trHeight w:val="408"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基于前沿可视化传播形态的</w:t>
            </w:r>
            <w:r>
              <w:rPr>
                <w:rFonts w:ascii="宋体" w:hAnsi="宋体" w:cs="宋体" w:eastAsia="宋体" w:hint="default"/>
                <w:spacing w:val="-52"/>
                <w:sz w:val="21"/>
                <w:szCs w:val="21"/>
              </w:rPr>
              <w:t> </w:t>
            </w:r>
            <w:r>
              <w:rPr>
                <w:rFonts w:ascii="宋体" w:hAnsi="宋体" w:cs="宋体" w:eastAsia="宋体" w:hint="default"/>
                <w:sz w:val="21"/>
                <w:szCs w:val="21"/>
              </w:rPr>
              <w:t>DAM</w:t>
            </w:r>
            <w:r>
              <w:rPr>
                <w:rFonts w:ascii="宋体" w:hAnsi="宋体" w:cs="宋体" w:eastAsia="宋体" w:hint="default"/>
                <w:spacing w:val="-55"/>
                <w:sz w:val="21"/>
                <w:szCs w:val="21"/>
              </w:rPr>
              <w:t> </w:t>
            </w:r>
            <w:r>
              <w:rPr>
                <w:rFonts w:ascii="宋体" w:hAnsi="宋体" w:cs="宋体" w:eastAsia="宋体" w:hint="default"/>
                <w:sz w:val="21"/>
                <w:szCs w:val="21"/>
              </w:rPr>
              <w:t>互联网媒体交互生态系统建设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8" w:right="0"/>
              <w:jc w:val="left"/>
              <w:rPr>
                <w:rFonts w:ascii="宋体" w:hAnsi="宋体" w:cs="宋体" w:eastAsia="宋体" w:hint="default"/>
                <w:sz w:val="21"/>
                <w:szCs w:val="21"/>
              </w:rPr>
            </w:pPr>
            <w:r>
              <w:rPr>
                <w:rFonts w:ascii="宋体"/>
                <w:sz w:val="21"/>
              </w:rPr>
              <w:t>338,461.52</w:t>
            </w:r>
          </w:p>
        </w:tc>
        <w:tc>
          <w:tcPr>
            <w:tcW w:w="90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3" w:right="0"/>
              <w:jc w:val="left"/>
              <w:rPr>
                <w:rFonts w:ascii="宋体" w:hAnsi="宋体" w:cs="宋体" w:eastAsia="宋体" w:hint="default"/>
                <w:sz w:val="21"/>
                <w:szCs w:val="21"/>
              </w:rPr>
            </w:pPr>
            <w:r>
              <w:rPr>
                <w:rFonts w:ascii="宋体"/>
                <w:sz w:val="21"/>
              </w:rPr>
              <w:t>338,461.52</w:t>
            </w:r>
          </w:p>
        </w:tc>
        <w:tc>
          <w:tcPr>
            <w:tcW w:w="1551"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4" w:right="0"/>
              <w:jc w:val="left"/>
              <w:rPr>
                <w:rFonts w:ascii="宋体" w:hAnsi="宋体" w:cs="宋体" w:eastAsia="宋体" w:hint="default"/>
                <w:sz w:val="21"/>
                <w:szCs w:val="21"/>
              </w:rPr>
            </w:pPr>
            <w:r>
              <w:rPr>
                <w:rFonts w:ascii="宋体"/>
                <w:sz w:val="21"/>
              </w:rPr>
              <w:t>36,235.90</w:t>
            </w:r>
          </w:p>
        </w:tc>
        <w:tc>
          <w:tcPr>
            <w:tcW w:w="90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36,235.90</w:t>
            </w:r>
          </w:p>
        </w:tc>
        <w:tc>
          <w:tcPr>
            <w:tcW w:w="1551"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4" w:right="0"/>
              <w:jc w:val="left"/>
              <w:rPr>
                <w:rFonts w:ascii="宋体" w:hAnsi="宋体" w:cs="宋体" w:eastAsia="宋体" w:hint="default"/>
                <w:sz w:val="21"/>
                <w:szCs w:val="21"/>
              </w:rPr>
            </w:pPr>
            <w:r>
              <w:rPr>
                <w:rFonts w:ascii="宋体"/>
                <w:b/>
                <w:sz w:val="21"/>
              </w:rPr>
              <w:t>288,613,655.55</w:t>
            </w:r>
            <w:r>
              <w:rPr>
                <w:rFonts w:ascii="宋体"/>
                <w:sz w:val="21"/>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1"/>
                <w:szCs w:val="21"/>
              </w:rPr>
            </w:pPr>
            <w:r>
              <w:rPr>
                <w:rFonts w:ascii="宋体"/>
                <w:b/>
                <w:w w:val="95"/>
                <w:sz w:val="21"/>
              </w:rPr>
              <w:t>288,613,655.55</w:t>
            </w:r>
            <w:r>
              <w:rPr>
                <w:rFonts w:ascii="宋体"/>
                <w:sz w:val="21"/>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5"/>
              <w:jc w:val="right"/>
              <w:rPr>
                <w:rFonts w:ascii="宋体" w:hAnsi="宋体" w:cs="宋体" w:eastAsia="宋体" w:hint="default"/>
                <w:sz w:val="21"/>
                <w:szCs w:val="21"/>
              </w:rPr>
            </w:pPr>
            <w:r>
              <w:rPr>
                <w:rFonts w:ascii="宋体"/>
                <w:b/>
                <w:w w:val="95"/>
                <w:sz w:val="21"/>
              </w:rPr>
              <w:t>351,327,170.75</w:t>
            </w:r>
            <w:r>
              <w:rPr>
                <w:rFonts w:ascii="宋体"/>
                <w:sz w:val="21"/>
              </w:rPr>
            </w:r>
          </w:p>
        </w:tc>
        <w:tc>
          <w:tcPr>
            <w:tcW w:w="907"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b/>
                <w:w w:val="95"/>
                <w:sz w:val="21"/>
              </w:rPr>
              <w:t>351,327,170.75</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140" w:right="0"/>
        <w:jc w:val="left"/>
        <w:rPr>
          <w:b w:val="0"/>
          <w:bCs w:val="0"/>
        </w:rPr>
      </w:pPr>
      <w:r>
        <w:rPr>
          <w:rFonts w:ascii="宋体" w:hAnsi="宋体" w:cs="宋体" w:eastAsia="宋体" w:hint="default"/>
        </w:rPr>
        <w:t>(2).</w:t>
      </w:r>
      <w:r>
        <w:rPr>
          <w:rFonts w:ascii="宋体" w:hAnsi="宋体" w:cs="宋体" w:eastAsia="宋体" w:hint="default"/>
          <w:spacing w:val="58"/>
        </w:rPr>
        <w:t> </w:t>
      </w:r>
      <w:r>
        <w:rPr/>
        <w:t>重要在建工程项目本期变动情况</w:t>
      </w:r>
      <w:r>
        <w:rPr>
          <w:b w:val="0"/>
          <w:bCs w:val="0"/>
        </w:rPr>
      </w:r>
    </w:p>
    <w:p>
      <w:pPr>
        <w:pStyle w:val="BodyText"/>
        <w:spacing w:line="240" w:lineRule="auto" w:before="56"/>
        <w:ind w:left="140" w:right="0"/>
        <w:jc w:val="left"/>
      </w:pPr>
      <w:r>
        <w:rPr/>
        <w:t>√适用 □不适用</w:t>
      </w:r>
    </w:p>
    <w:p>
      <w:pPr>
        <w:spacing w:after="0" w:line="240" w:lineRule="auto"/>
        <w:jc w:val="left"/>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156" w:val="left" w:leader="none"/>
        </w:tabs>
        <w:spacing w:line="240" w:lineRule="auto" w:before="36"/>
        <w:ind w:left="0" w:right="219"/>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71"/>
        <w:gridCol w:w="1649"/>
        <w:gridCol w:w="1546"/>
        <w:gridCol w:w="1510"/>
        <w:gridCol w:w="1642"/>
        <w:gridCol w:w="612"/>
        <w:gridCol w:w="1543"/>
        <w:gridCol w:w="1054"/>
        <w:gridCol w:w="444"/>
        <w:gridCol w:w="576"/>
        <w:gridCol w:w="862"/>
        <w:gridCol w:w="682"/>
        <w:gridCol w:w="576"/>
      </w:tblGrid>
      <w:tr>
        <w:trPr>
          <w:trHeight w:val="13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03" w:right="60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68"/>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463" w:right="113" w:hanging="420"/>
              <w:jc w:val="left"/>
              <w:rPr>
                <w:rFonts w:ascii="宋体" w:hAnsi="宋体" w:cs="宋体" w:eastAsia="宋体" w:hint="default"/>
                <w:sz w:val="21"/>
                <w:szCs w:val="21"/>
              </w:rPr>
            </w:pPr>
            <w:r>
              <w:rPr>
                <w:rFonts w:ascii="宋体" w:hAnsi="宋体" w:cs="宋体" w:eastAsia="宋体" w:hint="default"/>
                <w:sz w:val="21"/>
                <w:szCs w:val="21"/>
              </w:rPr>
              <w:t>本期转入固定资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产金额</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2" w:right="125"/>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47" w:right="47" w:firstLine="52"/>
              <w:jc w:val="both"/>
              <w:rPr>
                <w:rFonts w:ascii="宋体" w:hAnsi="宋体" w:cs="宋体" w:eastAsia="宋体" w:hint="default"/>
                <w:sz w:val="21"/>
                <w:szCs w:val="21"/>
              </w:rPr>
            </w:pPr>
            <w:r>
              <w:rPr>
                <w:rFonts w:ascii="宋体" w:hAnsi="宋体" w:cs="宋体" w:eastAsia="宋体" w:hint="default"/>
                <w:sz w:val="21"/>
                <w:szCs w:val="21"/>
              </w:rPr>
              <w:t>工程累计</w:t>
            </w:r>
            <w:r>
              <w:rPr>
                <w:rFonts w:ascii="宋体" w:hAnsi="宋体" w:cs="宋体" w:eastAsia="宋体" w:hint="default"/>
                <w:w w:val="100"/>
                <w:sz w:val="21"/>
                <w:szCs w:val="21"/>
              </w:rPr>
              <w:t> </w:t>
            </w:r>
            <w:r>
              <w:rPr>
                <w:rFonts w:ascii="宋体" w:hAnsi="宋体" w:cs="宋体" w:eastAsia="宋体" w:hint="default"/>
                <w:sz w:val="21"/>
                <w:szCs w:val="21"/>
              </w:rPr>
              <w:t>投入占预</w:t>
            </w:r>
            <w:r>
              <w:rPr>
                <w:rFonts w:ascii="宋体" w:hAnsi="宋体" w:cs="宋体" w:eastAsia="宋体" w:hint="default"/>
                <w:w w:val="100"/>
                <w:sz w:val="21"/>
                <w:szCs w:val="21"/>
              </w:rPr>
              <w:t> </w:t>
            </w:r>
            <w:r>
              <w:rPr>
                <w:rFonts w:ascii="宋体" w:hAnsi="宋体" w:cs="宋体" w:eastAsia="宋体" w:hint="default"/>
                <w:sz w:val="21"/>
                <w:szCs w:val="21"/>
              </w:rPr>
              <w:t>算比例</w:t>
            </w:r>
            <w:r>
              <w:rPr>
                <w:rFonts w:ascii="宋体" w:hAnsi="宋体" w:cs="宋体" w:eastAsia="宋体" w:hint="default"/>
                <w:sz w:val="21"/>
                <w:szCs w:val="21"/>
              </w:rPr>
              <w:t>(%)</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0" w:right="110"/>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both"/>
              <w:rPr>
                <w:rFonts w:ascii="宋体" w:hAnsi="宋体" w:cs="宋体" w:eastAsia="宋体" w:hint="default"/>
                <w:sz w:val="21"/>
                <w:szCs w:val="21"/>
              </w:rPr>
            </w:pPr>
            <w:r>
              <w:rPr>
                <w:rFonts w:ascii="宋体" w:hAnsi="宋体" w:cs="宋体" w:eastAsia="宋体" w:hint="default"/>
                <w:sz w:val="21"/>
                <w:szCs w:val="21"/>
              </w:rPr>
              <w:t>利息</w:t>
            </w:r>
          </w:p>
          <w:p>
            <w:pPr>
              <w:pStyle w:val="TableParagraph"/>
              <w:spacing w:line="237" w:lineRule="auto" w:before="2"/>
              <w:ind w:left="72" w:right="71"/>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2"/>
              <w:jc w:val="center"/>
              <w:rPr>
                <w:rFonts w:ascii="宋体" w:hAnsi="宋体" w:cs="宋体" w:eastAsia="宋体" w:hint="default"/>
                <w:sz w:val="21"/>
                <w:szCs w:val="21"/>
              </w:rPr>
            </w:pPr>
            <w:r>
              <w:rPr>
                <w:rFonts w:ascii="宋体" w:hAnsi="宋体" w:cs="宋体" w:eastAsia="宋体" w:hint="default"/>
                <w:spacing w:val="-11"/>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w:t>
            </w:r>
            <w:r>
              <w:rPr>
                <w:rFonts w:ascii="宋体" w:hAnsi="宋体" w:cs="宋体" w:eastAsia="宋体" w:hint="default"/>
                <w:w w:val="100"/>
                <w:sz w:val="21"/>
                <w:szCs w:val="21"/>
              </w:rPr>
              <w:t> </w:t>
            </w:r>
            <w:r>
              <w:rPr>
                <w:rFonts w:ascii="宋体" w:hAnsi="宋体" w:cs="宋体" w:eastAsia="宋体" w:hint="default"/>
                <w:sz w:val="21"/>
                <w:szCs w:val="21"/>
              </w:rPr>
              <w:t>资本化</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24" w:right="123"/>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74" w:right="67"/>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r>
        <w:trPr>
          <w:trHeight w:val="110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多</w:t>
            </w:r>
            <w:r>
              <w:rPr>
                <w:rFonts w:ascii="宋体" w:hAnsi="宋体" w:cs="宋体" w:eastAsia="宋体" w:hint="default"/>
                <w:spacing w:val="-66"/>
                <w:sz w:val="21"/>
                <w:szCs w:val="21"/>
              </w:rPr>
              <w:t> </w:t>
            </w:r>
            <w:r>
              <w:rPr>
                <w:rFonts w:ascii="宋体" w:hAnsi="宋体" w:cs="宋体" w:eastAsia="宋体" w:hint="default"/>
                <w:sz w:val="21"/>
                <w:szCs w:val="21"/>
              </w:rPr>
              <w:t>语</w:t>
            </w:r>
            <w:r>
              <w:rPr>
                <w:rFonts w:ascii="宋体" w:hAnsi="宋体" w:cs="宋体" w:eastAsia="宋体" w:hint="default"/>
                <w:spacing w:val="-66"/>
                <w:sz w:val="21"/>
                <w:szCs w:val="21"/>
              </w:rPr>
              <w:t> </w:t>
            </w:r>
            <w:r>
              <w:rPr>
                <w:rFonts w:ascii="宋体" w:hAnsi="宋体" w:cs="宋体" w:eastAsia="宋体" w:hint="default"/>
                <w:sz w:val="21"/>
                <w:szCs w:val="21"/>
              </w:rPr>
              <w:t>种</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p>
          <w:p>
            <w:pPr>
              <w:pStyle w:val="TableParagraph"/>
              <w:spacing w:line="237" w:lineRule="auto" w:before="1"/>
              <w:ind w:left="26" w:right="126"/>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66"/>
                <w:sz w:val="21"/>
                <w:szCs w:val="21"/>
              </w:rPr>
              <w:t> </w:t>
            </w:r>
            <w:r>
              <w:rPr>
                <w:rFonts w:ascii="宋体" w:hAnsi="宋体" w:cs="宋体" w:eastAsia="宋体" w:hint="default"/>
                <w:sz w:val="21"/>
                <w:szCs w:val="21"/>
              </w:rPr>
              <w:t>设</w:t>
            </w:r>
            <w:r>
              <w:rPr>
                <w:rFonts w:ascii="宋体" w:hAnsi="宋体" w:cs="宋体" w:eastAsia="宋体" w:hint="default"/>
                <w:spacing w:val="-66"/>
                <w:sz w:val="21"/>
                <w:szCs w:val="21"/>
              </w:rPr>
              <w:t> </w:t>
            </w:r>
            <w:r>
              <w:rPr>
                <w:rFonts w:ascii="宋体" w:hAnsi="宋体" w:cs="宋体" w:eastAsia="宋体" w:hint="default"/>
                <w:sz w:val="21"/>
                <w:szCs w:val="21"/>
              </w:rPr>
              <w:t>和</w:t>
            </w:r>
            <w:r>
              <w:rPr>
                <w:rFonts w:ascii="宋体" w:hAnsi="宋体" w:cs="宋体" w:eastAsia="宋体" w:hint="default"/>
                <w:spacing w:val="-69"/>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外</w:t>
            </w:r>
            <w:r>
              <w:rPr>
                <w:rFonts w:ascii="宋体" w:hAnsi="宋体" w:cs="宋体" w:eastAsia="宋体" w:hint="default"/>
                <w:w w:val="100"/>
                <w:sz w:val="21"/>
                <w:szCs w:val="21"/>
              </w:rPr>
              <w:t> </w:t>
            </w:r>
            <w:r>
              <w:rPr>
                <w:rFonts w:ascii="宋体" w:hAnsi="宋体" w:cs="宋体" w:eastAsia="宋体" w:hint="default"/>
                <w:sz w:val="21"/>
                <w:szCs w:val="21"/>
              </w:rPr>
              <w:t>访</w:t>
            </w:r>
            <w:r>
              <w:rPr>
                <w:rFonts w:ascii="宋体" w:hAnsi="宋体" w:cs="宋体" w:eastAsia="宋体" w:hint="default"/>
                <w:spacing w:val="-66"/>
                <w:sz w:val="21"/>
                <w:szCs w:val="21"/>
              </w:rPr>
              <w:t> </w:t>
            </w:r>
            <w:r>
              <w:rPr>
                <w:rFonts w:ascii="宋体" w:hAnsi="宋体" w:cs="宋体" w:eastAsia="宋体" w:hint="default"/>
                <w:sz w:val="21"/>
                <w:szCs w:val="21"/>
              </w:rPr>
              <w:t>问</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spacing w:val="-69"/>
                <w:sz w:val="21"/>
                <w:szCs w:val="21"/>
              </w:rPr>
              <w:t> </w:t>
            </w:r>
            <w:r>
              <w:rPr>
                <w:rFonts w:ascii="宋体" w:hAnsi="宋体" w:cs="宋体" w:eastAsia="宋体" w:hint="default"/>
                <w:sz w:val="21"/>
                <w:szCs w:val="21"/>
              </w:rPr>
              <w:t>速</w:t>
            </w:r>
            <w:r>
              <w:rPr>
                <w:rFonts w:ascii="宋体" w:hAnsi="宋体" w:cs="宋体" w:eastAsia="宋体" w:hint="default"/>
                <w:spacing w:val="-66"/>
                <w:sz w:val="21"/>
                <w:szCs w:val="21"/>
              </w:rPr>
              <w:t> </w:t>
            </w:r>
            <w:r>
              <w:rPr>
                <w:rFonts w:ascii="宋体" w:hAnsi="宋体" w:cs="宋体" w:eastAsia="宋体" w:hint="default"/>
                <w:sz w:val="21"/>
                <w:szCs w:val="21"/>
              </w:rPr>
              <w:t>等</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339,420,100.00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316,152,362.45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18,165,467.66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68,990,367.83</w:t>
            </w:r>
          </w:p>
        </w:tc>
        <w:tc>
          <w:tcPr>
            <w:tcW w:w="61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 w:right="0"/>
              <w:jc w:val="center"/>
              <w:rPr>
                <w:rFonts w:ascii="宋体" w:hAnsi="宋体" w:cs="宋体" w:eastAsia="宋体" w:hint="default"/>
                <w:sz w:val="21"/>
                <w:szCs w:val="21"/>
              </w:rPr>
            </w:pPr>
            <w:r>
              <w:rPr>
                <w:rFonts w:ascii="宋体"/>
                <w:sz w:val="21"/>
              </w:rPr>
              <w:t>265,327,462.28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78.17</w:t>
            </w:r>
          </w:p>
        </w:tc>
        <w:tc>
          <w:tcPr>
            <w:tcW w:w="44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67" w:hanging="104"/>
              <w:jc w:val="left"/>
              <w:rPr>
                <w:rFonts w:ascii="宋体" w:hAnsi="宋体" w:cs="宋体" w:eastAsia="宋体" w:hint="default"/>
                <w:sz w:val="21"/>
                <w:szCs w:val="21"/>
              </w:rPr>
            </w:pPr>
            <w:r>
              <w:rPr>
                <w:rFonts w:ascii="宋体" w:hAnsi="宋体" w:cs="宋体" w:eastAsia="宋体" w:hint="default"/>
                <w:sz w:val="21"/>
                <w:szCs w:val="21"/>
              </w:rPr>
              <w:t>财政</w:t>
            </w:r>
            <w:r>
              <w:rPr>
                <w:rFonts w:ascii="宋体" w:hAnsi="宋体" w:cs="宋体" w:eastAsia="宋体" w:hint="default"/>
                <w:spacing w:val="-103"/>
                <w:sz w:val="21"/>
                <w:szCs w:val="21"/>
              </w:rPr>
              <w:t> </w:t>
            </w:r>
            <w:r>
              <w:rPr>
                <w:rFonts w:ascii="宋体" w:hAnsi="宋体" w:cs="宋体" w:eastAsia="宋体" w:hint="default"/>
                <w:sz w:val="21"/>
                <w:szCs w:val="21"/>
              </w:rPr>
              <w:t>部</w:t>
            </w:r>
          </w:p>
        </w:tc>
      </w:tr>
      <w:tr>
        <w:trPr>
          <w:trHeight w:val="137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基于 </w:t>
            </w:r>
            <w:r>
              <w:rPr>
                <w:rFonts w:ascii="宋体" w:hAnsi="宋体" w:cs="宋体" w:eastAsia="宋体" w:hint="default"/>
                <w:sz w:val="21"/>
                <w:szCs w:val="21"/>
              </w:rPr>
              <w:t>4G</w:t>
            </w:r>
            <w:r>
              <w:rPr>
                <w:rFonts w:ascii="宋体" w:hAnsi="宋体" w:cs="宋体" w:eastAsia="宋体" w:hint="default"/>
                <w:spacing w:val="-53"/>
                <w:sz w:val="21"/>
                <w:szCs w:val="21"/>
              </w:rPr>
              <w:t> </w:t>
            </w:r>
            <w:r>
              <w:rPr>
                <w:rFonts w:ascii="宋体" w:hAnsi="宋体" w:cs="宋体" w:eastAsia="宋体" w:hint="default"/>
                <w:sz w:val="21"/>
                <w:szCs w:val="21"/>
              </w:rPr>
              <w:t>移动</w:t>
            </w:r>
          </w:p>
          <w:p>
            <w:pPr>
              <w:pStyle w:val="TableParagraph"/>
              <w:spacing w:line="237" w:lineRule="auto"/>
              <w:ind w:left="26" w:right="126"/>
              <w:jc w:val="both"/>
              <w:rPr>
                <w:rFonts w:ascii="宋体" w:hAnsi="宋体" w:cs="宋体" w:eastAsia="宋体" w:hint="default"/>
                <w:sz w:val="21"/>
                <w:szCs w:val="21"/>
              </w:rPr>
            </w:pPr>
            <w:r>
              <w:rPr>
                <w:rFonts w:ascii="宋体" w:hAnsi="宋体" w:cs="宋体" w:eastAsia="宋体" w:hint="default"/>
                <w:sz w:val="21"/>
                <w:szCs w:val="21"/>
              </w:rPr>
              <w:t>互</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大</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据</w:t>
            </w:r>
            <w:r>
              <w:rPr>
                <w:rFonts w:ascii="宋体" w:hAnsi="宋体" w:cs="宋体" w:eastAsia="宋体" w:hint="default"/>
                <w:spacing w:val="-66"/>
                <w:sz w:val="21"/>
                <w:szCs w:val="21"/>
              </w:rPr>
              <w:t> </w:t>
            </w:r>
            <w:r>
              <w:rPr>
                <w:rFonts w:ascii="宋体" w:hAnsi="宋体" w:cs="宋体" w:eastAsia="宋体" w:hint="default"/>
                <w:sz w:val="21"/>
                <w:szCs w:val="21"/>
              </w:rPr>
              <w:t>分</w:t>
            </w:r>
            <w:r>
              <w:rPr>
                <w:rFonts w:ascii="宋体" w:hAnsi="宋体" w:cs="宋体" w:eastAsia="宋体" w:hint="default"/>
                <w:spacing w:val="-66"/>
                <w:sz w:val="21"/>
                <w:szCs w:val="21"/>
              </w:rPr>
              <w:t> </w:t>
            </w:r>
            <w:r>
              <w:rPr>
                <w:rFonts w:ascii="宋体" w:hAnsi="宋体" w:cs="宋体" w:eastAsia="宋体" w:hint="default"/>
                <w:sz w:val="21"/>
                <w:szCs w:val="21"/>
              </w:rPr>
              <w:t>析</w:t>
            </w:r>
            <w:r>
              <w:rPr>
                <w:rFonts w:ascii="宋体" w:hAnsi="宋体" w:cs="宋体" w:eastAsia="宋体" w:hint="default"/>
                <w:spacing w:val="-69"/>
                <w:sz w:val="21"/>
                <w:szCs w:val="21"/>
              </w:rPr>
              <w:t> </w:t>
            </w:r>
            <w:r>
              <w:rPr>
                <w:rFonts w:ascii="宋体" w:hAnsi="宋体" w:cs="宋体" w:eastAsia="宋体" w:hint="default"/>
                <w:sz w:val="21"/>
                <w:szCs w:val="21"/>
              </w:rPr>
              <w:t>及</w:t>
            </w:r>
            <w:r>
              <w:rPr>
                <w:rFonts w:ascii="宋体" w:hAnsi="宋体" w:cs="宋体" w:eastAsia="宋体" w:hint="default"/>
                <w:spacing w:val="-66"/>
                <w:sz w:val="21"/>
                <w:szCs w:val="21"/>
              </w:rPr>
              <w:t> </w:t>
            </w:r>
            <w:r>
              <w:rPr>
                <w:rFonts w:ascii="宋体" w:hAnsi="宋体" w:cs="宋体" w:eastAsia="宋体" w:hint="default"/>
                <w:sz w:val="21"/>
                <w:szCs w:val="21"/>
              </w:rPr>
              <w:t>移</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云</w:t>
            </w:r>
            <w:r>
              <w:rPr>
                <w:rFonts w:ascii="宋体" w:hAnsi="宋体" w:cs="宋体" w:eastAsia="宋体" w:hint="default"/>
                <w:spacing w:val="-66"/>
                <w:sz w:val="21"/>
                <w:szCs w:val="21"/>
              </w:rPr>
              <w:t> </w:t>
            </w:r>
            <w:r>
              <w:rPr>
                <w:rFonts w:ascii="宋体" w:hAnsi="宋体" w:cs="宋体" w:eastAsia="宋体" w:hint="default"/>
                <w:sz w:val="21"/>
                <w:szCs w:val="21"/>
              </w:rPr>
              <w:t>服</w:t>
            </w:r>
            <w:r>
              <w:rPr>
                <w:rFonts w:ascii="宋体" w:hAnsi="宋体" w:cs="宋体" w:eastAsia="宋体" w:hint="default"/>
                <w:spacing w:val="-69"/>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互系统项目</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15,649,719.12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16,331,142.95</w:t>
            </w:r>
          </w:p>
        </w:tc>
        <w:tc>
          <w:tcPr>
            <w:tcW w:w="1510"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16,331,142.95</w:t>
            </w:r>
          </w:p>
        </w:tc>
        <w:tc>
          <w:tcPr>
            <w:tcW w:w="61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w:t>
            </w:r>
          </w:p>
        </w:tc>
        <w:tc>
          <w:tcPr>
            <w:tcW w:w="44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7" w:right="67" w:hanging="104"/>
              <w:jc w:val="left"/>
              <w:rPr>
                <w:rFonts w:ascii="宋体" w:hAnsi="宋体" w:cs="宋体" w:eastAsia="宋体" w:hint="default"/>
                <w:sz w:val="21"/>
                <w:szCs w:val="21"/>
              </w:rPr>
            </w:pPr>
            <w:r>
              <w:rPr>
                <w:rFonts w:ascii="宋体" w:hAnsi="宋体" w:cs="宋体" w:eastAsia="宋体" w:hint="default"/>
                <w:sz w:val="21"/>
                <w:szCs w:val="21"/>
              </w:rPr>
              <w:t>财政</w:t>
            </w:r>
            <w:r>
              <w:rPr>
                <w:rFonts w:ascii="宋体" w:hAnsi="宋体" w:cs="宋体" w:eastAsia="宋体" w:hint="default"/>
                <w:spacing w:val="-103"/>
                <w:sz w:val="21"/>
                <w:szCs w:val="21"/>
              </w:rPr>
              <w:t> </w:t>
            </w:r>
            <w:r>
              <w:rPr>
                <w:rFonts w:ascii="宋体" w:hAnsi="宋体" w:cs="宋体" w:eastAsia="宋体" w:hint="default"/>
                <w:sz w:val="21"/>
                <w:szCs w:val="21"/>
              </w:rPr>
              <w:t>部</w:t>
            </w:r>
          </w:p>
        </w:tc>
      </w:tr>
      <w:tr>
        <w:trPr>
          <w:trHeight w:val="8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移</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化</w:t>
            </w:r>
            <w:r>
              <w:rPr>
                <w:rFonts w:ascii="宋体" w:hAnsi="宋体" w:cs="宋体" w:eastAsia="宋体" w:hint="default"/>
                <w:spacing w:val="-69"/>
                <w:sz w:val="21"/>
                <w:szCs w:val="21"/>
              </w:rPr>
              <w:t> </w:t>
            </w:r>
            <w:r>
              <w:rPr>
                <w:rFonts w:ascii="宋体" w:hAnsi="宋体" w:cs="宋体" w:eastAsia="宋体" w:hint="default"/>
                <w:sz w:val="21"/>
                <w:szCs w:val="21"/>
              </w:rPr>
              <w:t>社</w:t>
            </w:r>
            <w:r>
              <w:rPr>
                <w:rFonts w:ascii="宋体" w:hAnsi="宋体" w:cs="宋体" w:eastAsia="宋体" w:hint="default"/>
                <w:spacing w:val="-66"/>
                <w:sz w:val="21"/>
                <w:szCs w:val="21"/>
              </w:rPr>
              <w:t> </w:t>
            </w:r>
            <w:r>
              <w:rPr>
                <w:rFonts w:ascii="宋体" w:hAnsi="宋体" w:cs="宋体" w:eastAsia="宋体" w:hint="default"/>
                <w:sz w:val="21"/>
                <w:szCs w:val="21"/>
              </w:rPr>
              <w:t>交</w:t>
            </w:r>
          </w:p>
          <w:p>
            <w:pPr>
              <w:pStyle w:val="TableParagraph"/>
              <w:spacing w:line="240" w:lineRule="auto"/>
              <w:ind w:left="26" w:right="126"/>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66"/>
                <w:sz w:val="21"/>
                <w:szCs w:val="21"/>
              </w:rPr>
              <w:t> </w:t>
            </w:r>
            <w:r>
              <w:rPr>
                <w:rFonts w:ascii="宋体" w:hAnsi="宋体" w:cs="宋体" w:eastAsia="宋体" w:hint="default"/>
                <w:sz w:val="21"/>
                <w:szCs w:val="21"/>
              </w:rPr>
              <w:t>分</w:t>
            </w:r>
            <w:r>
              <w:rPr>
                <w:rFonts w:ascii="宋体" w:hAnsi="宋体" w:cs="宋体" w:eastAsia="宋体" w:hint="default"/>
                <w:spacing w:val="-66"/>
                <w:sz w:val="21"/>
                <w:szCs w:val="21"/>
              </w:rPr>
              <w:t> </w:t>
            </w:r>
            <w:r>
              <w:rPr>
                <w:rFonts w:ascii="宋体" w:hAnsi="宋体" w:cs="宋体" w:eastAsia="宋体" w:hint="default"/>
                <w:sz w:val="21"/>
                <w:szCs w:val="21"/>
              </w:rPr>
              <w:t>享</w:t>
            </w:r>
            <w:r>
              <w:rPr>
                <w:rFonts w:ascii="宋体" w:hAnsi="宋体" w:cs="宋体" w:eastAsia="宋体" w:hint="default"/>
                <w:spacing w:val="-69"/>
                <w:sz w:val="21"/>
                <w:szCs w:val="21"/>
              </w:rPr>
              <w:t> </w:t>
            </w:r>
            <w:r>
              <w:rPr>
                <w:rFonts w:ascii="宋体" w:hAnsi="宋体" w:cs="宋体" w:eastAsia="宋体" w:hint="default"/>
                <w:sz w:val="21"/>
                <w:szCs w:val="21"/>
              </w:rPr>
              <w:t>传</w:t>
            </w:r>
            <w:r>
              <w:rPr>
                <w:rFonts w:ascii="宋体" w:hAnsi="宋体" w:cs="宋体" w:eastAsia="宋体" w:hint="default"/>
                <w:spacing w:val="-66"/>
                <w:sz w:val="21"/>
                <w:szCs w:val="21"/>
              </w:rPr>
              <w:t> </w:t>
            </w:r>
            <w:r>
              <w:rPr>
                <w:rFonts w:ascii="宋体" w:hAnsi="宋体" w:cs="宋体" w:eastAsia="宋体" w:hint="default"/>
                <w:sz w:val="21"/>
                <w:szCs w:val="21"/>
              </w:rPr>
              <w:t>播</w:t>
            </w:r>
            <w:r>
              <w:rPr>
                <w:rFonts w:ascii="宋体" w:hAnsi="宋体" w:cs="宋体" w:eastAsia="宋体" w:hint="default"/>
                <w:w w:val="100"/>
                <w:sz w:val="21"/>
                <w:szCs w:val="21"/>
              </w:rPr>
              <w:t> </w:t>
            </w:r>
            <w:r>
              <w:rPr>
                <w:rFonts w:ascii="宋体" w:hAnsi="宋体" w:cs="宋体" w:eastAsia="宋体" w:hint="default"/>
                <w:sz w:val="21"/>
                <w:szCs w:val="21"/>
              </w:rPr>
              <w:t>系统</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24,800,000.00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15,608,224.84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4,067,830.50</w:t>
            </w:r>
          </w:p>
        </w:tc>
        <w:tc>
          <w:tcPr>
            <w:tcW w:w="1642"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center"/>
              <w:rPr>
                <w:rFonts w:ascii="宋体" w:hAnsi="宋体" w:cs="宋体" w:eastAsia="宋体" w:hint="default"/>
                <w:sz w:val="21"/>
                <w:szCs w:val="21"/>
              </w:rPr>
            </w:pPr>
            <w:r>
              <w:rPr>
                <w:rFonts w:ascii="宋体"/>
                <w:sz w:val="21"/>
              </w:rPr>
              <w:t>19,676,055.34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79.34</w:t>
            </w:r>
          </w:p>
        </w:tc>
        <w:tc>
          <w:tcPr>
            <w:tcW w:w="44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67" w:hanging="104"/>
              <w:jc w:val="left"/>
              <w:rPr>
                <w:rFonts w:ascii="宋体" w:hAnsi="宋体" w:cs="宋体" w:eastAsia="宋体" w:hint="default"/>
                <w:sz w:val="21"/>
                <w:szCs w:val="21"/>
              </w:rPr>
            </w:pPr>
            <w:r>
              <w:rPr>
                <w:rFonts w:ascii="宋体" w:hAnsi="宋体" w:cs="宋体" w:eastAsia="宋体" w:hint="default"/>
                <w:sz w:val="21"/>
                <w:szCs w:val="21"/>
              </w:rPr>
              <w:t>文资</w:t>
            </w:r>
            <w:r>
              <w:rPr>
                <w:rFonts w:ascii="宋体" w:hAnsi="宋体" w:cs="宋体" w:eastAsia="宋体" w:hint="default"/>
                <w:spacing w:val="-103"/>
                <w:sz w:val="21"/>
                <w:szCs w:val="21"/>
              </w:rPr>
              <w:t> </w:t>
            </w:r>
            <w:r>
              <w:rPr>
                <w:rFonts w:ascii="宋体" w:hAnsi="宋体" w:cs="宋体" w:eastAsia="宋体" w:hint="default"/>
                <w:sz w:val="21"/>
                <w:szCs w:val="21"/>
              </w:rPr>
              <w:t>办</w:t>
            </w:r>
          </w:p>
        </w:tc>
      </w:tr>
      <w:tr>
        <w:trPr>
          <w:trHeight w:val="164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互</w:t>
            </w:r>
            <w:r>
              <w:rPr>
                <w:rFonts w:ascii="宋体" w:hAnsi="宋体" w:cs="宋体" w:eastAsia="宋体" w:hint="default"/>
                <w:spacing w:val="-66"/>
                <w:sz w:val="21"/>
                <w:szCs w:val="21"/>
              </w:rPr>
              <w:t> </w:t>
            </w:r>
            <w:r>
              <w:rPr>
                <w:rFonts w:ascii="宋体" w:hAnsi="宋体" w:cs="宋体" w:eastAsia="宋体" w:hint="default"/>
                <w:sz w:val="21"/>
                <w:szCs w:val="21"/>
              </w:rPr>
              <w:t>式</w:t>
            </w:r>
            <w:r>
              <w:rPr>
                <w:rFonts w:ascii="宋体" w:hAnsi="宋体" w:cs="宋体" w:eastAsia="宋体" w:hint="default"/>
                <w:spacing w:val="-69"/>
                <w:sz w:val="21"/>
                <w:szCs w:val="21"/>
              </w:rPr>
              <w:t> </w:t>
            </w:r>
            <w:r>
              <w:rPr>
                <w:rFonts w:ascii="宋体" w:hAnsi="宋体" w:cs="宋体" w:eastAsia="宋体" w:hint="default"/>
                <w:sz w:val="21"/>
                <w:szCs w:val="21"/>
              </w:rPr>
              <w:t>高</w:t>
            </w:r>
            <w:r>
              <w:rPr>
                <w:rFonts w:ascii="宋体" w:hAnsi="宋体" w:cs="宋体" w:eastAsia="宋体" w:hint="default"/>
                <w:spacing w:val="-66"/>
                <w:sz w:val="21"/>
                <w:szCs w:val="21"/>
              </w:rPr>
              <w:t> </w:t>
            </w:r>
            <w:r>
              <w:rPr>
                <w:rFonts w:ascii="宋体" w:hAnsi="宋体" w:cs="宋体" w:eastAsia="宋体" w:hint="default"/>
                <w:sz w:val="21"/>
                <w:szCs w:val="21"/>
              </w:rPr>
              <w:t>清</w:t>
            </w:r>
          </w:p>
          <w:p>
            <w:pPr>
              <w:pStyle w:val="TableParagraph"/>
              <w:spacing w:line="237" w:lineRule="auto" w:before="2"/>
              <w:ind w:left="26" w:right="126"/>
              <w:jc w:val="both"/>
              <w:rPr>
                <w:rFonts w:ascii="宋体" w:hAnsi="宋体" w:cs="宋体" w:eastAsia="宋体" w:hint="default"/>
                <w:sz w:val="21"/>
                <w:szCs w:val="21"/>
              </w:rPr>
            </w:pPr>
            <w:r>
              <w:rPr>
                <w:rFonts w:ascii="宋体" w:hAnsi="宋体" w:cs="宋体" w:eastAsia="宋体" w:hint="default"/>
                <w:sz w:val="21"/>
                <w:szCs w:val="21"/>
              </w:rPr>
              <w:t>视</w:t>
            </w:r>
            <w:r>
              <w:rPr>
                <w:rFonts w:ascii="宋体" w:hAnsi="宋体" w:cs="宋体" w:eastAsia="宋体" w:hint="default"/>
                <w:spacing w:val="-66"/>
                <w:sz w:val="21"/>
                <w:szCs w:val="21"/>
              </w:rPr>
              <w:t> </w:t>
            </w:r>
            <w:r>
              <w:rPr>
                <w:rFonts w:ascii="宋体" w:hAnsi="宋体" w:cs="宋体" w:eastAsia="宋体" w:hint="default"/>
                <w:sz w:val="21"/>
                <w:szCs w:val="21"/>
              </w:rPr>
              <w:t>频</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spacing w:val="-69"/>
                <w:sz w:val="21"/>
                <w:szCs w:val="21"/>
              </w:rPr>
              <w:t> </w:t>
            </w:r>
            <w:r>
              <w:rPr>
                <w:rFonts w:ascii="宋体" w:hAnsi="宋体" w:cs="宋体" w:eastAsia="宋体" w:hint="default"/>
                <w:sz w:val="21"/>
                <w:szCs w:val="21"/>
              </w:rPr>
              <w:t>字</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w w:val="100"/>
                <w:sz w:val="21"/>
                <w:szCs w:val="21"/>
              </w:rPr>
              <w:t> </w:t>
            </w:r>
            <w:r>
              <w:rPr>
                <w:rFonts w:ascii="宋体" w:hAnsi="宋体" w:cs="宋体" w:eastAsia="宋体" w:hint="default"/>
                <w:sz w:val="21"/>
                <w:szCs w:val="21"/>
              </w:rPr>
              <w:t>统</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spacing w:val="-66"/>
                <w:sz w:val="21"/>
                <w:szCs w:val="21"/>
              </w:rPr>
              <w:t> </w:t>
            </w:r>
            <w:r>
              <w:rPr>
                <w:rFonts w:ascii="宋体" w:hAnsi="宋体" w:cs="宋体" w:eastAsia="宋体" w:hint="default"/>
                <w:sz w:val="21"/>
                <w:szCs w:val="21"/>
              </w:rPr>
              <w:t>移</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社</w:t>
            </w:r>
            <w:r>
              <w:rPr>
                <w:rFonts w:ascii="宋体" w:hAnsi="宋体" w:cs="宋体" w:eastAsia="宋体" w:hint="default"/>
                <w:spacing w:val="-66"/>
                <w:sz w:val="21"/>
                <w:szCs w:val="21"/>
              </w:rPr>
              <w:t> </w:t>
            </w: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化</w:t>
            </w:r>
            <w:r>
              <w:rPr>
                <w:rFonts w:ascii="宋体" w:hAnsi="宋体" w:cs="宋体" w:eastAsia="宋体" w:hint="default"/>
                <w:spacing w:val="-69"/>
                <w:sz w:val="21"/>
                <w:szCs w:val="21"/>
              </w:rPr>
              <w:t> </w:t>
            </w:r>
            <w:r>
              <w:rPr>
                <w:rFonts w:ascii="宋体" w:hAnsi="宋体" w:cs="宋体" w:eastAsia="宋体" w:hint="default"/>
                <w:sz w:val="21"/>
                <w:szCs w:val="21"/>
              </w:rPr>
              <w:t>分</w:t>
            </w:r>
            <w:r>
              <w:rPr>
                <w:rFonts w:ascii="宋体" w:hAnsi="宋体" w:cs="宋体" w:eastAsia="宋体" w:hint="default"/>
                <w:spacing w:val="-66"/>
                <w:sz w:val="21"/>
                <w:szCs w:val="21"/>
              </w:rPr>
              <w:t> </w:t>
            </w:r>
            <w:r>
              <w:rPr>
                <w:rFonts w:ascii="宋体" w:hAnsi="宋体" w:cs="宋体" w:eastAsia="宋体" w:hint="default"/>
                <w:sz w:val="21"/>
                <w:szCs w:val="21"/>
              </w:rPr>
              <w:t>享</w:t>
            </w:r>
            <w:r>
              <w:rPr>
                <w:rFonts w:ascii="宋体" w:hAnsi="宋体" w:cs="宋体" w:eastAsia="宋体" w:hint="default"/>
                <w:w w:val="100"/>
                <w:sz w:val="21"/>
                <w:szCs w:val="21"/>
              </w:rPr>
              <w:t> </w:t>
            </w:r>
            <w:r>
              <w:rPr>
                <w:rFonts w:ascii="宋体" w:hAnsi="宋体" w:cs="宋体" w:eastAsia="宋体" w:hint="default"/>
                <w:sz w:val="21"/>
                <w:szCs w:val="21"/>
              </w:rPr>
              <w:t>传</w:t>
            </w:r>
            <w:r>
              <w:rPr>
                <w:rFonts w:ascii="宋体" w:hAnsi="宋体" w:cs="宋体" w:eastAsia="宋体" w:hint="default"/>
                <w:spacing w:val="-66"/>
                <w:sz w:val="21"/>
                <w:szCs w:val="21"/>
              </w:rPr>
              <w:t> </w:t>
            </w:r>
            <w:r>
              <w:rPr>
                <w:rFonts w:ascii="宋体" w:hAnsi="宋体" w:cs="宋体" w:eastAsia="宋体" w:hint="default"/>
                <w:sz w:val="21"/>
                <w:szCs w:val="21"/>
              </w:rPr>
              <w:t>播</w:t>
            </w:r>
            <w:r>
              <w:rPr>
                <w:rFonts w:ascii="宋体" w:hAnsi="宋体" w:cs="宋体" w:eastAsia="宋体" w:hint="default"/>
                <w:spacing w:val="-66"/>
                <w:sz w:val="21"/>
                <w:szCs w:val="21"/>
              </w:rPr>
              <w:t> </w:t>
            </w:r>
            <w:r>
              <w:rPr>
                <w:rFonts w:ascii="宋体" w:hAnsi="宋体" w:cs="宋体" w:eastAsia="宋体" w:hint="default"/>
                <w:sz w:val="21"/>
                <w:szCs w:val="21"/>
              </w:rPr>
              <w:t>平</w:t>
            </w:r>
            <w:r>
              <w:rPr>
                <w:rFonts w:ascii="宋体" w:hAnsi="宋体" w:cs="宋体" w:eastAsia="宋体" w:hint="default"/>
                <w:spacing w:val="-69"/>
                <w:sz w:val="21"/>
                <w:szCs w:val="21"/>
              </w:rPr>
              <w:t> </w:t>
            </w:r>
            <w:r>
              <w:rPr>
                <w:rFonts w:ascii="宋体" w:hAnsi="宋体" w:cs="宋体" w:eastAsia="宋体" w:hint="default"/>
                <w:sz w:val="21"/>
                <w:szCs w:val="21"/>
              </w:rPr>
              <w:t>台</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25"/>
              <w:jc w:val="right"/>
              <w:rPr>
                <w:rFonts w:ascii="宋体" w:hAnsi="宋体" w:cs="宋体" w:eastAsia="宋体" w:hint="default"/>
                <w:sz w:val="21"/>
                <w:szCs w:val="21"/>
              </w:rPr>
            </w:pPr>
            <w:r>
              <w:rPr>
                <w:rFonts w:ascii="宋体"/>
                <w:spacing w:val="-1"/>
                <w:sz w:val="21"/>
              </w:rPr>
              <w:t>12,000,000.00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3,235,440.51</w:t>
            </w:r>
          </w:p>
        </w:tc>
        <w:tc>
          <w:tcPr>
            <w:tcW w:w="1510"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8" w:right="0"/>
              <w:jc w:val="center"/>
              <w:rPr>
                <w:rFonts w:ascii="宋体" w:hAnsi="宋体" w:cs="宋体" w:eastAsia="宋体" w:hint="default"/>
                <w:sz w:val="21"/>
                <w:szCs w:val="21"/>
              </w:rPr>
            </w:pPr>
            <w:r>
              <w:rPr>
                <w:rFonts w:ascii="宋体"/>
                <w:sz w:val="21"/>
              </w:rPr>
              <w:t>3,235,440.51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26.96</w:t>
            </w:r>
          </w:p>
        </w:tc>
        <w:tc>
          <w:tcPr>
            <w:tcW w:w="44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7" w:right="67" w:hanging="104"/>
              <w:jc w:val="left"/>
              <w:rPr>
                <w:rFonts w:ascii="宋体" w:hAnsi="宋体" w:cs="宋体" w:eastAsia="宋体" w:hint="default"/>
                <w:sz w:val="21"/>
                <w:szCs w:val="21"/>
              </w:rPr>
            </w:pPr>
            <w:r>
              <w:rPr>
                <w:rFonts w:ascii="宋体" w:hAnsi="宋体" w:cs="宋体" w:eastAsia="宋体" w:hint="default"/>
                <w:sz w:val="21"/>
                <w:szCs w:val="21"/>
              </w:rPr>
              <w:t>中宣</w:t>
            </w:r>
            <w:r>
              <w:rPr>
                <w:rFonts w:ascii="宋体" w:hAnsi="宋体" w:cs="宋体" w:eastAsia="宋体" w:hint="default"/>
                <w:spacing w:val="-103"/>
                <w:sz w:val="21"/>
                <w:szCs w:val="21"/>
              </w:rPr>
              <w:t> </w:t>
            </w:r>
            <w:r>
              <w:rPr>
                <w:rFonts w:ascii="宋体" w:hAnsi="宋体" w:cs="宋体" w:eastAsia="宋体" w:hint="default"/>
                <w:sz w:val="21"/>
                <w:szCs w:val="21"/>
              </w:rPr>
              <w:t>部</w:t>
            </w:r>
          </w:p>
        </w:tc>
      </w:tr>
      <w:tr>
        <w:trPr>
          <w:trHeight w:val="28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b/>
                <w:w w:val="95"/>
                <w:sz w:val="21"/>
              </w:rPr>
              <w:t>391,869,819.12</w:t>
            </w:r>
            <w:r>
              <w:rPr>
                <w:rFonts w:ascii="宋体"/>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b/>
                <w:w w:val="95"/>
                <w:sz w:val="21"/>
              </w:rPr>
              <w:t>351,327,170.75</w:t>
            </w:r>
            <w:r>
              <w:rPr>
                <w:rFonts w:ascii="宋体"/>
                <w:sz w:val="21"/>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b/>
                <w:w w:val="95"/>
                <w:sz w:val="21"/>
              </w:rPr>
              <w:t>22,233,298.16</w:t>
            </w:r>
            <w:r>
              <w:rPr>
                <w:rFonts w:ascii="宋体"/>
                <w:sz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
              <w:jc w:val="right"/>
              <w:rPr>
                <w:rFonts w:ascii="宋体" w:hAnsi="宋体" w:cs="宋体" w:eastAsia="宋体" w:hint="default"/>
                <w:sz w:val="21"/>
                <w:szCs w:val="21"/>
              </w:rPr>
            </w:pPr>
            <w:r>
              <w:rPr>
                <w:rFonts w:ascii="宋体"/>
                <w:b/>
                <w:w w:val="95"/>
                <w:sz w:val="21"/>
              </w:rPr>
              <w:t>85,321,510.78</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b/>
                <w:sz w:val="21"/>
              </w:rPr>
              <w:t>288,238,958.13</w:t>
            </w:r>
            <w:r>
              <w:rPr>
                <w:rFonts w:ascii="宋体"/>
                <w:sz w:val="21"/>
              </w:rPr>
            </w:r>
          </w:p>
        </w:tc>
        <w:tc>
          <w:tcPr>
            <w:tcW w:w="1054"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b/>
                <w:w w:val="99"/>
                <w:sz w:val="21"/>
              </w:rPr>
              <w:t>/</w:t>
            </w:r>
            <w:r>
              <w:rPr>
                <w:rFonts w:ascii="宋体"/>
                <w:sz w:val="21"/>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b/>
                <w:w w:val="99"/>
                <w:sz w:val="21"/>
              </w:rPr>
              <w:t>/</w:t>
            </w:r>
            <w:r>
              <w:rPr>
                <w:rFonts w:ascii="宋体"/>
                <w:sz w:val="21"/>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b/>
                <w:w w:val="99"/>
                <w:sz w:val="21"/>
              </w:rPr>
              <w:t>/</w:t>
            </w:r>
            <w:r>
              <w:rPr>
                <w:rFonts w:ascii="宋体"/>
                <w:sz w:val="21"/>
              </w:rPr>
            </w:r>
          </w:p>
        </w:tc>
      </w:tr>
    </w:tbl>
    <w:p>
      <w:pPr>
        <w:pStyle w:val="BodyText"/>
        <w:spacing w:line="241" w:lineRule="exact"/>
        <w:ind w:left="640" w:right="60"/>
        <w:jc w:val="left"/>
        <w:rPr>
          <w:rFonts w:ascii="宋体" w:hAnsi="宋体" w:cs="宋体" w:eastAsia="宋体" w:hint="default"/>
        </w:rPr>
      </w:pPr>
      <w:r>
        <w:rPr>
          <w:spacing w:val="-2"/>
        </w:rPr>
        <w:t>注：（</w:t>
      </w:r>
      <w:r>
        <w:rPr>
          <w:rFonts w:ascii="宋体" w:hAnsi="宋体" w:cs="宋体" w:eastAsia="宋体" w:hint="default"/>
          <w:spacing w:val="-2"/>
        </w:rPr>
        <w:t>1</w:t>
      </w:r>
      <w:r>
        <w:rPr>
          <w:spacing w:val="-2"/>
        </w:rPr>
        <w:t>）“多语种网站建设和海外访问提速等项目”为本公司承担财政部“多语种网站建设和海外访问提速等”项目形成的专项资产。截至</w:t>
      </w:r>
      <w:r>
        <w:rPr>
          <w:spacing w:val="64"/>
        </w:rPr>
        <w:t> </w:t>
      </w:r>
      <w:r>
        <w:rPr>
          <w:rFonts w:ascii="宋体" w:hAnsi="宋体" w:cs="宋体" w:eastAsia="宋体" w:hint="default"/>
          <w:spacing w:val="-1"/>
        </w:rPr>
        <w:t>2017</w:t>
      </w:r>
    </w:p>
    <w:p>
      <w:pPr>
        <w:pStyle w:val="BodyText"/>
        <w:spacing w:line="240" w:lineRule="auto" w:before="133"/>
        <w:ind w:left="220" w:right="60"/>
        <w:jc w:val="left"/>
      </w:pP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日，本公司累计收到</w:t>
      </w:r>
      <w:r>
        <w:rPr>
          <w:spacing w:val="-54"/>
        </w:rPr>
        <w:t> </w:t>
      </w:r>
      <w:r>
        <w:rPr>
          <w:rFonts w:ascii="宋体" w:hAnsi="宋体" w:cs="宋体" w:eastAsia="宋体" w:hint="default"/>
        </w:rPr>
        <w:t>339,420,100.00</w:t>
      </w:r>
      <w:r>
        <w:rPr>
          <w:rFonts w:ascii="宋体" w:hAnsi="宋体" w:cs="宋体" w:eastAsia="宋体" w:hint="default"/>
          <w:spacing w:val="-56"/>
        </w:rPr>
        <w:t> </w:t>
      </w:r>
      <w:r>
        <w:rPr/>
        <w:t>元，结转详见本报告第十一节、七、</w:t>
      </w:r>
      <w:r>
        <w:rPr>
          <w:rFonts w:ascii="宋体" w:hAnsi="宋体" w:cs="宋体" w:eastAsia="宋体" w:hint="default"/>
        </w:rPr>
        <w:t>49</w:t>
      </w:r>
      <w:r>
        <w:rPr/>
        <w:t>、专项应付款；</w:t>
      </w:r>
    </w:p>
    <w:p>
      <w:pPr>
        <w:pStyle w:val="BodyText"/>
        <w:spacing w:line="355" w:lineRule="auto" w:before="133"/>
        <w:ind w:left="220" w:right="60" w:firstLine="420"/>
        <w:jc w:val="left"/>
      </w:pPr>
      <w:r>
        <w:rPr>
          <w:spacing w:val="-19"/>
          <w:w w:val="100"/>
        </w:rPr>
        <w:t>（</w:t>
      </w:r>
      <w:r>
        <w:rPr>
          <w:rFonts w:ascii="宋体" w:hAnsi="宋体" w:cs="宋体" w:eastAsia="宋体" w:hint="default"/>
          <w:spacing w:val="-19"/>
          <w:w w:val="100"/>
        </w:rPr>
        <w:t>2</w:t>
      </w:r>
      <w:r>
        <w:rPr>
          <w:spacing w:val="-19"/>
          <w:w w:val="100"/>
        </w:rPr>
        <w:t>）“基于</w:t>
      </w:r>
      <w:r>
        <w:rPr>
          <w:spacing w:val="-54"/>
          <w:w w:val="100"/>
        </w:rPr>
        <w:t> </w:t>
      </w:r>
      <w:r>
        <w:rPr>
          <w:rFonts w:ascii="宋体" w:hAnsi="宋体" w:cs="宋体" w:eastAsia="宋体" w:hint="default"/>
          <w:w w:val="100"/>
        </w:rPr>
        <w:t>4G</w:t>
      </w:r>
      <w:r>
        <w:rPr>
          <w:rFonts w:ascii="宋体" w:hAnsi="宋体" w:cs="宋体" w:eastAsia="宋体" w:hint="default"/>
          <w:spacing w:val="-57"/>
          <w:w w:val="100"/>
        </w:rPr>
        <w:t> </w:t>
      </w:r>
      <w:r>
        <w:rPr>
          <w:spacing w:val="-4"/>
          <w:w w:val="100"/>
        </w:rPr>
        <w:t>移动互联网大数据分析及移动云服务交互系统项目”为本公司承担财政部“文化产业发展专项资金”项目形成的专项资产。截至</w:t>
      </w:r>
      <w:r>
        <w:rPr>
          <w:spacing w:val="-54"/>
          <w:w w:val="100"/>
        </w:rPr>
        <w:t> </w:t>
      </w:r>
      <w:r>
        <w:rPr>
          <w:rFonts w:ascii="宋体" w:hAnsi="宋体" w:cs="宋体" w:eastAsia="宋体" w:hint="default"/>
          <w:spacing w:val="-2"/>
          <w:w w:val="100"/>
        </w:rPr>
        <w:t>2017</w:t>
      </w:r>
      <w:r>
        <w:rPr>
          <w:rFonts w:ascii="宋体" w:hAnsi="宋体" w:cs="宋体" w:eastAsia="宋体" w:hint="default"/>
          <w:w w:val="100"/>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日，本公司累计收到</w:t>
      </w:r>
      <w:r>
        <w:rPr>
          <w:spacing w:val="-54"/>
        </w:rPr>
        <w:t> </w:t>
      </w:r>
      <w:r>
        <w:rPr>
          <w:rFonts w:ascii="宋体" w:hAnsi="宋体" w:cs="宋体" w:eastAsia="宋体" w:hint="default"/>
        </w:rPr>
        <w:t>15,649,719.12</w:t>
      </w:r>
      <w:r>
        <w:rPr>
          <w:rFonts w:ascii="宋体" w:hAnsi="宋体" w:cs="宋体" w:eastAsia="宋体" w:hint="default"/>
          <w:spacing w:val="-53"/>
        </w:rPr>
        <w:t> </w:t>
      </w:r>
      <w:r>
        <w:rPr/>
        <w:t>元，本项目已经结项。详见本报告第十一节、七、</w:t>
      </w:r>
      <w:r>
        <w:rPr>
          <w:rFonts w:ascii="宋体" w:hAnsi="宋体" w:cs="宋体" w:eastAsia="宋体" w:hint="default"/>
        </w:rPr>
        <w:t>51</w:t>
      </w:r>
      <w:r>
        <w:rPr/>
        <w:t>、递延收益；</w:t>
      </w:r>
    </w:p>
    <w:p>
      <w:pPr>
        <w:spacing w:after="0" w:line="355" w:lineRule="auto"/>
        <w:jc w:val="left"/>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left="560" w:right="0"/>
        <w:jc w:val="left"/>
        <w:rPr>
          <w:rFonts w:ascii="宋体" w:hAnsi="宋体" w:cs="宋体" w:eastAsia="宋体" w:hint="default"/>
        </w:rPr>
      </w:pPr>
      <w:r>
        <w:rPr>
          <w:spacing w:val="-2"/>
        </w:rPr>
        <w:t>（</w:t>
      </w:r>
      <w:r>
        <w:rPr>
          <w:rFonts w:ascii="宋体" w:hAnsi="宋体" w:cs="宋体" w:eastAsia="宋体" w:hint="default"/>
          <w:spacing w:val="-2"/>
        </w:rPr>
        <w:t>3</w:t>
      </w:r>
      <w:r>
        <w:rPr>
          <w:spacing w:val="-2"/>
        </w:rPr>
        <w:t>）“移动化社交化分享传播系统”为本公司承担“首批媒体融合发展重点项目之全媒体产品数字加工云平台”项目形成的专项资产。截至</w:t>
      </w:r>
      <w:r>
        <w:rPr>
          <w:spacing w:val="63"/>
        </w:rPr>
        <w:t> </w:t>
      </w:r>
      <w:r>
        <w:rPr>
          <w:rFonts w:ascii="宋体" w:hAnsi="宋体" w:cs="宋体" w:eastAsia="宋体" w:hint="default"/>
          <w:spacing w:val="-1"/>
        </w:rPr>
        <w:t>2017</w:t>
      </w:r>
    </w:p>
    <w:p>
      <w:pPr>
        <w:pStyle w:val="BodyText"/>
        <w:spacing w:line="240" w:lineRule="auto" w:before="133"/>
        <w:ind w:left="140" w:right="0"/>
        <w:jc w:val="left"/>
      </w:pPr>
      <w:r>
        <w:rPr/>
        <w:t>年</w:t>
      </w:r>
      <w:r>
        <w:rPr>
          <w:spacing w:val="-54"/>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7"/>
        </w:rPr>
        <w:t> </w:t>
      </w:r>
      <w:r>
        <w:rPr/>
        <w:t>日，本公司累计收到</w:t>
      </w:r>
      <w:r>
        <w:rPr>
          <w:spacing w:val="-55"/>
        </w:rPr>
        <w:t> </w:t>
      </w:r>
      <w:r>
        <w:rPr>
          <w:rFonts w:ascii="宋体" w:hAnsi="宋体" w:cs="宋体" w:eastAsia="宋体" w:hint="default"/>
        </w:rPr>
        <w:t>2,480.00</w:t>
      </w:r>
      <w:r>
        <w:rPr>
          <w:rFonts w:ascii="宋体" w:hAnsi="宋体" w:cs="宋体" w:eastAsia="宋体" w:hint="default"/>
          <w:spacing w:val="-54"/>
        </w:rPr>
        <w:t> </w:t>
      </w:r>
      <w:r>
        <w:rPr/>
        <w:t>万元，详见本报告第十一节、七、</w:t>
      </w:r>
      <w:r>
        <w:rPr>
          <w:rFonts w:ascii="宋体" w:hAnsi="宋体" w:cs="宋体" w:eastAsia="宋体" w:hint="default"/>
        </w:rPr>
        <w:t>49</w:t>
      </w:r>
      <w:r>
        <w:rPr/>
        <w:t>、专项应付款。</w:t>
      </w:r>
    </w:p>
    <w:p>
      <w:pPr>
        <w:spacing w:line="240" w:lineRule="auto" w:before="10"/>
        <w:rPr>
          <w:rFonts w:ascii="宋体" w:hAnsi="宋体" w:cs="宋体" w:eastAsia="宋体" w:hint="default"/>
          <w:sz w:val="14"/>
          <w:szCs w:val="14"/>
        </w:rPr>
      </w:pPr>
    </w:p>
    <w:p>
      <w:pPr>
        <w:pStyle w:val="Heading3"/>
        <w:spacing w:line="240" w:lineRule="auto" w:before="0"/>
        <w:ind w:left="140" w:right="0"/>
        <w:jc w:val="left"/>
        <w:rPr>
          <w:b w:val="0"/>
          <w:bCs w:val="0"/>
        </w:rPr>
      </w:pPr>
      <w:r>
        <w:rPr>
          <w:rFonts w:ascii="宋体" w:hAnsi="宋体" w:cs="宋体" w:eastAsia="宋体" w:hint="default"/>
        </w:rPr>
        <w:t>(3).</w:t>
      </w:r>
      <w:r>
        <w:rPr>
          <w:rFonts w:ascii="宋体" w:hAnsi="宋体" w:cs="宋体" w:eastAsia="宋体" w:hint="default"/>
          <w:spacing w:val="58"/>
        </w:rPr>
        <w:t> </w:t>
      </w:r>
      <w:r>
        <w:rPr/>
        <w:t>本期计提在建工程减值准备情况：</w:t>
      </w:r>
      <w:r>
        <w:rPr>
          <w:b w:val="0"/>
          <w:bCs w:val="0"/>
        </w:rPr>
      </w:r>
    </w:p>
    <w:p>
      <w:pPr>
        <w:pStyle w:val="BodyText"/>
        <w:spacing w:line="272" w:lineRule="exact" w:before="86"/>
        <w:ind w:left="140" w:right="12403"/>
        <w:jc w:val="left"/>
      </w:pPr>
      <w:r>
        <w:rPr/>
        <w:t>□适用 √不适用</w:t>
      </w:r>
      <w:r>
        <w:rPr>
          <w:w w:val="100"/>
        </w:rPr>
        <w:t> </w:t>
      </w:r>
      <w:r>
        <w:rPr/>
        <w:t>其他说明</w:t>
      </w:r>
    </w:p>
    <w:p>
      <w:pPr>
        <w:pStyle w:val="BodyText"/>
        <w:spacing w:line="249" w:lineRule="exact"/>
        <w:ind w:left="140" w:right="0"/>
        <w:jc w:val="left"/>
      </w:pPr>
      <w:r>
        <w:rPr/>
        <w:t>□适用 √不适用</w:t>
      </w:r>
    </w:p>
    <w:p>
      <w:pPr>
        <w:pStyle w:val="Heading3"/>
        <w:spacing w:line="240" w:lineRule="auto" w:before="57"/>
        <w:ind w:left="140" w:right="0"/>
        <w:jc w:val="left"/>
        <w:rPr>
          <w:b w:val="0"/>
          <w:bCs w:val="0"/>
        </w:rPr>
      </w:pPr>
      <w:r>
        <w:rPr>
          <w:rFonts w:ascii="宋体" w:hAnsi="宋体" w:cs="宋体" w:eastAsia="宋体" w:hint="default"/>
        </w:rPr>
        <w:t>21</w:t>
      </w:r>
      <w:r>
        <w:rPr/>
        <w:t>、</w:t>
      </w:r>
      <w:r>
        <w:rPr>
          <w:spacing w:val="-24"/>
        </w:rPr>
        <w:t> </w:t>
      </w:r>
      <w:r>
        <w:rPr/>
        <w:t>工程物资</w:t>
      </w:r>
      <w:r>
        <w:rPr>
          <w:b w:val="0"/>
          <w:bCs w:val="0"/>
        </w:rPr>
      </w:r>
    </w:p>
    <w:p>
      <w:pPr>
        <w:pStyle w:val="BodyText"/>
        <w:spacing w:line="240" w:lineRule="auto" w:before="58"/>
        <w:ind w:left="140" w:right="0"/>
        <w:jc w:val="left"/>
      </w:pPr>
      <w:r>
        <w:rPr/>
        <w:t>□适用 √不适用</w:t>
      </w:r>
    </w:p>
    <w:p>
      <w:pPr>
        <w:spacing w:after="0" w:line="240" w:lineRule="auto"/>
        <w:jc w:val="left"/>
        <w:sectPr>
          <w:pgSz w:w="16840" w:h="11910" w:orient="landscape"/>
          <w:pgMar w:header="882" w:footer="1195"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9"/>
          <w:footerReference w:type="default" r:id="rId80"/>
          <w:pgSz w:w="11910" w:h="16840"/>
          <w:pgMar w:header="882" w:footer="1195" w:top="1120" w:bottom="1380" w:left="1500" w:right="980"/>
          <w:pgNumType w:start="134"/>
        </w:sectPr>
      </w:pPr>
    </w:p>
    <w:p>
      <w:pPr>
        <w:pStyle w:val="Heading3"/>
        <w:spacing w:line="240" w:lineRule="auto" w:before="175"/>
        <w:ind w:left="298" w:right="2403"/>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spacing w:line="290" w:lineRule="auto" w:before="56"/>
        <w:ind w:left="298" w:right="240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生产性生物资产</w:t>
      </w:r>
      <w:r>
        <w:rPr>
          <w:rFonts w:ascii="宋体" w:hAnsi="宋体" w:cs="宋体" w:eastAsia="宋体" w:hint="default"/>
          <w:sz w:val="21"/>
          <w:szCs w:val="21"/>
        </w:rPr>
      </w:r>
    </w:p>
    <w:p>
      <w:pPr>
        <w:pStyle w:val="Heading3"/>
        <w:spacing w:line="240" w:lineRule="auto" w:before="12"/>
        <w:ind w:left="298" w:right="-18"/>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8"/>
        <w:ind w:left="298" w:right="2403"/>
        <w:jc w:val="left"/>
      </w:pPr>
      <w:r>
        <w:rPr/>
        <w:t>□适用</w:t>
      </w:r>
      <w:r>
        <w:rPr>
          <w:spacing w:val="-1"/>
        </w:rPr>
        <w:t> </w:t>
      </w:r>
      <w:r>
        <w:rPr/>
        <w:t>√不适用</w:t>
      </w:r>
    </w:p>
    <w:p>
      <w:pPr>
        <w:pStyle w:val="Heading3"/>
        <w:spacing w:line="240" w:lineRule="auto" w:before="56"/>
        <w:ind w:left="298" w:right="-18"/>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72" w:lineRule="exact" w:before="86"/>
        <w:ind w:left="298" w:right="2805"/>
        <w:jc w:val="left"/>
      </w:pPr>
      <w:r>
        <w:rPr/>
        <w:t>□适用</w:t>
      </w:r>
      <w:r>
        <w:rPr>
          <w:spacing w:val="-1"/>
        </w:rPr>
        <w:t> </w:t>
      </w:r>
      <w:r>
        <w:rPr/>
        <w:t>√不适用</w:t>
      </w:r>
      <w:r>
        <w:rPr>
          <w:w w:val="100"/>
        </w:rPr>
        <w:t> </w:t>
      </w:r>
      <w:r>
        <w:rPr/>
        <w:t>其他说明</w:t>
      </w:r>
    </w:p>
    <w:p>
      <w:pPr>
        <w:pStyle w:val="BodyText"/>
        <w:spacing w:line="249" w:lineRule="exact"/>
        <w:ind w:left="298" w:right="2403"/>
        <w:jc w:val="left"/>
      </w:pPr>
      <w:r>
        <w:rPr/>
        <w:t>□适用</w:t>
      </w:r>
      <w:r>
        <w:rPr>
          <w:spacing w:val="-1"/>
        </w:rPr>
        <w:t> </w:t>
      </w:r>
      <w:r>
        <w:rPr/>
        <w:t>√不适用</w:t>
      </w:r>
    </w:p>
    <w:p>
      <w:pPr>
        <w:pStyle w:val="Heading3"/>
        <w:spacing w:line="240" w:lineRule="auto" w:before="57"/>
        <w:ind w:left="298" w:right="2403"/>
        <w:jc w:val="left"/>
        <w:rPr>
          <w:b w:val="0"/>
          <w:bCs w:val="0"/>
        </w:rPr>
      </w:pPr>
      <w:r>
        <w:rPr>
          <w:rFonts w:ascii="宋体" w:hAnsi="宋体" w:cs="宋体" w:eastAsia="宋体" w:hint="default"/>
        </w:rPr>
        <w:t>24</w:t>
      </w:r>
      <w:r>
        <w:rPr/>
        <w:t>、</w:t>
      </w:r>
      <w:r>
        <w:rPr>
          <w:spacing w:val="-25"/>
        </w:rPr>
        <w:t> </w:t>
      </w:r>
      <w:r>
        <w:rPr/>
        <w:t>油气资产</w:t>
      </w:r>
      <w:r>
        <w:rPr>
          <w:b w:val="0"/>
          <w:bCs w:val="0"/>
        </w:rPr>
      </w:r>
    </w:p>
    <w:p>
      <w:pPr>
        <w:spacing w:line="290" w:lineRule="auto" w:before="58"/>
        <w:ind w:left="298" w:right="280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3"/>
        <w:spacing w:line="240" w:lineRule="auto" w:before="14"/>
        <w:ind w:left="298" w:right="2403"/>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140" w:val="left" w:leader="none"/>
        </w:tabs>
        <w:spacing w:line="240" w:lineRule="auto" w:before="56"/>
        <w:ind w:left="298" w:right="2403"/>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tabs>
          <w:tab w:pos="1455" w:val="left" w:leader="none"/>
        </w:tabs>
        <w:spacing w:line="240" w:lineRule="auto"/>
        <w:ind w:left="298" w:right="0"/>
        <w:jc w:val="left"/>
      </w:pPr>
      <w:r>
        <w:rPr>
          <w:spacing w:val="-1"/>
        </w:rPr>
        <w:t>单位：元</w:t>
        <w:tab/>
      </w:r>
      <w:r>
        <w:rPr>
          <w:spacing w:val="-2"/>
        </w:rPr>
        <w:t>币种：人民币</w:t>
      </w:r>
    </w:p>
    <w:p>
      <w:pPr>
        <w:spacing w:after="0" w:line="240" w:lineRule="auto"/>
        <w:jc w:val="left"/>
        <w:sectPr>
          <w:type w:val="continuous"/>
          <w:pgSz w:w="11910" w:h="16840"/>
          <w:pgMar w:top="1120" w:bottom="1380" w:left="1500" w:right="980"/>
          <w:cols w:num="2" w:equalWidth="0">
            <w:col w:w="4698" w:space="1721"/>
            <w:col w:w="3011"/>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737"/>
        <w:gridCol w:w="991"/>
        <w:gridCol w:w="1136"/>
        <w:gridCol w:w="1051"/>
        <w:gridCol w:w="1707"/>
        <w:gridCol w:w="1582"/>
      </w:tblGrid>
      <w:tr>
        <w:trPr>
          <w:trHeight w:val="554"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土地使</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用权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非专利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技术</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软件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7,852,595.33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7,852,595.33</w:t>
            </w:r>
          </w:p>
        </w:tc>
      </w:tr>
      <w:tr>
        <w:trPr>
          <w:trHeight w:val="351"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5,917,410.46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5,917,410.46</w:t>
            </w:r>
          </w:p>
        </w:tc>
      </w:tr>
      <w:tr>
        <w:trPr>
          <w:trHeight w:val="34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4,631,500.46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4,631,500.46</w:t>
            </w:r>
          </w:p>
        </w:tc>
      </w:tr>
      <w:tr>
        <w:trPr>
          <w:trHeight w:val="557"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1,285,910.00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1,285,910.00</w:t>
            </w: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1,285,910.00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1,285,910.00</w:t>
            </w: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1,285,910.00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1,285,910.00</w:t>
            </w:r>
          </w:p>
        </w:tc>
      </w:tr>
      <w:tr>
        <w:trPr>
          <w:trHeight w:val="281" w:hRule="exact"/>
        </w:trPr>
        <w:tc>
          <w:tcPr>
            <w:tcW w:w="273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12,484,095.79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12,484,095.79</w:t>
            </w:r>
          </w:p>
        </w:tc>
      </w:tr>
      <w:tr>
        <w:trPr>
          <w:trHeight w:val="351"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4,366,711.58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4,366,711.58</w:t>
            </w: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753,705.87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753,705.87</w:t>
            </w: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753,705.87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753,705.87</w:t>
            </w:r>
          </w:p>
        </w:tc>
      </w:tr>
      <w:tr>
        <w:trPr>
          <w:trHeight w:val="281" w:hRule="exact"/>
        </w:trPr>
        <w:tc>
          <w:tcPr>
            <w:tcW w:w="273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97,115.32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97,115.32</w:t>
            </w: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97,115.32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97,115.32</w:t>
            </w: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5,023,302.13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5,023,302.13</w:t>
            </w: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0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737"/>
        <w:gridCol w:w="991"/>
        <w:gridCol w:w="1136"/>
        <w:gridCol w:w="1051"/>
        <w:gridCol w:w="1707"/>
        <w:gridCol w:w="1582"/>
      </w:tblGrid>
      <w:tr>
        <w:trPr>
          <w:trHeight w:val="351"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3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7,460,793.66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7,460,793.66</w:t>
            </w:r>
          </w:p>
        </w:tc>
      </w:tr>
      <w:tr>
        <w:trPr>
          <w:trHeight w:val="350"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3,485,883.75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3,485,883.75</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00" w:right="980"/>
        </w:sectPr>
      </w:pPr>
    </w:p>
    <w:p>
      <w:pPr>
        <w:pStyle w:val="BodyText"/>
        <w:spacing w:line="240" w:lineRule="auto" w:before="36"/>
        <w:ind w:left="298" w:right="-11"/>
        <w:jc w:val="left"/>
        <w:rPr>
          <w:rFonts w:ascii="宋体" w:hAnsi="宋体" w:cs="宋体" w:eastAsia="宋体" w:hint="default"/>
        </w:rPr>
      </w:pPr>
      <w:r>
        <w:rPr>
          <w:spacing w:val="-2"/>
        </w:rPr>
        <w:t>本期末通过公司内部研发形成的无形资产占无形资产余额的比例</w:t>
      </w:r>
      <w:r>
        <w:rPr>
          <w:spacing w:val="4"/>
        </w:rPr>
        <w:t> </w:t>
      </w:r>
      <w:r>
        <w:rPr>
          <w:rFonts w:ascii="宋体" w:hAnsi="宋体" w:cs="宋体" w:eastAsia="宋体" w:hint="default"/>
          <w:spacing w:val="-1"/>
        </w:rPr>
        <w:t>0.00</w:t>
      </w:r>
    </w:p>
    <w:p>
      <w:pPr>
        <w:pStyle w:val="Heading3"/>
        <w:spacing w:line="240" w:lineRule="auto" w:before="58"/>
        <w:ind w:left="298" w:right="-11"/>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298" w:right="4764"/>
        <w:jc w:val="left"/>
      </w:pPr>
      <w:r>
        <w:rPr/>
        <w:t>□适用</w:t>
      </w:r>
      <w:r>
        <w:rPr>
          <w:spacing w:val="-1"/>
        </w:rPr>
        <w:t> </w:t>
      </w:r>
      <w:r>
        <w:rPr/>
        <w:t>√不适用</w:t>
      </w:r>
      <w:r>
        <w:rPr>
          <w:w w:val="100"/>
        </w:rPr>
        <w:t> </w:t>
      </w:r>
      <w:r>
        <w:rPr/>
        <w:t>其他说明：</w:t>
      </w:r>
    </w:p>
    <w:p>
      <w:pPr>
        <w:spacing w:line="290" w:lineRule="auto" w:before="0"/>
        <w:ind w:left="298" w:right="47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90" w:lineRule="auto" w:before="12"/>
        <w:ind w:left="298" w:right="47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商誉</w:t>
      </w:r>
      <w:r>
        <w:rPr>
          <w:rFonts w:ascii="宋体" w:hAnsi="宋体" w:cs="宋体" w:eastAsia="宋体" w:hint="default"/>
          <w:sz w:val="21"/>
          <w:szCs w:val="21"/>
        </w:rPr>
      </w:r>
    </w:p>
    <w:p>
      <w:pPr>
        <w:pStyle w:val="Heading3"/>
        <w:spacing w:line="240" w:lineRule="auto" w:before="12"/>
        <w:ind w:left="298" w:right="-11"/>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spacing w:line="292" w:lineRule="auto" w:before="56"/>
        <w:ind w:left="298" w:right="448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0"/>
          <w:sz w:val="21"/>
          <w:szCs w:val="21"/>
        </w:rPr>
        <w:t> </w:t>
      </w:r>
      <w:r>
        <w:rPr>
          <w:rFonts w:ascii="宋体" w:hAnsi="宋体" w:cs="宋体" w:eastAsia="宋体" w:hint="default"/>
          <w:b/>
          <w:bCs/>
          <w:sz w:val="21"/>
          <w:szCs w:val="21"/>
        </w:rPr>
        <w:t>商誉减值准备</w:t>
      </w:r>
      <w:r>
        <w:rPr>
          <w:rFonts w:ascii="宋体" w:hAnsi="宋体" w:cs="宋体" w:eastAsia="宋体" w:hint="default"/>
          <w:sz w:val="21"/>
          <w:szCs w:val="21"/>
        </w:rPr>
      </w:r>
    </w:p>
    <w:p>
      <w:pPr>
        <w:pStyle w:val="BodyText"/>
        <w:spacing w:line="240" w:lineRule="auto" w:before="10"/>
        <w:ind w:left="298" w:right="-11"/>
        <w:jc w:val="left"/>
      </w:pPr>
      <w:r>
        <w:rPr/>
        <w:t>□适用</w:t>
      </w:r>
      <w:r>
        <w:rPr>
          <w:spacing w:val="-2"/>
        </w:rPr>
        <w:t> </w:t>
      </w:r>
      <w:r>
        <w:rPr/>
        <w:t>√不适用</w:t>
      </w:r>
      <w:r>
        <w:rPr>
          <w:w w:val="100"/>
        </w:rPr>
        <w:t> </w:t>
      </w:r>
      <w:r>
        <w:rPr>
          <w:spacing w:val="-2"/>
        </w:rPr>
        <w:t>说明商誉减值测试过程、参数及商誉减值损失的确认方法</w:t>
      </w:r>
    </w:p>
    <w:p>
      <w:pPr>
        <w:pStyle w:val="BodyText"/>
        <w:spacing w:line="274" w:lineRule="exact" w:before="22"/>
        <w:ind w:left="298" w:right="4764"/>
        <w:jc w:val="left"/>
      </w:pPr>
      <w:r>
        <w:rPr/>
        <w:t>□适用</w:t>
      </w:r>
      <w:r>
        <w:rPr>
          <w:spacing w:val="-1"/>
        </w:rPr>
        <w:t> </w:t>
      </w:r>
      <w:r>
        <w:rPr/>
        <w:t>√不适用</w:t>
      </w:r>
      <w:r>
        <w:rPr>
          <w:w w:val="100"/>
        </w:rPr>
        <w:t> </w:t>
      </w:r>
      <w:r>
        <w:rPr/>
        <w:t>其他说明</w:t>
      </w:r>
    </w:p>
    <w:p>
      <w:pPr>
        <w:pStyle w:val="BodyText"/>
        <w:spacing w:line="246" w:lineRule="exact"/>
        <w:ind w:left="298" w:right="-11"/>
        <w:jc w:val="left"/>
      </w:pPr>
      <w:r>
        <w:rPr/>
        <w:t>□适用</w:t>
      </w:r>
      <w:r>
        <w:rPr>
          <w:spacing w:val="-1"/>
        </w:rPr>
        <w:t> </w:t>
      </w:r>
      <w:r>
        <w:rPr/>
        <w:t>√不适用</w:t>
      </w:r>
    </w:p>
    <w:p>
      <w:pPr>
        <w:pStyle w:val="Heading3"/>
        <w:spacing w:line="240" w:lineRule="auto" w:before="58"/>
        <w:ind w:left="298" w:right="-11"/>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left="298" w:right="-11"/>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tabs>
          <w:tab w:pos="1177" w:val="left" w:leader="none"/>
        </w:tabs>
        <w:spacing w:line="240" w:lineRule="auto"/>
        <w:ind w:left="19" w:right="0"/>
        <w:jc w:val="left"/>
      </w:pPr>
      <w:r>
        <w:rPr>
          <w:spacing w:val="-1"/>
        </w:rPr>
        <w:t>单位：元</w:t>
        <w:tab/>
      </w:r>
      <w:r>
        <w:rPr>
          <w:spacing w:val="-2"/>
        </w:rPr>
        <w:t>币种：人民币</w:t>
      </w:r>
    </w:p>
    <w:p>
      <w:pPr>
        <w:spacing w:after="0" w:line="240" w:lineRule="auto"/>
        <w:jc w:val="left"/>
        <w:sectPr>
          <w:type w:val="continuous"/>
          <w:pgSz w:w="11910" w:h="16840"/>
          <w:pgMar w:top="1120" w:bottom="1380" w:left="1500" w:right="980"/>
          <w:cols w:num="2" w:equalWidth="0">
            <w:col w:w="6657" w:space="40"/>
            <w:col w:w="2733"/>
          </w:cols>
        </w:sectPr>
      </w:pPr>
    </w:p>
    <w:p>
      <w:pPr>
        <w:spacing w:line="240" w:lineRule="auto" w:before="4"/>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1387"/>
        <w:gridCol w:w="1594"/>
        <w:gridCol w:w="1238"/>
        <w:gridCol w:w="1776"/>
        <w:gridCol w:w="1462"/>
        <w:gridCol w:w="1591"/>
      </w:tblGrid>
      <w:tr>
        <w:trPr>
          <w:trHeight w:val="55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东航“新华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网”号广告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188,433.60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188,433.60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24,020,600.56</w:t>
            </w:r>
          </w:p>
        </w:tc>
        <w:tc>
          <w:tcPr>
            <w:tcW w:w="12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7,463,012.36</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16,557,588.20</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网信物业费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330,000.00</w:t>
            </w:r>
          </w:p>
        </w:tc>
      </w:tr>
      <w:tr>
        <w:trPr>
          <w:trHeight w:val="55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睿至大数据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平台租赁费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30,326,342.77</w:t>
            </w:r>
          </w:p>
        </w:tc>
        <w:tc>
          <w:tcPr>
            <w:tcW w:w="12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16,326,666.67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13,999,676.10</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w w:val="95"/>
                <w:sz w:val="21"/>
              </w:rPr>
              <w:t>55,195,376.93</w:t>
            </w:r>
            <w:r>
              <w:rPr>
                <w:rFonts w:ascii="宋体"/>
                <w:sz w:val="21"/>
              </w:rPr>
            </w:r>
          </w:p>
        </w:tc>
        <w:tc>
          <w:tcPr>
            <w:tcW w:w="12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w w:val="95"/>
                <w:sz w:val="21"/>
              </w:rPr>
              <w:t>24,308,112.63</w:t>
            </w:r>
            <w:r>
              <w:rPr>
                <w:rFonts w:ascii="宋体"/>
                <w:sz w:val="21"/>
              </w:rPr>
            </w:r>
          </w:p>
        </w:tc>
        <w:tc>
          <w:tcPr>
            <w:tcW w:w="146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30,887,264.30</w:t>
            </w:r>
            <w:r>
              <w:rPr>
                <w:rFonts w:ascii="宋体"/>
                <w:sz w:val="21"/>
              </w:rPr>
            </w:r>
          </w:p>
        </w:tc>
      </w:tr>
    </w:tbl>
    <w:p>
      <w:pPr>
        <w:spacing w:line="240" w:lineRule="auto" w:before="5"/>
        <w:rPr>
          <w:rFonts w:ascii="宋体" w:hAnsi="宋体" w:cs="宋体" w:eastAsia="宋体" w:hint="default"/>
          <w:sz w:val="15"/>
          <w:szCs w:val="15"/>
        </w:rPr>
      </w:pPr>
    </w:p>
    <w:p>
      <w:pPr>
        <w:pStyle w:val="BodyText"/>
        <w:spacing w:line="240" w:lineRule="auto" w:before="36"/>
        <w:ind w:left="298" w:right="5549"/>
        <w:jc w:val="left"/>
      </w:pPr>
      <w:r>
        <w:rPr/>
        <w:t>其他说明：无</w:t>
      </w:r>
    </w:p>
    <w:p>
      <w:pPr>
        <w:pStyle w:val="Heading3"/>
        <w:spacing w:line="290" w:lineRule="auto" w:before="58"/>
        <w:ind w:left="298" w:right="5549"/>
        <w:jc w:val="left"/>
        <w:rPr>
          <w:b w:val="0"/>
          <w:bCs w:val="0"/>
        </w:rPr>
      </w:pPr>
      <w:r>
        <w:rPr>
          <w:rFonts w:ascii="宋体" w:hAnsi="宋体" w:cs="宋体" w:eastAsia="宋体" w:hint="default"/>
        </w:rPr>
        <w:t>29</w:t>
      </w:r>
      <w:r>
        <w:rPr/>
        <w:t>、</w:t>
      </w:r>
      <w:r>
        <w:rPr>
          <w:spacing w:val="-27"/>
        </w:rPr>
        <w:t> </w:t>
      </w:r>
      <w:r>
        <w:rPr/>
        <w:t>递延所得税资产</w:t>
      </w:r>
      <w:r>
        <w:rPr>
          <w:rFonts w:ascii="宋体" w:hAnsi="宋体" w:cs="宋体" w:eastAsia="宋体" w:hint="default"/>
        </w:rPr>
        <w:t>/</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5"/>
        <w:ind w:left="298" w:right="5549"/>
        <w:jc w:val="left"/>
      </w:pPr>
      <w:r>
        <w:rPr/>
        <w:t>□适用</w:t>
      </w:r>
      <w:r>
        <w:rPr>
          <w:spacing w:val="-1"/>
        </w:rPr>
        <w:t> </w:t>
      </w:r>
      <w:r>
        <w:rPr/>
        <w:t>√不适用</w:t>
      </w:r>
    </w:p>
    <w:p>
      <w:pPr>
        <w:pStyle w:val="Heading3"/>
        <w:spacing w:line="240" w:lineRule="auto" w:before="56"/>
        <w:ind w:left="298" w:right="5549"/>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left="298" w:right="5549"/>
        <w:jc w:val="left"/>
      </w:pPr>
      <w:r>
        <w:rPr/>
        <w:t>□适用</w:t>
      </w:r>
      <w:r>
        <w:rPr>
          <w:spacing w:val="-1"/>
        </w:rPr>
        <w:t> </w:t>
      </w:r>
      <w:r>
        <w:rPr/>
        <w:t>√不适用</w:t>
      </w:r>
    </w:p>
    <w:p>
      <w:pPr>
        <w:spacing w:after="0" w:line="240" w:lineRule="auto"/>
        <w:jc w:val="left"/>
        <w:sectPr>
          <w:type w:val="continuous"/>
          <w:pgSz w:w="11910" w:h="16840"/>
          <w:pgMar w:top="1120" w:bottom="1380" w:left="1500" w:right="9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left="218" w:right="-18"/>
        <w:jc w:val="left"/>
      </w:pPr>
      <w:r>
        <w:rPr/>
        <w:t>□适用</w:t>
      </w:r>
      <w:r>
        <w:rPr>
          <w:spacing w:val="-1"/>
        </w:rPr>
        <w:t> </w:t>
      </w:r>
      <w:r>
        <w:rPr/>
        <w:t>√不适用</w:t>
      </w:r>
    </w:p>
    <w:p>
      <w:pPr>
        <w:pStyle w:val="Heading3"/>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393"/>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2,280,834.44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8,894,616.63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11,175,451.07</w:t>
            </w: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pStyle w:val="Heading3"/>
        <w:spacing w:line="240" w:lineRule="auto" w:before="26"/>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left="218" w:right="4053"/>
        <w:jc w:val="left"/>
      </w:pPr>
      <w:r>
        <w:rPr/>
        <w:t>□适用</w:t>
      </w:r>
      <w:r>
        <w:rPr>
          <w:spacing w:val="-1"/>
        </w:rPr>
        <w:t> </w:t>
      </w:r>
      <w:r>
        <w:rPr/>
        <w:t>√不适用</w:t>
      </w:r>
      <w:r>
        <w:rPr>
          <w:w w:val="100"/>
        </w:rPr>
        <w:t> </w:t>
      </w:r>
      <w:r>
        <w:rPr/>
        <w:t>其他说明：</w:t>
      </w:r>
    </w:p>
    <w:p>
      <w:pPr>
        <w:spacing w:line="290" w:lineRule="auto" w:before="0"/>
        <w:ind w:left="218" w:right="36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pStyle w:val="BodyText"/>
        <w:spacing w:line="240" w:lineRule="auto" w:before="12"/>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553"/>
            <w:col w:w="287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2"/>
        <w:gridCol w:w="2744"/>
        <w:gridCol w:w="3001"/>
      </w:tblGrid>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预付无人机款</w:t>
            </w:r>
          </w:p>
        </w:tc>
        <w:tc>
          <w:tcPr>
            <w:tcW w:w="2744"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5,927,600.00</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预付系统工程、设备款、车辆款</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7,323,226.68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5,877,619.37</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7,323,226.68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11,805,219.37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left="218" w:right="-16"/>
        <w:jc w:val="left"/>
      </w:pPr>
      <w:r>
        <w:rPr/>
        <w:t>其他说明：无</w:t>
      </w:r>
    </w:p>
    <w:p>
      <w:pPr>
        <w:pStyle w:val="Heading3"/>
        <w:spacing w:line="240" w:lineRule="auto" w:before="56"/>
        <w:ind w:right="-16"/>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3"/>
        <w:tabs>
          <w:tab w:pos="849" w:val="left" w:leader="none"/>
        </w:tabs>
        <w:spacing w:line="240" w:lineRule="auto" w:before="59"/>
        <w:ind w:right="-16"/>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6"/>
        <w:ind w:left="218" w:right="-16"/>
        <w:jc w:val="left"/>
      </w:pPr>
      <w:r>
        <w:rPr/>
        <w:t>□适用</w:t>
      </w:r>
      <w:r>
        <w:rPr>
          <w:spacing w:val="-1"/>
        </w:rPr>
        <w:t> </w:t>
      </w:r>
      <w:r>
        <w:rPr/>
        <w:t>√不适用</w:t>
      </w:r>
    </w:p>
    <w:p>
      <w:pPr>
        <w:pStyle w:val="Heading3"/>
        <w:tabs>
          <w:tab w:pos="849" w:val="left" w:leader="none"/>
        </w:tabs>
        <w:spacing w:line="240" w:lineRule="auto" w:before="58"/>
        <w:ind w:right="-16"/>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left="218" w:right="-16"/>
        <w:jc w:val="left"/>
      </w:pPr>
      <w:r>
        <w:rPr/>
        <w:t>□适用</w:t>
      </w:r>
      <w:r>
        <w:rPr>
          <w:spacing w:val="-2"/>
        </w:rPr>
        <w:t> </w:t>
      </w:r>
      <w:r>
        <w:rPr/>
        <w:t>√不适用</w:t>
      </w:r>
      <w:r>
        <w:rPr>
          <w:w w:val="100"/>
        </w:rPr>
        <w:t> </w:t>
      </w:r>
      <w:r>
        <w:rPr>
          <w:spacing w:val="-2"/>
        </w:rPr>
        <w:t>其中重要的已逾期未偿还的短期借款情况如下：</w:t>
      </w:r>
    </w:p>
    <w:p>
      <w:pPr>
        <w:pStyle w:val="BodyText"/>
        <w:spacing w:line="274" w:lineRule="exact" w:before="22"/>
        <w:ind w:left="218" w:right="3549"/>
        <w:jc w:val="left"/>
      </w:pPr>
      <w:r>
        <w:rPr/>
        <w:t>□适用</w:t>
      </w:r>
      <w:r>
        <w:rPr>
          <w:spacing w:val="-1"/>
        </w:rPr>
        <w:t> </w:t>
      </w:r>
      <w:r>
        <w:rPr/>
        <w:t>√不适用</w:t>
      </w:r>
      <w:r>
        <w:rPr>
          <w:w w:val="100"/>
        </w:rPr>
        <w:t> </w:t>
      </w:r>
      <w:r>
        <w:rPr/>
        <w:t>其他说明</w:t>
      </w:r>
    </w:p>
    <w:p>
      <w:pPr>
        <w:pStyle w:val="BodyText"/>
        <w:spacing w:line="246" w:lineRule="exact"/>
        <w:ind w:left="218" w:right="-16"/>
        <w:jc w:val="left"/>
      </w:pPr>
      <w:r>
        <w:rPr/>
        <w:t>□适用</w:t>
      </w:r>
      <w:r>
        <w:rPr>
          <w:spacing w:val="-1"/>
        </w:rPr>
        <w:t> </w:t>
      </w:r>
      <w:r>
        <w:rPr/>
        <w:t>√不适用</w:t>
      </w:r>
    </w:p>
    <w:p>
      <w:pPr>
        <w:pStyle w:val="Heading3"/>
        <w:spacing w:line="240" w:lineRule="auto" w:before="56"/>
        <w:ind w:right="-16"/>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spacing w:line="290" w:lineRule="auto" w:before="58"/>
        <w:ind w:left="218" w:right="33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90" w:lineRule="auto" w:before="14"/>
        <w:ind w:left="218" w:right="35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90" w:lineRule="auto" w:before="14"/>
        <w:ind w:left="218" w:right="35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pStyle w:val="Heading3"/>
        <w:spacing w:line="240" w:lineRule="auto" w:before="14"/>
        <w:ind w:right="-16"/>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62" w:space="1057"/>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54,934,700.25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39,794,790.75</w:t>
            </w:r>
          </w:p>
        </w:tc>
      </w:tr>
      <w:tr>
        <w:trPr>
          <w:trHeight w:val="35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52,394,483.13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36,174,798.53</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线路租费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6,360,552.47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7,157,424.37</w:t>
            </w:r>
          </w:p>
        </w:tc>
      </w:tr>
    </w:tbl>
    <w:p>
      <w:pPr>
        <w:spacing w:after="0" w:line="27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35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工程项目款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3,589,541.08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2,895,647.85</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软件设备款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3,221,095.64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4,040,837.59</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990,454.68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3,802,283.26</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1,872,107.55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2,696,353.03</w:t>
            </w:r>
          </w:p>
        </w:tc>
      </w:tr>
      <w:tr>
        <w:trPr>
          <w:trHeight w:val="3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b/>
                <w:w w:val="95"/>
                <w:sz w:val="21"/>
              </w:rPr>
              <w:t>123,362,934.80</w:t>
            </w:r>
            <w:r>
              <w:rPr>
                <w:rFonts w:ascii="宋体"/>
                <w:sz w:val="21"/>
              </w:rPr>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b/>
                <w:w w:val="95"/>
                <w:sz w:val="21"/>
              </w:rPr>
              <w:t>96,562,135.38</w:t>
            </w:r>
            <w:r>
              <w:rPr>
                <w:rFonts w:ascii="宋体"/>
                <w:sz w:val="21"/>
              </w:rPr>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41"/>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67" w:space="2852"/>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2319"/>
        <w:gridCol w:w="2938"/>
      </w:tblGrid>
      <w:tr>
        <w:trPr>
          <w:trHeight w:val="348"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7"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中外建华诚城市建设有限公司北京工程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承包分公司</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1,452,816.05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348"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北京方正奥德计算机系统有限公司</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893,400.00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35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太极计算机股份有限公司</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812,000.00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35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太极计算机股份有限公司</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731,583.79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35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杭州子晏文化创意有限公司</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550,000.00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350"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4,439,799.84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left="218" w:right="412"/>
        <w:jc w:val="left"/>
      </w:pPr>
      <w:r>
        <w:rPr/>
        <w:t>其他说明</w:t>
      </w:r>
    </w:p>
    <w:p>
      <w:pPr>
        <w:spacing w:line="290" w:lineRule="auto" w:before="0"/>
        <w:ind w:left="218" w:right="41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pStyle w:val="Heading3"/>
        <w:spacing w:line="240" w:lineRule="auto" w:before="14"/>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194"/>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94,061,963.24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105,185,489.82</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95,511,680.36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77,864,338.34</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其他服务款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41,200,189.38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10,699,662.93</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230,773,832.98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193,749,491.09</w:t>
            </w:r>
          </w:p>
        </w:tc>
      </w:tr>
    </w:tbl>
    <w:p>
      <w:pPr>
        <w:pStyle w:val="BodyText"/>
        <w:spacing w:line="241" w:lineRule="exact"/>
        <w:ind w:left="218" w:right="123" w:firstLine="419"/>
        <w:jc w:val="left"/>
        <w:rPr>
          <w:rFonts w:ascii="宋体" w:hAnsi="宋体" w:cs="宋体" w:eastAsia="宋体" w:hint="default"/>
        </w:rPr>
      </w:pPr>
      <w:r>
        <w:rPr>
          <w:spacing w:val="-11"/>
        </w:rPr>
        <w:t>注：于</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4"/>
        </w:rPr>
        <w:t>日，账龄超过一年的预收款项为</w:t>
      </w:r>
      <w:r>
        <w:rPr>
          <w:spacing w:val="-50"/>
        </w:rPr>
        <w:t> </w:t>
      </w:r>
      <w:r>
        <w:rPr>
          <w:rFonts w:ascii="宋体" w:hAnsi="宋体" w:cs="宋体" w:eastAsia="宋体" w:hint="default"/>
        </w:rPr>
        <w:t>68,779,662.58</w:t>
      </w:r>
      <w:r>
        <w:rPr>
          <w:rFonts w:ascii="宋体" w:hAnsi="宋体" w:cs="宋体" w:eastAsia="宋体" w:hint="default"/>
          <w:spacing w:val="-52"/>
        </w:rPr>
        <w:t> </w:t>
      </w:r>
      <w:r>
        <w:rPr>
          <w:spacing w:val="-6"/>
        </w:rPr>
        <w:t>元（</w:t>
      </w:r>
      <w:r>
        <w:rPr>
          <w:rFonts w:ascii="宋体" w:hAnsi="宋体" w:cs="宋体" w:eastAsia="宋体" w:hint="default"/>
          <w:spacing w:val="-6"/>
        </w:rPr>
        <w:t>2016</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spacing w:val="-3"/>
        </w:rPr>
        <w:t>31</w:t>
      </w:r>
      <w:r>
        <w:rPr>
          <w:rFonts w:ascii="宋体" w:hAnsi="宋体" w:cs="宋体" w:eastAsia="宋体" w:hint="default"/>
        </w:rPr>
      </w:r>
    </w:p>
    <w:p>
      <w:pPr>
        <w:pStyle w:val="BodyText"/>
        <w:spacing w:line="357" w:lineRule="auto" w:before="133"/>
        <w:ind w:left="218" w:right="227"/>
        <w:jc w:val="left"/>
      </w:pPr>
      <w:r>
        <w:rPr>
          <w:spacing w:val="-1"/>
        </w:rPr>
        <w:t>日：</w:t>
      </w:r>
      <w:r>
        <w:rPr>
          <w:rFonts w:ascii="宋体" w:hAnsi="宋体" w:cs="宋体" w:eastAsia="宋体" w:hint="default"/>
          <w:spacing w:val="-1"/>
        </w:rPr>
        <w:t>46,736,673.65</w:t>
      </w:r>
      <w:r>
        <w:rPr>
          <w:rFonts w:ascii="宋体" w:hAnsi="宋体" w:cs="宋体" w:eastAsia="宋体" w:hint="default"/>
        </w:rPr>
        <w:t> </w:t>
      </w:r>
      <w:r>
        <w:rPr>
          <w:spacing w:val="-2"/>
        </w:rPr>
        <w:t>元）主要为预收广告业务及信息服务款，鉴于项目尚未完成，该款项尚未结</w:t>
      </w:r>
      <w:r>
        <w:rPr>
          <w:spacing w:val="-81"/>
        </w:rPr>
        <w:t> </w:t>
      </w:r>
      <w:r>
        <w:rPr>
          <w:spacing w:val="-81"/>
        </w:rPr>
      </w:r>
      <w:r>
        <w:rPr/>
        <w:t>清。</w:t>
      </w:r>
    </w:p>
    <w:p>
      <w:pPr>
        <w:spacing w:after="0" w:line="357" w:lineRule="auto"/>
        <w:jc w:val="left"/>
        <w:sectPr>
          <w:type w:val="continuous"/>
          <w:pgSz w:w="11910" w:h="16840"/>
          <w:pgMar w:top="1120" w:bottom="1380" w:left="1580" w:right="1040"/>
        </w:sectPr>
      </w:pPr>
    </w:p>
    <w:p>
      <w:pPr>
        <w:pStyle w:val="Heading3"/>
        <w:spacing w:line="240" w:lineRule="auto" w:before="90"/>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375" w:val="left" w:leader="none"/>
        </w:tabs>
        <w:spacing w:line="240" w:lineRule="auto" w:before="171"/>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07" w:space="2912"/>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18"/>
        <w:gridCol w:w="2031"/>
        <w:gridCol w:w="2701"/>
      </w:tblGrid>
      <w:tr>
        <w:trPr>
          <w:trHeight w:val="350"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48"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上海银橙文化传媒股份有限公司</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18,000,000.00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350"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道有道（北京）科技股份有限公司</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15,550,000.00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350"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中国志愿服务基金会</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4,657,398.59</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350"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摩登大道时尚电子商务有限公司</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2,858,490.60</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351"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福建思创伟业信息科技有限公司</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1,028,301.89</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尚未结算</w:t>
            </w:r>
          </w:p>
        </w:tc>
      </w:tr>
      <w:tr>
        <w:trPr>
          <w:trHeight w:val="350" w:hRule="exact"/>
        </w:trPr>
        <w:tc>
          <w:tcPr>
            <w:tcW w:w="4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42,094,191.08</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w w:val="100"/>
                <w:sz w:val="21"/>
              </w:rPr>
              <w:t>/</w:t>
            </w:r>
          </w:p>
        </w:tc>
      </w:tr>
    </w:tbl>
    <w:p>
      <w:pPr>
        <w:spacing w:after="0" w:line="274"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before="175"/>
        <w:ind w:right="-18"/>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left="218" w:right="3153"/>
        <w:jc w:val="left"/>
      </w:pPr>
      <w:r>
        <w:rPr/>
        <w:t>□适用</w:t>
      </w:r>
      <w:r>
        <w:rPr>
          <w:spacing w:val="-1"/>
        </w:rPr>
        <w:t> </w:t>
      </w:r>
      <w:r>
        <w:rPr/>
        <w:t>√不适用</w:t>
      </w:r>
      <w:r>
        <w:rPr>
          <w:w w:val="100"/>
        </w:rPr>
        <w:t> </w:t>
      </w:r>
      <w:r>
        <w:rPr/>
        <w:t>其他说明</w:t>
      </w:r>
    </w:p>
    <w:p>
      <w:pPr>
        <w:spacing w:line="290" w:lineRule="auto" w:before="0"/>
        <w:ind w:left="218" w:right="29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Heading3"/>
        <w:spacing w:line="240" w:lineRule="auto" w:before="12"/>
        <w:ind w:right="-18"/>
        <w:jc w:val="left"/>
        <w:rPr>
          <w:b w:val="0"/>
          <w:bCs w:val="0"/>
        </w:rPr>
      </w:pPr>
      <w:r>
        <w:rPr>
          <w:rFonts w:ascii="宋体" w:hAnsi="宋体" w:cs="宋体" w:eastAsia="宋体" w:hint="default"/>
        </w:rPr>
        <w:t>(1).</w:t>
      </w:r>
      <w:r>
        <w:rPr/>
        <w:t>应付职工薪酬列示：</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966" w:space="1453"/>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41"/>
        <w:gridCol w:w="1584"/>
        <w:gridCol w:w="1702"/>
        <w:gridCol w:w="1707"/>
        <w:gridCol w:w="1716"/>
      </w:tblGrid>
      <w:tr>
        <w:trPr>
          <w:trHeight w:val="281"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1"/>
              <w:jc w:val="right"/>
              <w:rPr>
                <w:rFonts w:ascii="宋体" w:hAnsi="宋体" w:cs="宋体" w:eastAsia="宋体" w:hint="default"/>
                <w:sz w:val="21"/>
                <w:szCs w:val="21"/>
              </w:rPr>
            </w:pPr>
            <w:r>
              <w:rPr>
                <w:rFonts w:ascii="宋体" w:hAnsi="宋体" w:cs="宋体" w:eastAsia="宋体" w:hint="default"/>
                <w:sz w:val="21"/>
                <w:szCs w:val="21"/>
              </w:rPr>
              <w:t>项目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3"/>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39,978,905.65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412,800,468.09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391,174,964.49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61,604,409.25</w:t>
            </w:r>
          </w:p>
        </w:tc>
      </w:tr>
      <w:tr>
        <w:trPr>
          <w:trHeight w:val="555"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二、离职后福利</w:t>
            </w:r>
            <w:r>
              <w:rPr>
                <w:rFonts w:ascii="宋体" w:hAnsi="宋体" w:cs="宋体" w:eastAsia="宋体" w:hint="default"/>
                <w:spacing w:val="-9"/>
                <w:sz w:val="21"/>
                <w:szCs w:val="21"/>
              </w:rPr>
              <w:t>-</w:t>
            </w:r>
            <w:r>
              <w:rPr>
                <w:rFonts w:ascii="宋体" w:hAnsi="宋体" w:cs="宋体" w:eastAsia="宋体" w:hint="default"/>
                <w:spacing w:val="-9"/>
                <w:sz w:val="21"/>
                <w:szCs w:val="21"/>
              </w:rPr>
              <w:t>设定提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存计划</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3,888,218.30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44,369,237.81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44,816,894.16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3,440,561.95</w:t>
            </w:r>
          </w:p>
        </w:tc>
      </w:tr>
      <w:tr>
        <w:trPr>
          <w:trHeight w:val="283"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3"/>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5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145,807.40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145,807.40</w:t>
            </w: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5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4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1"/>
              <w:jc w:val="right"/>
              <w:rPr>
                <w:rFonts w:ascii="宋体" w:hAnsi="宋体" w:cs="宋体" w:eastAsia="宋体" w:hint="default"/>
                <w:sz w:val="21"/>
                <w:szCs w:val="21"/>
              </w:rPr>
            </w:pPr>
            <w:r>
              <w:rPr>
                <w:rFonts w:ascii="宋体" w:hAnsi="宋体" w:cs="宋体" w:eastAsia="宋体" w:hint="default"/>
                <w:sz w:val="21"/>
                <w:szCs w:val="21"/>
              </w:rPr>
              <w:t>合计</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43,867,123.95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457,315,513.30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436,137,666.05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65,044,971.20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40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24"/>
        <w:gridCol w:w="1673"/>
        <w:gridCol w:w="1688"/>
        <w:gridCol w:w="1688"/>
        <w:gridCol w:w="1678"/>
      </w:tblGrid>
      <w:tr>
        <w:trPr>
          <w:trHeight w:val="28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34,290,612.55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352,604,170.63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331,040,615.93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55,854,167.25</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30,356.10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1,791,282.34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1,757,726.72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63,911.72</w:t>
            </w:r>
          </w:p>
        </w:tc>
      </w:tr>
      <w:tr>
        <w:trPr>
          <w:trHeight w:val="281"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1,953,732.21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25,251,473.74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25,151,090.55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2,054,115.40</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1,787,747.45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22,779,977.09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22,716,735.95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1,850,988.59</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48,006.44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743,232.75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727,925.92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63,313.27</w:t>
            </w:r>
          </w:p>
        </w:tc>
      </w:tr>
      <w:tr>
        <w:trPr>
          <w:trHeight w:val="281"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117,978.32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1,728,263.90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1,706,428.68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139,813.54</w:t>
            </w: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324,616.15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27,593,795.66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27,537,035.84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381,375.97</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3,379,588.64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5,559,745.72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5,688,495.45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3,250,838.91</w:t>
            </w:r>
          </w:p>
        </w:tc>
      </w:tr>
      <w:tr>
        <w:trPr>
          <w:trHeight w:val="28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39,978,905.65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412,800,468.09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391,174,964.49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61,604,409.25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086"/>
            <w:col w:w="287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3,723,314.12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42,654,441.27</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43,103,880.80</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3,273,874.59</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164,904.18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1,714,796.54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1,713,013.36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166,687.36</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3,888,218.30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44,369,237.81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44,816,894.16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3,440,561.95</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33" w:lineRule="auto" w:before="36"/>
        <w:ind w:left="638" w:right="227" w:hanging="420"/>
        <w:jc w:val="left"/>
      </w:pPr>
      <w:r>
        <w:rPr/>
        <w:t>√适用</w:t>
      </w:r>
      <w:r>
        <w:rPr>
          <w:spacing w:val="-2"/>
        </w:rPr>
        <w:t> </w:t>
      </w:r>
      <w:r>
        <w:rPr/>
        <w:t>□不适用</w:t>
      </w:r>
      <w:r>
        <w:rPr>
          <w:w w:val="100"/>
        </w:rPr>
        <w:t> </w:t>
      </w:r>
      <w:r>
        <w:rPr>
          <w:spacing w:val="-2"/>
        </w:rPr>
        <w:t>本公司按规定参加由政府机构设立的养老保险、失业保险计划，根据该等计划，本公司分别</w:t>
      </w:r>
    </w:p>
    <w:p>
      <w:pPr>
        <w:pStyle w:val="BodyText"/>
        <w:spacing w:line="348" w:lineRule="auto" w:before="44"/>
        <w:ind w:left="218" w:right="227"/>
        <w:jc w:val="both"/>
      </w:pPr>
      <w:r>
        <w:rPr>
          <w:spacing w:val="-4"/>
        </w:rPr>
        <w:t>按全部薪酬所得所确定的基数（如达到当地规定的基数上限则按照上限）的</w:t>
      </w:r>
      <w:r>
        <w:rPr>
          <w:rFonts w:ascii="宋体" w:hAnsi="宋体" w:cs="宋体" w:eastAsia="宋体" w:hint="default"/>
          <w:spacing w:val="-4"/>
        </w:rPr>
        <w:t>20%</w:t>
      </w:r>
      <w:r>
        <w:rPr>
          <w:spacing w:val="-4"/>
        </w:rPr>
        <w:t>、</w:t>
      </w:r>
      <w:r>
        <w:rPr>
          <w:rFonts w:ascii="宋体" w:hAnsi="宋体" w:cs="宋体" w:eastAsia="宋体" w:hint="default"/>
          <w:spacing w:val="-4"/>
        </w:rPr>
        <w:t>1%</w:t>
      </w:r>
      <w:r>
        <w:rPr>
          <w:spacing w:val="-4"/>
        </w:rPr>
        <w:t>每月向该等计</w:t>
      </w:r>
      <w:r>
        <w:rPr>
          <w:spacing w:val="-28"/>
        </w:rPr>
        <w:t> </w:t>
      </w:r>
      <w:r>
        <w:rPr>
          <w:spacing w:val="-28"/>
        </w:rPr>
      </w:r>
      <w:r>
        <w:rPr>
          <w:spacing w:val="-2"/>
        </w:rPr>
        <w:t>划缴存费用。除上述每月缴存费用外，本公司不再承担进一步支付义务。相应的支出于发生时计</w:t>
      </w:r>
      <w:r>
        <w:rPr>
          <w:spacing w:val="-25"/>
        </w:rPr>
        <w:t> </w:t>
      </w:r>
      <w:r>
        <w:rPr>
          <w:spacing w:val="-25"/>
        </w:rPr>
      </w:r>
      <w:r>
        <w:rPr/>
        <w:t>入当期损益或相关资产的成本。</w:t>
      </w:r>
    </w:p>
    <w:p>
      <w:pPr>
        <w:pStyle w:val="Heading3"/>
        <w:spacing w:line="258" w:lineRule="exact" w:before="0"/>
        <w:ind w:right="0"/>
        <w:jc w:val="both"/>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6"/>
        <w:ind w:left="218" w:right="0"/>
        <w:jc w:val="both"/>
      </w:pPr>
      <w:r>
        <w:rPr/>
        <w:t>√适用</w:t>
      </w:r>
      <w:r>
        <w:rPr>
          <w:spacing w:val="-1"/>
        </w:rPr>
        <w:t> </w:t>
      </w:r>
      <w:r>
        <w:rPr/>
        <w:t>□不适用</w:t>
      </w:r>
    </w:p>
    <w:p>
      <w:pPr>
        <w:pStyle w:val="BodyText"/>
        <w:tabs>
          <w:tab w:pos="1157"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408"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10,687,028.94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宋体" w:hAnsi="宋体" w:cs="宋体" w:eastAsia="宋体" w:hint="default"/>
                <w:sz w:val="21"/>
                <w:szCs w:val="21"/>
              </w:rPr>
            </w:pPr>
            <w:r>
              <w:rPr>
                <w:rFonts w:ascii="宋体"/>
                <w:spacing w:val="-1"/>
                <w:sz w:val="21"/>
              </w:rPr>
              <w:t>9,135,517.97</w:t>
            </w:r>
          </w:p>
        </w:tc>
      </w:tr>
      <w:tr>
        <w:trPr>
          <w:trHeight w:val="408"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1,400,039.41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562,894.24</w:t>
            </w:r>
          </w:p>
        </w:tc>
      </w:tr>
      <w:tr>
        <w:trPr>
          <w:trHeight w:val="40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8,290,859.56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6,610,455.24</w:t>
            </w:r>
          </w:p>
        </w:tc>
      </w:tr>
      <w:tr>
        <w:trPr>
          <w:trHeight w:val="408"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697,336.47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552,598.00</w:t>
            </w:r>
          </w:p>
        </w:tc>
      </w:tr>
      <w:tr>
        <w:trPr>
          <w:trHeight w:val="40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654,075.16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552,191.94</w:t>
            </w:r>
          </w:p>
        </w:tc>
      </w:tr>
      <w:tr>
        <w:trPr>
          <w:trHeight w:val="408"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6,856,663.16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8,327,625.66</w:t>
            </w:r>
          </w:p>
        </w:tc>
      </w:tr>
      <w:tr>
        <w:trPr>
          <w:trHeight w:val="408"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421,460.30</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b/>
                <w:w w:val="95"/>
                <w:sz w:val="21"/>
              </w:rPr>
              <w:t>29,007,463.00</w:t>
            </w:r>
            <w:r>
              <w:rPr>
                <w:rFonts w:ascii="宋体"/>
                <w:sz w:val="21"/>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b/>
                <w:w w:val="95"/>
                <w:sz w:val="21"/>
              </w:rPr>
              <w:t>25,741,283.05</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left="218" w:right="0"/>
        <w:jc w:val="left"/>
      </w:pPr>
      <w:r>
        <w:rPr/>
        <w:t>其他说明：无</w:t>
      </w:r>
    </w:p>
    <w:p>
      <w:pPr>
        <w:pStyle w:val="Heading3"/>
        <w:spacing w:line="240" w:lineRule="auto" w:before="58"/>
        <w:ind w:right="0"/>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6"/>
        <w:ind w:left="218" w:right="0"/>
        <w:jc w:val="left"/>
      </w:pPr>
      <w:r>
        <w:rPr/>
        <w:t>□适用</w:t>
      </w:r>
      <w:r>
        <w:rPr>
          <w:spacing w:val="-2"/>
        </w:rPr>
        <w:t> </w:t>
      </w:r>
      <w:r>
        <w:rPr/>
        <w:t>√不适用</w:t>
      </w:r>
      <w:r>
        <w:rPr>
          <w:w w:val="100"/>
        </w:rPr>
        <w:t> </w:t>
      </w:r>
      <w:r>
        <w:rPr>
          <w:spacing w:val="-2"/>
        </w:rPr>
        <w:t>重要的已逾期未支付的利息情况：</w:t>
      </w:r>
    </w:p>
    <w:p>
      <w:pPr>
        <w:pStyle w:val="BodyText"/>
        <w:spacing w:line="290" w:lineRule="auto"/>
        <w:ind w:left="218" w:right="1560"/>
        <w:jc w:val="left"/>
      </w:pPr>
      <w:r>
        <w:rPr/>
        <w:t>□适用</w:t>
      </w:r>
      <w:r>
        <w:rPr>
          <w:spacing w:val="-1"/>
        </w:rPr>
        <w:t> </w:t>
      </w:r>
      <w:r>
        <w:rPr/>
        <w:t>√不适用</w:t>
      </w:r>
      <w:r>
        <w:rPr>
          <w:w w:val="100"/>
        </w:rPr>
        <w:t> </w:t>
      </w:r>
      <w:r>
        <w:rPr/>
        <w:t>其他说明：</w:t>
      </w:r>
    </w:p>
    <w:p>
      <w:pPr>
        <w:spacing w:line="290" w:lineRule="auto" w:before="12"/>
        <w:ind w:left="218" w:right="15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90" w:lineRule="auto" w:before="12"/>
        <w:ind w:left="218" w:right="156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pStyle w:val="Heading3"/>
        <w:spacing w:line="240" w:lineRule="auto" w:before="13"/>
        <w:ind w:right="0"/>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3" w:space="3046"/>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40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8"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10,505,937.98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9,851,575.36</w:t>
            </w:r>
          </w:p>
        </w:tc>
      </w:tr>
      <w:tr>
        <w:trPr>
          <w:trHeight w:val="40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535,017.28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3,146,817.48</w:t>
            </w:r>
          </w:p>
        </w:tc>
      </w:tr>
      <w:tr>
        <w:trPr>
          <w:trHeight w:val="408"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社保公积金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252,121.83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862,389.92</w:t>
            </w:r>
          </w:p>
        </w:tc>
      </w:tr>
      <w:tr>
        <w:trPr>
          <w:trHeight w:val="408"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代扣房租</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996,291.59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656,892.45</w:t>
            </w:r>
          </w:p>
        </w:tc>
      </w:tr>
      <w:tr>
        <w:trPr>
          <w:trHeight w:val="40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1,842,494.78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471,895.95</w:t>
            </w:r>
          </w:p>
        </w:tc>
      </w:tr>
      <w:tr>
        <w:trPr>
          <w:trHeight w:val="408"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1,246,698.82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984,650.42</w:t>
            </w:r>
          </w:p>
        </w:tc>
      </w:tr>
      <w:tr>
        <w:trPr>
          <w:trHeight w:val="40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15,378,562.28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15,974,221.58</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left="138" w:right="12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72" w:lineRule="exact" w:before="69"/>
        <w:ind w:right="7374"/>
        <w:jc w:val="left"/>
      </w:pPr>
      <w:r>
        <w:rPr/>
        <w:t>□适用</w:t>
      </w:r>
      <w:r>
        <w:rPr>
          <w:spacing w:val="-1"/>
        </w:rPr>
        <w:t> </w:t>
      </w:r>
      <w:r>
        <w:rPr/>
        <w:t>√不适用</w:t>
      </w:r>
      <w:r>
        <w:rPr>
          <w:w w:val="100"/>
        </w:rPr>
        <w:t> </w:t>
      </w:r>
      <w:r>
        <w:rPr/>
        <w:t>其他说明</w:t>
      </w:r>
    </w:p>
    <w:p>
      <w:pPr>
        <w:pStyle w:val="BodyText"/>
        <w:spacing w:line="249" w:lineRule="exact"/>
        <w:ind w:right="125"/>
        <w:jc w:val="left"/>
      </w:pPr>
      <w:r>
        <w:rPr/>
        <w:t>□适用</w:t>
      </w:r>
      <w:r>
        <w:rPr>
          <w:spacing w:val="-1"/>
        </w:rPr>
        <w:t> </w:t>
      </w:r>
      <w:r>
        <w:rPr/>
        <w:t>√不适用</w:t>
      </w:r>
    </w:p>
    <w:p>
      <w:pPr>
        <w:pStyle w:val="Heading3"/>
        <w:spacing w:line="240" w:lineRule="auto" w:before="56"/>
        <w:ind w:left="138" w:right="125"/>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8"/>
        <w:ind w:right="125"/>
        <w:jc w:val="left"/>
      </w:pPr>
      <w:r>
        <w:rPr/>
        <w:t>□适用</w:t>
      </w:r>
      <w:r>
        <w:rPr>
          <w:spacing w:val="-1"/>
        </w:rPr>
        <w:t> </w:t>
      </w:r>
      <w:r>
        <w:rPr/>
        <w:t>√不适用</w:t>
      </w:r>
    </w:p>
    <w:p>
      <w:pPr>
        <w:pStyle w:val="Heading3"/>
        <w:spacing w:line="240" w:lineRule="auto" w:before="56"/>
        <w:ind w:left="138" w:right="125"/>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spacing w:line="290" w:lineRule="auto" w:before="58"/>
        <w:ind w:left="138" w:right="71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980" w:val="left" w:leader="none"/>
        </w:tabs>
        <w:spacing w:line="227" w:lineRule="exact"/>
        <w:ind w:right="125"/>
        <w:jc w:val="left"/>
      </w:pPr>
      <w:r>
        <w:rPr>
          <w:spacing w:val="-1"/>
        </w:rPr>
        <w:t>□适用</w:t>
        <w:tab/>
      </w:r>
      <w:r>
        <w:rPr>
          <w:spacing w:val="-2"/>
        </w:rPr>
        <w:t>√不适用</w:t>
      </w:r>
    </w:p>
    <w:p>
      <w:pPr>
        <w:pStyle w:val="BodyText"/>
        <w:spacing w:line="273" w:lineRule="exact"/>
        <w:ind w:right="125"/>
        <w:jc w:val="left"/>
      </w:pPr>
      <w:r>
        <w:rPr/>
        <w:t>短期应付债券的增减变动：</w:t>
      </w:r>
    </w:p>
    <w:p>
      <w:pPr>
        <w:pStyle w:val="BodyText"/>
        <w:spacing w:line="290" w:lineRule="auto"/>
        <w:ind w:right="7374"/>
        <w:jc w:val="left"/>
      </w:pPr>
      <w:r>
        <w:rPr/>
        <w:t>□适用</w:t>
      </w:r>
      <w:r>
        <w:rPr>
          <w:spacing w:val="-1"/>
        </w:rPr>
        <w:t> </w:t>
      </w:r>
      <w:r>
        <w:rPr/>
        <w:t>√不适用</w:t>
      </w:r>
      <w:r>
        <w:rPr>
          <w:w w:val="100"/>
        </w:rPr>
        <w:t> </w:t>
      </w:r>
      <w:r>
        <w:rPr/>
        <w:t>其他说明：</w:t>
      </w:r>
    </w:p>
    <w:p>
      <w:pPr>
        <w:spacing w:line="290" w:lineRule="auto" w:before="12"/>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Heading3"/>
        <w:tabs>
          <w:tab w:pos="769" w:val="left" w:leader="none"/>
        </w:tabs>
        <w:spacing w:line="240" w:lineRule="auto" w:before="12"/>
        <w:ind w:left="138" w:right="125"/>
        <w:jc w:val="left"/>
        <w:rPr>
          <w:b w:val="0"/>
          <w:bCs w:val="0"/>
        </w:rPr>
      </w:pPr>
      <w:r>
        <w:rPr>
          <w:rFonts w:ascii="宋体" w:hAnsi="宋体" w:cs="宋体" w:eastAsia="宋体" w:hint="default"/>
          <w:w w:val="95"/>
        </w:rPr>
        <w:t>(1).</w:t>
        <w:tab/>
      </w:r>
      <w:r>
        <w:rPr/>
        <w:t>长期借款分类</w:t>
      </w:r>
      <w:r>
        <w:rPr>
          <w:b w:val="0"/>
          <w:bCs w:val="0"/>
        </w:rPr>
      </w:r>
    </w:p>
    <w:p>
      <w:pPr>
        <w:pStyle w:val="BodyText"/>
        <w:spacing w:line="272" w:lineRule="exact" w:before="86"/>
        <w:ind w:right="5169"/>
        <w:jc w:val="left"/>
      </w:pPr>
      <w:r>
        <w:rPr/>
        <w:t>□适用</w:t>
      </w:r>
      <w:r>
        <w:rPr>
          <w:spacing w:val="-2"/>
        </w:rPr>
        <w:t> </w:t>
      </w:r>
      <w:r>
        <w:rPr/>
        <w:t>√不适用</w:t>
      </w:r>
      <w:r>
        <w:rPr>
          <w:w w:val="100"/>
        </w:rPr>
        <w:t> </w:t>
      </w:r>
      <w:r>
        <w:rPr>
          <w:spacing w:val="-2"/>
        </w:rPr>
        <w:t>其他说明，包括利率区间：</w:t>
      </w:r>
    </w:p>
    <w:p>
      <w:pPr>
        <w:pStyle w:val="BodyText"/>
        <w:spacing w:line="246" w:lineRule="exact"/>
        <w:ind w:right="125"/>
        <w:jc w:val="left"/>
      </w:pPr>
      <w:r>
        <w:rPr/>
        <w:t>□适用</w:t>
      </w:r>
      <w:r>
        <w:rPr>
          <w:spacing w:val="-1"/>
        </w:rPr>
        <w:t> </w:t>
      </w:r>
      <w:r>
        <w:rPr/>
        <w:t>√不适用</w:t>
      </w:r>
    </w:p>
    <w:p>
      <w:pPr>
        <w:pStyle w:val="Heading3"/>
        <w:tabs>
          <w:tab w:pos="809" w:val="left" w:leader="none"/>
        </w:tabs>
        <w:spacing w:line="290" w:lineRule="auto" w:before="58"/>
        <w:ind w:left="138" w:right="7449"/>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4"/>
        <w:ind w:right="125"/>
        <w:jc w:val="left"/>
      </w:pPr>
      <w:r>
        <w:rPr/>
        <w:t>□适用</w:t>
      </w:r>
      <w:r>
        <w:rPr>
          <w:spacing w:val="-1"/>
        </w:rPr>
        <w:t> </w:t>
      </w:r>
      <w:r>
        <w:rPr/>
        <w:t>√不适用</w:t>
      </w:r>
    </w:p>
    <w:p>
      <w:pPr>
        <w:pStyle w:val="Heading3"/>
        <w:tabs>
          <w:tab w:pos="809" w:val="left" w:leader="none"/>
        </w:tabs>
        <w:spacing w:line="240" w:lineRule="auto" w:before="56"/>
        <w:ind w:left="138" w:right="125"/>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right="125"/>
        <w:jc w:val="left"/>
      </w:pPr>
      <w:r>
        <w:rPr/>
        <w:t>□适用</w:t>
      </w:r>
      <w:r>
        <w:rPr>
          <w:spacing w:val="-1"/>
        </w:rPr>
        <w:t> </w:t>
      </w:r>
      <w:r>
        <w:rPr/>
        <w:t>√不适用</w:t>
      </w:r>
    </w:p>
    <w:p>
      <w:pPr>
        <w:pStyle w:val="Heading3"/>
        <w:tabs>
          <w:tab w:pos="809" w:val="left" w:leader="none"/>
        </w:tabs>
        <w:spacing w:line="240" w:lineRule="auto" w:before="56"/>
        <w:ind w:left="138" w:right="125"/>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980" w:val="left" w:leader="none"/>
        </w:tabs>
        <w:spacing w:line="240" w:lineRule="auto" w:before="58"/>
        <w:ind w:right="125"/>
        <w:jc w:val="left"/>
      </w:pPr>
      <w:r>
        <w:rPr>
          <w:spacing w:val="-1"/>
        </w:rPr>
        <w:t>□适用</w:t>
        <w:tab/>
      </w:r>
      <w:r>
        <w:rPr>
          <w:spacing w:val="-2"/>
        </w:rPr>
        <w:t>√不适用</w:t>
      </w:r>
    </w:p>
    <w:p>
      <w:pPr>
        <w:tabs>
          <w:tab w:pos="809" w:val="left" w:leader="none"/>
        </w:tabs>
        <w:spacing w:line="290" w:lineRule="auto" w:before="56"/>
        <w:ind w:left="138" w:right="370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6" w:lineRule="exact"/>
        <w:ind w:right="125"/>
        <w:jc w:val="left"/>
      </w:pPr>
      <w:r>
        <w:rPr/>
        <w:t>□适用</w:t>
      </w:r>
      <w:r>
        <w:rPr>
          <w:spacing w:val="-1"/>
        </w:rPr>
        <w:t> </w:t>
      </w:r>
      <w:r>
        <w:rPr/>
        <w:t>√不适用</w:t>
      </w:r>
    </w:p>
    <w:p>
      <w:pPr>
        <w:pStyle w:val="BodyText"/>
        <w:spacing w:line="273" w:lineRule="exact"/>
        <w:ind w:right="125"/>
        <w:jc w:val="left"/>
      </w:pPr>
      <w:r>
        <w:rPr/>
        <w:t>期末发行在外的优先股、永续债等金融工具变动情况表</w:t>
      </w:r>
    </w:p>
    <w:p>
      <w:pPr>
        <w:pStyle w:val="BodyText"/>
        <w:spacing w:line="290" w:lineRule="auto"/>
        <w:ind w:right="5169"/>
        <w:jc w:val="left"/>
      </w:pPr>
      <w:r>
        <w:rPr/>
        <w:t>□适用</w:t>
      </w:r>
      <w:r>
        <w:rPr>
          <w:spacing w:val="-2"/>
        </w:rPr>
        <w:t> </w:t>
      </w:r>
      <w:r>
        <w:rPr/>
        <w:t>√不适用</w:t>
      </w:r>
      <w:r>
        <w:rPr>
          <w:w w:val="100"/>
        </w:rPr>
        <w:t> </w:t>
      </w:r>
      <w:r>
        <w:rPr>
          <w:spacing w:val="-2"/>
        </w:rPr>
        <w:t>其他金融工具划分为金融负债的依据说明</w:t>
      </w:r>
    </w:p>
    <w:p>
      <w:pPr>
        <w:pStyle w:val="BodyText"/>
        <w:spacing w:line="290" w:lineRule="auto" w:before="12"/>
        <w:ind w:right="7374"/>
        <w:jc w:val="left"/>
      </w:pPr>
      <w:r>
        <w:rPr/>
        <w:t>□适用</w:t>
      </w:r>
      <w:r>
        <w:rPr>
          <w:spacing w:val="-1"/>
        </w:rPr>
        <w:t> </w:t>
      </w:r>
      <w:r>
        <w:rPr/>
        <w:t>√不适用</w:t>
      </w:r>
      <w:r>
        <w:rPr>
          <w:w w:val="100"/>
        </w:rPr>
        <w:t> </w:t>
      </w:r>
      <w:r>
        <w:rPr/>
        <w:t>其他说明：</w:t>
      </w:r>
    </w:p>
    <w:p>
      <w:pPr>
        <w:spacing w:line="290" w:lineRule="auto" w:before="12"/>
        <w:ind w:left="138" w:right="73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7"/>
          <w:sz w:val="21"/>
          <w:szCs w:val="21"/>
        </w:rPr>
        <w:t> </w:t>
      </w:r>
      <w:r>
        <w:rPr>
          <w:rFonts w:ascii="宋体" w:hAnsi="宋体" w:cs="宋体" w:eastAsia="宋体" w:hint="default"/>
          <w:spacing w:val="-3"/>
          <w:sz w:val="21"/>
          <w:szCs w:val="21"/>
        </w:rPr>
        <w:t>√不适用</w:t>
      </w:r>
      <w:r>
        <w:rPr>
          <w:rFonts w:ascii="宋体" w:hAnsi="宋体" w:cs="宋体" w:eastAsia="宋体" w:hint="default"/>
          <w:spacing w:val="-3"/>
          <w:w w:val="100"/>
          <w:sz w:val="21"/>
          <w:szCs w:val="21"/>
        </w:rPr>
        <w:t> </w:t>
      </w: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长期应付款</w:t>
      </w:r>
      <w:r>
        <w:rPr>
          <w:rFonts w:ascii="宋体" w:hAnsi="宋体" w:cs="宋体" w:eastAsia="宋体" w:hint="default"/>
          <w:sz w:val="21"/>
          <w:szCs w:val="21"/>
        </w:rPr>
      </w:r>
    </w:p>
    <w:p>
      <w:pPr>
        <w:pStyle w:val="Heading3"/>
        <w:spacing w:line="274" w:lineRule="exact" w:before="12"/>
        <w:ind w:left="138" w:right="125"/>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4" w:lineRule="exact"/>
        <w:ind w:right="125"/>
        <w:jc w:val="left"/>
      </w:pPr>
      <w:r>
        <w:rPr/>
        <w:t>□适用</w:t>
      </w:r>
      <w:r>
        <w:rPr>
          <w:spacing w:val="-1"/>
        </w:rPr>
        <w:t> </w:t>
      </w:r>
      <w:r>
        <w:rPr/>
        <w:t>√不适用</w:t>
      </w:r>
    </w:p>
    <w:p>
      <w:pPr>
        <w:pStyle w:val="Heading3"/>
        <w:spacing w:line="240" w:lineRule="auto" w:before="56"/>
        <w:ind w:left="138" w:right="125"/>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spacing w:line="292" w:lineRule="auto" w:before="56"/>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专项应付款</w:t>
      </w:r>
      <w:r>
        <w:rPr>
          <w:rFonts w:ascii="宋体" w:hAnsi="宋体" w:cs="宋体" w:eastAsia="宋体" w:hint="default"/>
          <w:sz w:val="21"/>
          <w:szCs w:val="21"/>
        </w:rPr>
      </w:r>
    </w:p>
    <w:p>
      <w:pPr>
        <w:pStyle w:val="BodyText"/>
        <w:spacing w:line="240" w:lineRule="auto" w:before="10"/>
        <w:ind w:right="125"/>
        <w:jc w:val="left"/>
      </w:pPr>
      <w:r>
        <w:rPr/>
        <w:t>√适用</w:t>
      </w:r>
      <w:r>
        <w:rPr>
          <w:spacing w:val="-1"/>
        </w:rPr>
        <w:t> </w:t>
      </w:r>
      <w:r>
        <w:rPr/>
        <w:t>□不适用</w:t>
      </w:r>
    </w:p>
    <w:p>
      <w:pPr>
        <w:pStyle w:val="BodyText"/>
        <w:tabs>
          <w:tab w:pos="1157" w:val="left" w:leader="none"/>
        </w:tabs>
        <w:spacing w:line="274" w:lineRule="exact"/>
        <w:ind w:left="0" w:right="130"/>
        <w:jc w:val="right"/>
      </w:pPr>
      <w:r>
        <w:rPr>
          <w:spacing w:val="-1"/>
        </w:rPr>
        <w:t>单位：元</w:t>
        <w:tab/>
      </w:r>
      <w:r>
        <w:rPr>
          <w:spacing w:val="-2"/>
        </w:rPr>
        <w:t>币种：人民币</w:t>
      </w:r>
    </w:p>
    <w:p>
      <w:pPr>
        <w:spacing w:after="0" w:line="274" w:lineRule="exact"/>
        <w:jc w:val="right"/>
        <w:sectPr>
          <w:footerReference w:type="default" r:id="rId81"/>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84"/>
        <w:gridCol w:w="1606"/>
        <w:gridCol w:w="1426"/>
        <w:gridCol w:w="1428"/>
        <w:gridCol w:w="1606"/>
        <w:gridCol w:w="1246"/>
      </w:tblGrid>
      <w:tr>
        <w:trPr>
          <w:trHeight w:val="28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26"/>
              <w:jc w:val="right"/>
              <w:rPr>
                <w:rFonts w:ascii="宋体" w:hAnsi="宋体" w:cs="宋体" w:eastAsia="宋体" w:hint="default"/>
                <w:sz w:val="21"/>
                <w:szCs w:val="21"/>
              </w:rPr>
            </w:pPr>
            <w:r>
              <w:rPr>
                <w:rFonts w:ascii="宋体" w:hAnsi="宋体" w:cs="宋体" w:eastAsia="宋体" w:hint="default"/>
                <w:sz w:val="21"/>
                <w:szCs w:val="21"/>
              </w:rPr>
              <w:t>项目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7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28"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多语种网站建</w:t>
            </w:r>
          </w:p>
          <w:p>
            <w:pPr>
              <w:pStyle w:val="TableParagraph"/>
              <w:spacing w:line="272" w:lineRule="exact" w:before="27"/>
              <w:ind w:left="26" w:right="283"/>
              <w:jc w:val="left"/>
              <w:rPr>
                <w:rFonts w:ascii="宋体" w:hAnsi="宋体" w:cs="宋体" w:eastAsia="宋体" w:hint="default"/>
                <w:sz w:val="21"/>
                <w:szCs w:val="21"/>
              </w:rPr>
            </w:pPr>
            <w:r>
              <w:rPr>
                <w:rFonts w:ascii="宋体" w:hAnsi="宋体" w:cs="宋体" w:eastAsia="宋体" w:hint="default"/>
                <w:sz w:val="21"/>
                <w:szCs w:val="21"/>
              </w:rPr>
              <w:t>设和海外访问</w:t>
            </w:r>
            <w:r>
              <w:rPr>
                <w:rFonts w:ascii="宋体" w:hAnsi="宋体" w:cs="宋体" w:eastAsia="宋体" w:hint="default"/>
                <w:w w:val="100"/>
                <w:sz w:val="21"/>
                <w:szCs w:val="21"/>
              </w:rPr>
              <w:t> </w:t>
            </w:r>
            <w:r>
              <w:rPr>
                <w:rFonts w:ascii="宋体" w:hAnsi="宋体" w:cs="宋体" w:eastAsia="宋体" w:hint="default"/>
                <w:sz w:val="21"/>
                <w:szCs w:val="21"/>
              </w:rPr>
              <w:t>提速等项目</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366,770,100.00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41,530,000.00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68,880,000.00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339,420,100.00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全媒体产品数</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字加工云平台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29,760,000.00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8,500,000.00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38,260,000.00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r>
      <w:tr>
        <w:trPr>
          <w:trHeight w:val="281"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1,628,981.14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1,976,500.00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3,605,481.14</w:t>
            </w: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6"/>
              <w:jc w:val="right"/>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398,159,081.14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52,006,500.00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68,880,000.00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381,285,581.14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right="0"/>
        <w:jc w:val="left"/>
      </w:pPr>
      <w:r>
        <w:rPr/>
        <w:t>其他说明：</w:t>
      </w:r>
    </w:p>
    <w:p>
      <w:pPr>
        <w:pStyle w:val="BodyText"/>
        <w:spacing w:line="348" w:lineRule="auto" w:before="166"/>
        <w:ind w:right="0" w:firstLine="419"/>
        <w:jc w:val="left"/>
      </w:pPr>
      <w:r>
        <w:rPr>
          <w:spacing w:val="-3"/>
        </w:rPr>
        <w:t>注：（</w:t>
      </w:r>
      <w:r>
        <w:rPr>
          <w:rFonts w:ascii="宋体" w:hAnsi="宋体" w:cs="宋体" w:eastAsia="宋体" w:hint="default"/>
          <w:spacing w:val="-3"/>
        </w:rPr>
        <w:t>1</w:t>
      </w:r>
      <w:r>
        <w:rPr>
          <w:spacing w:val="-3"/>
        </w:rPr>
        <w:t>）根据财政部下发的财文</w:t>
      </w:r>
      <w:r>
        <w:rPr>
          <w:rFonts w:ascii="宋体" w:hAnsi="宋体" w:cs="宋体" w:eastAsia="宋体" w:hint="default"/>
          <w:spacing w:val="-3"/>
        </w:rPr>
        <w:t>[2017]112</w:t>
      </w:r>
      <w:r>
        <w:rPr>
          <w:rFonts w:ascii="宋体" w:hAnsi="宋体" w:cs="宋体" w:eastAsia="宋体" w:hint="default"/>
          <w:spacing w:val="-37"/>
        </w:rPr>
        <w:t> </w:t>
      </w:r>
      <w:r>
        <w:rPr/>
        <w:t>号，本公司承担“多语种网站建设和海外访问提</w:t>
      </w:r>
      <w:r>
        <w:rPr>
          <w:w w:val="100"/>
        </w:rPr>
        <w:t> </w:t>
      </w:r>
      <w:r>
        <w:rPr/>
        <w:t>速等”项目。该项目于本年部分完成并结项，结转递延收益</w:t>
      </w:r>
      <w:r>
        <w:rPr>
          <w:spacing w:val="-54"/>
        </w:rPr>
        <w:t> </w:t>
      </w:r>
      <w:r>
        <w:rPr>
          <w:rFonts w:ascii="宋体" w:hAnsi="宋体" w:cs="宋体" w:eastAsia="宋体" w:hint="default"/>
        </w:rPr>
        <w:t>6,888.00</w:t>
      </w:r>
      <w:r>
        <w:rPr>
          <w:rFonts w:ascii="宋体" w:hAnsi="宋体" w:cs="宋体" w:eastAsia="宋体" w:hint="default"/>
          <w:spacing w:val="-57"/>
        </w:rPr>
        <w:t> </w:t>
      </w:r>
      <w:r>
        <w:rPr/>
        <w:t>万元。</w:t>
      </w:r>
    </w:p>
    <w:p>
      <w:pPr>
        <w:pStyle w:val="BodyText"/>
        <w:spacing w:line="350" w:lineRule="auto" w:before="32"/>
        <w:ind w:right="0" w:firstLine="419"/>
        <w:jc w:val="left"/>
      </w:pPr>
      <w:r>
        <w:rPr>
          <w:spacing w:val="-9"/>
          <w:w w:val="100"/>
        </w:rPr>
        <w:t>（</w:t>
      </w:r>
      <w:r>
        <w:rPr>
          <w:rFonts w:ascii="宋体" w:hAnsi="宋体" w:cs="宋体" w:eastAsia="宋体" w:hint="default"/>
          <w:spacing w:val="-9"/>
          <w:w w:val="100"/>
        </w:rPr>
        <w:t>2</w:t>
      </w:r>
      <w:r>
        <w:rPr>
          <w:spacing w:val="-9"/>
          <w:w w:val="100"/>
        </w:rPr>
        <w:t>）根据中宣部《关于下达首批媒体融合发展重点项目经费预算的函》及新华社的有关批复，</w:t>
      </w:r>
      <w:r>
        <w:rPr>
          <w:w w:val="100"/>
        </w:rPr>
        <w:t> </w:t>
      </w:r>
      <w:r>
        <w:rPr/>
        <w:t>本公司承担“首批媒体融合发展重点项目之全媒体产品数字加工云平台”项目。</w:t>
      </w:r>
    </w:p>
    <w:p>
      <w:pPr>
        <w:pStyle w:val="Heading3"/>
        <w:spacing w:line="254" w:lineRule="exact" w:before="0"/>
        <w:ind w:left="138" w:right="0"/>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right="0"/>
        <w:jc w:val="left"/>
      </w:pPr>
      <w:r>
        <w:rPr/>
        <w:t>□适用</w:t>
      </w:r>
      <w:r>
        <w:rPr>
          <w:spacing w:val="-1"/>
        </w:rPr>
        <w:t> </w:t>
      </w:r>
      <w:r>
        <w:rPr/>
        <w:t>√不适用</w:t>
      </w:r>
    </w:p>
    <w:p>
      <w:pPr>
        <w:spacing w:after="0" w:line="240" w:lineRule="auto"/>
        <w:jc w:val="left"/>
        <w:sectPr>
          <w:footerReference w:type="default" r:id="rId82"/>
          <w:pgSz w:w="11910" w:h="16840"/>
          <w:pgMar w:footer="1195" w:header="882" w:top="1120" w:bottom="1380" w:left="1660" w:right="112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3"/>
          <w:footerReference w:type="default" r:id="rId84"/>
          <w:pgSz w:w="16840" w:h="11910" w:orient="landscape"/>
          <w:pgMar w:header="0" w:footer="0" w:top="800" w:bottom="280" w:left="1300" w:right="1380"/>
        </w:sectPr>
      </w:pPr>
    </w:p>
    <w:p>
      <w:pPr>
        <w:spacing w:line="290" w:lineRule="auto" w:before="178"/>
        <w:ind w:left="140"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982" w:val="left" w:leader="none"/>
        </w:tabs>
        <w:spacing w:line="227" w:lineRule="exact"/>
        <w:ind w:left="140"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296"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1823" w:space="9636"/>
            <w:col w:w="270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40"/>
        <w:gridCol w:w="2247"/>
        <w:gridCol w:w="2268"/>
        <w:gridCol w:w="2244"/>
        <w:gridCol w:w="2396"/>
        <w:gridCol w:w="2441"/>
      </w:tblGrid>
      <w:tr>
        <w:trPr>
          <w:trHeight w:val="34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50"/>
              <w:jc w:val="right"/>
              <w:rPr>
                <w:rFonts w:ascii="宋体" w:hAnsi="宋体" w:cs="宋体" w:eastAsia="宋体" w:hint="default"/>
                <w:sz w:val="21"/>
                <w:szCs w:val="21"/>
              </w:rPr>
            </w:pPr>
            <w:r>
              <w:rPr>
                <w:rFonts w:ascii="宋体" w:hAnsi="宋体" w:cs="宋体" w:eastAsia="宋体" w:hint="default"/>
                <w:sz w:val="21"/>
                <w:szCs w:val="21"/>
              </w:rPr>
              <w:t>项目</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0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9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7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85,093,100.46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72,480,000.00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10,479,276.28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147,093,824.18</w:t>
            </w:r>
          </w:p>
        </w:tc>
        <w:tc>
          <w:tcPr>
            <w:tcW w:w="24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0"/>
              <w:jc w:val="right"/>
              <w:rPr>
                <w:rFonts w:ascii="宋体" w:hAnsi="宋体" w:cs="宋体" w:eastAsia="宋体" w:hint="default"/>
                <w:sz w:val="21"/>
                <w:szCs w:val="21"/>
              </w:rPr>
            </w:pPr>
            <w:r>
              <w:rPr>
                <w:rFonts w:ascii="宋体" w:hAnsi="宋体" w:cs="宋体" w:eastAsia="宋体" w:hint="default"/>
                <w:sz w:val="21"/>
                <w:szCs w:val="21"/>
              </w:rPr>
              <w:t>合计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85,093,100.46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72,480,000.00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10,479,276.28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147,093,824.18</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1300" w:right="1380"/>
        </w:sectPr>
      </w:pPr>
    </w:p>
    <w:p>
      <w:pPr>
        <w:pStyle w:val="BodyText"/>
        <w:spacing w:line="240" w:lineRule="auto" w:before="36"/>
        <w:ind w:left="140" w:right="0"/>
        <w:jc w:val="left"/>
      </w:pPr>
      <w:r>
        <w:rPr>
          <w:spacing w:val="-2"/>
        </w:rPr>
        <w:t>涉及政府补助的项目：</w:t>
      </w:r>
    </w:p>
    <w:p>
      <w:pPr>
        <w:pStyle w:val="BodyText"/>
        <w:tabs>
          <w:tab w:pos="982" w:val="left" w:leader="none"/>
        </w:tabs>
        <w:spacing w:line="240" w:lineRule="auto" w:before="56"/>
        <w:ind w:left="14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96" w:val="left" w:leader="none"/>
        </w:tabs>
        <w:spacing w:line="240" w:lineRule="auto" w:before="177"/>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243" w:space="9216"/>
            <w:col w:w="2701"/>
          </w:cols>
        </w:sectPr>
      </w:pPr>
    </w:p>
    <w:p>
      <w:pPr>
        <w:spacing w:line="240" w:lineRule="auto" w:before="12"/>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441"/>
        <w:gridCol w:w="1702"/>
        <w:gridCol w:w="1841"/>
        <w:gridCol w:w="2554"/>
        <w:gridCol w:w="1334"/>
        <w:gridCol w:w="1750"/>
        <w:gridCol w:w="2314"/>
      </w:tblGrid>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7"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本期新增补助金额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本期计入营业外收入金额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文化产业发展专项资金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49,032,645.74</w:t>
            </w:r>
          </w:p>
        </w:tc>
        <w:tc>
          <w:tcPr>
            <w:tcW w:w="1841"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2,476,585.32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46,556,060.42</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园区搬迁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12,957,000.00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3,702,000.00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9,255,000.00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信息发布平台和内容管理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平台系统项目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9,833,000.00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1,966,600.00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7,866,400.00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北京市文创资金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5,600,000.00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国家科技支撑计划项目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4,670,454.72</w:t>
            </w:r>
          </w:p>
        </w:tc>
        <w:tc>
          <w:tcPr>
            <w:tcW w:w="1841"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934,090.96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3,736,363.76</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科技创新中心建设宣传资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1,600,000.00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1,600,000.00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海外访问提速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68,880,000.00</w:t>
            </w:r>
          </w:p>
        </w:tc>
        <w:tc>
          <w:tcPr>
            <w:tcW w:w="255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68,880,000.00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9"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四川省全媒体海外多语种</w:t>
            </w:r>
          </w:p>
          <w:p>
            <w:pPr>
              <w:pStyle w:val="TableParagraph"/>
              <w:spacing w:line="272" w:lineRule="exact" w:before="26"/>
              <w:ind w:left="26" w:right="2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传</w:t>
            </w:r>
            <w:r>
              <w:rPr>
                <w:rFonts w:ascii="宋体" w:hAnsi="宋体" w:cs="宋体" w:eastAsia="宋体" w:hint="default"/>
                <w:spacing w:val="-73"/>
                <w:sz w:val="21"/>
                <w:szCs w:val="21"/>
              </w:rPr>
              <w:t> </w:t>
            </w:r>
            <w:r>
              <w:rPr>
                <w:rFonts w:ascii="宋体" w:hAnsi="宋体" w:cs="宋体" w:eastAsia="宋体" w:hint="default"/>
                <w:sz w:val="21"/>
                <w:szCs w:val="21"/>
              </w:rPr>
              <w:t>播</w:t>
            </w:r>
            <w:r>
              <w:rPr>
                <w:rFonts w:ascii="宋体" w:hAnsi="宋体" w:cs="宋体" w:eastAsia="宋体" w:hint="default"/>
                <w:spacing w:val="-76"/>
                <w:sz w:val="21"/>
                <w:szCs w:val="21"/>
              </w:rPr>
              <w:t> </w:t>
            </w:r>
            <w:r>
              <w:rPr>
                <w:rFonts w:ascii="宋体" w:hAnsi="宋体" w:cs="宋体" w:eastAsia="宋体" w:hint="default"/>
                <w:sz w:val="21"/>
                <w:szCs w:val="21"/>
              </w:rPr>
              <w:t>平</w:t>
            </w:r>
            <w:r>
              <w:rPr>
                <w:rFonts w:ascii="宋体" w:hAnsi="宋体" w:cs="宋体" w:eastAsia="宋体" w:hint="default"/>
                <w:spacing w:val="-73"/>
                <w:sz w:val="21"/>
                <w:szCs w:val="21"/>
              </w:rPr>
              <w:t> </w:t>
            </w:r>
            <w:r>
              <w:rPr>
                <w:rFonts w:ascii="宋体" w:hAnsi="宋体" w:cs="宋体" w:eastAsia="宋体" w:hint="default"/>
                <w:sz w:val="21"/>
                <w:szCs w:val="21"/>
              </w:rPr>
              <w:t>台</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熊</w:t>
            </w:r>
            <w:r>
              <w:rPr>
                <w:rFonts w:ascii="宋体" w:hAnsi="宋体" w:cs="宋体" w:eastAsia="宋体" w:hint="default"/>
                <w:spacing w:val="-76"/>
                <w:sz w:val="21"/>
                <w:szCs w:val="21"/>
              </w:rPr>
              <w:t> </w:t>
            </w:r>
            <w:r>
              <w:rPr>
                <w:rFonts w:ascii="宋体" w:hAnsi="宋体" w:cs="宋体" w:eastAsia="宋体" w:hint="default"/>
                <w:sz w:val="21"/>
                <w:szCs w:val="21"/>
              </w:rPr>
              <w:t>猫</w:t>
            </w:r>
            <w:r>
              <w:rPr>
                <w:rFonts w:ascii="宋体" w:hAnsi="宋体" w:cs="宋体" w:eastAsia="宋体" w:hint="default"/>
                <w:spacing w:val="-73"/>
                <w:sz w:val="21"/>
                <w:szCs w:val="21"/>
              </w:rPr>
              <w:t> </w:t>
            </w:r>
            <w:r>
              <w:rPr>
                <w:rFonts w:ascii="宋体" w:hAnsi="宋体" w:cs="宋体" w:eastAsia="宋体" w:hint="default"/>
                <w:sz w:val="21"/>
                <w:szCs w:val="21"/>
              </w:rPr>
              <w:t>社</w:t>
            </w:r>
            <w:r>
              <w:rPr>
                <w:rFonts w:ascii="宋体" w:hAnsi="宋体" w:cs="宋体" w:eastAsia="宋体" w:hint="default"/>
                <w:w w:val="100"/>
                <w:sz w:val="21"/>
                <w:szCs w:val="21"/>
              </w:rPr>
              <w:t> </w:t>
            </w:r>
            <w:r>
              <w:rPr>
                <w:rFonts w:ascii="宋体" w:hAnsi="宋体" w:cs="宋体" w:eastAsia="宋体" w:hint="default"/>
                <w:sz w:val="21"/>
                <w:szCs w:val="21"/>
              </w:rPr>
              <w:t>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3,600,000.00</w:t>
            </w:r>
          </w:p>
        </w:tc>
        <w:tc>
          <w:tcPr>
            <w:tcW w:w="255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3,600,000.00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85,093,100.46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72,480,000.00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10,479,276.28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147,093,824.18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0"/>
        <w:ind w:left="6395" w:right="6399" w:firstLine="0"/>
        <w:jc w:val="center"/>
        <w:rPr>
          <w:rFonts w:ascii="Calibri" w:hAnsi="Calibri" w:cs="Calibri" w:eastAsia="Calibri" w:hint="default"/>
          <w:sz w:val="18"/>
          <w:szCs w:val="18"/>
        </w:rPr>
      </w:pPr>
      <w:r>
        <w:rPr>
          <w:rFonts w:ascii="Calibri"/>
          <w:b/>
          <w:sz w:val="18"/>
        </w:rPr>
        <w:t>142 </w:t>
      </w:r>
      <w:r>
        <w:rPr>
          <w:rFonts w:ascii="Calibri"/>
          <w:sz w:val="18"/>
        </w:rPr>
        <w:t>/</w:t>
      </w:r>
      <w:r>
        <w:rPr>
          <w:rFonts w:ascii="Calibri"/>
          <w:spacing w:val="-5"/>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1"/>
        <w:rPr>
          <w:rFonts w:ascii="Calibri" w:hAnsi="Calibri" w:cs="Calibri" w:eastAsia="Calibri" w:hint="default"/>
          <w:b/>
          <w:bCs/>
          <w:sz w:val="26"/>
          <w:szCs w:val="26"/>
        </w:rPr>
      </w:pPr>
    </w:p>
    <w:p>
      <w:pPr>
        <w:pStyle w:val="BodyText"/>
        <w:spacing w:line="240" w:lineRule="auto" w:before="36"/>
        <w:ind w:left="558" w:right="177"/>
        <w:jc w:val="left"/>
      </w:pPr>
      <w:r>
        <w:rPr/>
        <w:t>其他说明：</w:t>
      </w:r>
    </w:p>
    <w:p>
      <w:pPr>
        <w:pStyle w:val="BodyText"/>
        <w:spacing w:line="240" w:lineRule="auto" w:before="58"/>
        <w:ind w:left="558" w:right="177"/>
        <w:jc w:val="left"/>
      </w:pPr>
      <w:r>
        <w:rPr/>
        <w:t>√适用</w:t>
      </w:r>
      <w:r>
        <w:rPr>
          <w:spacing w:val="-1"/>
        </w:rPr>
        <w:t> </w:t>
      </w:r>
      <w:r>
        <w:rPr/>
        <w:t>□不适用</w:t>
      </w:r>
    </w:p>
    <w:p>
      <w:pPr>
        <w:spacing w:line="240" w:lineRule="auto" w:before="11"/>
        <w:rPr>
          <w:rFonts w:ascii="宋体" w:hAnsi="宋体" w:cs="宋体" w:eastAsia="宋体" w:hint="default"/>
          <w:sz w:val="13"/>
          <w:szCs w:val="13"/>
        </w:rPr>
      </w:pPr>
    </w:p>
    <w:p>
      <w:pPr>
        <w:pStyle w:val="BodyText"/>
        <w:spacing w:line="240" w:lineRule="auto"/>
        <w:ind w:left="978" w:right="177"/>
        <w:jc w:val="left"/>
      </w:pPr>
      <w:r>
        <w:rPr>
          <w:w w:val="100"/>
        </w:rPr>
        <w:t>注</w:t>
      </w:r>
      <w:r>
        <w:rPr>
          <w:spacing w:val="-152"/>
          <w:w w:val="100"/>
        </w:rPr>
        <w:t>：</w:t>
      </w:r>
      <w:r>
        <w:rPr>
          <w:spacing w:val="-3"/>
          <w:w w:val="100"/>
        </w:rPr>
        <w:t>（</w:t>
      </w:r>
      <w:r>
        <w:rPr>
          <w:rFonts w:ascii="宋体" w:hAnsi="宋体" w:cs="宋体" w:eastAsia="宋体" w:hint="default"/>
          <w:spacing w:val="-3"/>
          <w:w w:val="100"/>
        </w:rPr>
        <w:t>1</w:t>
      </w:r>
      <w:r>
        <w:rPr>
          <w:spacing w:val="-75"/>
          <w:w w:val="100"/>
        </w:rPr>
        <w:t>）</w:t>
      </w:r>
      <w:r>
        <w:rPr>
          <w:spacing w:val="-3"/>
          <w:w w:val="100"/>
        </w:rPr>
        <w:t>截</w:t>
      </w:r>
      <w:r>
        <w:rPr>
          <w:w w:val="100"/>
        </w:rPr>
        <w:t>至</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31</w:t>
      </w:r>
      <w:r>
        <w:rPr>
          <w:rFonts w:ascii="宋体" w:hAnsi="宋体" w:cs="宋体" w:eastAsia="宋体" w:hint="default"/>
          <w:spacing w:val="-53"/>
        </w:rPr>
        <w:t> </w:t>
      </w:r>
      <w:r>
        <w:rPr>
          <w:spacing w:val="-3"/>
          <w:w w:val="100"/>
        </w:rPr>
        <w:t>日</w:t>
      </w:r>
      <w:r>
        <w:rPr>
          <w:spacing w:val="-77"/>
          <w:w w:val="100"/>
        </w:rPr>
        <w:t>，</w:t>
      </w:r>
      <w:r>
        <w:rPr>
          <w:w w:val="100"/>
        </w:rPr>
        <w:t>累</w:t>
      </w:r>
      <w:r>
        <w:rPr>
          <w:spacing w:val="-3"/>
          <w:w w:val="100"/>
        </w:rPr>
        <w:t>计</w:t>
      </w:r>
      <w:r>
        <w:rPr>
          <w:w w:val="100"/>
        </w:rPr>
        <w:t>收</w:t>
      </w:r>
      <w:r>
        <w:rPr>
          <w:spacing w:val="-3"/>
          <w:w w:val="100"/>
        </w:rPr>
        <w:t>到</w:t>
      </w:r>
      <w:r>
        <w:rPr>
          <w:w w:val="100"/>
        </w:rPr>
        <w:t>“</w:t>
      </w:r>
      <w:r>
        <w:rPr>
          <w:spacing w:val="-3"/>
          <w:w w:val="100"/>
        </w:rPr>
        <w:t>文</w:t>
      </w:r>
      <w:r>
        <w:rPr>
          <w:w w:val="100"/>
        </w:rPr>
        <w:t>化</w:t>
      </w:r>
      <w:r>
        <w:rPr>
          <w:spacing w:val="-3"/>
          <w:w w:val="100"/>
        </w:rPr>
        <w:t>产</w:t>
      </w:r>
      <w:r>
        <w:rPr>
          <w:w w:val="100"/>
        </w:rPr>
        <w:t>业发</w:t>
      </w:r>
      <w:r>
        <w:rPr>
          <w:spacing w:val="-3"/>
          <w:w w:val="100"/>
        </w:rPr>
        <w:t>展</w:t>
      </w:r>
      <w:r>
        <w:rPr>
          <w:w w:val="100"/>
        </w:rPr>
        <w:t>专</w:t>
      </w:r>
      <w:r>
        <w:rPr>
          <w:spacing w:val="-3"/>
          <w:w w:val="100"/>
        </w:rPr>
        <w:t>项</w:t>
      </w:r>
      <w:r>
        <w:rPr>
          <w:w w:val="100"/>
        </w:rPr>
        <w:t>资</w:t>
      </w:r>
      <w:r>
        <w:rPr>
          <w:spacing w:val="-3"/>
          <w:w w:val="100"/>
        </w:rPr>
        <w:t>金</w:t>
      </w:r>
      <w:r>
        <w:rPr>
          <w:w w:val="100"/>
        </w:rPr>
        <w:t>”</w:t>
      </w:r>
      <w:r>
        <w:rPr>
          <w:spacing w:val="-3"/>
          <w:w w:val="100"/>
        </w:rPr>
        <w:t>拨</w:t>
      </w:r>
      <w:r>
        <w:rPr>
          <w:w w:val="100"/>
        </w:rPr>
        <w:t>款</w:t>
      </w:r>
      <w:r>
        <w:rPr>
          <w:spacing w:val="-52"/>
        </w:rPr>
        <w:t> </w:t>
      </w:r>
      <w:r>
        <w:rPr>
          <w:rFonts w:ascii="宋体" w:hAnsi="宋体" w:cs="宋体" w:eastAsia="宋体" w:hint="default"/>
          <w:spacing w:val="-3"/>
          <w:w w:val="100"/>
        </w:rPr>
        <w:t>8,</w:t>
      </w:r>
      <w:r>
        <w:rPr>
          <w:rFonts w:ascii="宋体" w:hAnsi="宋体" w:cs="宋体" w:eastAsia="宋体" w:hint="default"/>
          <w:w w:val="100"/>
        </w:rPr>
        <w:t>600.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万</w:t>
      </w:r>
      <w:r>
        <w:rPr>
          <w:w w:val="100"/>
        </w:rPr>
        <w:t>元，</w:t>
      </w:r>
    </w:p>
    <w:p>
      <w:pPr>
        <w:pStyle w:val="BodyText"/>
        <w:spacing w:line="367" w:lineRule="auto" w:before="145"/>
        <w:ind w:left="978" w:right="545" w:hanging="420"/>
        <w:jc w:val="left"/>
        <w:rPr>
          <w:rFonts w:ascii="宋体" w:hAnsi="宋体" w:cs="宋体" w:eastAsia="宋体" w:hint="default"/>
        </w:rPr>
      </w:pPr>
      <w:r>
        <w:rPr/>
        <w:t>发生人工及折旧等费用</w:t>
      </w:r>
      <w:r>
        <w:rPr>
          <w:spacing w:val="-53"/>
        </w:rPr>
        <w:t> </w:t>
      </w:r>
      <w:r>
        <w:rPr>
          <w:rFonts w:ascii="宋体" w:hAnsi="宋体" w:cs="宋体" w:eastAsia="宋体" w:hint="default"/>
        </w:rPr>
        <w:t>39,443,939.58</w:t>
      </w:r>
      <w:r>
        <w:rPr>
          <w:rFonts w:ascii="宋体" w:hAnsi="宋体" w:cs="宋体" w:eastAsia="宋体" w:hint="default"/>
          <w:spacing w:val="-54"/>
        </w:rPr>
        <w:t> </w:t>
      </w:r>
      <w:r>
        <w:rPr/>
        <w:t>元，同时结转递延收益</w:t>
      </w:r>
      <w:r>
        <w:rPr>
          <w:spacing w:val="-54"/>
        </w:rPr>
        <w:t> </w:t>
      </w:r>
      <w:r>
        <w:rPr>
          <w:rFonts w:ascii="宋体" w:hAnsi="宋体" w:cs="宋体" w:eastAsia="宋体" w:hint="default"/>
        </w:rPr>
        <w:t>39,443,939.58</w:t>
      </w:r>
      <w:r>
        <w:rPr>
          <w:rFonts w:ascii="宋体" w:hAnsi="宋体" w:cs="宋体" w:eastAsia="宋体" w:hint="default"/>
          <w:spacing w:val="-53"/>
        </w:rPr>
        <w:t> </w:t>
      </w:r>
      <w:r>
        <w:rPr/>
        <w:t>元至损益。</w:t>
      </w:r>
      <w:r>
        <w:rPr>
          <w:w w:val="100"/>
        </w:rPr>
        <w:t> </w:t>
      </w:r>
      <w:r>
        <w:rPr>
          <w:spacing w:val="-13"/>
          <w:w w:val="100"/>
        </w:rPr>
        <w:t>其中，根据相关文件，“基于</w:t>
      </w:r>
      <w:r>
        <w:rPr>
          <w:spacing w:val="-46"/>
          <w:w w:val="100"/>
        </w:rPr>
        <w:t> </w:t>
      </w:r>
      <w:r>
        <w:rPr>
          <w:rFonts w:ascii="宋体" w:hAnsi="宋体" w:cs="宋体" w:eastAsia="宋体" w:hint="default"/>
          <w:w w:val="100"/>
        </w:rPr>
        <w:t>4G</w:t>
      </w:r>
      <w:r>
        <w:rPr>
          <w:rFonts w:ascii="宋体" w:hAnsi="宋体" w:cs="宋体" w:eastAsia="宋体" w:hint="default"/>
          <w:spacing w:val="-49"/>
          <w:w w:val="100"/>
        </w:rPr>
        <w:t> </w:t>
      </w:r>
      <w:r>
        <w:rPr>
          <w:spacing w:val="-2"/>
          <w:w w:val="100"/>
        </w:rPr>
        <w:t>移动互联网大数据分析及移动云服务交互系统项目”于</w:t>
      </w:r>
      <w:r>
        <w:rPr>
          <w:spacing w:val="-46"/>
          <w:w w:val="100"/>
        </w:rPr>
        <w:t> </w:t>
      </w:r>
      <w:r>
        <w:rPr>
          <w:rFonts w:ascii="宋体" w:hAnsi="宋体" w:cs="宋体" w:eastAsia="宋体" w:hint="default"/>
          <w:spacing w:val="-1"/>
          <w:w w:val="100"/>
        </w:rPr>
        <w:t>2017</w:t>
      </w:r>
    </w:p>
    <w:p>
      <w:pPr>
        <w:pStyle w:val="BodyText"/>
        <w:spacing w:line="240" w:lineRule="auto" w:before="34"/>
        <w:ind w:left="558" w:right="177"/>
        <w:jc w:val="left"/>
      </w:pPr>
      <w:r>
        <w:rPr/>
        <w:t>年</w:t>
      </w:r>
      <w:r>
        <w:rPr>
          <w:spacing w:val="-54"/>
        </w:rPr>
        <w:t> </w:t>
      </w:r>
      <w:r>
        <w:rPr>
          <w:rFonts w:ascii="宋体" w:hAnsi="宋体" w:cs="宋体" w:eastAsia="宋体" w:hint="default"/>
        </w:rPr>
        <w:t>12</w:t>
      </w:r>
      <w:r>
        <w:rPr>
          <w:rFonts w:ascii="宋体" w:hAnsi="宋体" w:cs="宋体" w:eastAsia="宋体" w:hint="default"/>
          <w:spacing w:val="-56"/>
        </w:rPr>
        <w:t> </w:t>
      </w:r>
      <w:r>
        <w:rPr/>
        <w:t>月正式结项并转固，结转固定资产</w:t>
      </w:r>
      <w:r>
        <w:rPr>
          <w:spacing w:val="-54"/>
        </w:rPr>
        <w:t> </w:t>
      </w:r>
      <w:r>
        <w:rPr>
          <w:rFonts w:ascii="宋体" w:hAnsi="宋体" w:cs="宋体" w:eastAsia="宋体" w:hint="default"/>
        </w:rPr>
        <w:t>16,331,142.95</w:t>
      </w:r>
      <w:r>
        <w:rPr>
          <w:rFonts w:ascii="宋体" w:hAnsi="宋体" w:cs="宋体" w:eastAsia="宋体" w:hint="default"/>
          <w:spacing w:val="-54"/>
        </w:rPr>
        <w:t> </w:t>
      </w:r>
      <w:r>
        <w:rPr>
          <w:spacing w:val="-3"/>
        </w:rPr>
        <w:t>元。</w:t>
      </w:r>
      <w:r>
        <w:rPr/>
      </w:r>
    </w:p>
    <w:p>
      <w:pPr>
        <w:pStyle w:val="BodyText"/>
        <w:spacing w:line="367" w:lineRule="auto" w:before="145"/>
        <w:ind w:left="558" w:right="177" w:firstLine="199"/>
        <w:jc w:val="left"/>
      </w:pPr>
      <w:r>
        <w:rPr>
          <w:spacing w:val="-4"/>
        </w:rPr>
        <w:t>（</w:t>
      </w:r>
      <w:r>
        <w:rPr>
          <w:rFonts w:ascii="宋体" w:hAnsi="宋体" w:cs="宋体" w:eastAsia="宋体" w:hint="default"/>
          <w:spacing w:val="-4"/>
        </w:rPr>
        <w:t>2</w:t>
      </w:r>
      <w:r>
        <w:rPr>
          <w:spacing w:val="-4"/>
        </w:rPr>
        <w:t>）本公司依据相关规定和要求，以“多语种网站建设和海外访问提速等”项目申请“园区搬</w:t>
      </w:r>
      <w:r>
        <w:rPr>
          <w:w w:val="100"/>
        </w:rPr>
        <w:t> </w:t>
      </w:r>
      <w:r>
        <w:rPr/>
        <w:t>迁”项目资金</w:t>
      </w:r>
      <w:r>
        <w:rPr>
          <w:spacing w:val="-54"/>
        </w:rPr>
        <w:t> </w:t>
      </w:r>
      <w:r>
        <w:rPr>
          <w:rFonts w:ascii="宋体" w:hAnsi="宋体" w:cs="宋体" w:eastAsia="宋体" w:hint="default"/>
        </w:rPr>
        <w:t>1,851.00</w:t>
      </w:r>
      <w:r>
        <w:rPr>
          <w:rFonts w:ascii="宋体" w:hAnsi="宋体" w:cs="宋体" w:eastAsia="宋体" w:hint="default"/>
          <w:spacing w:val="-56"/>
        </w:rPr>
        <w:t> </w:t>
      </w:r>
      <w:r>
        <w:rPr/>
        <w:t>万元。</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日，“园区搬迁”项目正式完成并结项，该工程的</w:t>
      </w:r>
    </w:p>
    <w:p>
      <w:pPr>
        <w:pStyle w:val="BodyText"/>
        <w:spacing w:line="367" w:lineRule="auto" w:before="34"/>
        <w:ind w:left="558" w:right="555"/>
        <w:jc w:val="left"/>
      </w:pPr>
      <w:r>
        <w:rPr/>
        <w:t>项目资金归本公司所有，并结转固定资产</w:t>
      </w:r>
      <w:r>
        <w:rPr>
          <w:spacing w:val="-55"/>
        </w:rPr>
        <w:t> </w:t>
      </w:r>
      <w:r>
        <w:rPr>
          <w:rFonts w:ascii="宋体" w:hAnsi="宋体" w:cs="宋体" w:eastAsia="宋体" w:hint="default"/>
        </w:rPr>
        <w:t>15,001,349.12</w:t>
      </w:r>
      <w:r>
        <w:rPr>
          <w:rFonts w:ascii="宋体" w:hAnsi="宋体" w:cs="宋体" w:eastAsia="宋体" w:hint="default"/>
          <w:spacing w:val="-57"/>
        </w:rPr>
        <w:t> </w:t>
      </w:r>
      <w:r>
        <w:rPr/>
        <w:t>元。本公司根据折旧进度，结转递延收</w:t>
      </w:r>
      <w:r>
        <w:rPr>
          <w:w w:val="100"/>
        </w:rPr>
        <w:t> </w:t>
      </w:r>
      <w:r>
        <w:rPr/>
        <w:t>益至损益。</w:t>
      </w:r>
    </w:p>
    <w:p>
      <w:pPr>
        <w:pStyle w:val="BodyText"/>
        <w:spacing w:line="240" w:lineRule="auto" w:before="34"/>
        <w:ind w:left="757" w:right="177"/>
        <w:jc w:val="left"/>
      </w:pPr>
      <w:r>
        <w:rPr>
          <w:spacing w:val="-1"/>
          <w:w w:val="100"/>
        </w:rPr>
        <w:t>（</w:t>
      </w:r>
      <w:r>
        <w:rPr>
          <w:rFonts w:ascii="宋体" w:hAnsi="宋体" w:cs="宋体" w:eastAsia="宋体" w:hint="default"/>
          <w:w w:val="100"/>
        </w:rPr>
        <w:t>3</w:t>
      </w:r>
      <w:r>
        <w:rPr>
          <w:spacing w:val="-106"/>
          <w:w w:val="100"/>
        </w:rPr>
        <w:t>）</w:t>
      </w:r>
      <w:r>
        <w:rPr>
          <w:spacing w:val="-3"/>
          <w:w w:val="100"/>
        </w:rPr>
        <w:t>根</w:t>
      </w:r>
      <w:r>
        <w:rPr>
          <w:w w:val="100"/>
        </w:rPr>
        <w:t>据</w:t>
      </w:r>
      <w:r>
        <w:rPr>
          <w:spacing w:val="-3"/>
          <w:w w:val="100"/>
        </w:rPr>
        <w:t>相</w:t>
      </w:r>
      <w:r>
        <w:rPr>
          <w:w w:val="100"/>
        </w:rPr>
        <w:t>关</w:t>
      </w:r>
      <w:r>
        <w:rPr>
          <w:spacing w:val="-3"/>
          <w:w w:val="100"/>
        </w:rPr>
        <w:t>文</w:t>
      </w:r>
      <w:r>
        <w:rPr>
          <w:w w:val="100"/>
        </w:rPr>
        <w:t>件</w:t>
      </w:r>
      <w:r>
        <w:rPr>
          <w:spacing w:val="-109"/>
          <w:w w:val="100"/>
        </w:rPr>
        <w:t>，</w:t>
      </w:r>
      <w:r>
        <w:rPr>
          <w:w w:val="100"/>
        </w:rPr>
        <w:t>“</w:t>
      </w:r>
      <w:r>
        <w:rPr>
          <w:spacing w:val="-3"/>
          <w:w w:val="100"/>
        </w:rPr>
        <w:t>信息</w:t>
      </w:r>
      <w:r>
        <w:rPr>
          <w:w w:val="100"/>
        </w:rPr>
        <w:t>发布</w:t>
      </w:r>
      <w:r>
        <w:rPr>
          <w:spacing w:val="-3"/>
          <w:w w:val="100"/>
        </w:rPr>
        <w:t>平</w:t>
      </w:r>
      <w:r>
        <w:rPr>
          <w:w w:val="100"/>
        </w:rPr>
        <w:t>台</w:t>
      </w:r>
      <w:r>
        <w:rPr>
          <w:spacing w:val="-3"/>
          <w:w w:val="100"/>
        </w:rPr>
        <w:t>和</w:t>
      </w:r>
      <w:r>
        <w:rPr>
          <w:w w:val="100"/>
        </w:rPr>
        <w:t>内</w:t>
      </w:r>
      <w:r>
        <w:rPr>
          <w:spacing w:val="-3"/>
          <w:w w:val="100"/>
        </w:rPr>
        <w:t>容</w:t>
      </w:r>
      <w:r>
        <w:rPr>
          <w:w w:val="100"/>
        </w:rPr>
        <w:t>管</w:t>
      </w:r>
      <w:r>
        <w:rPr>
          <w:spacing w:val="-3"/>
          <w:w w:val="100"/>
        </w:rPr>
        <w:t>理</w:t>
      </w:r>
      <w:r>
        <w:rPr>
          <w:w w:val="100"/>
        </w:rPr>
        <w:t>平</w:t>
      </w:r>
      <w:r>
        <w:rPr>
          <w:spacing w:val="-3"/>
          <w:w w:val="100"/>
        </w:rPr>
        <w:t>台</w:t>
      </w:r>
      <w:r>
        <w:rPr>
          <w:w w:val="100"/>
        </w:rPr>
        <w:t>系统</w:t>
      </w:r>
      <w:r>
        <w:rPr>
          <w:spacing w:val="-3"/>
          <w:w w:val="100"/>
        </w:rPr>
        <w:t>项</w:t>
      </w:r>
      <w:r>
        <w:rPr>
          <w:spacing w:val="-1"/>
          <w:w w:val="100"/>
        </w:rPr>
        <w:t>目</w:t>
      </w:r>
      <w:r>
        <w:rPr>
          <w:spacing w:val="-3"/>
          <w:w w:val="100"/>
        </w:rPr>
        <w:t>”</w:t>
      </w:r>
      <w:r>
        <w:rPr>
          <w:w w:val="100"/>
        </w:rPr>
        <w:t>于</w:t>
      </w:r>
      <w:r>
        <w:rPr>
          <w:spacing w:val="-74"/>
        </w:rPr>
        <w:t> </w:t>
      </w:r>
      <w:r>
        <w:rPr>
          <w:rFonts w:ascii="宋体" w:hAnsi="宋体" w:cs="宋体" w:eastAsia="宋体" w:hint="default"/>
          <w:w w:val="100"/>
        </w:rPr>
        <w:t>2016</w:t>
      </w:r>
      <w:r>
        <w:rPr>
          <w:rFonts w:ascii="宋体" w:hAnsi="宋体" w:cs="宋体" w:eastAsia="宋体" w:hint="default"/>
          <w:spacing w:val="-74"/>
        </w:rPr>
        <w:t> </w:t>
      </w:r>
      <w:r>
        <w:rPr>
          <w:w w:val="100"/>
        </w:rPr>
        <w:t>年</w:t>
      </w:r>
      <w:r>
        <w:rPr>
          <w:spacing w:val="-77"/>
        </w:rPr>
        <w:t> </w:t>
      </w:r>
      <w:r>
        <w:rPr>
          <w:rFonts w:ascii="宋体" w:hAnsi="宋体" w:cs="宋体" w:eastAsia="宋体" w:hint="default"/>
          <w:w w:val="100"/>
        </w:rPr>
        <w:t>12</w:t>
      </w:r>
      <w:r>
        <w:rPr>
          <w:rFonts w:ascii="宋体" w:hAnsi="宋体" w:cs="宋体" w:eastAsia="宋体" w:hint="default"/>
          <w:spacing w:val="-74"/>
        </w:rPr>
        <w:t> </w:t>
      </w:r>
      <w:r>
        <w:rPr>
          <w:spacing w:val="-3"/>
          <w:w w:val="100"/>
        </w:rPr>
        <w:t>月</w:t>
      </w:r>
      <w:r>
        <w:rPr>
          <w:w w:val="100"/>
        </w:rPr>
        <w:t>已完</w:t>
      </w:r>
      <w:r>
        <w:rPr>
          <w:spacing w:val="-3"/>
          <w:w w:val="100"/>
        </w:rPr>
        <w:t>成</w:t>
      </w:r>
      <w:r>
        <w:rPr>
          <w:w w:val="100"/>
        </w:rPr>
        <w:t>并</w:t>
      </w:r>
      <w:r>
        <w:rPr>
          <w:spacing w:val="-3"/>
          <w:w w:val="100"/>
        </w:rPr>
        <w:t>结</w:t>
      </w:r>
      <w:r>
        <w:rPr>
          <w:w w:val="100"/>
        </w:rPr>
        <w:t>项，</w:t>
      </w:r>
    </w:p>
    <w:p>
      <w:pPr>
        <w:pStyle w:val="BodyText"/>
        <w:spacing w:line="367" w:lineRule="auto" w:before="145"/>
        <w:ind w:left="558" w:right="177"/>
        <w:jc w:val="left"/>
      </w:pPr>
      <w:r>
        <w:rPr>
          <w:spacing w:val="-3"/>
        </w:rPr>
        <w:t>工程项目的相关资金归本公司所有，结转固定资产</w:t>
      </w:r>
      <w:r>
        <w:rPr>
          <w:spacing w:val="-31"/>
        </w:rPr>
        <w:t> </w:t>
      </w:r>
      <w:r>
        <w:rPr>
          <w:rFonts w:ascii="宋体" w:hAnsi="宋体" w:cs="宋体" w:eastAsia="宋体" w:hint="default"/>
        </w:rPr>
        <w:t>8,349,265.74</w:t>
      </w:r>
      <w:r>
        <w:rPr>
          <w:rFonts w:ascii="宋体" w:hAnsi="宋体" w:cs="宋体" w:eastAsia="宋体" w:hint="default"/>
          <w:spacing w:val="-28"/>
        </w:rPr>
        <w:t> </w:t>
      </w:r>
      <w:r>
        <w:rPr>
          <w:spacing w:val="-7"/>
        </w:rPr>
        <w:t>元。本公司根据折旧进度，结转</w:t>
      </w:r>
      <w:r>
        <w:rPr>
          <w:spacing w:val="-95"/>
        </w:rPr>
        <w:t> </w:t>
      </w:r>
      <w:r>
        <w:rPr>
          <w:spacing w:val="-95"/>
        </w:rPr>
      </w:r>
      <w:r>
        <w:rPr/>
        <w:t>递延收益至损益。</w:t>
      </w:r>
    </w:p>
    <w:p>
      <w:pPr>
        <w:pStyle w:val="BodyText"/>
        <w:spacing w:line="240" w:lineRule="auto" w:before="34"/>
        <w:ind w:left="757" w:right="177"/>
        <w:jc w:val="left"/>
      </w:pPr>
      <w:r>
        <w:rPr>
          <w:spacing w:val="-4"/>
        </w:rPr>
        <w:t>（</w:t>
      </w:r>
      <w:r>
        <w:rPr>
          <w:rFonts w:ascii="宋体" w:hAnsi="宋体" w:cs="宋体" w:eastAsia="宋体" w:hint="default"/>
          <w:spacing w:val="-4"/>
        </w:rPr>
        <w:t>4</w:t>
      </w:r>
      <w:r>
        <w:rPr>
          <w:spacing w:val="-4"/>
        </w:rPr>
        <w:t>）根据相关文件，北京市文创资金“视听新媒体采编播平台项目”于</w:t>
      </w:r>
      <w:r>
        <w:rPr>
          <w:spacing w:val="-43"/>
        </w:rPr>
        <w:t> </w:t>
      </w:r>
      <w:r>
        <w:rPr>
          <w:rFonts w:ascii="宋体" w:hAnsi="宋体" w:cs="宋体" w:eastAsia="宋体" w:hint="default"/>
        </w:rPr>
        <w:t>2016</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月正式结项</w:t>
      </w:r>
    </w:p>
    <w:p>
      <w:pPr>
        <w:pStyle w:val="BodyText"/>
        <w:spacing w:line="240" w:lineRule="auto" w:before="145"/>
        <w:ind w:left="558" w:right="177"/>
        <w:jc w:val="left"/>
      </w:pPr>
      <w:r>
        <w:rPr/>
        <w:t>并转固，结转固定资产</w:t>
      </w:r>
      <w:r>
        <w:rPr>
          <w:spacing w:val="-57"/>
        </w:rPr>
        <w:t> </w:t>
      </w:r>
      <w:r>
        <w:rPr>
          <w:rFonts w:ascii="宋体" w:hAnsi="宋体" w:cs="宋体" w:eastAsia="宋体" w:hint="default"/>
        </w:rPr>
        <w:t>7,535,763.50</w:t>
      </w:r>
      <w:r>
        <w:rPr>
          <w:rFonts w:ascii="宋体" w:hAnsi="宋体" w:cs="宋体" w:eastAsia="宋体" w:hint="default"/>
          <w:spacing w:val="-58"/>
        </w:rPr>
        <w:t> </w:t>
      </w:r>
      <w:r>
        <w:rPr/>
        <w:t>元。本公司根据折旧进度，结转递延收益至损益。</w:t>
      </w:r>
    </w:p>
    <w:p>
      <w:pPr>
        <w:pStyle w:val="BodyText"/>
        <w:spacing w:line="240" w:lineRule="auto" w:before="145"/>
        <w:ind w:left="757" w:right="177"/>
        <w:jc w:val="left"/>
      </w:pPr>
      <w:r>
        <w:rPr>
          <w:spacing w:val="-4"/>
        </w:rPr>
        <w:t>（</w:t>
      </w:r>
      <w:r>
        <w:rPr>
          <w:rFonts w:ascii="宋体" w:hAnsi="宋体" w:cs="宋体" w:eastAsia="宋体" w:hint="default"/>
          <w:spacing w:val="-4"/>
        </w:rPr>
        <w:t>5</w:t>
      </w:r>
      <w:r>
        <w:rPr>
          <w:spacing w:val="-4"/>
        </w:rPr>
        <w:t>）根据相关文件，“国家科技支撑计划项目”于</w:t>
      </w:r>
      <w:r>
        <w:rPr>
          <w:spacing w:val="-39"/>
        </w:rPr>
        <w:t> </w:t>
      </w:r>
      <w:r>
        <w:rPr>
          <w:rFonts w:ascii="宋体" w:hAnsi="宋体" w:cs="宋体" w:eastAsia="宋体" w:hint="default"/>
        </w:rPr>
        <w:t>2016</w:t>
      </w:r>
      <w:r>
        <w:rPr>
          <w:rFonts w:ascii="宋体" w:hAnsi="宋体" w:cs="宋体" w:eastAsia="宋体" w:hint="default"/>
          <w:spacing w:val="-39"/>
        </w:rPr>
        <w:t> </w:t>
      </w:r>
      <w:r>
        <w:rPr/>
        <w:t>年</w:t>
      </w:r>
      <w:r>
        <w:rPr>
          <w:spacing w:val="-36"/>
        </w:rPr>
        <w:t> </w:t>
      </w:r>
      <w:r>
        <w:rPr>
          <w:rFonts w:ascii="宋体" w:hAnsi="宋体" w:cs="宋体" w:eastAsia="宋体" w:hint="default"/>
        </w:rPr>
        <w:t>12</w:t>
      </w:r>
      <w:r>
        <w:rPr>
          <w:rFonts w:ascii="宋体" w:hAnsi="宋体" w:cs="宋体" w:eastAsia="宋体" w:hint="default"/>
          <w:spacing w:val="-39"/>
        </w:rPr>
        <w:t> </w:t>
      </w:r>
      <w:r>
        <w:rPr>
          <w:spacing w:val="-4"/>
        </w:rPr>
        <w:t>月已完成并结项，工程项目的相</w:t>
      </w:r>
    </w:p>
    <w:p>
      <w:pPr>
        <w:pStyle w:val="BodyText"/>
        <w:spacing w:line="367" w:lineRule="auto" w:before="145"/>
        <w:ind w:left="558" w:right="177"/>
        <w:jc w:val="left"/>
      </w:pPr>
      <w:r>
        <w:rPr>
          <w:spacing w:val="-4"/>
        </w:rPr>
        <w:t>关资金归本公司所有，结转固定资产</w:t>
      </w:r>
      <w:r>
        <w:rPr>
          <w:spacing w:val="-26"/>
        </w:rPr>
        <w:t> </w:t>
      </w:r>
      <w:r>
        <w:rPr>
          <w:rFonts w:ascii="宋体" w:hAnsi="宋体" w:cs="宋体" w:eastAsia="宋体" w:hint="default"/>
        </w:rPr>
        <w:t>4,347,359.00</w:t>
      </w:r>
      <w:r>
        <w:rPr>
          <w:rFonts w:ascii="宋体" w:hAnsi="宋体" w:cs="宋体" w:eastAsia="宋体" w:hint="default"/>
          <w:spacing w:val="-29"/>
        </w:rPr>
        <w:t> </w:t>
      </w:r>
      <w:r>
        <w:rPr>
          <w:spacing w:val="-5"/>
        </w:rPr>
        <w:t>元。本公司根据折旧进度，结转递延收益至损</w:t>
      </w:r>
      <w:r>
        <w:rPr>
          <w:spacing w:val="-94"/>
        </w:rPr>
        <w:t> </w:t>
      </w:r>
      <w:r>
        <w:rPr>
          <w:spacing w:val="-94"/>
        </w:rPr>
      </w:r>
      <w:r>
        <w:rPr/>
        <w:t>益。</w:t>
      </w:r>
    </w:p>
    <w:p>
      <w:pPr>
        <w:pStyle w:val="BodyText"/>
        <w:spacing w:line="367" w:lineRule="auto" w:before="34"/>
        <w:ind w:left="558" w:right="177" w:firstLine="199"/>
        <w:jc w:val="left"/>
      </w:pPr>
      <w:r>
        <w:rPr>
          <w:spacing w:val="-4"/>
        </w:rPr>
        <w:t>（</w:t>
      </w:r>
      <w:r>
        <w:rPr>
          <w:rFonts w:ascii="宋体" w:hAnsi="宋体" w:cs="宋体" w:eastAsia="宋体" w:hint="default"/>
          <w:spacing w:val="-4"/>
        </w:rPr>
        <w:t>6</w:t>
      </w:r>
      <w:r>
        <w:rPr>
          <w:spacing w:val="-4"/>
        </w:rPr>
        <w:t>）本公司依据相关规定和要求，以“多语种网站建设和海外访问提速等”项目申请“海外访</w:t>
      </w:r>
      <w:r>
        <w:rPr>
          <w:w w:val="100"/>
        </w:rPr>
        <w:t> </w:t>
      </w:r>
      <w:r>
        <w:rPr/>
        <w:t>问提速”项目资金</w:t>
      </w:r>
      <w:r>
        <w:rPr>
          <w:spacing w:val="-49"/>
        </w:rPr>
        <w:t> </w:t>
      </w:r>
      <w:r>
        <w:rPr>
          <w:rFonts w:ascii="宋体" w:hAnsi="宋体" w:cs="宋体" w:eastAsia="宋体" w:hint="default"/>
        </w:rPr>
        <w:t>6,888.00</w:t>
      </w:r>
      <w:r>
        <w:rPr>
          <w:rFonts w:ascii="宋体" w:hAnsi="宋体" w:cs="宋体" w:eastAsia="宋体" w:hint="default"/>
          <w:spacing w:val="-48"/>
        </w:rPr>
        <w:t> </w:t>
      </w:r>
      <w:r>
        <w:rPr>
          <w:spacing w:val="-12"/>
        </w:rPr>
        <w:t>万元。</w:t>
      </w:r>
      <w:r>
        <w:rPr>
          <w:rFonts w:ascii="宋体" w:hAnsi="宋体" w:cs="宋体" w:eastAsia="宋体" w:hint="default"/>
          <w:spacing w:val="-12"/>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5"/>
        </w:rPr>
        <w:t>日，“海外访问提速”项目正式完成并结项，</w:t>
      </w:r>
    </w:p>
    <w:p>
      <w:pPr>
        <w:pStyle w:val="BodyText"/>
        <w:spacing w:line="240" w:lineRule="auto" w:before="34"/>
        <w:ind w:left="558" w:right="177"/>
        <w:jc w:val="left"/>
      </w:pPr>
      <w:r>
        <w:rPr/>
        <w:t>该工程的项目资金归本公司所有，并结转固定资产</w:t>
      </w:r>
      <w:r>
        <w:rPr>
          <w:spacing w:val="-55"/>
        </w:rPr>
        <w:t> </w:t>
      </w:r>
      <w:r>
        <w:rPr>
          <w:rFonts w:ascii="宋体" w:hAnsi="宋体" w:cs="宋体" w:eastAsia="宋体" w:hint="default"/>
        </w:rPr>
        <w:t>68,990,367.83</w:t>
      </w:r>
      <w:r>
        <w:rPr>
          <w:rFonts w:ascii="宋体" w:hAnsi="宋体" w:cs="宋体" w:eastAsia="宋体" w:hint="default"/>
          <w:spacing w:val="-55"/>
        </w:rPr>
        <w:t> </w:t>
      </w:r>
      <w:r>
        <w:rPr/>
        <w:t>元。</w:t>
      </w:r>
    </w:p>
    <w:p>
      <w:pPr>
        <w:pStyle w:val="BodyText"/>
        <w:spacing w:line="240" w:lineRule="auto" w:before="145"/>
        <w:ind w:left="757" w:right="177"/>
        <w:jc w:val="left"/>
      </w:pPr>
      <w:r>
        <w:rPr>
          <w:spacing w:val="-7"/>
        </w:rPr>
        <w:t>（</w:t>
      </w:r>
      <w:r>
        <w:rPr>
          <w:rFonts w:ascii="宋体" w:hAnsi="宋体" w:cs="宋体" w:eastAsia="宋体" w:hint="default"/>
          <w:spacing w:val="-7"/>
        </w:rPr>
        <w:t>7</w:t>
      </w:r>
      <w:r>
        <w:rPr>
          <w:spacing w:val="-7"/>
        </w:rPr>
        <w:t>）截至</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4"/>
        </w:rPr>
        <w:t>日，根据四川省财政厅、中共四川省委宣传部“关于下达</w:t>
      </w:r>
      <w:r>
        <w:rPr>
          <w:spacing w:val="-46"/>
        </w:rPr>
        <w:t> </w:t>
      </w:r>
      <w:r>
        <w:rPr>
          <w:rFonts w:ascii="宋体" w:hAnsi="宋体" w:cs="宋体" w:eastAsia="宋体" w:hint="default"/>
        </w:rPr>
        <w:t>2017</w:t>
      </w:r>
      <w:r>
        <w:rPr>
          <w:rFonts w:ascii="宋体" w:hAnsi="宋体" w:cs="宋体" w:eastAsia="宋体" w:hint="default"/>
          <w:spacing w:val="-47"/>
        </w:rPr>
        <w:t> </w:t>
      </w:r>
      <w:r>
        <w:rPr>
          <w:spacing w:val="-3"/>
        </w:rPr>
        <w:t>年四</w:t>
      </w:r>
      <w:r>
        <w:rPr/>
      </w:r>
    </w:p>
    <w:p>
      <w:pPr>
        <w:pStyle w:val="BodyText"/>
        <w:spacing w:line="309" w:lineRule="auto" w:before="145"/>
        <w:ind w:left="558" w:right="869"/>
        <w:jc w:val="left"/>
        <w:rPr>
          <w:rFonts w:ascii="宋体" w:hAnsi="宋体" w:cs="宋体" w:eastAsia="宋体" w:hint="default"/>
        </w:rPr>
      </w:pPr>
      <w:r>
        <w:rPr/>
        <w:t>川省文化产业发展专项资金预算的通知”，本公司收到“熊猫社区”项目拨款</w:t>
      </w:r>
      <w:r>
        <w:rPr>
          <w:spacing w:val="-54"/>
        </w:rPr>
        <w:t> </w:t>
      </w:r>
      <w:r>
        <w:rPr>
          <w:rFonts w:ascii="宋体" w:hAnsi="宋体" w:cs="宋体" w:eastAsia="宋体" w:hint="default"/>
        </w:rPr>
        <w:t>360.00</w:t>
      </w:r>
      <w:r>
        <w:rPr>
          <w:rFonts w:ascii="宋体" w:hAnsi="宋体" w:cs="宋体" w:eastAsia="宋体" w:hint="default"/>
          <w:spacing w:val="-57"/>
        </w:rPr>
        <w:t> </w:t>
      </w:r>
      <w:r>
        <w:rPr/>
        <w:t>万元。</w:t>
      </w:r>
      <w:r>
        <w:rPr>
          <w:w w:val="100"/>
        </w:rPr>
        <w:t> </w:t>
      </w:r>
      <w:r>
        <w:rPr>
          <w:rFonts w:ascii="宋体" w:hAnsi="宋体" w:cs="宋体" w:eastAsia="宋体" w:hint="default"/>
          <w:b/>
          <w:bCs/>
        </w:rPr>
        <w:t>52</w:t>
      </w:r>
      <w:r>
        <w:rPr>
          <w:rFonts w:ascii="宋体" w:hAnsi="宋体" w:cs="宋体" w:eastAsia="宋体" w:hint="default"/>
          <w:b/>
          <w:bCs/>
        </w:rPr>
        <w:t>、</w:t>
      </w:r>
      <w:r>
        <w:rPr>
          <w:rFonts w:ascii="宋体" w:hAnsi="宋体" w:cs="宋体" w:eastAsia="宋体" w:hint="default"/>
          <w:b/>
          <w:bCs/>
          <w:spacing w:val="-24"/>
        </w:rPr>
        <w:t> </w:t>
      </w:r>
      <w:r>
        <w:rPr>
          <w:rFonts w:ascii="宋体" w:hAnsi="宋体" w:cs="宋体" w:eastAsia="宋体" w:hint="default"/>
          <w:b/>
          <w:bCs/>
        </w:rPr>
        <w:t>其他非流动负债</w:t>
      </w:r>
      <w:r>
        <w:rPr>
          <w:rFonts w:ascii="宋体" w:hAnsi="宋体" w:cs="宋体" w:eastAsia="宋体" w:hint="default"/>
        </w:rPr>
      </w:r>
    </w:p>
    <w:p>
      <w:pPr>
        <w:pStyle w:val="BodyText"/>
        <w:spacing w:line="273" w:lineRule="exact"/>
        <w:ind w:left="558" w:right="177"/>
        <w:jc w:val="left"/>
      </w:pPr>
      <w:r>
        <w:rPr/>
        <w:t>√适用</w:t>
      </w:r>
      <w:r>
        <w:rPr>
          <w:spacing w:val="-1"/>
        </w:rPr>
        <w:t> </w:t>
      </w:r>
      <w:r>
        <w:rPr/>
        <w:t>□不适用</w:t>
      </w:r>
    </w:p>
    <w:p>
      <w:pPr>
        <w:pStyle w:val="BodyText"/>
        <w:tabs>
          <w:tab w:pos="1157" w:val="left" w:leader="none"/>
        </w:tabs>
        <w:spacing w:line="271" w:lineRule="exact"/>
        <w:ind w:left="0" w:right="5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445" w:type="dxa"/>
        <w:tblLayout w:type="fixed"/>
        <w:tblCellMar>
          <w:top w:w="0" w:type="dxa"/>
          <w:left w:w="0" w:type="dxa"/>
          <w:bottom w:w="0" w:type="dxa"/>
          <w:right w:w="0" w:type="dxa"/>
        </w:tblCellMar>
        <w:tblLook w:val="01E0"/>
      </w:tblPr>
      <w:tblGrid>
        <w:gridCol w:w="3257"/>
        <w:gridCol w:w="2897"/>
        <w:gridCol w:w="2895"/>
      </w:tblGrid>
      <w:tr>
        <w:trPr>
          <w:trHeight w:val="406"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09"/>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8"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预收投资款</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65,000,000.00</w:t>
            </w:r>
          </w:p>
        </w:tc>
      </w:tr>
      <w:tr>
        <w:trPr>
          <w:trHeight w:val="408"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0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65,000,000.00</w:t>
            </w:r>
          </w:p>
        </w:tc>
      </w:tr>
    </w:tbl>
    <w:p>
      <w:pPr>
        <w:spacing w:after="0" w:line="240" w:lineRule="auto"/>
        <w:jc w:val="right"/>
        <w:rPr>
          <w:rFonts w:ascii="宋体" w:hAnsi="宋体" w:cs="宋体" w:eastAsia="宋体" w:hint="default"/>
          <w:sz w:val="21"/>
          <w:szCs w:val="21"/>
        </w:rPr>
        <w:sectPr>
          <w:footerReference w:type="default" r:id="rId85"/>
          <w:pgSz w:w="11910" w:h="16840"/>
          <w:pgMar w:footer="1195" w:header="0" w:top="1120" w:bottom="1380" w:left="1240" w:right="720"/>
          <w:pgNumType w:start="143"/>
        </w:sectPr>
      </w:pPr>
    </w:p>
    <w:p>
      <w:pPr>
        <w:spacing w:line="290" w:lineRule="auto" w:before="26"/>
        <w:ind w:left="558" w:right="302" w:firstLine="0"/>
        <w:jc w:val="left"/>
        <w:rPr>
          <w:rFonts w:ascii="宋体" w:hAnsi="宋体" w:cs="宋体" w:eastAsia="宋体" w:hint="default"/>
          <w:sz w:val="21"/>
          <w:szCs w:val="21"/>
        </w:rPr>
      </w:pPr>
      <w:r>
        <w:rPr>
          <w:rFonts w:ascii="宋体" w:hAnsi="宋体" w:cs="宋体" w:eastAsia="宋体" w:hint="default"/>
          <w:spacing w:val="-1"/>
          <w:sz w:val="21"/>
          <w:szCs w:val="21"/>
        </w:rPr>
        <w:t>其他说明：无</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b/>
          <w:bCs/>
          <w:sz w:val="21"/>
          <w:szCs w:val="21"/>
        </w:rPr>
        <w:t>53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pStyle w:val="BodyText"/>
        <w:spacing w:line="240" w:lineRule="auto" w:before="14"/>
        <w:ind w:left="5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15" w:val="left" w:leader="none"/>
        </w:tabs>
        <w:spacing w:line="240" w:lineRule="auto" w:before="176"/>
        <w:ind w:left="558" w:right="0"/>
        <w:jc w:val="left"/>
      </w:pPr>
      <w:r>
        <w:rPr>
          <w:spacing w:val="-1"/>
        </w:rPr>
        <w:t>单位：元</w:t>
        <w:tab/>
      </w:r>
      <w:r>
        <w:rPr>
          <w:spacing w:val="-2"/>
        </w:rPr>
        <w:t>币种：人民币</w:t>
      </w:r>
    </w:p>
    <w:p>
      <w:pPr>
        <w:spacing w:after="0" w:line="240" w:lineRule="auto"/>
        <w:jc w:val="left"/>
        <w:sectPr>
          <w:type w:val="continuous"/>
          <w:pgSz w:w="11910" w:h="16840"/>
          <w:pgMar w:top="1120" w:bottom="1380" w:left="1240" w:right="720"/>
          <w:cols w:num="2" w:equalWidth="0">
            <w:col w:w="2135" w:space="4283"/>
            <w:col w:w="3532"/>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27"/>
        <w:gridCol w:w="1687"/>
        <w:gridCol w:w="5910"/>
        <w:gridCol w:w="1687"/>
      </w:tblGrid>
      <w:tr>
        <w:trPr>
          <w:trHeight w:val="281"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type w:val="continuous"/>
          <w:pgSz w:w="11910" w:h="16840"/>
          <w:pgMar w:top="1120" w:bottom="1380" w:left="124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427"/>
        <w:gridCol w:w="1687"/>
        <w:gridCol w:w="425"/>
        <w:gridCol w:w="1687"/>
        <w:gridCol w:w="1685"/>
        <w:gridCol w:w="427"/>
        <w:gridCol w:w="1685"/>
        <w:gridCol w:w="1687"/>
      </w:tblGrid>
      <w:tr>
        <w:trPr>
          <w:trHeight w:val="110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6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519"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207,611,744.00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207,611,744.00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103,805,872.00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311,417,616.00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519,029,360.00</w:t>
            </w:r>
          </w:p>
        </w:tc>
      </w:tr>
    </w:tbl>
    <w:p>
      <w:pPr>
        <w:spacing w:line="240" w:lineRule="auto" w:before="6"/>
        <w:rPr>
          <w:rFonts w:ascii="宋体" w:hAnsi="宋体" w:cs="宋体" w:eastAsia="宋体" w:hint="default"/>
          <w:sz w:val="7"/>
          <w:szCs w:val="7"/>
        </w:rPr>
      </w:pPr>
    </w:p>
    <w:p>
      <w:pPr>
        <w:spacing w:line="307" w:lineRule="auto" w:before="36"/>
        <w:ind w:left="558" w:right="7599" w:firstLine="0"/>
        <w:jc w:val="left"/>
        <w:rPr>
          <w:rFonts w:ascii="宋体" w:hAnsi="宋体" w:cs="宋体" w:eastAsia="宋体" w:hint="default"/>
          <w:sz w:val="21"/>
          <w:szCs w:val="21"/>
        </w:rPr>
      </w:pPr>
      <w:r>
        <w:rPr>
          <w:rFonts w:ascii="宋体" w:hAnsi="宋体" w:cs="宋体" w:eastAsia="宋体" w:hint="default"/>
          <w:sz w:val="21"/>
          <w:szCs w:val="21"/>
        </w:rPr>
        <w:t>其他说明：无。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其他权益工具</w:t>
      </w:r>
      <w:r>
        <w:rPr>
          <w:rFonts w:ascii="宋体" w:hAnsi="宋体" w:cs="宋体" w:eastAsia="宋体" w:hint="default"/>
          <w:sz w:val="21"/>
          <w:szCs w:val="21"/>
        </w:rPr>
      </w:r>
    </w:p>
    <w:p>
      <w:pPr>
        <w:pStyle w:val="Heading3"/>
        <w:spacing w:line="240" w:lineRule="auto" w:before="0"/>
        <w:ind w:left="558" w:right="177"/>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7"/>
        <w:ind w:left="558" w:right="177"/>
        <w:jc w:val="left"/>
      </w:pPr>
      <w:r>
        <w:rPr/>
        <w:t>□适用</w:t>
      </w:r>
      <w:r>
        <w:rPr>
          <w:spacing w:val="-1"/>
        </w:rPr>
        <w:t> </w:t>
      </w:r>
      <w:r>
        <w:rPr/>
        <w:t>√不适用</w:t>
      </w:r>
    </w:p>
    <w:p>
      <w:pPr>
        <w:pStyle w:val="Heading3"/>
        <w:spacing w:line="240" w:lineRule="auto" w:before="58"/>
        <w:ind w:left="558" w:right="177"/>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40" w:lineRule="auto" w:before="56"/>
        <w:ind w:left="558" w:right="869"/>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74" w:lineRule="exact" w:before="22"/>
        <w:ind w:left="558" w:right="7794"/>
        <w:jc w:val="left"/>
        <w:rPr>
          <w:rFonts w:ascii="宋体" w:hAnsi="宋体" w:cs="宋体" w:eastAsia="宋体" w:hint="default"/>
        </w:rPr>
      </w:pPr>
      <w:r>
        <w:rPr/>
        <w:t>□适用</w:t>
      </w:r>
      <w:r>
        <w:rPr>
          <w:spacing w:val="-1"/>
        </w:rPr>
        <w:t> </w:t>
      </w:r>
      <w:r>
        <w:rPr/>
        <w:t>√不适用</w:t>
      </w:r>
      <w:r>
        <w:rPr>
          <w:w w:val="100"/>
        </w:rPr>
        <w:t> </w:t>
      </w:r>
      <w:r>
        <w:rPr/>
        <w:t>其他说明</w:t>
      </w:r>
      <w:r>
        <w:rPr>
          <w:rFonts w:ascii="宋体" w:hAnsi="宋体" w:cs="宋体" w:eastAsia="宋体" w:hint="default"/>
        </w:rPr>
        <w:t>:</w:t>
      </w:r>
    </w:p>
    <w:p>
      <w:pPr>
        <w:pStyle w:val="BodyText"/>
        <w:spacing w:line="246" w:lineRule="exact"/>
        <w:ind w:left="558" w:right="177"/>
        <w:jc w:val="left"/>
      </w:pPr>
      <w:r>
        <w:rPr/>
        <w:t>□适用</w:t>
      </w:r>
      <w:r>
        <w:rPr>
          <w:spacing w:val="-1"/>
        </w:rPr>
        <w:t> </w:t>
      </w:r>
      <w:r>
        <w:rPr/>
        <w:t>√不适用</w:t>
      </w:r>
    </w:p>
    <w:p>
      <w:pPr>
        <w:pStyle w:val="Heading3"/>
        <w:spacing w:line="240" w:lineRule="auto" w:before="58"/>
        <w:ind w:left="558" w:right="177"/>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558" w:right="177"/>
        <w:jc w:val="left"/>
      </w:pPr>
      <w:r>
        <w:rPr/>
        <w:t>√适用</w:t>
      </w:r>
      <w:r>
        <w:rPr>
          <w:spacing w:val="-1"/>
        </w:rPr>
        <w:t> </w:t>
      </w:r>
      <w:r>
        <w:rPr/>
        <w:t>□不适用</w:t>
      </w:r>
    </w:p>
    <w:p>
      <w:pPr>
        <w:pStyle w:val="BodyText"/>
        <w:tabs>
          <w:tab w:pos="1157" w:val="left" w:leader="none"/>
        </w:tabs>
        <w:spacing w:line="274" w:lineRule="exact"/>
        <w:ind w:left="0" w:right="5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433" w:type="dxa"/>
        <w:tblLayout w:type="fixed"/>
        <w:tblCellMar>
          <w:top w:w="0" w:type="dxa"/>
          <w:left w:w="0" w:type="dxa"/>
          <w:bottom w:w="0" w:type="dxa"/>
          <w:right w:w="0" w:type="dxa"/>
        </w:tblCellMar>
        <w:tblLook w:val="01E0"/>
      </w:tblPr>
      <w:tblGrid>
        <w:gridCol w:w="1788"/>
        <w:gridCol w:w="1786"/>
        <w:gridCol w:w="1822"/>
        <w:gridCol w:w="1807"/>
        <w:gridCol w:w="1870"/>
      </w:tblGrid>
      <w:tr>
        <w:trPr>
          <w:trHeight w:val="28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资本溢价（股本溢</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 w:right="0"/>
              <w:jc w:val="center"/>
              <w:rPr>
                <w:rFonts w:ascii="宋体" w:hAnsi="宋体" w:cs="宋体" w:eastAsia="宋体" w:hint="default"/>
                <w:sz w:val="21"/>
                <w:szCs w:val="21"/>
              </w:rPr>
            </w:pPr>
            <w:r>
              <w:rPr>
                <w:rFonts w:ascii="宋体"/>
                <w:sz w:val="21"/>
              </w:rPr>
              <w:t>1,601,516,928.66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84,898,206.91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103,805,872.00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1,582,609,263.57</w:t>
            </w:r>
          </w:p>
        </w:tc>
      </w:tr>
      <w:tr>
        <w:trPr>
          <w:trHeight w:val="28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1,601,516,928.66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84,898,206.91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103,805,872.00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1,582,609,263.57</w:t>
            </w:r>
          </w:p>
        </w:tc>
      </w:tr>
    </w:tbl>
    <w:p>
      <w:pPr>
        <w:spacing w:line="240" w:lineRule="auto" w:before="7"/>
        <w:rPr>
          <w:rFonts w:ascii="宋体" w:hAnsi="宋体" w:cs="宋体" w:eastAsia="宋体" w:hint="default"/>
          <w:sz w:val="15"/>
          <w:szCs w:val="15"/>
        </w:rPr>
      </w:pPr>
    </w:p>
    <w:p>
      <w:pPr>
        <w:pStyle w:val="BodyText"/>
        <w:spacing w:line="331" w:lineRule="auto" w:before="36"/>
        <w:ind w:left="978" w:right="4204" w:hanging="420"/>
        <w:jc w:val="left"/>
      </w:pPr>
      <w:r>
        <w:rPr>
          <w:spacing w:val="-2"/>
        </w:rPr>
        <w:t>其他说明，包括本期增减变动情况、变动原因说明：</w:t>
      </w:r>
      <w:r>
        <w:rPr>
          <w:spacing w:val="-62"/>
        </w:rPr>
        <w:t> </w:t>
      </w:r>
      <w:r>
        <w:rPr>
          <w:spacing w:val="-62"/>
        </w:rPr>
      </w:r>
      <w:r>
        <w:rPr/>
        <w:t>注：</w:t>
      </w:r>
    </w:p>
    <w:p>
      <w:pPr>
        <w:pStyle w:val="BodyText"/>
        <w:spacing w:line="240" w:lineRule="auto" w:before="46"/>
        <w:ind w:left="978" w:right="177"/>
        <w:jc w:val="left"/>
      </w:pPr>
      <w:r>
        <w:rPr/>
        <w:t>（</w:t>
      </w:r>
      <w:r>
        <w:rPr>
          <w:rFonts w:ascii="宋体" w:hAnsi="宋体" w:cs="宋体" w:eastAsia="宋体" w:hint="default"/>
        </w:rPr>
        <w:t>1</w:t>
      </w:r>
      <w:r>
        <w:rPr/>
        <w:t>）本公司</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11</w:t>
      </w:r>
      <w:r>
        <w:rPr>
          <w:rFonts w:ascii="宋体" w:hAnsi="宋体" w:cs="宋体" w:eastAsia="宋体" w:hint="default"/>
          <w:spacing w:val="-54"/>
        </w:rPr>
        <w:t> </w:t>
      </w:r>
      <w:r>
        <w:rPr/>
        <w:t>日经股东大会审议通过，以</w:t>
      </w:r>
      <w:r>
        <w:rPr>
          <w:spacing w:val="-54"/>
        </w:rPr>
        <w:t> </w:t>
      </w:r>
      <w:r>
        <w:rPr>
          <w:rFonts w:ascii="宋体" w:hAnsi="宋体" w:cs="宋体" w:eastAsia="宋体" w:hint="default"/>
        </w:rPr>
        <w:t>2016</w:t>
      </w:r>
      <w:r>
        <w:rPr>
          <w:rFonts w:ascii="宋体" w:hAnsi="宋体" w:cs="宋体" w:eastAsia="宋体" w:hint="default"/>
          <w:spacing w:val="-56"/>
        </w:rPr>
        <w:t> </w:t>
      </w:r>
      <w:r>
        <w:rPr/>
        <w:t>年末股份总数为基数，向全体</w:t>
      </w:r>
    </w:p>
    <w:p>
      <w:pPr>
        <w:pStyle w:val="BodyText"/>
        <w:spacing w:line="240" w:lineRule="auto" w:before="126"/>
        <w:ind w:left="558" w:right="177"/>
        <w:jc w:val="left"/>
        <w:rPr>
          <w:rFonts w:ascii="宋体" w:hAnsi="宋体" w:cs="宋体" w:eastAsia="宋体" w:hint="default"/>
        </w:rPr>
      </w:pPr>
      <w:r>
        <w:rPr>
          <w:w w:val="100"/>
        </w:rPr>
        <w:t>股东</w:t>
      </w:r>
      <w:r>
        <w:rPr>
          <w:spacing w:val="-3"/>
          <w:w w:val="100"/>
        </w:rPr>
        <w:t>每</w:t>
      </w:r>
      <w:r>
        <w:rPr>
          <w:w w:val="100"/>
        </w:rPr>
        <w:t>股</w:t>
      </w:r>
      <w:r>
        <w:rPr>
          <w:spacing w:val="-3"/>
          <w:w w:val="100"/>
        </w:rPr>
        <w:t>派</w:t>
      </w:r>
      <w:r>
        <w:rPr>
          <w:w w:val="100"/>
        </w:rPr>
        <w:t>送</w:t>
      </w:r>
      <w:r>
        <w:rPr>
          <w:spacing w:val="-3"/>
          <w:w w:val="100"/>
        </w:rPr>
        <w:t>红</w:t>
      </w:r>
      <w:r>
        <w:rPr>
          <w:w w:val="100"/>
        </w:rPr>
        <w:t>股</w:t>
      </w:r>
      <w:r>
        <w:rPr>
          <w:spacing w:val="-63"/>
        </w:rPr>
        <w:t> </w:t>
      </w:r>
      <w:r>
        <w:rPr>
          <w:rFonts w:ascii="宋体" w:hAnsi="宋体" w:cs="宋体" w:eastAsia="宋体" w:hint="default"/>
          <w:w w:val="100"/>
        </w:rPr>
        <w:t>1</w:t>
      </w:r>
      <w:r>
        <w:rPr>
          <w:rFonts w:ascii="宋体" w:hAnsi="宋体" w:cs="宋体" w:eastAsia="宋体" w:hint="default"/>
          <w:spacing w:val="-62"/>
        </w:rPr>
        <w:t> </w:t>
      </w:r>
      <w:r>
        <w:rPr>
          <w:w w:val="100"/>
        </w:rPr>
        <w:t>股</w:t>
      </w:r>
      <w:r>
        <w:rPr>
          <w:spacing w:val="-106"/>
          <w:w w:val="100"/>
        </w:rPr>
        <w:t>，</w:t>
      </w:r>
      <w:r>
        <w:rPr>
          <w:spacing w:val="-3"/>
          <w:w w:val="100"/>
        </w:rPr>
        <w:t>以</w:t>
      </w:r>
      <w:r>
        <w:rPr>
          <w:w w:val="100"/>
        </w:rPr>
        <w:t>资本</w:t>
      </w:r>
      <w:r>
        <w:rPr>
          <w:spacing w:val="-3"/>
          <w:w w:val="100"/>
        </w:rPr>
        <w:t>公</w:t>
      </w:r>
      <w:r>
        <w:rPr>
          <w:w w:val="100"/>
        </w:rPr>
        <w:t>积</w:t>
      </w:r>
      <w:r>
        <w:rPr>
          <w:spacing w:val="-3"/>
          <w:w w:val="100"/>
        </w:rPr>
        <w:t>金</w:t>
      </w:r>
      <w:r>
        <w:rPr>
          <w:w w:val="100"/>
        </w:rPr>
        <w:t>向</w:t>
      </w:r>
      <w:r>
        <w:rPr>
          <w:spacing w:val="-3"/>
          <w:w w:val="100"/>
        </w:rPr>
        <w:t>全</w:t>
      </w:r>
      <w:r>
        <w:rPr>
          <w:w w:val="100"/>
        </w:rPr>
        <w:t>体</w:t>
      </w:r>
      <w:r>
        <w:rPr>
          <w:spacing w:val="-3"/>
          <w:w w:val="100"/>
        </w:rPr>
        <w:t>股</w:t>
      </w:r>
      <w:r>
        <w:rPr>
          <w:w w:val="100"/>
        </w:rPr>
        <w:t>东</w:t>
      </w:r>
      <w:r>
        <w:rPr>
          <w:spacing w:val="-3"/>
          <w:w w:val="100"/>
        </w:rPr>
        <w:t>每</w:t>
      </w:r>
      <w:r>
        <w:rPr>
          <w:w w:val="100"/>
        </w:rPr>
        <w:t>股</w:t>
      </w:r>
      <w:r>
        <w:rPr>
          <w:spacing w:val="-3"/>
          <w:w w:val="100"/>
        </w:rPr>
        <w:t>转</w:t>
      </w:r>
      <w:r>
        <w:rPr>
          <w:w w:val="100"/>
        </w:rPr>
        <w:t>增</w:t>
      </w:r>
      <w:r>
        <w:rPr>
          <w:spacing w:val="-59"/>
        </w:rPr>
        <w:t> </w:t>
      </w:r>
      <w:r>
        <w:rPr>
          <w:rFonts w:ascii="宋体" w:hAnsi="宋体" w:cs="宋体" w:eastAsia="宋体" w:hint="default"/>
          <w:w w:val="100"/>
        </w:rPr>
        <w:t>0</w:t>
      </w:r>
      <w:r>
        <w:rPr>
          <w:rFonts w:ascii="宋体" w:hAnsi="宋体" w:cs="宋体" w:eastAsia="宋体" w:hint="default"/>
          <w:spacing w:val="-3"/>
          <w:w w:val="100"/>
        </w:rPr>
        <w:t>.</w:t>
      </w:r>
      <w:r>
        <w:rPr>
          <w:rFonts w:ascii="宋体" w:hAnsi="宋体" w:cs="宋体" w:eastAsia="宋体" w:hint="default"/>
          <w:w w:val="100"/>
        </w:rPr>
        <w:t>5</w:t>
      </w:r>
      <w:r>
        <w:rPr>
          <w:rFonts w:ascii="宋体" w:hAnsi="宋体" w:cs="宋体" w:eastAsia="宋体" w:hint="default"/>
          <w:spacing w:val="-62"/>
        </w:rPr>
        <w:t> </w:t>
      </w:r>
      <w:r>
        <w:rPr>
          <w:w w:val="100"/>
        </w:rPr>
        <w:t>股</w:t>
      </w:r>
      <w:r>
        <w:rPr>
          <w:spacing w:val="-106"/>
          <w:w w:val="100"/>
        </w:rPr>
        <w:t>，</w:t>
      </w:r>
      <w:r>
        <w:rPr>
          <w:spacing w:val="-3"/>
          <w:w w:val="100"/>
        </w:rPr>
        <w:t>共</w:t>
      </w:r>
      <w:r>
        <w:rPr>
          <w:w w:val="100"/>
        </w:rPr>
        <w:t>计</w:t>
      </w:r>
      <w:r>
        <w:rPr>
          <w:spacing w:val="-3"/>
          <w:w w:val="100"/>
        </w:rPr>
        <w:t>派</w:t>
      </w:r>
      <w:r>
        <w:rPr>
          <w:w w:val="100"/>
        </w:rPr>
        <w:t>送</w:t>
      </w:r>
      <w:r>
        <w:rPr>
          <w:spacing w:val="-3"/>
          <w:w w:val="100"/>
        </w:rPr>
        <w:t>红</w:t>
      </w:r>
      <w:r>
        <w:rPr>
          <w:w w:val="100"/>
        </w:rPr>
        <w:t>股</w:t>
      </w:r>
      <w:r>
        <w:rPr>
          <w:spacing w:val="-6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7,6</w:t>
      </w:r>
      <w:r>
        <w:rPr>
          <w:rFonts w:ascii="宋体" w:hAnsi="宋体" w:cs="宋体" w:eastAsia="宋体" w:hint="default"/>
          <w:spacing w:val="-3"/>
          <w:w w:val="100"/>
        </w:rPr>
        <w:t>1</w:t>
      </w:r>
      <w:r>
        <w:rPr>
          <w:rFonts w:ascii="宋体" w:hAnsi="宋体" w:cs="宋体" w:eastAsia="宋体" w:hint="default"/>
          <w:w w:val="100"/>
        </w:rPr>
        <w:t>1,7</w:t>
      </w:r>
      <w:r>
        <w:rPr>
          <w:rFonts w:ascii="宋体" w:hAnsi="宋体" w:cs="宋体" w:eastAsia="宋体" w:hint="default"/>
          <w:spacing w:val="-3"/>
          <w:w w:val="100"/>
        </w:rPr>
        <w:t>4</w:t>
      </w:r>
      <w:r>
        <w:rPr>
          <w:rFonts w:ascii="宋体" w:hAnsi="宋体" w:cs="宋体" w:eastAsia="宋体" w:hint="default"/>
          <w:w w:val="100"/>
        </w:rPr>
        <w:t>4.</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40" w:lineRule="auto" w:before="123"/>
        <w:ind w:left="558" w:right="177"/>
        <w:jc w:val="left"/>
      </w:pPr>
      <w:r>
        <w:rPr/>
        <w:t>股，转增</w:t>
      </w:r>
      <w:r>
        <w:rPr>
          <w:spacing w:val="-54"/>
        </w:rPr>
        <w:t> </w:t>
      </w:r>
      <w:r>
        <w:rPr>
          <w:rFonts w:ascii="宋体" w:hAnsi="宋体" w:cs="宋体" w:eastAsia="宋体" w:hint="default"/>
        </w:rPr>
        <w:t>103,805,872.00</w:t>
      </w:r>
      <w:r>
        <w:rPr>
          <w:rFonts w:ascii="宋体" w:hAnsi="宋体" w:cs="宋体" w:eastAsia="宋体" w:hint="default"/>
          <w:spacing w:val="-56"/>
        </w:rPr>
        <w:t> </w:t>
      </w:r>
      <w:r>
        <w:rPr/>
        <w:t>股，本次分配后总股本为</w:t>
      </w:r>
      <w:r>
        <w:rPr>
          <w:spacing w:val="-56"/>
        </w:rPr>
        <w:t> </w:t>
      </w:r>
      <w:r>
        <w:rPr>
          <w:rFonts w:ascii="宋体" w:hAnsi="宋体" w:cs="宋体" w:eastAsia="宋体" w:hint="default"/>
        </w:rPr>
        <w:t>519,029,360.00</w:t>
      </w:r>
      <w:r>
        <w:rPr>
          <w:rFonts w:ascii="宋体" w:hAnsi="宋体" w:cs="宋体" w:eastAsia="宋体" w:hint="default"/>
          <w:spacing w:val="-54"/>
        </w:rPr>
        <w:t> </w:t>
      </w:r>
      <w:r>
        <w:rPr>
          <w:spacing w:val="-3"/>
        </w:rPr>
        <w:t>股。</w:t>
      </w:r>
      <w:r>
        <w:rPr/>
      </w:r>
    </w:p>
    <w:p>
      <w:pPr>
        <w:pStyle w:val="BodyText"/>
        <w:spacing w:line="350" w:lineRule="auto" w:before="126"/>
        <w:ind w:left="558" w:right="714" w:firstLine="419"/>
        <w:jc w:val="left"/>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5"/>
        </w:rPr>
        <w:t> </w:t>
      </w:r>
      <w:r>
        <w:rPr/>
        <w:t>年，本公司子公司亿连科技收到并确认北京睿至大数据有限公司缴纳的增资</w:t>
      </w:r>
      <w:r>
        <w:rPr>
          <w:w w:val="100"/>
        </w:rPr>
        <w:t> </w:t>
      </w:r>
      <w:r>
        <w:rPr>
          <w:rFonts w:ascii="宋体" w:hAnsi="宋体" w:cs="宋体" w:eastAsia="宋体" w:hint="default"/>
        </w:rPr>
        <w:t>10,000.00</w:t>
      </w:r>
      <w:r>
        <w:rPr>
          <w:rFonts w:ascii="宋体" w:hAnsi="宋体" w:cs="宋体" w:eastAsia="宋体" w:hint="default"/>
          <w:spacing w:val="-57"/>
        </w:rPr>
        <w:t> </w:t>
      </w:r>
      <w:r>
        <w:rPr/>
        <w:t>万元、深圳道易互联网股权投资基金（有限合伙）缴纳的增资</w:t>
      </w:r>
      <w:r>
        <w:rPr>
          <w:spacing w:val="-55"/>
        </w:rPr>
        <w:t> </w:t>
      </w:r>
      <w:r>
        <w:rPr>
          <w:rFonts w:ascii="宋体" w:hAnsi="宋体" w:cs="宋体" w:eastAsia="宋体" w:hint="default"/>
        </w:rPr>
        <w:t>2,500.00</w:t>
      </w:r>
      <w:r>
        <w:rPr>
          <w:rFonts w:ascii="宋体" w:hAnsi="宋体" w:cs="宋体" w:eastAsia="宋体" w:hint="default"/>
          <w:spacing w:val="-54"/>
        </w:rPr>
        <w:t> </w:t>
      </w:r>
      <w:r>
        <w:rPr/>
        <w:t>万元。其中</w:t>
      </w:r>
    </w:p>
    <w:p>
      <w:pPr>
        <w:pStyle w:val="BodyText"/>
        <w:spacing w:line="350" w:lineRule="auto" w:before="27"/>
        <w:ind w:left="558" w:right="611"/>
        <w:jc w:val="left"/>
      </w:pPr>
      <w:r>
        <w:rPr>
          <w:rFonts w:ascii="宋体" w:hAnsi="宋体" w:cs="宋体" w:eastAsia="宋体" w:hint="default"/>
        </w:rPr>
        <w:t>3,333,333.33</w:t>
      </w:r>
      <w:r>
        <w:rPr>
          <w:rFonts w:ascii="宋体" w:hAnsi="宋体" w:cs="宋体" w:eastAsia="宋体" w:hint="default"/>
          <w:spacing w:val="-57"/>
        </w:rPr>
        <w:t> </w:t>
      </w:r>
      <w:r>
        <w:rPr/>
        <w:t>元计入注册资本，</w:t>
      </w:r>
      <w:r>
        <w:rPr>
          <w:rFonts w:ascii="宋体" w:hAnsi="宋体" w:cs="宋体" w:eastAsia="宋体" w:hint="default"/>
        </w:rPr>
        <w:t>121,666,666.67</w:t>
      </w:r>
      <w:r>
        <w:rPr>
          <w:rFonts w:ascii="宋体" w:hAnsi="宋体" w:cs="宋体" w:eastAsia="宋体" w:hint="default"/>
          <w:spacing w:val="-57"/>
        </w:rPr>
        <w:t> </w:t>
      </w:r>
      <w:r>
        <w:rPr/>
        <w:t>元计入资本公积。本公司持股比例由</w:t>
      </w:r>
      <w:r>
        <w:rPr>
          <w:spacing w:val="-54"/>
        </w:rPr>
        <w:t> </w:t>
      </w:r>
      <w:r>
        <w:rPr>
          <w:rFonts w:ascii="宋体" w:hAnsi="宋体" w:cs="宋体" w:eastAsia="宋体" w:hint="default"/>
        </w:rPr>
        <w:t>95.00%</w:t>
      </w:r>
      <w:r>
        <w:rPr/>
        <w:t>降</w:t>
      </w:r>
      <w:r>
        <w:rPr>
          <w:w w:val="100"/>
        </w:rPr>
        <w:t> </w:t>
      </w:r>
      <w:r>
        <w:rPr/>
        <w:t>低为</w:t>
      </w:r>
      <w:r>
        <w:rPr>
          <w:spacing w:val="-55"/>
        </w:rPr>
        <w:t> </w:t>
      </w:r>
      <w:r>
        <w:rPr>
          <w:rFonts w:ascii="宋体" w:hAnsi="宋体" w:cs="宋体" w:eastAsia="宋体" w:hint="default"/>
        </w:rPr>
        <w:t>70.00%</w:t>
      </w:r>
      <w:r>
        <w:rPr/>
        <w:t>，确认因少数股东增资产生的资本公积</w:t>
      </w:r>
      <w:r>
        <w:rPr>
          <w:spacing w:val="-57"/>
        </w:rPr>
        <w:t> </w:t>
      </w:r>
      <w:r>
        <w:rPr>
          <w:rFonts w:ascii="宋体" w:hAnsi="宋体" w:cs="宋体" w:eastAsia="宋体" w:hint="default"/>
        </w:rPr>
        <w:t>84,898,206.91</w:t>
      </w:r>
      <w:r>
        <w:rPr>
          <w:rFonts w:ascii="宋体" w:hAnsi="宋体" w:cs="宋体" w:eastAsia="宋体" w:hint="default"/>
          <w:spacing w:val="-57"/>
        </w:rPr>
        <w:t> </w:t>
      </w:r>
      <w:r>
        <w:rPr/>
        <w:t>元。</w:t>
      </w:r>
    </w:p>
    <w:p>
      <w:pPr>
        <w:spacing w:after="0" w:line="350" w:lineRule="auto"/>
        <w:jc w:val="left"/>
        <w:sectPr>
          <w:pgSz w:w="11910" w:h="16840"/>
          <w:pgMar w:header="0" w:footer="1195" w:top="1120" w:bottom="1380" w:left="1240" w:right="720"/>
        </w:sectPr>
      </w:pPr>
    </w:p>
    <w:p>
      <w:pPr>
        <w:spacing w:before="20"/>
        <w:ind w:left="6955" w:right="697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6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6"/>
          <w:footerReference w:type="default" r:id="rId87"/>
          <w:pgSz w:w="16840" w:h="11910" w:orient="landscape"/>
          <w:pgMar w:header="0" w:footer="0" w:top="800" w:bottom="280" w:left="740" w:right="820"/>
        </w:sectPr>
      </w:pPr>
    </w:p>
    <w:p>
      <w:pPr>
        <w:pStyle w:val="Heading3"/>
        <w:spacing w:line="240" w:lineRule="auto"/>
        <w:ind w:left="700" w:right="-19"/>
        <w:jc w:val="left"/>
        <w:rPr>
          <w:b w:val="0"/>
          <w:bCs w:val="0"/>
        </w:rPr>
      </w:pPr>
      <w:r>
        <w:rPr>
          <w:rFonts w:ascii="宋体" w:hAnsi="宋体" w:cs="宋体" w:eastAsia="宋体" w:hint="default"/>
        </w:rPr>
        <w:t>56</w:t>
      </w:r>
      <w:r>
        <w:rPr/>
        <w:t>、</w:t>
      </w:r>
      <w:r>
        <w:rPr>
          <w:spacing w:val="-24"/>
        </w:rPr>
        <w:t> </w:t>
      </w:r>
      <w:r>
        <w:rPr/>
        <w:t>库存股</w:t>
      </w:r>
      <w:r>
        <w:rPr>
          <w:b w:val="0"/>
          <w:bCs w:val="0"/>
        </w:rPr>
      </w:r>
    </w:p>
    <w:p>
      <w:pPr>
        <w:spacing w:line="290" w:lineRule="auto" w:before="56"/>
        <w:ind w:left="700"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57</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40" w:lineRule="auto" w:before="12"/>
        <w:ind w:left="70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856" w:val="left" w:leader="none"/>
        </w:tabs>
        <w:spacing w:line="240" w:lineRule="auto"/>
        <w:ind w:left="70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740" w:right="820"/>
          <w:cols w:num="2" w:equalWidth="0">
            <w:col w:w="2472" w:space="8987"/>
            <w:col w:w="3821"/>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74"/>
        <w:gridCol w:w="1582"/>
        <w:gridCol w:w="2107"/>
        <w:gridCol w:w="2297"/>
        <w:gridCol w:w="1116"/>
        <w:gridCol w:w="1796"/>
        <w:gridCol w:w="996"/>
        <w:gridCol w:w="1875"/>
      </w:tblGrid>
      <w:tr>
        <w:trPr>
          <w:trHeight w:val="283" w:hRule="exact"/>
        </w:trPr>
        <w:tc>
          <w:tcPr>
            <w:tcW w:w="32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8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8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6" w:hRule="exact"/>
        </w:trPr>
        <w:tc>
          <w:tcPr>
            <w:tcW w:w="3274"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pacing w:val="-1"/>
                <w:sz w:val="21"/>
                <w:szCs w:val="21"/>
              </w:rPr>
              <w:t>本期所得税前发生额</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02" w:right="101" w:hanging="200"/>
              <w:jc w:val="left"/>
              <w:rPr>
                <w:rFonts w:ascii="宋体" w:hAnsi="宋体" w:cs="宋体" w:eastAsia="宋体" w:hint="default"/>
                <w:sz w:val="21"/>
                <w:szCs w:val="21"/>
              </w:rPr>
            </w:pPr>
            <w:r>
              <w:rPr>
                <w:rFonts w:ascii="宋体" w:hAnsi="宋体" w:cs="宋体" w:eastAsia="宋体" w:hint="default"/>
                <w:spacing w:val="-4"/>
                <w:sz w:val="21"/>
                <w:szCs w:val="21"/>
              </w:rPr>
              <w:t>减：前期计入其他综合</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收益当期转入损益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37" w:right="129" w:hanging="106"/>
              <w:jc w:val="left"/>
              <w:rPr>
                <w:rFonts w:ascii="宋体" w:hAnsi="宋体" w:cs="宋体" w:eastAsia="宋体" w:hint="default"/>
                <w:sz w:val="21"/>
                <w:szCs w:val="21"/>
              </w:rPr>
            </w:pPr>
            <w:r>
              <w:rPr>
                <w:rFonts w:ascii="宋体" w:hAnsi="宋体" w:cs="宋体" w:eastAsia="宋体" w:hint="default"/>
                <w:sz w:val="21"/>
                <w:szCs w:val="21"/>
              </w:rPr>
              <w:t>减：所得</w:t>
            </w:r>
            <w:r>
              <w:rPr>
                <w:rFonts w:ascii="宋体" w:hAnsi="宋体" w:cs="宋体" w:eastAsia="宋体" w:hint="default"/>
                <w:w w:val="100"/>
                <w:sz w:val="21"/>
                <w:szCs w:val="21"/>
              </w:rPr>
              <w:t> </w:t>
            </w:r>
            <w:r>
              <w:rPr>
                <w:rFonts w:ascii="宋体" w:hAnsi="宋体" w:cs="宋体" w:eastAsia="宋体" w:hint="default"/>
                <w:sz w:val="21"/>
                <w:szCs w:val="21"/>
              </w:rPr>
              <w:t>税费用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787" w:right="154" w:hanging="632"/>
              <w:jc w:val="left"/>
              <w:rPr>
                <w:rFonts w:ascii="宋体" w:hAnsi="宋体" w:cs="宋体" w:eastAsia="宋体" w:hint="default"/>
                <w:sz w:val="21"/>
                <w:szCs w:val="21"/>
              </w:rPr>
            </w:pPr>
            <w:r>
              <w:rPr>
                <w:rFonts w:ascii="宋体" w:hAnsi="宋体" w:cs="宋体" w:eastAsia="宋体" w:hint="default"/>
                <w:sz w:val="21"/>
                <w:szCs w:val="21"/>
              </w:rPr>
              <w:t>税后归属于母公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税后归</w:t>
            </w:r>
          </w:p>
          <w:p>
            <w:pPr>
              <w:pStyle w:val="TableParagraph"/>
              <w:spacing w:line="240" w:lineRule="auto"/>
              <w:ind w:left="177" w:right="173"/>
              <w:jc w:val="left"/>
              <w:rPr>
                <w:rFonts w:ascii="宋体" w:hAnsi="宋体" w:cs="宋体" w:eastAsia="宋体" w:hint="default"/>
                <w:sz w:val="21"/>
                <w:szCs w:val="21"/>
              </w:rPr>
            </w:pP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1875" w:type="dxa"/>
            <w:vMerge/>
            <w:tcBorders>
              <w:left w:val="single" w:sz="4" w:space="0" w:color="000000"/>
              <w:bottom w:val="single" w:sz="4" w:space="0" w:color="000000"/>
              <w:right w:val="single" w:sz="4" w:space="0" w:color="000000"/>
            </w:tcBorders>
          </w:tcPr>
          <w:p>
            <w:pP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后</w:t>
            </w:r>
            <w:r>
              <w:rPr>
                <w:rFonts w:ascii="宋体" w:hAnsi="宋体" w:cs="宋体" w:eastAsia="宋体" w:hint="default"/>
                <w:spacing w:val="-3"/>
                <w:w w:val="100"/>
                <w:sz w:val="21"/>
                <w:szCs w:val="21"/>
              </w:rPr>
              <w:t>不</w:t>
            </w:r>
            <w:r>
              <w:rPr>
                <w:rFonts w:ascii="宋体" w:hAnsi="宋体" w:cs="宋体" w:eastAsia="宋体" w:hint="default"/>
                <w:w w:val="100"/>
                <w:sz w:val="21"/>
                <w:szCs w:val="21"/>
              </w:rPr>
              <w:t>能</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损益</w:t>
            </w:r>
            <w:r>
              <w:rPr>
                <w:rFonts w:ascii="宋体" w:hAnsi="宋体" w:cs="宋体" w:eastAsia="宋体" w:hint="default"/>
                <w:w w:val="100"/>
                <w:sz w:val="21"/>
                <w:szCs w:val="21"/>
              </w:rPr>
              <w:t>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4"/>
                <w:w w:val="100"/>
                <w:sz w:val="21"/>
                <w:szCs w:val="21"/>
              </w:rPr>
              <w:t>：</w:t>
            </w:r>
            <w:r>
              <w:rPr>
                <w:rFonts w:ascii="宋体" w:hAnsi="宋体" w:cs="宋体" w:eastAsia="宋体" w:hint="default"/>
                <w:w w:val="100"/>
                <w:sz w:val="21"/>
                <w:szCs w:val="21"/>
              </w:rPr>
              <w:t>重</w:t>
            </w:r>
            <w:r>
              <w:rPr>
                <w:rFonts w:ascii="宋体" w:hAnsi="宋体" w:cs="宋体" w:eastAsia="宋体" w:hint="default"/>
                <w:spacing w:val="-3"/>
                <w:w w:val="100"/>
                <w:sz w:val="21"/>
                <w:szCs w:val="21"/>
              </w:rPr>
              <w:t>新</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设</w:t>
            </w:r>
            <w:r>
              <w:rPr>
                <w:rFonts w:ascii="宋体" w:hAnsi="宋体" w:cs="宋体" w:eastAsia="宋体" w:hint="default"/>
                <w:spacing w:val="-3"/>
                <w:w w:val="100"/>
                <w:sz w:val="21"/>
                <w:szCs w:val="21"/>
              </w:rPr>
              <w:t>定</w:t>
            </w:r>
            <w:r>
              <w:rPr>
                <w:rFonts w:ascii="宋体" w:hAnsi="宋体" w:cs="宋体" w:eastAsia="宋体" w:hint="default"/>
                <w:w w:val="100"/>
                <w:sz w:val="21"/>
                <w:szCs w:val="21"/>
              </w:rPr>
              <w:t>受</w:t>
            </w:r>
            <w:r>
              <w:rPr>
                <w:rFonts w:ascii="宋体" w:hAnsi="宋体" w:cs="宋体" w:eastAsia="宋体" w:hint="default"/>
                <w:spacing w:val="-3"/>
                <w:w w:val="100"/>
                <w:sz w:val="21"/>
                <w:szCs w:val="21"/>
              </w:rPr>
              <w:t>益计</w:t>
            </w:r>
            <w:r>
              <w:rPr>
                <w:rFonts w:ascii="宋体" w:hAnsi="宋体" w:cs="宋体" w:eastAsia="宋体" w:hint="default"/>
                <w:w w:val="100"/>
                <w:sz w:val="21"/>
                <w:szCs w:val="21"/>
              </w:rPr>
              <w:t>划净负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债和净资产的变动</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权益法下在被投资单位不能重分</w:t>
            </w:r>
          </w:p>
          <w:p>
            <w:pPr>
              <w:pStyle w:val="TableParagraph"/>
              <w:spacing w:line="240" w:lineRule="auto"/>
              <w:ind w:left="103" w:right="214"/>
              <w:jc w:val="left"/>
              <w:rPr>
                <w:rFonts w:ascii="宋体" w:hAnsi="宋体" w:cs="宋体" w:eastAsia="宋体" w:hint="default"/>
                <w:sz w:val="21"/>
                <w:szCs w:val="21"/>
              </w:rPr>
            </w:pPr>
            <w:r>
              <w:rPr>
                <w:rFonts w:ascii="宋体" w:hAnsi="宋体" w:cs="宋体" w:eastAsia="宋体" w:hint="default"/>
                <w:spacing w:val="-2"/>
                <w:sz w:val="21"/>
                <w:szCs w:val="21"/>
              </w:rPr>
              <w:t>类进损益的其他综合收益中享有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的份额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后</w:t>
            </w:r>
            <w:r>
              <w:rPr>
                <w:rFonts w:ascii="宋体" w:hAnsi="宋体" w:cs="宋体" w:eastAsia="宋体" w:hint="default"/>
                <w:spacing w:val="-3"/>
                <w:w w:val="100"/>
                <w:sz w:val="21"/>
                <w:szCs w:val="21"/>
              </w:rPr>
              <w:t>将</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w:t>
            </w:r>
            <w:r>
              <w:rPr>
                <w:rFonts w:ascii="宋体" w:hAnsi="宋体" w:cs="宋体" w:eastAsia="宋体" w:hint="default"/>
                <w:w w:val="100"/>
                <w:sz w:val="21"/>
                <w:szCs w:val="21"/>
              </w:rPr>
              <w:t>损</w:t>
            </w:r>
            <w:r>
              <w:rPr>
                <w:rFonts w:ascii="宋体" w:hAnsi="宋体" w:cs="宋体" w:eastAsia="宋体" w:hint="default"/>
                <w:spacing w:val="-3"/>
                <w:w w:val="100"/>
                <w:sz w:val="21"/>
                <w:szCs w:val="21"/>
              </w:rPr>
              <w:t>益的</w:t>
            </w:r>
            <w:r>
              <w:rPr>
                <w:rFonts w:ascii="宋体" w:hAnsi="宋体" w:cs="宋体" w:eastAsia="宋体" w:hint="default"/>
                <w:w w:val="100"/>
                <w:sz w:val="21"/>
                <w:szCs w:val="21"/>
              </w:rPr>
              <w:t>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-2,589,499.94</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-27,486,210.98</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-29,759,168.52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2,272,957.54</w:t>
            </w: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-316,542.40</w:t>
            </w:r>
          </w:p>
        </w:tc>
      </w:tr>
      <w:tr>
        <w:trPr>
          <w:trHeight w:val="828"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4"/>
                <w:w w:val="100"/>
                <w:sz w:val="21"/>
                <w:szCs w:val="21"/>
              </w:rPr>
              <w:t>：</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法</w:t>
            </w:r>
            <w:r>
              <w:rPr>
                <w:rFonts w:ascii="宋体" w:hAnsi="宋体" w:cs="宋体" w:eastAsia="宋体" w:hint="default"/>
                <w:spacing w:val="-3"/>
                <w:w w:val="100"/>
                <w:sz w:val="21"/>
                <w:szCs w:val="21"/>
              </w:rPr>
              <w:t>下</w:t>
            </w:r>
            <w:r>
              <w:rPr>
                <w:rFonts w:ascii="宋体" w:hAnsi="宋体" w:cs="宋体" w:eastAsia="宋体" w:hint="default"/>
                <w:w w:val="100"/>
                <w:sz w:val="21"/>
                <w:szCs w:val="21"/>
              </w:rPr>
              <w:t>在</w:t>
            </w:r>
            <w:r>
              <w:rPr>
                <w:rFonts w:ascii="宋体" w:hAnsi="宋体" w:cs="宋体" w:eastAsia="宋体" w:hint="default"/>
                <w:spacing w:val="-3"/>
                <w:w w:val="100"/>
                <w:sz w:val="21"/>
                <w:szCs w:val="21"/>
              </w:rPr>
              <w:t>被</w:t>
            </w:r>
            <w:r>
              <w:rPr>
                <w:rFonts w:ascii="宋体" w:hAnsi="宋体" w:cs="宋体" w:eastAsia="宋体" w:hint="default"/>
                <w:w w:val="100"/>
                <w:sz w:val="21"/>
                <w:szCs w:val="21"/>
              </w:rPr>
              <w:t>投</w:t>
            </w:r>
            <w:r>
              <w:rPr>
                <w:rFonts w:ascii="宋体" w:hAnsi="宋体" w:cs="宋体" w:eastAsia="宋体" w:hint="default"/>
                <w:spacing w:val="-3"/>
                <w:w w:val="100"/>
                <w:sz w:val="21"/>
                <w:szCs w:val="21"/>
              </w:rPr>
              <w:t>资单</w:t>
            </w:r>
            <w:r>
              <w:rPr>
                <w:rFonts w:ascii="宋体" w:hAnsi="宋体" w:cs="宋体" w:eastAsia="宋体" w:hint="default"/>
                <w:w w:val="100"/>
                <w:sz w:val="21"/>
                <w:szCs w:val="21"/>
              </w:rPr>
              <w:t>位以后</w:t>
            </w:r>
          </w:p>
          <w:p>
            <w:pPr>
              <w:pStyle w:val="TableParagraph"/>
              <w:spacing w:line="272" w:lineRule="exact" w:before="27"/>
              <w:ind w:left="103" w:right="214"/>
              <w:jc w:val="left"/>
              <w:rPr>
                <w:rFonts w:ascii="宋体" w:hAnsi="宋体" w:cs="宋体" w:eastAsia="宋体" w:hint="default"/>
                <w:sz w:val="21"/>
                <w:szCs w:val="21"/>
              </w:rPr>
            </w:pPr>
            <w:r>
              <w:rPr>
                <w:rFonts w:ascii="宋体" w:hAnsi="宋体" w:cs="宋体" w:eastAsia="宋体" w:hint="default"/>
                <w:spacing w:val="-2"/>
                <w:sz w:val="21"/>
                <w:szCs w:val="21"/>
              </w:rPr>
              <w:t>将重分类进损益的其他综合收益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中享有的份额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-2,806,088.52</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-27,239,381.66</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-29,759,168.52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2,519,786.86</w:t>
            </w: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-286,301.66</w:t>
            </w:r>
          </w:p>
        </w:tc>
      </w:tr>
      <w:tr>
        <w:trPr>
          <w:trHeight w:val="555"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持有至到期投资重分类为可供出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现金流量套期损益的有效部分</w:t>
            </w:r>
          </w:p>
        </w:tc>
        <w:tc>
          <w:tcPr>
            <w:tcW w:w="1582" w:type="dxa"/>
            <w:tcBorders>
              <w:top w:val="single" w:sz="4" w:space="0" w:color="000000"/>
              <w:left w:val="single" w:sz="4" w:space="0" w:color="000000"/>
              <w:bottom w:val="single" w:sz="4" w:space="0" w:color="000000"/>
              <w:right w:val="single" w:sz="4" w:space="0" w:color="000000"/>
            </w:tcBorders>
          </w:tcPr>
          <w:p>
            <w:pPr/>
          </w:p>
        </w:tc>
        <w:tc>
          <w:tcPr>
            <w:tcW w:w="2107"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216,588.58</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-246,829.32</w:t>
            </w:r>
          </w:p>
        </w:tc>
        <w:tc>
          <w:tcPr>
            <w:tcW w:w="229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-246,829.32</w:t>
            </w: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-30,240.74</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2"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-2,589,499.94</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-27,486,210.98</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-29,759,168.52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2,272,957.54</w:t>
            </w:r>
          </w:p>
        </w:tc>
        <w:tc>
          <w:tcPr>
            <w:tcW w:w="996"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-316,542.40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6955" w:right="6959" w:firstLine="0"/>
        <w:jc w:val="center"/>
        <w:rPr>
          <w:rFonts w:ascii="Calibri" w:hAnsi="Calibri" w:cs="Calibri" w:eastAsia="Calibri" w:hint="default"/>
          <w:sz w:val="18"/>
          <w:szCs w:val="18"/>
        </w:rPr>
      </w:pPr>
      <w:r>
        <w:rPr>
          <w:rFonts w:ascii="Calibri"/>
          <w:b/>
          <w:sz w:val="18"/>
        </w:rPr>
        <w:t>145 </w:t>
      </w:r>
      <w:r>
        <w:rPr>
          <w:rFonts w:ascii="Calibri"/>
          <w:sz w:val="18"/>
        </w:rPr>
        <w:t>/</w:t>
      </w:r>
      <w:r>
        <w:rPr>
          <w:rFonts w:ascii="Calibri"/>
          <w:spacing w:val="-5"/>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740" w:right="82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BodyText"/>
        <w:spacing w:line="290" w:lineRule="auto"/>
        <w:ind w:right="870"/>
        <w:jc w:val="left"/>
        <w:rPr>
          <w:rFonts w:ascii="宋体" w:hAnsi="宋体" w:cs="宋体" w:eastAsia="宋体" w:hint="default"/>
        </w:rPr>
      </w:pPr>
      <w:r>
        <w:rPr>
          <w:spacing w:val="-2"/>
        </w:rPr>
        <w:t>其他说明，包括对现金流量套期损益的有效部分转为被套期项目初始确认金额调整：无</w:t>
      </w:r>
      <w:r>
        <w:rPr>
          <w:spacing w:val="-32"/>
        </w:rPr>
        <w:t> </w:t>
      </w:r>
      <w:r>
        <w:rPr>
          <w:spacing w:val="-32"/>
        </w:rPr>
      </w:r>
      <w:r>
        <w:rPr>
          <w:rFonts w:ascii="宋体" w:hAnsi="宋体" w:cs="宋体" w:eastAsia="宋体" w:hint="default"/>
          <w:b/>
          <w:bCs/>
        </w:rPr>
        <w:t>58</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专项储备</w:t>
      </w:r>
      <w:r>
        <w:rPr>
          <w:rFonts w:ascii="宋体" w:hAnsi="宋体" w:cs="宋体" w:eastAsia="宋体" w:hint="default"/>
        </w:rPr>
      </w:r>
    </w:p>
    <w:p>
      <w:pPr>
        <w:spacing w:line="290" w:lineRule="auto" w:before="12"/>
        <w:ind w:left="13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pStyle w:val="BodyText"/>
        <w:spacing w:line="240" w:lineRule="auto" w:before="12"/>
        <w:ind w:right="870"/>
        <w:jc w:val="left"/>
      </w:pPr>
      <w:r>
        <w:rPr/>
        <w:t>√适用</w:t>
      </w:r>
      <w:r>
        <w:rPr>
          <w:spacing w:val="-1"/>
        </w:rPr>
        <w:t> </w:t>
      </w:r>
      <w:r>
        <w:rPr/>
        <w:t>□不适用</w:t>
      </w:r>
    </w:p>
    <w:p>
      <w:pPr>
        <w:pStyle w:val="BodyText"/>
        <w:tabs>
          <w:tab w:pos="1157"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904"/>
        <w:gridCol w:w="1985"/>
        <w:gridCol w:w="1529"/>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103,805,872.00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28,665,458.62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132,471,330.62</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0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103,805,872.00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28,665,458.62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132,471,330.62</w:t>
            </w:r>
          </w:p>
        </w:tc>
      </w:tr>
    </w:tbl>
    <w:p>
      <w:pPr>
        <w:spacing w:line="240" w:lineRule="auto" w:before="7"/>
        <w:rPr>
          <w:rFonts w:ascii="宋体" w:hAnsi="宋体" w:cs="宋体" w:eastAsia="宋体" w:hint="default"/>
          <w:sz w:val="7"/>
          <w:szCs w:val="7"/>
        </w:rPr>
      </w:pPr>
    </w:p>
    <w:p>
      <w:pPr>
        <w:pStyle w:val="BodyText"/>
        <w:spacing w:line="348" w:lineRule="auto" w:before="36"/>
        <w:ind w:right="0"/>
        <w:jc w:val="left"/>
      </w:pPr>
      <w:r>
        <w:rPr>
          <w:spacing w:val="-2"/>
        </w:rPr>
        <w:t>盈余公积说明，包括本期增减变动情况、变动原因说明：根据《公司法》、公司章程的规定，本</w:t>
      </w:r>
      <w:r>
        <w:rPr>
          <w:spacing w:val="-25"/>
        </w:rPr>
        <w:t> </w:t>
      </w:r>
      <w:r>
        <w:rPr>
          <w:spacing w:val="-25"/>
        </w:rPr>
      </w:r>
      <w:r>
        <w:rPr/>
        <w:t>公司按净利润的</w:t>
      </w:r>
      <w:r>
        <w:rPr>
          <w:spacing w:val="-53"/>
        </w:rPr>
        <w:t> </w:t>
      </w:r>
      <w:r>
        <w:rPr>
          <w:rFonts w:ascii="宋体" w:hAnsi="宋体" w:cs="宋体" w:eastAsia="宋体" w:hint="default"/>
        </w:rPr>
        <w:t>10%</w:t>
      </w:r>
      <w:r>
        <w:rPr/>
        <w:t>提取法定盈余公积。</w:t>
      </w:r>
    </w:p>
    <w:p>
      <w:pPr>
        <w:pStyle w:val="Heading3"/>
        <w:spacing w:line="258" w:lineRule="exact" w:before="0"/>
        <w:ind w:left="138" w:right="870"/>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6"/>
        <w:ind w:right="870"/>
        <w:jc w:val="left"/>
      </w:pPr>
      <w:r>
        <w:rPr/>
        <w:t>√适用</w:t>
      </w:r>
      <w:r>
        <w:rPr>
          <w:spacing w:val="-1"/>
        </w:rPr>
        <w:t> </w:t>
      </w:r>
      <w:r>
        <w:rPr/>
        <w:t>□不适用</w:t>
      </w:r>
    </w:p>
    <w:p>
      <w:pPr>
        <w:pStyle w:val="BodyText"/>
        <w:tabs>
          <w:tab w:pos="1157"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30"/>
        <w:gridCol w:w="2777"/>
        <w:gridCol w:w="2689"/>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447,713,040.49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535,800,484.38</w:t>
            </w:r>
          </w:p>
        </w:tc>
      </w:tr>
      <w:tr>
        <w:trPr>
          <w:trHeight w:val="554"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447,713,040.49</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535,800,484.38</w:t>
            </w:r>
          </w:p>
        </w:tc>
      </w:tr>
      <w:tr>
        <w:trPr>
          <w:trHeight w:val="557"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21"/>
                <w:szCs w:val="21"/>
              </w:rPr>
            </w:pPr>
            <w:r>
              <w:rPr>
                <w:rFonts w:ascii="宋体"/>
                <w:spacing w:val="-1"/>
                <w:sz w:val="21"/>
              </w:rPr>
              <w:t>283,961,280.93</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21"/>
                <w:szCs w:val="21"/>
              </w:rPr>
            </w:pPr>
            <w:r>
              <w:rPr>
                <w:rFonts w:ascii="宋体"/>
                <w:spacing w:val="-1"/>
                <w:sz w:val="21"/>
              </w:rPr>
              <w:t>280,136,840.40</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28,665,458.62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15,284,319.49</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352,939,964.80</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207,611,744.00</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495,397,118.80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447,713,040.49</w:t>
            </w:r>
          </w:p>
        </w:tc>
      </w:tr>
    </w:tbl>
    <w:p>
      <w:pPr>
        <w:pStyle w:val="BodyText"/>
        <w:spacing w:line="290" w:lineRule="auto" w:before="26"/>
        <w:ind w:right="870"/>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spacing w:val="-3"/>
        </w:rPr>
        <w:t>元。</w:t>
      </w:r>
      <w:r>
        <w:rPr/>
      </w:r>
    </w:p>
    <w:p>
      <w:pPr>
        <w:pStyle w:val="BodyText"/>
        <w:spacing w:line="227" w:lineRule="exact"/>
        <w:ind w:right="870"/>
        <w:jc w:val="left"/>
      </w:pPr>
      <w:r>
        <w:rPr>
          <w:rFonts w:ascii="宋体" w:hAnsi="宋体" w:cs="宋体" w:eastAsia="宋体" w:hint="default"/>
        </w:rPr>
        <w:t>2</w:t>
      </w:r>
      <w:r>
        <w:rPr/>
        <w:t>、由于会计政策变更，影响期初未分配利润</w:t>
      </w:r>
      <w:r>
        <w:rPr>
          <w:spacing w:val="-54"/>
        </w:rPr>
        <w:t> </w:t>
      </w:r>
      <w:r>
        <w:rPr>
          <w:rFonts w:ascii="宋体" w:hAnsi="宋体" w:cs="宋体" w:eastAsia="宋体" w:hint="default"/>
        </w:rPr>
        <w:t>0.00</w:t>
      </w:r>
      <w:r>
        <w:rPr>
          <w:rFonts w:ascii="宋体" w:hAnsi="宋体" w:cs="宋体" w:eastAsia="宋体" w:hint="default"/>
          <w:spacing w:val="-56"/>
        </w:rPr>
        <w:t> </w:t>
      </w:r>
      <w:r>
        <w:rPr>
          <w:spacing w:val="-3"/>
        </w:rPr>
        <w:t>元。</w:t>
      </w:r>
      <w:r>
        <w:rPr/>
      </w:r>
    </w:p>
    <w:p>
      <w:pPr>
        <w:pStyle w:val="BodyText"/>
        <w:spacing w:line="272" w:lineRule="exact"/>
        <w:ind w:right="870"/>
        <w:jc w:val="left"/>
      </w:pPr>
      <w:r>
        <w:rPr>
          <w:rFonts w:ascii="宋体" w:hAnsi="宋体" w:cs="宋体" w:eastAsia="宋体" w:hint="default"/>
        </w:rPr>
        <w:t>3</w:t>
      </w:r>
      <w:r>
        <w:rPr/>
        <w:t>、由于重大会计差错更正，影响期初未分配利润</w:t>
      </w:r>
      <w:r>
        <w:rPr>
          <w:spacing w:val="-56"/>
        </w:rPr>
        <w:t> </w:t>
      </w:r>
      <w:r>
        <w:rPr>
          <w:rFonts w:ascii="宋体" w:hAnsi="宋体" w:cs="宋体" w:eastAsia="宋体" w:hint="default"/>
        </w:rPr>
        <w:t>0.00</w:t>
      </w:r>
      <w:r>
        <w:rPr>
          <w:rFonts w:ascii="宋体" w:hAnsi="宋体" w:cs="宋体" w:eastAsia="宋体" w:hint="default"/>
          <w:spacing w:val="-56"/>
        </w:rPr>
        <w:t> </w:t>
      </w:r>
      <w:r>
        <w:rPr>
          <w:spacing w:val="-3"/>
        </w:rPr>
        <w:t>元。</w:t>
      </w:r>
      <w:r>
        <w:rPr/>
      </w:r>
    </w:p>
    <w:p>
      <w:pPr>
        <w:pStyle w:val="BodyText"/>
        <w:spacing w:line="272" w:lineRule="exact"/>
        <w:ind w:right="870"/>
        <w:jc w:val="left"/>
      </w:pPr>
      <w:r>
        <w:rPr>
          <w:rFonts w:ascii="宋体" w:hAnsi="宋体" w:cs="宋体" w:eastAsia="宋体" w:hint="default"/>
        </w:rPr>
        <w:t>4</w:t>
      </w:r>
      <w:r>
        <w:rPr/>
        <w:t>、由于同一控制导致的合并范围变更，影响期初未分配利润</w:t>
      </w:r>
      <w:r>
        <w:rPr>
          <w:spacing w:val="-55"/>
        </w:rPr>
        <w:t> </w:t>
      </w:r>
      <w:r>
        <w:rPr>
          <w:rFonts w:ascii="宋体" w:hAnsi="宋体" w:cs="宋体" w:eastAsia="宋体" w:hint="default"/>
        </w:rPr>
        <w:t>0.00</w:t>
      </w:r>
      <w:r>
        <w:rPr>
          <w:rFonts w:ascii="宋体" w:hAnsi="宋体" w:cs="宋体" w:eastAsia="宋体" w:hint="default"/>
          <w:spacing w:val="-57"/>
        </w:rPr>
        <w:t> </w:t>
      </w:r>
      <w:r>
        <w:rPr/>
        <w:t>元。</w:t>
      </w:r>
    </w:p>
    <w:p>
      <w:pPr>
        <w:pStyle w:val="BodyText"/>
        <w:spacing w:line="274" w:lineRule="exact"/>
        <w:ind w:right="870"/>
        <w:jc w:val="left"/>
      </w:pPr>
      <w:r>
        <w:rPr>
          <w:rFonts w:ascii="宋体" w:hAnsi="宋体" w:cs="宋体" w:eastAsia="宋体" w:hint="default"/>
        </w:rPr>
        <w:t>5</w:t>
      </w:r>
      <w:r>
        <w:rPr/>
        <w:t>、其他调整合计影响期初未分配利润</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r>
    </w:p>
    <w:p>
      <w:pPr>
        <w:pStyle w:val="Heading3"/>
        <w:spacing w:line="240" w:lineRule="auto" w:before="56"/>
        <w:ind w:left="138" w:right="870"/>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right="870"/>
        <w:jc w:val="left"/>
      </w:pPr>
      <w:r>
        <w:rPr/>
        <w:t>√适用</w:t>
      </w:r>
      <w:r>
        <w:rPr>
          <w:spacing w:val="-1"/>
        </w:rPr>
        <w:t> </w:t>
      </w:r>
      <w:r>
        <w:rPr/>
        <w:t>□不适用</w:t>
      </w:r>
    </w:p>
    <w:p>
      <w:pPr>
        <w:pStyle w:val="BodyText"/>
        <w:tabs>
          <w:tab w:pos="1157"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418"/>
        <w:gridCol w:w="1897"/>
        <w:gridCol w:w="1858"/>
        <w:gridCol w:w="1896"/>
        <w:gridCol w:w="1860"/>
      </w:tblGrid>
      <w:tr>
        <w:trPr>
          <w:trHeight w:val="281"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1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1,502,417,012.25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821,938,241.05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1,361,356,934.31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676,365,093.24</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1"/>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1,502,417,012.25</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821,938,241.05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1,361,356,934.31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676,365,093.24</w:t>
            </w:r>
          </w:p>
        </w:tc>
      </w:tr>
    </w:tbl>
    <w:p>
      <w:pPr>
        <w:spacing w:after="0" w:line="241" w:lineRule="exact"/>
        <w:jc w:val="right"/>
        <w:rPr>
          <w:rFonts w:ascii="宋体" w:hAnsi="宋体" w:cs="宋体" w:eastAsia="宋体" w:hint="default"/>
          <w:sz w:val="21"/>
          <w:szCs w:val="21"/>
        </w:rPr>
        <w:sectPr>
          <w:footerReference w:type="default" r:id="rId88"/>
          <w:pgSz w:w="11910" w:h="16840"/>
          <w:pgMar w:footer="1195" w:header="0" w:top="1120" w:bottom="1380" w:left="1660" w:right="1040"/>
          <w:pgNumType w:start="146"/>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3"/>
        <w:spacing w:line="240" w:lineRule="auto"/>
        <w:ind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623"/>
            <w:col w:w="2872"/>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2,924,627.97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1,710,367.17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2,823,329.58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1,707,640.33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23,383,432.18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24,665,762.84</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977,292.68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1,326,031.52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30,108,682.41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29,409,801.86</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各项税金及附加的计缴标准详见附注六、税项。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pStyle w:val="BodyText"/>
        <w:spacing w:line="240" w:lineRule="auto" w:before="14"/>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33" w:space="1786"/>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4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149,818,514.01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104,569,512.81</w:t>
            </w:r>
          </w:p>
        </w:tc>
      </w:tr>
      <w:tr>
        <w:trPr>
          <w:trHeight w:val="4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53,987,712.58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66,245,023.30</w:t>
            </w:r>
          </w:p>
        </w:tc>
      </w:tr>
      <w:tr>
        <w:trPr>
          <w:trHeight w:val="4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30,954,940.47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36,020,254.03</w:t>
            </w:r>
          </w:p>
        </w:tc>
      </w:tr>
      <w:tr>
        <w:trPr>
          <w:trHeight w:val="4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制作费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12,973,941.64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12,833,857.71</w:t>
            </w:r>
          </w:p>
        </w:tc>
      </w:tr>
      <w:tr>
        <w:trPr>
          <w:trHeight w:val="4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房租费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9,959,772.18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9,588,123.32</w:t>
            </w:r>
          </w:p>
        </w:tc>
      </w:tr>
      <w:tr>
        <w:trPr>
          <w:trHeight w:val="4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7,629,205.38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7,371,326.78</w:t>
            </w:r>
          </w:p>
        </w:tc>
      </w:tr>
      <w:tr>
        <w:trPr>
          <w:trHeight w:val="4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市场推广及宣传费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5,916,590.78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6,542,945.57</w:t>
            </w:r>
          </w:p>
        </w:tc>
      </w:tr>
      <w:tr>
        <w:trPr>
          <w:trHeight w:val="4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活动推广费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5,630,685.31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8,399,766.14</w:t>
            </w:r>
          </w:p>
        </w:tc>
      </w:tr>
      <w:tr>
        <w:trPr>
          <w:trHeight w:val="4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3,972,690.45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3,039,660.10</w:t>
            </w:r>
          </w:p>
        </w:tc>
      </w:tr>
      <w:tr>
        <w:trPr>
          <w:trHeight w:val="4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2,225,189.10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1,769,820.31</w:t>
            </w:r>
          </w:p>
        </w:tc>
      </w:tr>
      <w:tr>
        <w:trPr>
          <w:trHeight w:val="4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设施费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1,359,710.48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1,642,626.83</w:t>
            </w:r>
          </w:p>
        </w:tc>
      </w:tr>
      <w:tr>
        <w:trPr>
          <w:trHeight w:val="4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550,973.89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833,457.28</w:t>
            </w:r>
          </w:p>
        </w:tc>
      </w:tr>
      <w:tr>
        <w:trPr>
          <w:trHeight w:val="409"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587,281.69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542,391.95</w:t>
            </w:r>
          </w:p>
        </w:tc>
      </w:tr>
      <w:tr>
        <w:trPr>
          <w:trHeight w:val="408"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13,779,732.37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9,941,805.19</w:t>
            </w:r>
          </w:p>
        </w:tc>
      </w:tr>
      <w:tr>
        <w:trPr>
          <w:trHeight w:val="4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48"/>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b/>
                <w:w w:val="95"/>
                <w:sz w:val="21"/>
              </w:rPr>
              <w:t>299,346,940.33</w:t>
            </w:r>
            <w:r>
              <w:rPr>
                <w:rFonts w:ascii="宋体"/>
                <w:sz w:val="21"/>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b/>
                <w:w w:val="95"/>
                <w:sz w:val="21"/>
              </w:rPr>
              <w:t>269,340,571.32</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210" w:firstLine="0"/>
        <w:jc w:val="left"/>
        <w:rPr>
          <w:rFonts w:ascii="宋体" w:hAnsi="宋体" w:cs="宋体" w:eastAsia="宋体" w:hint="default"/>
          <w:sz w:val="21"/>
          <w:szCs w:val="21"/>
        </w:rPr>
      </w:pPr>
      <w:r>
        <w:rPr>
          <w:rFonts w:ascii="宋体" w:hAnsi="宋体" w:cs="宋体" w:eastAsia="宋体" w:hint="default"/>
          <w:sz w:val="21"/>
          <w:szCs w:val="21"/>
        </w:rPr>
        <w:t>其他说明：无</w:t>
      </w:r>
      <w:r>
        <w:rPr>
          <w:rFonts w:ascii="宋体" w:hAnsi="宋体" w:cs="宋体" w:eastAsia="宋体" w:hint="default"/>
          <w:w w:val="100"/>
          <w:sz w:val="21"/>
          <w:szCs w:val="21"/>
        </w:rPr>
        <w:t> </w:t>
      </w:r>
      <w:r>
        <w:rPr>
          <w:rFonts w:ascii="宋体" w:hAnsi="宋体" w:cs="宋体" w:eastAsia="宋体" w:hint="default"/>
          <w:b/>
          <w:bCs/>
          <w:sz w:val="21"/>
          <w:szCs w:val="21"/>
        </w:rPr>
        <w:t>64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pStyle w:val="BodyText"/>
        <w:spacing w:line="240" w:lineRule="auto" w:before="12"/>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75" w:val="left" w:leader="none"/>
        </w:tabs>
        <w:spacing w:line="240" w:lineRule="auto" w:before="179"/>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623"/>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53,067,925.72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36,147,736.29</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51,868,736.85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22,781,638.26</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3,341,378.96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6,421,384.94</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设施费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1,513,983.93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6"/>
              <w:jc w:val="right"/>
              <w:rPr>
                <w:rFonts w:ascii="宋体" w:hAnsi="宋体" w:cs="宋体" w:eastAsia="宋体" w:hint="default"/>
                <w:sz w:val="21"/>
                <w:szCs w:val="21"/>
              </w:rPr>
            </w:pPr>
            <w:r>
              <w:rPr>
                <w:rFonts w:ascii="宋体"/>
                <w:spacing w:val="-1"/>
                <w:sz w:val="21"/>
              </w:rPr>
              <w:t>3,369,056.51</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房租费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6,215,876.22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1,779,761.57</w:t>
            </w:r>
          </w:p>
        </w:tc>
      </w:tr>
      <w:tr>
        <w:trPr>
          <w:trHeight w:val="40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159,361.69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1,459,975.16</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1,512,660.64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1,315,876.65</w:t>
            </w:r>
          </w:p>
        </w:tc>
      </w:tr>
      <w:tr>
        <w:trPr>
          <w:trHeight w:val="40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1,406,349.18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952,213.15</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保洁费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458,754.72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785,812.14</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88,373.63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433,275.50</w:t>
            </w:r>
          </w:p>
        </w:tc>
      </w:tr>
      <w:tr>
        <w:trPr>
          <w:trHeight w:val="40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781,776.38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97,980.27</w:t>
            </w:r>
          </w:p>
        </w:tc>
      </w:tr>
      <w:tr>
        <w:trPr>
          <w:trHeight w:val="40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pacing w:val="-1"/>
                <w:sz w:val="21"/>
              </w:rPr>
              <w:t>391,151.08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88,127.14</w:t>
            </w:r>
          </w:p>
        </w:tc>
      </w:tr>
      <w:tr>
        <w:trPr>
          <w:trHeight w:val="40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中介机构咨询及服务费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3,920,715.23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54,798.20</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3,883,796.69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5,394,232.41</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b/>
                <w:w w:val="95"/>
                <w:sz w:val="21"/>
              </w:rPr>
              <w:t>128,610,840.92</w:t>
            </w:r>
            <w:r>
              <w:rPr>
                <w:rFonts w:ascii="宋体"/>
                <w:sz w:val="21"/>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b/>
                <w:w w:val="95"/>
                <w:sz w:val="21"/>
              </w:rPr>
              <w:t>81,081,868.19</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1" w:lineRule="exact"/>
        <w:ind w:left="218" w:right="-18"/>
        <w:jc w:val="left"/>
      </w:pPr>
      <w:r>
        <w:rPr/>
        <w:t>其他说明：无</w:t>
      </w:r>
    </w:p>
    <w:p>
      <w:pPr>
        <w:pStyle w:val="Heading3"/>
        <w:spacing w:line="240" w:lineRule="auto" w:before="56"/>
        <w:ind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623"/>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2,059.49</w:t>
            </w:r>
          </w:p>
        </w:tc>
      </w:tr>
      <w:tr>
        <w:trPr>
          <w:trHeight w:val="40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-16,424,591.41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-15,200,069.11</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19,828.31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3,775.50</w:t>
            </w:r>
          </w:p>
        </w:tc>
      </w:tr>
      <w:tr>
        <w:trPr>
          <w:trHeight w:val="40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439,549.99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323,956.39</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1,896.39</w:t>
            </w:r>
          </w:p>
        </w:tc>
      </w:tr>
      <w:tr>
        <w:trPr>
          <w:trHeight w:val="40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-15,965,213.11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-14,868,381.34</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left="218" w:right="-18"/>
        <w:jc w:val="left"/>
      </w:pPr>
      <w:r>
        <w:rPr/>
        <w:t>其他说明：无</w:t>
      </w:r>
    </w:p>
    <w:p>
      <w:pPr>
        <w:pStyle w:val="Heading3"/>
        <w:spacing w:line="240" w:lineRule="auto" w:before="56"/>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429"/>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41,816,428.43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41,215,390.64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45,305,002.81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87,121,431.24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41,215,390.64</w:t>
            </w:r>
          </w:p>
        </w:tc>
      </w:tr>
    </w:tbl>
    <w:p>
      <w:pPr>
        <w:pStyle w:val="BodyText"/>
        <w:spacing w:line="240" w:lineRule="auto" w:before="26"/>
        <w:ind w:left="218" w:right="2465"/>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638" w:right="123"/>
        <w:jc w:val="left"/>
      </w:pPr>
      <w:r>
        <w:rPr>
          <w:w w:val="100"/>
        </w:rPr>
        <w:t>注</w:t>
      </w:r>
      <w:r>
        <w:rPr>
          <w:spacing w:val="-51"/>
          <w:w w:val="100"/>
        </w:rPr>
        <w:t>：</w:t>
      </w:r>
      <w:r>
        <w:rPr>
          <w:w w:val="100"/>
        </w:rPr>
        <w:t>本</w:t>
      </w:r>
      <w:r>
        <w:rPr>
          <w:spacing w:val="-3"/>
          <w:w w:val="100"/>
        </w:rPr>
        <w:t>公</w:t>
      </w:r>
      <w:r>
        <w:rPr>
          <w:w w:val="100"/>
        </w:rPr>
        <w:t>司</w:t>
      </w:r>
      <w:r>
        <w:rPr>
          <w:spacing w:val="-3"/>
          <w:w w:val="100"/>
        </w:rPr>
        <w:t>原</w:t>
      </w:r>
      <w:r>
        <w:rPr>
          <w:w w:val="100"/>
        </w:rPr>
        <w:t>持</w:t>
      </w:r>
      <w:r>
        <w:rPr>
          <w:spacing w:val="-3"/>
          <w:w w:val="100"/>
        </w:rPr>
        <w:t>有</w:t>
      </w:r>
      <w:r>
        <w:rPr>
          <w:w w:val="100"/>
        </w:rPr>
        <w:t>上</w:t>
      </w:r>
      <w:r>
        <w:rPr>
          <w:spacing w:val="-3"/>
          <w:w w:val="100"/>
        </w:rPr>
        <w:t>海银</w:t>
      </w:r>
      <w:r>
        <w:rPr>
          <w:w w:val="100"/>
        </w:rPr>
        <w:t>橙文</w:t>
      </w:r>
      <w:r>
        <w:rPr>
          <w:spacing w:val="-3"/>
          <w:w w:val="100"/>
        </w:rPr>
        <w:t>化</w:t>
      </w:r>
      <w:r>
        <w:rPr>
          <w:w w:val="100"/>
        </w:rPr>
        <w:t>传</w:t>
      </w:r>
      <w:r>
        <w:rPr>
          <w:spacing w:val="-3"/>
          <w:w w:val="100"/>
        </w:rPr>
        <w:t>媒</w:t>
      </w:r>
      <w:r>
        <w:rPr>
          <w:w w:val="100"/>
        </w:rPr>
        <w:t>股</w:t>
      </w:r>
      <w:r>
        <w:rPr>
          <w:spacing w:val="-3"/>
          <w:w w:val="100"/>
        </w:rPr>
        <w:t>份</w:t>
      </w:r>
      <w:r>
        <w:rPr>
          <w:w w:val="100"/>
        </w:rPr>
        <w:t>有</w:t>
      </w:r>
      <w:r>
        <w:rPr>
          <w:spacing w:val="-3"/>
          <w:w w:val="100"/>
        </w:rPr>
        <w:t>限</w:t>
      </w:r>
      <w:r>
        <w:rPr>
          <w:w w:val="100"/>
        </w:rPr>
        <w:t>公</w:t>
      </w:r>
      <w:r>
        <w:rPr>
          <w:spacing w:val="-53"/>
          <w:w w:val="100"/>
        </w:rPr>
        <w:t>司</w:t>
      </w:r>
      <w:r>
        <w:rPr>
          <w:w w:val="100"/>
        </w:rPr>
        <w:t>（简</w:t>
      </w:r>
      <w:r>
        <w:rPr>
          <w:spacing w:val="-51"/>
          <w:w w:val="100"/>
        </w:rPr>
        <w:t>称</w:t>
      </w:r>
      <w:r>
        <w:rPr>
          <w:spacing w:val="-3"/>
          <w:w w:val="100"/>
        </w:rPr>
        <w:t>“</w:t>
      </w:r>
      <w:r>
        <w:rPr>
          <w:w w:val="100"/>
        </w:rPr>
        <w:t>银橙</w:t>
      </w:r>
      <w:r>
        <w:rPr>
          <w:spacing w:val="-3"/>
          <w:w w:val="100"/>
        </w:rPr>
        <w:t>传</w:t>
      </w:r>
      <w:r>
        <w:rPr>
          <w:w w:val="100"/>
        </w:rPr>
        <w:t>媒</w:t>
      </w:r>
      <w:r>
        <w:rPr>
          <w:spacing w:val="-106"/>
          <w:w w:val="100"/>
        </w:rPr>
        <w:t>”</w:t>
      </w:r>
      <w:r>
        <w:rPr>
          <w:spacing w:val="-53"/>
          <w:w w:val="100"/>
        </w:rPr>
        <w:t>）</w:t>
      </w:r>
      <w:r>
        <w:rPr>
          <w:w w:val="100"/>
        </w:rPr>
        <w:t>股份</w:t>
      </w:r>
      <w:r>
        <w:rPr>
          <w:spacing w:val="-54"/>
        </w:rPr>
        <w:t> </w:t>
      </w:r>
      <w:r>
        <w:rPr>
          <w:rFonts w:ascii="宋体" w:hAnsi="宋体" w:cs="宋体" w:eastAsia="宋体" w:hint="default"/>
          <w:spacing w:val="-3"/>
          <w:w w:val="100"/>
        </w:rPr>
        <w:t>5</w:t>
      </w:r>
      <w:r>
        <w:rPr>
          <w:rFonts w:ascii="宋体" w:hAnsi="宋体" w:cs="宋体" w:eastAsia="宋体" w:hint="default"/>
          <w:w w:val="100"/>
        </w:rPr>
        <w:t>41.66</w:t>
      </w:r>
      <w:r>
        <w:rPr>
          <w:rFonts w:ascii="宋体" w:hAnsi="宋体" w:cs="宋体" w:eastAsia="宋体" w:hint="default"/>
          <w:spacing w:val="-3"/>
          <w:w w:val="100"/>
        </w:rPr>
        <w:t>6</w:t>
      </w:r>
      <w:r>
        <w:rPr>
          <w:rFonts w:ascii="宋体" w:hAnsi="宋体" w:cs="宋体" w:eastAsia="宋体" w:hint="default"/>
          <w:w w:val="100"/>
        </w:rPr>
        <w:t>7</w:t>
      </w:r>
      <w:r>
        <w:rPr>
          <w:rFonts w:ascii="宋体" w:hAnsi="宋体" w:cs="宋体" w:eastAsia="宋体" w:hint="default"/>
          <w:spacing w:val="-53"/>
        </w:rPr>
        <w:t> </w:t>
      </w:r>
      <w:r>
        <w:rPr>
          <w:spacing w:val="-3"/>
          <w:w w:val="100"/>
        </w:rPr>
        <w:t>万</w:t>
      </w:r>
      <w:r>
        <w:rPr>
          <w:w w:val="100"/>
        </w:rPr>
        <w:t>股，</w:t>
      </w:r>
    </w:p>
    <w:p>
      <w:pPr>
        <w:pStyle w:val="BodyText"/>
        <w:spacing w:line="240" w:lineRule="auto" w:before="126"/>
        <w:ind w:left="218" w:right="123"/>
        <w:jc w:val="left"/>
      </w:pPr>
      <w:r>
        <w:rPr/>
        <w:t>初始认购成本</w:t>
      </w:r>
      <w:r>
        <w:rPr>
          <w:spacing w:val="-57"/>
        </w:rPr>
        <w:t> </w:t>
      </w:r>
      <w:r>
        <w:rPr>
          <w:rFonts w:ascii="宋体" w:hAnsi="宋体" w:cs="宋体" w:eastAsia="宋体" w:hint="default"/>
        </w:rPr>
        <w:t>71,142,504.40</w:t>
      </w:r>
      <w:r>
        <w:rPr>
          <w:rFonts w:ascii="宋体" w:hAnsi="宋体" w:cs="宋体" w:eastAsia="宋体" w:hint="default"/>
          <w:spacing w:val="-56"/>
        </w:rPr>
        <w:t> </w:t>
      </w:r>
      <w:r>
        <w:rPr/>
        <w:t>元。因银橙传媒股价在报告期内发生严重下跌，本公司计提资产减</w:t>
      </w:r>
    </w:p>
    <w:p>
      <w:pPr>
        <w:pStyle w:val="BodyText"/>
        <w:spacing w:line="240" w:lineRule="auto" w:before="126"/>
        <w:ind w:left="218" w:right="2465"/>
        <w:jc w:val="left"/>
      </w:pPr>
      <w:r>
        <w:rPr/>
        <w:t>值损失</w:t>
      </w:r>
      <w:r>
        <w:rPr>
          <w:spacing w:val="-53"/>
        </w:rPr>
        <w:t> </w:t>
      </w:r>
      <w:r>
        <w:rPr>
          <w:rFonts w:ascii="宋体" w:hAnsi="宋体" w:cs="宋体" w:eastAsia="宋体" w:hint="default"/>
        </w:rPr>
        <w:t>45,305,002.81</w:t>
      </w:r>
      <w:r>
        <w:rPr>
          <w:rFonts w:ascii="宋体" w:hAnsi="宋体" w:cs="宋体" w:eastAsia="宋体" w:hint="default"/>
          <w:spacing w:val="-52"/>
        </w:rPr>
        <w:t> </w:t>
      </w:r>
      <w:r>
        <w:rPr>
          <w:spacing w:val="-3"/>
        </w:rPr>
        <w:t>元。</w:t>
      </w:r>
      <w:r>
        <w:rPr/>
      </w:r>
    </w:p>
    <w:p>
      <w:pPr>
        <w:pStyle w:val="BodyText"/>
        <w:spacing w:line="240" w:lineRule="auto" w:before="123"/>
        <w:ind w:left="638" w:right="0"/>
        <w:jc w:val="left"/>
      </w:pPr>
      <w:r>
        <w:rPr/>
        <w:t>截至</w:t>
      </w:r>
      <w:r>
        <w:rPr>
          <w:spacing w:val="-42"/>
        </w:rPr>
        <w:t> </w:t>
      </w:r>
      <w:r>
        <w:rPr>
          <w:rFonts w:ascii="宋体" w:hAnsi="宋体" w:cs="宋体" w:eastAsia="宋体" w:hint="default"/>
        </w:rPr>
        <w:t>2017</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1"/>
        </w:rPr>
        <w:t> </w:t>
      </w:r>
      <w:r>
        <w:rPr>
          <w:rFonts w:ascii="宋体" w:hAnsi="宋体" w:cs="宋体" w:eastAsia="宋体" w:hint="default"/>
        </w:rPr>
        <w:t>31</w:t>
      </w:r>
      <w:r>
        <w:rPr>
          <w:rFonts w:ascii="宋体" w:hAnsi="宋体" w:cs="宋体" w:eastAsia="宋体" w:hint="default"/>
          <w:spacing w:val="-42"/>
        </w:rPr>
        <w:t> </w:t>
      </w:r>
      <w:r>
        <w:rPr>
          <w:spacing w:val="-5"/>
        </w:rPr>
        <w:t>日，本公司持有的银橙传媒股份已处置，详见本报告第十一节、八、</w:t>
      </w:r>
      <w:r>
        <w:rPr>
          <w:rFonts w:ascii="宋体" w:hAnsi="宋体" w:cs="宋体" w:eastAsia="宋体" w:hint="default"/>
          <w:spacing w:val="-5"/>
        </w:rPr>
        <w:t>5</w:t>
      </w:r>
      <w:r>
        <w:rPr>
          <w:spacing w:val="-5"/>
        </w:rPr>
        <w:t>、</w:t>
      </w:r>
    </w:p>
    <w:p>
      <w:pPr>
        <w:spacing w:line="307" w:lineRule="auto" w:before="126"/>
        <w:ind w:left="218" w:right="567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）本年新设成立并处置的单位。</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b/>
          <w:bCs/>
          <w:sz w:val="21"/>
          <w:szCs w:val="21"/>
        </w:rPr>
        <w:t>67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90" w:lineRule="auto" w:before="0"/>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pStyle w:val="BodyText"/>
        <w:spacing w:line="240" w:lineRule="auto" w:before="12"/>
        <w:ind w:left="218" w:right="2465"/>
        <w:jc w:val="left"/>
      </w:pPr>
      <w:r>
        <w:rPr/>
        <w:t>√适用</w:t>
      </w:r>
      <w:r>
        <w:rPr>
          <w:spacing w:val="-1"/>
        </w:rPr>
        <w:t> </w:t>
      </w:r>
      <w:r>
        <w:rPr/>
        <w:t>□不适用</w:t>
      </w:r>
    </w:p>
    <w:p>
      <w:pPr>
        <w:pStyle w:val="BodyText"/>
        <w:tabs>
          <w:tab w:pos="1157"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552"/>
        <w:gridCol w:w="2561"/>
      </w:tblGrid>
      <w:tr>
        <w:trPr>
          <w:trHeight w:val="40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-13,654,315.95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-7,006,184.19</w:t>
            </w:r>
          </w:p>
        </w:tc>
      </w:tr>
      <w:tr>
        <w:trPr>
          <w:trHeight w:val="40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42,177,325.52</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3,502,733.91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2,814,333.38</w:t>
            </w:r>
          </w:p>
        </w:tc>
      </w:tr>
      <w:tr>
        <w:trPr>
          <w:trHeight w:val="40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27,657,639.29</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2,352,198.77</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银行理财投资收益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23,312,562.02</w:t>
            </w: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37"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85,348,143.56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-4,191,850.81</w:t>
            </w:r>
          </w:p>
        </w:tc>
      </w:tr>
    </w:tbl>
    <w:p>
      <w:pPr>
        <w:spacing w:line="240" w:lineRule="auto" w:before="11"/>
        <w:rPr>
          <w:rFonts w:ascii="宋体" w:hAnsi="宋体" w:cs="宋体" w:eastAsia="宋体" w:hint="default"/>
          <w:sz w:val="25"/>
          <w:szCs w:val="25"/>
        </w:rPr>
      </w:pPr>
    </w:p>
    <w:p>
      <w:pPr>
        <w:pStyle w:val="BodyText"/>
        <w:spacing w:line="240" w:lineRule="auto" w:before="36"/>
        <w:ind w:left="218" w:right="2465"/>
        <w:jc w:val="left"/>
      </w:pPr>
      <w:r>
        <w:rPr/>
        <w:t>其他说明：</w:t>
      </w:r>
    </w:p>
    <w:p>
      <w:pPr>
        <w:pStyle w:val="BodyText"/>
        <w:spacing w:line="240" w:lineRule="auto" w:before="176"/>
        <w:ind w:left="638" w:right="0"/>
        <w:jc w:val="left"/>
      </w:pPr>
      <w:r>
        <w:rPr/>
        <w:t>注：（</w:t>
      </w:r>
      <w:r>
        <w:rPr>
          <w:rFonts w:ascii="宋体" w:hAnsi="宋体" w:cs="宋体" w:eastAsia="宋体" w:hint="default"/>
        </w:rPr>
        <w:t>1</w:t>
      </w:r>
      <w:r>
        <w:rPr/>
        <w:t>）权益法核算的长期股权投资收益，详见本报告第十一节、七、</w:t>
      </w:r>
      <w:r>
        <w:rPr>
          <w:rFonts w:ascii="宋体" w:hAnsi="宋体" w:cs="宋体" w:eastAsia="宋体" w:hint="default"/>
        </w:rPr>
        <w:t>17</w:t>
      </w:r>
      <w:r>
        <w:rPr/>
        <w:t>、长期股权投资；</w:t>
      </w:r>
    </w:p>
    <w:p>
      <w:pPr>
        <w:pStyle w:val="BodyText"/>
        <w:spacing w:line="348" w:lineRule="auto" w:before="126"/>
        <w:ind w:left="218" w:right="123" w:firstLine="419"/>
        <w:jc w:val="left"/>
      </w:pPr>
      <w:r>
        <w:rPr/>
        <w:t>（</w:t>
      </w:r>
      <w:r>
        <w:rPr>
          <w:rFonts w:ascii="宋体" w:hAnsi="宋体" w:cs="宋体" w:eastAsia="宋体" w:hint="default"/>
        </w:rPr>
        <w:t>2</w:t>
      </w:r>
      <w:r>
        <w:rPr/>
        <w:t>）本公司本年通过公开挂牌转让中证金牛</w:t>
      </w:r>
      <w:r>
        <w:rPr>
          <w:spacing w:val="-38"/>
        </w:rPr>
        <w:t> </w:t>
      </w:r>
      <w:r>
        <w:rPr>
          <w:rFonts w:ascii="宋体" w:hAnsi="宋体" w:cs="宋体" w:eastAsia="宋体" w:hint="default"/>
        </w:rPr>
        <w:t>25%</w:t>
      </w:r>
      <w:r>
        <w:rPr/>
        <w:t>的股权，产生投资收益</w:t>
      </w:r>
      <w:r>
        <w:rPr>
          <w:spacing w:val="-34"/>
        </w:rPr>
        <w:t> </w:t>
      </w:r>
      <w:r>
        <w:rPr>
          <w:rFonts w:ascii="宋体" w:hAnsi="宋体" w:cs="宋体" w:eastAsia="宋体" w:hint="default"/>
        </w:rPr>
        <w:t>42,177,325.52</w:t>
      </w:r>
      <w:r>
        <w:rPr>
          <w:rFonts w:ascii="宋体" w:hAnsi="宋体" w:cs="宋体" w:eastAsia="宋体" w:hint="default"/>
          <w:spacing w:val="-34"/>
        </w:rPr>
        <w:t> </w:t>
      </w:r>
      <w:r>
        <w:rPr/>
        <w:t>元，</w:t>
      </w:r>
      <w:r>
        <w:rPr>
          <w:spacing w:val="2"/>
          <w:w w:val="100"/>
        </w:rPr>
        <w:t> </w:t>
      </w:r>
      <w:r>
        <w:rPr/>
        <w:t>详见本报告第十一节、七、</w:t>
      </w:r>
      <w:r>
        <w:rPr>
          <w:rFonts w:ascii="宋体" w:hAnsi="宋体" w:cs="宋体" w:eastAsia="宋体" w:hint="default"/>
        </w:rPr>
        <w:t>14</w:t>
      </w:r>
      <w:r>
        <w:rPr/>
        <w:t>、可供出售金融资产；</w:t>
      </w:r>
    </w:p>
    <w:p>
      <w:pPr>
        <w:pStyle w:val="BodyText"/>
        <w:spacing w:line="240" w:lineRule="auto" w:before="32"/>
        <w:ind w:left="638" w:right="227"/>
        <w:jc w:val="left"/>
      </w:pPr>
      <w:r>
        <w:rPr/>
        <w:t>（</w:t>
      </w:r>
      <w:r>
        <w:rPr>
          <w:rFonts w:ascii="宋体" w:hAnsi="宋体" w:cs="宋体" w:eastAsia="宋体" w:hint="default"/>
        </w:rPr>
        <w:t>3</w:t>
      </w:r>
      <w:r>
        <w:rPr/>
        <w:t>）可供出售金融资产在持有期间的投资收益为华强方特以</w:t>
      </w:r>
      <w:r>
        <w:rPr>
          <w:spacing w:val="-58"/>
        </w:rPr>
        <w:t> </w:t>
      </w:r>
      <w:r>
        <w:rPr>
          <w:rFonts w:ascii="宋体" w:hAnsi="宋体" w:cs="宋体" w:eastAsia="宋体" w:hint="default"/>
        </w:rPr>
        <w:t>520.00</w:t>
      </w:r>
      <w:r>
        <w:rPr>
          <w:rFonts w:ascii="宋体" w:hAnsi="宋体" w:cs="宋体" w:eastAsia="宋体" w:hint="default"/>
          <w:spacing w:val="-58"/>
        </w:rPr>
        <w:t> </w:t>
      </w:r>
      <w:r>
        <w:rPr/>
        <w:t>万股分得现金红利</w:t>
      </w:r>
    </w:p>
    <w:p>
      <w:pPr>
        <w:pStyle w:val="BodyText"/>
        <w:spacing w:line="240" w:lineRule="auto" w:before="126"/>
        <w:ind w:left="218" w:right="123"/>
        <w:jc w:val="left"/>
        <w:rPr>
          <w:rFonts w:ascii="宋体" w:hAnsi="宋体" w:cs="宋体" w:eastAsia="宋体" w:hint="default"/>
        </w:rPr>
      </w:pPr>
      <w:r>
        <w:rPr>
          <w:rFonts w:ascii="宋体" w:hAnsi="宋体" w:cs="宋体" w:eastAsia="宋体" w:hint="default"/>
        </w:rPr>
        <w:t>780,000.00</w:t>
      </w:r>
      <w:r>
        <w:rPr>
          <w:rFonts w:ascii="宋体" w:hAnsi="宋体" w:cs="宋体" w:eastAsia="宋体" w:hint="default"/>
          <w:spacing w:val="-51"/>
        </w:rPr>
        <w:t> </w:t>
      </w:r>
      <w:r>
        <w:rPr>
          <w:spacing w:val="-9"/>
        </w:rPr>
        <w:t>元，银橙传媒以</w:t>
      </w:r>
      <w:r>
        <w:rPr>
          <w:spacing w:val="-50"/>
        </w:rPr>
        <w:t> </w:t>
      </w:r>
      <w:r>
        <w:rPr>
          <w:rFonts w:ascii="宋体" w:hAnsi="宋体" w:cs="宋体" w:eastAsia="宋体" w:hint="default"/>
        </w:rPr>
        <w:t>541.6667</w:t>
      </w:r>
      <w:r>
        <w:rPr>
          <w:rFonts w:ascii="宋体" w:hAnsi="宋体" w:cs="宋体" w:eastAsia="宋体" w:hint="default"/>
          <w:spacing w:val="-51"/>
        </w:rPr>
        <w:t> </w:t>
      </w:r>
      <w:r>
        <w:rPr/>
        <w:t>万股分得现金红利</w:t>
      </w:r>
      <w:r>
        <w:rPr>
          <w:spacing w:val="-51"/>
        </w:rPr>
        <w:t> </w:t>
      </w:r>
      <w:r>
        <w:rPr>
          <w:rFonts w:ascii="宋体" w:hAnsi="宋体" w:cs="宋体" w:eastAsia="宋体" w:hint="default"/>
        </w:rPr>
        <w:t>2,708,333.48</w:t>
      </w:r>
      <w:r>
        <w:rPr>
          <w:rFonts w:ascii="宋体" w:hAnsi="宋体" w:cs="宋体" w:eastAsia="宋体" w:hint="default"/>
          <w:spacing w:val="-53"/>
        </w:rPr>
        <w:t> </w:t>
      </w:r>
      <w:r>
        <w:rPr>
          <w:spacing w:val="-8"/>
        </w:rPr>
        <w:t>元，号百控股以</w:t>
      </w:r>
      <w:r>
        <w:rPr>
          <w:spacing w:val="-50"/>
        </w:rPr>
        <w:t> </w:t>
      </w:r>
      <w:r>
        <w:rPr>
          <w:rFonts w:ascii="宋体" w:hAnsi="宋体" w:cs="宋体" w:eastAsia="宋体" w:hint="default"/>
        </w:rPr>
        <w:t>205.7204</w:t>
      </w:r>
    </w:p>
    <w:p>
      <w:pPr>
        <w:pStyle w:val="BodyText"/>
        <w:spacing w:line="240" w:lineRule="auto" w:before="123"/>
        <w:ind w:left="218" w:right="2465"/>
        <w:jc w:val="left"/>
      </w:pPr>
      <w:r>
        <w:rPr/>
        <w:t>万股分得现金红利</w:t>
      </w:r>
      <w:r>
        <w:rPr>
          <w:spacing w:val="-54"/>
        </w:rPr>
        <w:t> </w:t>
      </w:r>
      <w:r>
        <w:rPr>
          <w:rFonts w:ascii="宋体" w:hAnsi="宋体" w:cs="宋体" w:eastAsia="宋体" w:hint="default"/>
        </w:rPr>
        <w:t>14,400.43</w:t>
      </w:r>
      <w:r>
        <w:rPr>
          <w:rFonts w:ascii="宋体" w:hAnsi="宋体" w:cs="宋体" w:eastAsia="宋体" w:hint="default"/>
          <w:spacing w:val="-53"/>
        </w:rPr>
        <w:t> </w:t>
      </w:r>
      <w:r>
        <w:rPr>
          <w:spacing w:val="-3"/>
        </w:rPr>
        <w:t>元；</w:t>
      </w:r>
      <w:r>
        <w:rPr/>
      </w:r>
    </w:p>
    <w:p>
      <w:pPr>
        <w:pStyle w:val="BodyText"/>
        <w:spacing w:line="350" w:lineRule="auto" w:before="126"/>
        <w:ind w:left="218" w:right="227" w:firstLine="419"/>
        <w:jc w:val="left"/>
      </w:pPr>
      <w:r>
        <w:rPr>
          <w:spacing w:val="-4"/>
        </w:rPr>
        <w:t>（</w:t>
      </w:r>
      <w:r>
        <w:rPr>
          <w:rFonts w:ascii="宋体" w:hAnsi="宋体" w:cs="宋体" w:eastAsia="宋体" w:hint="default"/>
          <w:spacing w:val="-4"/>
        </w:rPr>
        <w:t>4</w:t>
      </w:r>
      <w:r>
        <w:rPr>
          <w:spacing w:val="-4"/>
        </w:rPr>
        <w:t>）本公司本年因号百控股拟通过发行股份购买本公司持有的天翼阅读股权，产生投资收益</w:t>
      </w:r>
      <w:r>
        <w:rPr>
          <w:w w:val="100"/>
        </w:rPr>
        <w:t> </w:t>
      </w:r>
      <w:r>
        <w:rPr>
          <w:rFonts w:ascii="宋体" w:hAnsi="宋体" w:cs="宋体" w:eastAsia="宋体" w:hint="default"/>
          <w:spacing w:val="-1"/>
        </w:rPr>
        <w:t>1,469,697.80</w:t>
      </w:r>
      <w:r>
        <w:rPr>
          <w:rFonts w:ascii="宋体" w:hAnsi="宋体" w:cs="宋体" w:eastAsia="宋体" w:hint="default"/>
          <w:spacing w:val="8"/>
        </w:rPr>
        <w:t> </w:t>
      </w:r>
      <w:r>
        <w:rPr>
          <w:spacing w:val="-2"/>
        </w:rPr>
        <w:t>元，详见本报告第十一节、七、</w:t>
      </w:r>
      <w:r>
        <w:rPr>
          <w:rFonts w:ascii="宋体" w:hAnsi="宋体" w:cs="宋体" w:eastAsia="宋体" w:hint="default"/>
          <w:spacing w:val="-2"/>
        </w:rPr>
        <w:t>14</w:t>
      </w:r>
      <w:r>
        <w:rPr>
          <w:spacing w:val="-2"/>
        </w:rPr>
        <w:t>、可供出售金融资产；</w:t>
      </w:r>
    </w:p>
    <w:p>
      <w:pPr>
        <w:pStyle w:val="BodyText"/>
        <w:spacing w:line="350" w:lineRule="auto" w:before="27"/>
        <w:ind w:left="218" w:right="227" w:firstLine="419"/>
        <w:jc w:val="left"/>
      </w:pPr>
      <w:r>
        <w:rPr>
          <w:spacing w:val="-4"/>
        </w:rPr>
        <w:t>（</w:t>
      </w:r>
      <w:r>
        <w:rPr>
          <w:rFonts w:ascii="宋体" w:hAnsi="宋体" w:cs="宋体" w:eastAsia="宋体" w:hint="default"/>
          <w:spacing w:val="-4"/>
        </w:rPr>
        <w:t>5</w:t>
      </w:r>
      <w:r>
        <w:rPr>
          <w:spacing w:val="-4"/>
        </w:rPr>
        <w:t>）本公司本年因处置银橙传媒及星程同创，产生的投资收益 </w:t>
      </w:r>
      <w:r>
        <w:rPr>
          <w:rFonts w:ascii="宋体" w:hAnsi="宋体" w:cs="宋体" w:eastAsia="宋体" w:hint="default"/>
        </w:rPr>
        <w:t>26,187,941.49</w:t>
      </w:r>
      <w:r>
        <w:rPr>
          <w:rFonts w:ascii="宋体" w:hAnsi="宋体" w:cs="宋体" w:eastAsia="宋体" w:hint="default"/>
          <w:spacing w:val="-54"/>
        </w:rPr>
        <w:t> </w:t>
      </w:r>
      <w:r>
        <w:rPr>
          <w:spacing w:val="-7"/>
        </w:rPr>
        <w:t>元，详见本报</w:t>
      </w:r>
      <w:r>
        <w:rPr>
          <w:w w:val="100"/>
        </w:rPr>
        <w:t> </w:t>
      </w:r>
      <w:r>
        <w:rPr/>
        <w:t>告第十一节、八、</w:t>
      </w:r>
      <w:r>
        <w:rPr>
          <w:rFonts w:ascii="宋体" w:hAnsi="宋体" w:cs="宋体" w:eastAsia="宋体" w:hint="default"/>
        </w:rPr>
        <w:t>5</w:t>
      </w:r>
      <w:r>
        <w:rPr/>
        <w:t>、（</w:t>
      </w:r>
      <w:r>
        <w:rPr>
          <w:rFonts w:ascii="宋体" w:hAnsi="宋体" w:cs="宋体" w:eastAsia="宋体" w:hint="default"/>
        </w:rPr>
        <w:t>1</w:t>
      </w:r>
      <w:r>
        <w:rPr/>
        <w:t>）；</w:t>
      </w:r>
    </w:p>
    <w:p>
      <w:pPr>
        <w:pStyle w:val="BodyText"/>
        <w:spacing w:line="348" w:lineRule="auto" w:before="29"/>
        <w:ind w:left="218" w:right="227" w:firstLine="419"/>
        <w:jc w:val="left"/>
      </w:pPr>
      <w:r>
        <w:rPr>
          <w:spacing w:val="-2"/>
        </w:rPr>
        <w:t>（</w:t>
      </w:r>
      <w:r>
        <w:rPr>
          <w:rFonts w:ascii="宋体" w:hAnsi="宋体" w:cs="宋体" w:eastAsia="宋体" w:hint="default"/>
          <w:spacing w:val="-2"/>
        </w:rPr>
        <w:t>6</w:t>
      </w:r>
      <w:r>
        <w:rPr>
          <w:spacing w:val="-2"/>
        </w:rPr>
        <w:t>）本公司本年丧失对江苏瑞德的控制权，剩余股权按公允价值重新计量产生的利得</w:t>
      </w:r>
      <w:r>
        <w:rPr>
          <w:w w:val="100"/>
        </w:rPr>
        <w:t> </w:t>
      </w:r>
      <w:r>
        <w:rPr>
          <w:rFonts w:ascii="宋体" w:hAnsi="宋体" w:cs="宋体" w:eastAsia="宋体" w:hint="default"/>
        </w:rPr>
        <w:t>2,352,198.77</w:t>
      </w:r>
      <w:r>
        <w:rPr>
          <w:rFonts w:ascii="宋体" w:hAnsi="宋体" w:cs="宋体" w:eastAsia="宋体" w:hint="default"/>
          <w:spacing w:val="-56"/>
        </w:rPr>
        <w:t> </w:t>
      </w:r>
      <w:r>
        <w:rPr/>
        <w:t>元，详见本报告第十一节、八、</w:t>
      </w:r>
      <w:r>
        <w:rPr>
          <w:rFonts w:ascii="宋体" w:hAnsi="宋体" w:cs="宋体" w:eastAsia="宋体" w:hint="default"/>
        </w:rPr>
        <w:t>4</w:t>
      </w:r>
      <w:r>
        <w:rPr/>
        <w:t>。</w:t>
      </w:r>
    </w:p>
    <w:p>
      <w:pPr>
        <w:spacing w:after="0" w:line="348" w:lineRule="auto"/>
        <w:jc w:val="left"/>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9"/>
          <w:pgSz w:w="11910" w:h="16840"/>
          <w:pgMar w:footer="1195" w:header="0" w:top="1120" w:bottom="1380" w:left="1580" w:right="1040"/>
        </w:sectPr>
      </w:pPr>
    </w:p>
    <w:p>
      <w:pPr>
        <w:spacing w:line="290" w:lineRule="auto" w:before="36"/>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27" w:lineRule="exact"/>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518"/>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985"/>
        <w:gridCol w:w="2124"/>
        <w:gridCol w:w="2137"/>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6,202,000.00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取得合营企业的投资成本小</w:t>
            </w:r>
          </w:p>
          <w:p>
            <w:pPr>
              <w:pStyle w:val="TableParagraph"/>
              <w:spacing w:line="237" w:lineRule="auto"/>
              <w:ind w:left="103" w:right="166"/>
              <w:jc w:val="both"/>
              <w:rPr>
                <w:rFonts w:ascii="宋体" w:hAnsi="宋体" w:cs="宋体" w:eastAsia="宋体" w:hint="default"/>
                <w:sz w:val="21"/>
                <w:szCs w:val="21"/>
              </w:rPr>
            </w:pPr>
            <w:r>
              <w:rPr>
                <w:rFonts w:ascii="宋体" w:hAnsi="宋体" w:cs="宋体" w:eastAsia="宋体" w:hint="default"/>
                <w:spacing w:val="-2"/>
                <w:sz w:val="21"/>
                <w:szCs w:val="21"/>
              </w:rPr>
              <w:t>于取得投资时应享有被投资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单位可辨认净资产公允价值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产生的收益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37,118,039.94</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37,118,039.94</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193,326.51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120,957.61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193,326.51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37,311,366.45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6,322,957.61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37,311,366.45</w:t>
            </w:r>
          </w:p>
        </w:tc>
      </w:tr>
    </w:tbl>
    <w:p>
      <w:pPr>
        <w:pStyle w:val="BodyText"/>
        <w:spacing w:line="350" w:lineRule="auto" w:before="74"/>
        <w:ind w:left="218" w:right="237"/>
        <w:jc w:val="both"/>
      </w:pPr>
      <w:r>
        <w:rPr>
          <w:spacing w:val="-2"/>
        </w:rPr>
        <w:t>注：取得合营企业的投资成本小于取得投资时应享有被投资单位可辨认净资产公允价值产生的收</w:t>
      </w:r>
      <w:r>
        <w:rPr>
          <w:spacing w:val="-25"/>
        </w:rPr>
        <w:t> </w:t>
      </w:r>
      <w:r>
        <w:rPr>
          <w:spacing w:val="-25"/>
        </w:rPr>
      </w:r>
      <w:r>
        <w:rPr/>
        <w:t>益，系本公司于</w:t>
      </w:r>
      <w:r>
        <w:rPr>
          <w:spacing w:val="-57"/>
        </w:rPr>
        <w:t> </w:t>
      </w:r>
      <w:r>
        <w:rPr>
          <w:rFonts w:ascii="宋体" w:hAnsi="宋体" w:cs="宋体" w:eastAsia="宋体" w:hint="default"/>
        </w:rPr>
        <w:t>2017</w:t>
      </w:r>
      <w:r>
        <w:rPr>
          <w:rFonts w:ascii="宋体" w:hAnsi="宋体" w:cs="宋体" w:eastAsia="宋体" w:hint="default"/>
          <w:spacing w:val="-57"/>
        </w:rPr>
        <w:t> </w:t>
      </w:r>
      <w:r>
        <w:rPr/>
        <w:t>年投资新华智云所致，详见本报告第十一节、八、</w:t>
      </w:r>
      <w:r>
        <w:rPr>
          <w:rFonts w:ascii="宋体" w:hAnsi="宋体" w:cs="宋体" w:eastAsia="宋体" w:hint="default"/>
        </w:rPr>
        <w:t>3</w:t>
      </w:r>
      <w:r>
        <w:rPr/>
        <w:t>、在合营企业或联营企</w:t>
      </w:r>
      <w:r>
        <w:rPr>
          <w:w w:val="100"/>
        </w:rPr>
        <w:t> </w:t>
      </w:r>
      <w:r>
        <w:rPr/>
        <w:t>业中的权益。</w:t>
      </w:r>
    </w:p>
    <w:p>
      <w:pPr>
        <w:spacing w:line="240" w:lineRule="auto" w:before="1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120" w:bottom="1380" w:left="1580" w:right="1040"/>
        </w:sectPr>
      </w:pPr>
    </w:p>
    <w:p>
      <w:pPr>
        <w:pStyle w:val="BodyText"/>
        <w:spacing w:line="273" w:lineRule="exact" w:before="36"/>
        <w:ind w:left="218" w:right="0"/>
        <w:jc w:val="left"/>
      </w:pPr>
      <w:r>
        <w:rPr>
          <w:spacing w:val="-2"/>
        </w:rPr>
        <w:t>计入当期损益的政府补助</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886"/>
            <w:col w:w="2872"/>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27"/>
        <w:gridCol w:w="1983"/>
        <w:gridCol w:w="1906"/>
        <w:gridCol w:w="2281"/>
      </w:tblGrid>
      <w:tr>
        <w:trPr>
          <w:trHeight w:val="56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55"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6"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园区搬迁</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3,702,000.00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科技创新中心建设宣传资金</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6,202,000.00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120" w:bottom="1380" w:left="1580" w:right="1040"/>
        </w:sectPr>
      </w:pPr>
    </w:p>
    <w:p>
      <w:pPr>
        <w:pStyle w:val="BodyText"/>
        <w:spacing w:line="240" w:lineRule="auto" w:before="36"/>
        <w:ind w:left="218" w:right="105"/>
        <w:jc w:val="left"/>
      </w:pPr>
      <w:r>
        <w:rPr/>
        <w:t>其他说明：</w:t>
      </w:r>
    </w:p>
    <w:p>
      <w:pPr>
        <w:spacing w:line="300" w:lineRule="auto" w:before="145"/>
        <w:ind w:left="218" w:right="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pStyle w:val="BodyText"/>
        <w:tabs>
          <w:tab w:pos="1060" w:val="left" w:leader="none"/>
        </w:tabs>
        <w:spacing w:line="240" w:lineRule="auto" w:before="6"/>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518"/>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276,525.93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278,875.45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276,525.93</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w w:val="95"/>
                <w:sz w:val="21"/>
              </w:rPr>
              <w:t>336,525.93</w:t>
            </w:r>
            <w:r>
              <w:rPr>
                <w:rFonts w:ascii="宋体"/>
                <w:sz w:val="21"/>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w w:val="95"/>
                <w:sz w:val="21"/>
              </w:rPr>
              <w:t>278,875.45</w:t>
            </w:r>
            <w:r>
              <w:rPr>
                <w:rFonts w:ascii="宋体"/>
                <w:sz w:val="21"/>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336,525.93</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114" w:firstLine="0"/>
        <w:jc w:val="left"/>
        <w:rPr>
          <w:rFonts w:ascii="宋体" w:hAnsi="宋体" w:cs="宋体" w:eastAsia="宋体" w:hint="default"/>
          <w:sz w:val="21"/>
          <w:szCs w:val="21"/>
        </w:rPr>
      </w:pPr>
      <w:r>
        <w:rPr>
          <w:rFonts w:ascii="宋体" w:hAnsi="宋体" w:cs="宋体" w:eastAsia="宋体" w:hint="default"/>
          <w:sz w:val="21"/>
          <w:szCs w:val="21"/>
        </w:rPr>
        <w:t>其他说明：无</w:t>
      </w:r>
      <w:r>
        <w:rPr>
          <w:rFonts w:ascii="宋体" w:hAnsi="宋体" w:cs="宋体" w:eastAsia="宋体" w:hint="default"/>
          <w:w w:val="100"/>
          <w:sz w:val="21"/>
          <w:szCs w:val="21"/>
        </w:rPr>
        <w:t> </w:t>
      </w:r>
      <w:r>
        <w:rPr>
          <w:rFonts w:ascii="宋体" w:hAnsi="宋体" w:cs="宋体" w:eastAsia="宋体" w:hint="default"/>
          <w:b/>
          <w:bCs/>
          <w:sz w:val="21"/>
          <w:szCs w:val="21"/>
        </w:rPr>
        <w:t>71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所得税费用</w:t>
      </w:r>
      <w:r>
        <w:rPr>
          <w:rFonts w:ascii="宋体" w:hAnsi="宋体" w:cs="宋体" w:eastAsia="宋体" w:hint="default"/>
          <w:sz w:val="21"/>
          <w:szCs w:val="21"/>
        </w:rPr>
      </w:r>
    </w:p>
    <w:p>
      <w:pPr>
        <w:pStyle w:val="Heading3"/>
        <w:spacing w:line="240" w:lineRule="auto" w:before="12"/>
        <w:ind w:right="-20"/>
        <w:jc w:val="left"/>
        <w:rPr>
          <w:b w:val="0"/>
          <w:bCs w:val="0"/>
        </w:rPr>
      </w:pP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58"/>
        <w:ind w:left="2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508"/>
            <w:col w:w="287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1,700,029.62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562,894.26</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1,700,029.62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562,894.26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0"/>
          <w:pgSz w:w="11910" w:h="16840"/>
          <w:pgMar w:footer="1195" w:header="0" w:top="1120" w:bottom="1380" w:left="1660" w:right="1120"/>
          <w:pgNumType w:start="151"/>
        </w:sectPr>
      </w:pPr>
    </w:p>
    <w:p>
      <w:pPr>
        <w:pStyle w:val="Heading3"/>
        <w:spacing w:line="240" w:lineRule="auto"/>
        <w:ind w:left="138"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95"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3727" w:space="2691"/>
            <w:col w:w="271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01"/>
        <w:gridCol w:w="4592"/>
      </w:tblGrid>
      <w:tr>
        <w:trPr>
          <w:trHeight w:val="28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284,437,956.78</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0.00</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-1,177,008.01</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-71,170.51</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154,345.37</w:t>
            </w:r>
          </w:p>
        </w:tc>
      </w:tr>
      <w:tr>
        <w:trPr>
          <w:trHeight w:val="56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2,793,862.77</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1,700,029.62</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pStyle w:val="BodyText"/>
        <w:spacing w:line="240" w:lineRule="auto" w:before="26"/>
        <w:ind w:right="2416"/>
        <w:jc w:val="left"/>
      </w:pPr>
      <w:r>
        <w:rPr/>
        <w:t>其他说明：</w:t>
      </w:r>
    </w:p>
    <w:p>
      <w:pPr>
        <w:spacing w:line="290" w:lineRule="auto" w:before="58"/>
        <w:ind w:left="138" w:right="24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72" w:lineRule="exact" w:before="42"/>
        <w:ind w:right="0"/>
        <w:jc w:val="left"/>
      </w:pPr>
      <w:r>
        <w:rPr/>
        <w:t>√适用</w:t>
      </w:r>
      <w:r>
        <w:rPr>
          <w:spacing w:val="-2"/>
        </w:rPr>
        <w:t> </w:t>
      </w:r>
      <w:r>
        <w:rPr/>
        <w:t>□不适用</w:t>
      </w:r>
      <w:r>
        <w:rPr>
          <w:w w:val="100"/>
        </w:rPr>
        <w:t> </w:t>
      </w:r>
      <w:r>
        <w:rPr>
          <w:spacing w:val="-2"/>
        </w:rPr>
        <w:t>详见本报告第十一节、七、</w:t>
      </w:r>
      <w:r>
        <w:rPr>
          <w:rFonts w:ascii="宋体" w:hAnsi="宋体" w:cs="宋体" w:eastAsia="宋体" w:hint="default"/>
          <w:spacing w:val="-2"/>
        </w:rPr>
        <w:t>57</w:t>
      </w:r>
      <w:r>
        <w:rPr>
          <w:spacing w:val="-2"/>
        </w:rPr>
        <w:t>、其他综合收益</w:t>
      </w:r>
    </w:p>
    <w:p>
      <w:pPr>
        <w:pStyle w:val="Heading3"/>
        <w:spacing w:line="240" w:lineRule="auto" w:before="34"/>
        <w:ind w:left="138" w:right="0"/>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3"/>
        <w:tabs>
          <w:tab w:pos="838" w:val="left" w:leader="none"/>
        </w:tabs>
        <w:spacing w:line="240" w:lineRule="auto" w:before="56"/>
        <w:ind w:left="138" w:right="0"/>
        <w:jc w:val="left"/>
        <w:rPr>
          <w:b w:val="0"/>
          <w:bCs w:val="0"/>
        </w:rPr>
      </w:pPr>
      <w:r>
        <w:rPr>
          <w:rFonts w:ascii="宋体" w:hAnsi="宋体" w:cs="宋体" w:eastAsia="宋体" w:hint="default"/>
          <w:w w:val="95"/>
        </w:rPr>
        <w:t>(1).</w:t>
        <w:tab/>
      </w:r>
      <w:r>
        <w:rPr/>
        <w:t>收到的其他与经营活动有关的现金：</w:t>
      </w:r>
      <w:r>
        <w:rPr>
          <w:b w:val="0"/>
          <w:bCs w:val="0"/>
        </w:rPr>
      </w:r>
    </w:p>
    <w:p>
      <w:pPr>
        <w:pStyle w:val="BodyText"/>
        <w:spacing w:line="240" w:lineRule="auto" w:before="56"/>
        <w:ind w:right="24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1295"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344" w:space="2074"/>
            <w:col w:w="2712"/>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3,600,000.00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27,603,454.72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3,014,827.53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2,460,756.06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860,000.00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9,851,575.36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1,629,275.76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4,989,928.80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9,104,103.29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44,905,714.94</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tabs>
          <w:tab w:pos="838" w:val="left" w:leader="none"/>
        </w:tabs>
        <w:spacing w:line="290" w:lineRule="auto" w:before="26"/>
        <w:ind w:left="138" w:right="0" w:firstLine="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收到的其他与经营活动有关的现金说明：无</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pacing w:val="-1"/>
          <w:sz w:val="21"/>
          <w:szCs w:val="21"/>
        </w:rPr>
        <w:t>支付的其他与经营活动有关的现金：</w:t>
      </w:r>
      <w:r>
        <w:rPr>
          <w:rFonts w:ascii="宋体" w:hAnsi="宋体" w:cs="宋体" w:eastAsia="宋体" w:hint="default"/>
          <w:spacing w:val="-1"/>
          <w:sz w:val="21"/>
          <w:szCs w:val="21"/>
        </w:rPr>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95" w:val="left" w:leader="none"/>
        </w:tabs>
        <w:spacing w:line="240" w:lineRule="auto" w:before="179"/>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214" w:space="2205"/>
            <w:col w:w="271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18"/>
        <w:gridCol w:w="2552"/>
        <w:gridCol w:w="2626"/>
      </w:tblGrid>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广告发布及代理费用支出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17,655,846.12</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35,491,303.51</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租赁费费用支出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16,168,842.92</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11,367,884.89</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制作及服务费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13,355,754.14</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12,833,857.71</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市场推广及宣传费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5,916,590.78</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6,542,945.57</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其他营业费用支出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115,501,432.91</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92,463,800.18</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168,598,466.87</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158,699,791.86</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tabs>
          <w:tab w:pos="865" w:val="left" w:leader="none"/>
        </w:tabs>
        <w:spacing w:line="290" w:lineRule="auto" w:before="26"/>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支付的其他与经营活动有关的现金说明：无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w w:val="95"/>
          <w:sz w:val="21"/>
          <w:szCs w:val="21"/>
        </w:rPr>
        <w:t>(3).</w:t>
        <w:tab/>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95" w:val="left" w:leader="none"/>
        </w:tabs>
        <w:spacing w:line="240" w:lineRule="auto" w:before="177"/>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133" w:space="2389"/>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16"/>
        <w:gridCol w:w="2496"/>
        <w:gridCol w:w="2684"/>
      </w:tblGrid>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716"/>
        <w:gridCol w:w="2496"/>
        <w:gridCol w:w="2684"/>
      </w:tblGrid>
      <w:tr>
        <w:trPr>
          <w:trHeight w:val="284"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定期存款到期</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394,000,000.00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594,000,000.00</w:t>
            </w: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理财产品到期</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725,000,000.00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1,119,000,000.00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594,000,000.00</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tabs>
          <w:tab w:pos="945" w:val="left" w:leader="none"/>
        </w:tabs>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收到的其他与投资活动有关的现金说明：无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w w:val="95"/>
          <w:sz w:val="21"/>
          <w:szCs w:val="21"/>
        </w:rPr>
        <w:t>(4).</w:t>
        <w:tab/>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75" w:val="left" w:leader="none"/>
        </w:tabs>
        <w:spacing w:line="240" w:lineRule="auto" w:before="176"/>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13" w:space="2206"/>
            <w:col w:w="287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718"/>
        <w:gridCol w:w="2494"/>
        <w:gridCol w:w="2684"/>
      </w:tblGrid>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40"/>
              <w:jc w:val="right"/>
              <w:rPr>
                <w:rFonts w:ascii="宋体" w:hAnsi="宋体" w:cs="宋体" w:eastAsia="宋体" w:hint="default"/>
                <w:sz w:val="21"/>
                <w:szCs w:val="21"/>
              </w:rPr>
            </w:pPr>
            <w:r>
              <w:rPr>
                <w:rFonts w:ascii="宋体" w:hAnsi="宋体" w:cs="宋体" w:eastAsia="宋体" w:hint="default"/>
                <w:sz w:val="21"/>
                <w:szCs w:val="21"/>
              </w:rPr>
              <w:t>项目</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859,219,996.21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394,000,000.00</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49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725,000,000.00</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40"/>
              <w:jc w:val="right"/>
              <w:rPr>
                <w:rFonts w:ascii="宋体" w:hAnsi="宋体" w:cs="宋体" w:eastAsia="宋体" w:hint="default"/>
                <w:sz w:val="21"/>
                <w:szCs w:val="21"/>
              </w:rPr>
            </w:pPr>
            <w:r>
              <w:rPr>
                <w:rFonts w:ascii="宋体" w:hAnsi="宋体" w:cs="宋体" w:eastAsia="宋体" w:hint="default"/>
                <w:sz w:val="21"/>
                <w:szCs w:val="21"/>
              </w:rPr>
              <w:t>合计</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859,219,996.21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1,119,000,000.00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tabs>
          <w:tab w:pos="1057" w:val="left" w:leader="none"/>
        </w:tabs>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支付的其他与投资活动有关的现金说明：无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w w:val="95"/>
          <w:sz w:val="21"/>
          <w:szCs w:val="21"/>
        </w:rPr>
        <w:t>(5).</w:t>
        <w:tab/>
      </w:r>
      <w:r>
        <w:rPr>
          <w:rFonts w:ascii="宋体" w:hAnsi="宋体" w:cs="宋体" w:eastAsia="宋体" w:hint="default"/>
          <w:b/>
          <w:bCs/>
          <w:spacing w:val="-1"/>
          <w:sz w:val="21"/>
          <w:szCs w:val="21"/>
        </w:rPr>
        <w:t>收到的其他与筹资活动有关的现金</w:t>
      </w:r>
      <w:r>
        <w:rPr>
          <w:rFonts w:ascii="宋体" w:hAnsi="宋体" w:cs="宋体" w:eastAsia="宋体" w:hint="default"/>
          <w:spacing w:val="-1"/>
          <w:sz w:val="21"/>
          <w:szCs w:val="21"/>
        </w:rPr>
      </w:r>
    </w:p>
    <w:p>
      <w:pPr>
        <w:pStyle w:val="BodyText"/>
        <w:spacing w:line="240" w:lineRule="auto" w:before="1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75" w:val="left" w:leader="none"/>
        </w:tabs>
        <w:spacing w:line="240" w:lineRule="auto" w:before="179"/>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197"/>
            <w:col w:w="287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718"/>
        <w:gridCol w:w="2494"/>
        <w:gridCol w:w="2684"/>
      </w:tblGrid>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多语种网站建设及海外访问提速等项目</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41,530,000.00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40,000,000.00</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全媒体产品数字加工云平台</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8,500,000.00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13,460,000.00</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其他专项资金</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1,976,500.00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1,378,981.14</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转让亿连科技股权投资款</w:t>
            </w:r>
          </w:p>
        </w:tc>
        <w:tc>
          <w:tcPr>
            <w:tcW w:w="249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35,000,000.00</w:t>
            </w:r>
          </w:p>
        </w:tc>
      </w:tr>
      <w:tr>
        <w:trPr>
          <w:trHeight w:val="28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52,006,500.00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89,838,981.14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tabs>
          <w:tab w:pos="1057" w:val="left" w:leader="none"/>
        </w:tabs>
        <w:spacing w:line="292"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收到的其他与筹资活动有关的现金说明：无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w w:val="95"/>
          <w:sz w:val="21"/>
          <w:szCs w:val="21"/>
        </w:rPr>
        <w:t>(6).</w:t>
        <w:tab/>
      </w:r>
      <w:r>
        <w:rPr>
          <w:rFonts w:ascii="宋体" w:hAnsi="宋体" w:cs="宋体" w:eastAsia="宋体" w:hint="default"/>
          <w:b/>
          <w:bCs/>
          <w:spacing w:val="-1"/>
          <w:sz w:val="21"/>
          <w:szCs w:val="21"/>
        </w:rPr>
        <w:t>支付的其他与筹资活动有关的现金</w:t>
      </w:r>
      <w:r>
        <w:rPr>
          <w:rFonts w:ascii="宋体" w:hAnsi="宋体" w:cs="宋体" w:eastAsia="宋体" w:hint="default"/>
          <w:spacing w:val="-1"/>
          <w:sz w:val="21"/>
          <w:szCs w:val="21"/>
        </w:rPr>
      </w:r>
    </w:p>
    <w:p>
      <w:pPr>
        <w:pStyle w:val="BodyText"/>
        <w:spacing w:line="240" w:lineRule="auto" w:before="10"/>
        <w:ind w:left="218" w:right="0"/>
        <w:jc w:val="left"/>
      </w:pPr>
      <w:r>
        <w:rPr/>
        <w:t>□适用</w:t>
      </w:r>
      <w:r>
        <w:rPr>
          <w:spacing w:val="-1"/>
        </w:rPr>
        <w:t> </w:t>
      </w:r>
      <w:r>
        <w:rPr/>
        <w:t>√不适用</w:t>
      </w:r>
    </w:p>
    <w:p>
      <w:pPr>
        <w:pStyle w:val="Heading3"/>
        <w:spacing w:line="290" w:lineRule="auto" w:before="58"/>
        <w:ind w:right="1580"/>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60" w:val="left" w:leader="none"/>
        </w:tabs>
        <w:spacing w:line="240" w:lineRule="auto" w:before="12"/>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197"/>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348"/>
        <w:gridCol w:w="2765"/>
      </w:tblGrid>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48"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74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48"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282,737,927.16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280,136,840.40</w:t>
            </w: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87,121,431.24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41,215,390.64</w:t>
            </w:r>
          </w:p>
        </w:tc>
      </w:tr>
      <w:tr>
        <w:trPr>
          <w:trHeight w:val="56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物资产折旧</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21,666,371.08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12,626,859.40</w:t>
            </w: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753,705.87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870,014.24</w:t>
            </w: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24,308,112.63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8,550,900.00</w:t>
            </w:r>
          </w:p>
        </w:tc>
      </w:tr>
      <w:tr>
        <w:trPr>
          <w:trHeight w:val="55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的损失（收益以“－”号填列）</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-34,912.91</w:t>
            </w:r>
          </w:p>
        </w:tc>
      </w:tr>
      <w:tr>
        <w:trPr>
          <w:trHeight w:val="55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-12,101,875.12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-12,684,903.36</w:t>
            </w: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-85,348,143.56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4,191,850.81</w:t>
            </w:r>
          </w:p>
        </w:tc>
      </w:tr>
      <w:tr>
        <w:trPr>
          <w:trHeight w:val="56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递延所得税资产减少（增加以“－”号填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7"/>
        <w:gridCol w:w="2348"/>
        <w:gridCol w:w="2765"/>
      </w:tblGrid>
      <w:tr>
        <w:trPr>
          <w:trHeight w:val="56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pacing w:val="-5"/>
                <w:sz w:val="21"/>
                <w:szCs w:val="21"/>
              </w:rPr>
              <w:t>递延所得税负债增加（减少以“－”号填</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列）</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-791,128.50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-1,024,029.58</w:t>
            </w:r>
          </w:p>
        </w:tc>
      </w:tr>
      <w:tr>
        <w:trPr>
          <w:trHeight w:val="56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96"/>
              <w:jc w:val="left"/>
              <w:rPr>
                <w:rFonts w:ascii="宋体" w:hAnsi="宋体" w:cs="宋体" w:eastAsia="宋体" w:hint="default"/>
                <w:sz w:val="21"/>
                <w:szCs w:val="21"/>
              </w:rPr>
            </w:pPr>
            <w:r>
              <w:rPr>
                <w:rFonts w:ascii="宋体" w:hAnsi="宋体" w:cs="宋体" w:eastAsia="宋体" w:hint="default"/>
                <w:spacing w:val="-5"/>
                <w:sz w:val="21"/>
                <w:szCs w:val="21"/>
              </w:rPr>
              <w:t>经营性应收项目的减少（增加以“－”号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填列）</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-151,543,559.35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-152,349,206.85</w:t>
            </w:r>
          </w:p>
        </w:tc>
      </w:tr>
      <w:tr>
        <w:trPr>
          <w:trHeight w:val="55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经营性应付项目的增加（减少以“－”号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83,453,749.95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124,980,505.88</w:t>
            </w:r>
          </w:p>
        </w:tc>
      </w:tr>
      <w:tr>
        <w:trPr>
          <w:trHeight w:val="28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-37,118,039.94</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213,138,551.46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306,479,308.67</w:t>
            </w:r>
          </w:p>
        </w:tc>
      </w:tr>
      <w:tr>
        <w:trPr>
          <w:trHeight w:val="55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动：</w:t>
            </w:r>
            <w:r>
              <w:rPr>
                <w:rFonts w:ascii="宋体" w:hAnsi="宋体" w:cs="宋体" w:eastAsia="宋体" w:hint="default"/>
                <w:sz w:val="21"/>
                <w:szCs w:val="21"/>
              </w:rPr>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1,327,625,613.04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840,169,647.81</w:t>
            </w: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840,169,647.81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312,671,706.80</w:t>
            </w:r>
          </w:p>
        </w:tc>
      </w:tr>
      <w:tr>
        <w:trPr>
          <w:trHeight w:val="28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48"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487,455,965.23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527,497,941.01</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612"/>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其中：江苏瑞德</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3,000,000.00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83,159.22</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其中：江苏瑞德</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83,159.22</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2,916,840.78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left="218" w:right="-19"/>
        <w:jc w:val="left"/>
      </w:pPr>
      <w:r>
        <w:rPr/>
        <w:t>其他说明</w:t>
      </w:r>
      <w:r>
        <w:rPr>
          <w:rFonts w:ascii="宋体" w:hAnsi="宋体" w:cs="宋体" w:eastAsia="宋体" w:hint="default"/>
        </w:rPr>
        <w:t>:</w:t>
      </w:r>
      <w:r>
        <w:rPr/>
        <w:t>无</w:t>
      </w:r>
    </w:p>
    <w:p>
      <w:pPr>
        <w:pStyle w:val="Heading3"/>
        <w:spacing w:line="240" w:lineRule="auto" w:before="58"/>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612"/>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20,800,000.00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其中：江苏瑞德</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星程同创</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20,800,000.00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2,298,098.67</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其中：江苏瑞德</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2,280,543.09</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星程同创</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17,555.58</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18,501,901.33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left="218" w:right="-19"/>
        <w:jc w:val="left"/>
      </w:pPr>
      <w:r>
        <w:rPr/>
        <w:t>其他说明</w:t>
      </w:r>
      <w:r>
        <w:rPr>
          <w:rFonts w:ascii="宋体" w:hAnsi="宋体" w:cs="宋体" w:eastAsia="宋体" w:hint="default"/>
        </w:rPr>
        <w:t>:</w:t>
      </w:r>
      <w:r>
        <w:rPr/>
        <w:t>无</w:t>
      </w:r>
    </w:p>
    <w:p>
      <w:pPr>
        <w:pStyle w:val="Heading3"/>
        <w:spacing w:line="240" w:lineRule="auto" w:before="58"/>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5" w:space="3454"/>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16,704.92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36,740.81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1,327,608,908.12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840,132,907.00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1,327,625,613.04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840,169,647.81</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18" w:right="2465"/>
        <w:jc w:val="left"/>
      </w:pPr>
      <w:r>
        <w:rPr/>
        <w:t>其他说明：</w:t>
      </w:r>
    </w:p>
    <w:p>
      <w:pPr>
        <w:pStyle w:val="BodyText"/>
        <w:spacing w:line="240" w:lineRule="auto" w:before="58"/>
        <w:ind w:left="218" w:right="2465"/>
        <w:jc w:val="left"/>
      </w:pPr>
      <w:r>
        <w:rPr/>
        <w:t>□适用</w:t>
      </w:r>
      <w:r>
        <w:rPr>
          <w:spacing w:val="-1"/>
        </w:rPr>
        <w:t> </w:t>
      </w:r>
      <w:r>
        <w:rPr/>
        <w:t>√不适用</w:t>
      </w:r>
    </w:p>
    <w:p>
      <w:pPr>
        <w:spacing w:line="290" w:lineRule="auto" w:before="5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8" w:lineRule="exact"/>
        <w:ind w:left="218" w:right="2465"/>
        <w:jc w:val="left"/>
      </w:pPr>
      <w:r>
        <w:rPr/>
        <w:t>□适用</w:t>
      </w:r>
      <w:r>
        <w:rPr>
          <w:spacing w:val="-1"/>
        </w:rPr>
        <w:t> </w:t>
      </w:r>
      <w:r>
        <w:rPr/>
        <w:t>√不适用</w:t>
      </w:r>
    </w:p>
    <w:p>
      <w:pPr>
        <w:pStyle w:val="Heading3"/>
        <w:spacing w:line="240" w:lineRule="auto" w:before="58"/>
        <w:ind w:right="2465"/>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6"/>
        <w:ind w:left="218" w:right="2465"/>
        <w:jc w:val="left"/>
      </w:pPr>
      <w:r>
        <w:rPr/>
        <w:t>√适用</w:t>
      </w:r>
      <w:r>
        <w:rPr>
          <w:spacing w:val="-1"/>
        </w:rPr>
        <w:t> </w:t>
      </w:r>
      <w:r>
        <w:rPr/>
        <w:t>□不适用</w:t>
      </w:r>
    </w:p>
    <w:p>
      <w:pPr>
        <w:pStyle w:val="BodyText"/>
        <w:tabs>
          <w:tab w:pos="1157"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7"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861,526,984.21</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具有明确持有至到期意图的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定期存款、保证金存款</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861,526,984.21</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1910" w:h="16840"/>
          <w:pgMar w:header="0" w:footer="1195" w:top="1120" w:bottom="1380" w:left="1580" w:right="1040"/>
        </w:sectPr>
      </w:pPr>
    </w:p>
    <w:p>
      <w:pPr>
        <w:pStyle w:val="BodyText"/>
        <w:spacing w:line="240" w:lineRule="auto" w:before="26"/>
        <w:ind w:left="218" w:right="0"/>
        <w:jc w:val="left"/>
      </w:pPr>
      <w:r>
        <w:rPr/>
        <w:t>其他说明：无</w:t>
      </w:r>
    </w:p>
    <w:p>
      <w:pPr>
        <w:pStyle w:val="Heading3"/>
        <w:tabs>
          <w:tab w:pos="918" w:val="left" w:leader="none"/>
        </w:tabs>
        <w:spacing w:line="292" w:lineRule="auto" w:before="56"/>
        <w:ind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tabs>
          <w:tab w:pos="1060" w:val="left" w:leader="none"/>
        </w:tabs>
        <w:spacing w:line="240" w:lineRule="auto" w:before="10"/>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678,237.01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7.80230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5,291,808.62</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2,933,900.64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6.53420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19,170,693.56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2,606,653.82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0.83591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2,178,927.99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99,870.12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7.80230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779,216.64</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0" w:lineRule="auto" w:before="26"/>
        <w:ind w:left="218" w:right="7998"/>
        <w:jc w:val="left"/>
      </w:pPr>
      <w:r>
        <w:rPr/>
        <w:t>其他说明：</w:t>
      </w:r>
      <w:r>
        <w:rPr>
          <w:spacing w:val="-102"/>
        </w:rPr>
        <w:t> </w:t>
      </w:r>
      <w:r>
        <w:rPr>
          <w:spacing w:val="-102"/>
        </w:rPr>
      </w:r>
      <w:r>
        <w:rPr/>
        <w:t>无</w:t>
      </w:r>
    </w:p>
    <w:p>
      <w:pPr>
        <w:pStyle w:val="Heading3"/>
        <w:tabs>
          <w:tab w:pos="918" w:val="left" w:leader="none"/>
        </w:tabs>
        <w:spacing w:line="272" w:lineRule="exact" w:before="42"/>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tabs>
          <w:tab w:pos="1060" w:val="left" w:leader="none"/>
        </w:tabs>
        <w:spacing w:line="240" w:lineRule="auto" w:before="34"/>
        <w:ind w:left="218" w:right="2465"/>
        <w:jc w:val="left"/>
      </w:pPr>
      <w:r>
        <w:rPr>
          <w:spacing w:val="-1"/>
        </w:rPr>
        <w:t>√适用</w:t>
        <w:tab/>
      </w:r>
      <w:r>
        <w:rPr>
          <w:spacing w:val="-2"/>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81"/>
        <w:gridCol w:w="1752"/>
        <w:gridCol w:w="1755"/>
        <w:gridCol w:w="1462"/>
      </w:tblGrid>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新华网股份有限公司欧洲公司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荷兰</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新华网欧洲传播与运营中心</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比利时</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新华网北美公司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新华网亚太有限公司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当地货币</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400" w:right="1040"/>
        </w:sectPr>
      </w:pPr>
    </w:p>
    <w:p>
      <w:pPr>
        <w:pStyle w:val="Heading3"/>
        <w:spacing w:line="240" w:lineRule="auto"/>
        <w:ind w:left="398" w:right="520"/>
        <w:jc w:val="left"/>
        <w:rPr>
          <w:b w:val="0"/>
          <w:bCs w:val="0"/>
        </w:rPr>
      </w:pPr>
      <w:r>
        <w:rPr>
          <w:rFonts w:ascii="宋体" w:hAnsi="宋体" w:cs="宋体" w:eastAsia="宋体" w:hint="default"/>
        </w:rPr>
        <w:t>78</w:t>
      </w:r>
      <w:r>
        <w:rPr/>
        <w:t>、</w:t>
      </w:r>
      <w:r>
        <w:rPr>
          <w:spacing w:val="-26"/>
        </w:rPr>
        <w:t> </w:t>
      </w:r>
      <w:r>
        <w:rPr/>
        <w:t>套期</w:t>
      </w:r>
      <w:r>
        <w:rPr>
          <w:b w:val="0"/>
          <w:bCs w:val="0"/>
        </w:rPr>
      </w:r>
    </w:p>
    <w:p>
      <w:pPr>
        <w:spacing w:line="290" w:lineRule="auto" w:before="58"/>
        <w:ind w:left="398" w:right="5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3"/>
        <w:tabs>
          <w:tab w:pos="822" w:val="left" w:leader="none"/>
        </w:tabs>
        <w:spacing w:line="240" w:lineRule="auto" w:before="14"/>
        <w:ind w:left="398"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343" w:val="left" w:leader="none"/>
        </w:tabs>
        <w:spacing w:line="240" w:lineRule="auto" w:before="56"/>
        <w:ind w:left="398" w:right="-17"/>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2513" w:space="4009"/>
            <w:col w:w="2948"/>
          </w:cols>
        </w:sectPr>
      </w:pP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海外访问提速</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68,880,000.00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四川省全媒体海外多</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语种融合传播平台“熊</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猫社区”</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3,600,000.00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文化产业发展专项资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2,476,585.32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2,476,585.32</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园区搬迁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3,702,000.00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3,702,000.00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信息发布平台和内容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管理平台系统项目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1,966,600.00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1,966,600.00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北京市文创资金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1,400,000.00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国家科技支撑计划项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934,090.96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934,090.96</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379,607.01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379,607.01</w:t>
            </w:r>
          </w:p>
        </w:tc>
      </w:tr>
    </w:tbl>
    <w:p>
      <w:pPr>
        <w:spacing w:line="240" w:lineRule="auto" w:before="12"/>
        <w:rPr>
          <w:rFonts w:ascii="宋体" w:hAnsi="宋体" w:cs="宋体" w:eastAsia="宋体" w:hint="default"/>
          <w:sz w:val="19"/>
          <w:szCs w:val="19"/>
        </w:rPr>
      </w:pPr>
    </w:p>
    <w:p>
      <w:pPr>
        <w:pStyle w:val="Heading3"/>
        <w:tabs>
          <w:tab w:pos="822" w:val="left" w:leader="none"/>
        </w:tabs>
        <w:spacing w:line="240" w:lineRule="auto"/>
        <w:ind w:left="398" w:right="230"/>
        <w:jc w:val="left"/>
        <w:rPr>
          <w:b w:val="0"/>
          <w:bCs w:val="0"/>
        </w:rPr>
      </w:pPr>
      <w:r>
        <w:rPr>
          <w:rFonts w:ascii="宋体" w:hAnsi="宋体" w:cs="宋体" w:eastAsia="宋体" w:hint="default"/>
          <w:w w:val="95"/>
        </w:rPr>
        <w:t>2.</w:t>
        <w:tab/>
      </w:r>
      <w:r>
        <w:rPr/>
        <w:t>政府补助退回情况</w:t>
      </w:r>
      <w:r>
        <w:rPr>
          <w:b w:val="0"/>
          <w:bCs w:val="0"/>
        </w:rPr>
      </w:r>
    </w:p>
    <w:p>
      <w:pPr>
        <w:pStyle w:val="BodyText"/>
        <w:tabs>
          <w:tab w:pos="1240" w:val="left" w:leader="none"/>
        </w:tabs>
        <w:spacing w:line="272" w:lineRule="exact" w:before="87"/>
        <w:ind w:left="398" w:right="7383"/>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left="398" w:right="230"/>
        <w:jc w:val="left"/>
      </w:pPr>
      <w:r>
        <w:rPr/>
        <w:t>：无</w:t>
      </w:r>
    </w:p>
    <w:p>
      <w:pPr>
        <w:spacing w:line="240" w:lineRule="auto" w:before="0"/>
        <w:rPr>
          <w:rFonts w:ascii="宋体" w:hAnsi="宋体" w:cs="宋体" w:eastAsia="宋体" w:hint="default"/>
          <w:sz w:val="25"/>
          <w:szCs w:val="25"/>
        </w:rPr>
      </w:pPr>
    </w:p>
    <w:p>
      <w:pPr>
        <w:pStyle w:val="Heading3"/>
        <w:spacing w:line="240" w:lineRule="auto" w:before="0"/>
        <w:ind w:left="398" w:right="230"/>
        <w:jc w:val="left"/>
        <w:rPr>
          <w:b w:val="0"/>
          <w:bCs w:val="0"/>
        </w:rPr>
      </w:pPr>
      <w:r>
        <w:rPr>
          <w:rFonts w:ascii="宋体" w:hAnsi="宋体" w:cs="宋体" w:eastAsia="宋体" w:hint="default"/>
        </w:rPr>
        <w:t>80</w:t>
      </w:r>
      <w:r>
        <w:rPr/>
        <w:t>、</w:t>
      </w:r>
      <w:r>
        <w:rPr>
          <w:spacing w:val="-25"/>
        </w:rPr>
        <w:t> </w:t>
      </w:r>
      <w:r>
        <w:rPr/>
        <w:t>其他收益</w:t>
      </w:r>
      <w:r>
        <w:rPr>
          <w:b w:val="0"/>
          <w:bCs w:val="0"/>
        </w:rPr>
      </w:r>
    </w:p>
    <w:p>
      <w:pPr>
        <w:pStyle w:val="BodyText"/>
        <w:spacing w:line="240" w:lineRule="auto" w:before="58"/>
        <w:ind w:left="398" w:right="230"/>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285" w:type="dxa"/>
        <w:tblLayout w:type="fixed"/>
        <w:tblCellMar>
          <w:top w:w="0" w:type="dxa"/>
          <w:left w:w="0" w:type="dxa"/>
          <w:bottom w:w="0" w:type="dxa"/>
          <w:right w:w="0" w:type="dxa"/>
        </w:tblCellMar>
        <w:tblLook w:val="01E0"/>
      </w:tblPr>
      <w:tblGrid>
        <w:gridCol w:w="3157"/>
        <w:gridCol w:w="1582"/>
        <w:gridCol w:w="1265"/>
        <w:gridCol w:w="2948"/>
      </w:tblGrid>
      <w:tr>
        <w:trPr>
          <w:trHeight w:val="40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2"/>
                <w:sz w:val="21"/>
                <w:szCs w:val="21"/>
              </w:rPr>
              <w:t>计入当年非经常性损益的金额</w:t>
            </w:r>
          </w:p>
        </w:tc>
      </w:tr>
      <w:tr>
        <w:trPr>
          <w:trHeight w:val="40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与企业日常活动相关的政府补助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10,858,883.29</w:t>
            </w:r>
          </w:p>
        </w:tc>
        <w:tc>
          <w:tcPr>
            <w:tcW w:w="1265"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10,858,883.29</w:t>
            </w:r>
          </w:p>
        </w:tc>
      </w:tr>
      <w:tr>
        <w:trPr>
          <w:trHeight w:val="40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10,858,883.29</w:t>
            </w:r>
          </w:p>
        </w:tc>
        <w:tc>
          <w:tcPr>
            <w:tcW w:w="1265"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10,858,883.29</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400" w:right="1040"/>
        </w:sectPr>
      </w:pPr>
    </w:p>
    <w:p>
      <w:pPr>
        <w:pStyle w:val="Heading3"/>
        <w:spacing w:line="240" w:lineRule="auto"/>
        <w:ind w:left="398" w:right="-4"/>
        <w:jc w:val="left"/>
        <w:rPr>
          <w:b w:val="0"/>
          <w:bCs w:val="0"/>
        </w:rPr>
      </w:pPr>
      <w:r>
        <w:rPr/>
        <w:t>八、合并范围的变更</w:t>
      </w:r>
      <w:r>
        <w:rPr>
          <w:b w:val="0"/>
          <w:bCs w:val="0"/>
        </w:rPr>
      </w:r>
    </w:p>
    <w:p>
      <w:pPr>
        <w:pStyle w:val="Heading3"/>
        <w:spacing w:line="240" w:lineRule="auto" w:before="58"/>
        <w:ind w:left="398"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398" w:right="-4"/>
        <w:jc w:val="left"/>
      </w:pPr>
      <w:r>
        <w:rPr/>
        <w:t>□适用 □不适用</w:t>
      </w:r>
    </w:p>
    <w:p>
      <w:pPr>
        <w:pStyle w:val="Heading3"/>
        <w:tabs>
          <w:tab w:pos="1055" w:val="left" w:leader="none"/>
        </w:tabs>
        <w:spacing w:line="240" w:lineRule="auto" w:before="58"/>
        <w:ind w:left="39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6"/>
        <w:ind w:left="39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555"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4219" w:space="2199"/>
            <w:col w:w="3052"/>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710"/>
        <w:gridCol w:w="569"/>
        <w:gridCol w:w="1700"/>
        <w:gridCol w:w="854"/>
        <w:gridCol w:w="578"/>
        <w:gridCol w:w="843"/>
        <w:gridCol w:w="984"/>
        <w:gridCol w:w="1702"/>
        <w:gridCol w:w="1277"/>
      </w:tblGrid>
      <w:tr>
        <w:trPr>
          <w:trHeight w:val="164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6" w:right="139"/>
              <w:jc w:val="both"/>
              <w:rPr>
                <w:rFonts w:ascii="宋体" w:hAnsi="宋体" w:cs="宋体" w:eastAsia="宋体" w:hint="default"/>
                <w:sz w:val="21"/>
                <w:szCs w:val="21"/>
              </w:rPr>
            </w:pPr>
            <w:r>
              <w:rPr>
                <w:rFonts w:ascii="宋体" w:hAnsi="宋体" w:cs="宋体" w:eastAsia="宋体" w:hint="default"/>
                <w:sz w:val="21"/>
                <w:szCs w:val="21"/>
              </w:rPr>
              <w:t>被购</w:t>
            </w:r>
            <w:r>
              <w:rPr>
                <w:rFonts w:ascii="宋体" w:hAnsi="宋体" w:cs="宋体" w:eastAsia="宋体" w:hint="default"/>
                <w:spacing w:val="-103"/>
                <w:sz w:val="21"/>
                <w:szCs w:val="21"/>
              </w:rPr>
              <w:t> </w:t>
            </w:r>
            <w:r>
              <w:rPr>
                <w:rFonts w:ascii="宋体" w:hAnsi="宋体" w:cs="宋体" w:eastAsia="宋体" w:hint="default"/>
                <w:sz w:val="21"/>
                <w:szCs w:val="21"/>
              </w:rPr>
              <w:t>买方</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72" w:right="173"/>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股权取得成本</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107"/>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46"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75" w:right="180"/>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202" w:hanging="104"/>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0" w:right="168"/>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5" w:right="106" w:hanging="106"/>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购买方的收入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5" w:right="105"/>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30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2" w:right="0"/>
              <w:jc w:val="left"/>
              <w:rPr>
                <w:rFonts w:ascii="宋体" w:hAnsi="宋体" w:cs="宋体" w:eastAsia="宋体" w:hint="default"/>
                <w:sz w:val="21"/>
                <w:szCs w:val="21"/>
              </w:rPr>
            </w:pPr>
            <w:r>
              <w:rPr>
                <w:rFonts w:ascii="宋体"/>
                <w:sz w:val="21"/>
              </w:rPr>
              <w:t>201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8" w:right="0"/>
              <w:jc w:val="left"/>
              <w:rPr>
                <w:rFonts w:ascii="宋体" w:hAnsi="宋体" w:cs="宋体" w:eastAsia="宋体" w:hint="default"/>
                <w:sz w:val="21"/>
                <w:szCs w:val="21"/>
              </w:rPr>
            </w:pPr>
            <w:r>
              <w:rPr>
                <w:rFonts w:ascii="宋体"/>
                <w:sz w:val="21"/>
              </w:rPr>
              <w:t>13,000,000.00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5" w:right="0"/>
              <w:jc w:val="left"/>
              <w:rPr>
                <w:rFonts w:ascii="宋体" w:hAnsi="宋体" w:cs="宋体" w:eastAsia="宋体" w:hint="default"/>
                <w:sz w:val="21"/>
                <w:szCs w:val="21"/>
              </w:rPr>
            </w:pPr>
            <w:r>
              <w:rPr>
                <w:rFonts w:ascii="宋体"/>
                <w:sz w:val="21"/>
              </w:rPr>
              <w:t>37.15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增</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sz w:val="21"/>
              </w:rPr>
              <w:t>2017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3" w:right="0"/>
              <w:jc w:val="left"/>
              <w:rPr>
                <w:rFonts w:ascii="宋体" w:hAnsi="宋体" w:cs="宋体" w:eastAsia="宋体" w:hint="default"/>
                <w:sz w:val="21"/>
                <w:szCs w:val="21"/>
              </w:rPr>
            </w:pPr>
            <w:r>
              <w:rPr>
                <w:rFonts w:ascii="宋体"/>
                <w:sz w:val="21"/>
              </w:rPr>
              <w:t>18,694,443.36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left"/>
              <w:rPr>
                <w:rFonts w:ascii="宋体" w:hAnsi="宋体" w:cs="宋体" w:eastAsia="宋体" w:hint="default"/>
                <w:sz w:val="21"/>
                <w:szCs w:val="21"/>
              </w:rPr>
            </w:pPr>
            <w:r>
              <w:rPr>
                <w:rFonts w:ascii="宋体"/>
                <w:sz w:val="21"/>
              </w:rPr>
              <w:t>868,090.40</w:t>
            </w:r>
          </w:p>
        </w:tc>
      </w:tr>
    </w:tbl>
    <w:p>
      <w:pPr>
        <w:spacing w:after="0" w:line="253" w:lineRule="exact"/>
        <w:jc w:val="left"/>
        <w:rPr>
          <w:rFonts w:ascii="宋体" w:hAnsi="宋体" w:cs="宋体" w:eastAsia="宋体" w:hint="default"/>
          <w:sz w:val="21"/>
          <w:szCs w:val="21"/>
        </w:rPr>
        <w:sectPr>
          <w:type w:val="continuous"/>
          <w:pgSz w:w="11910" w:h="16840"/>
          <w:pgMar w:top="1120" w:bottom="1380" w:left="14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710"/>
        <w:gridCol w:w="569"/>
        <w:gridCol w:w="1700"/>
        <w:gridCol w:w="854"/>
        <w:gridCol w:w="578"/>
        <w:gridCol w:w="843"/>
        <w:gridCol w:w="984"/>
        <w:gridCol w:w="1702"/>
        <w:gridCol w:w="1277"/>
      </w:tblGrid>
      <w:tr>
        <w:trPr>
          <w:trHeight w:val="137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6" w:right="0"/>
              <w:jc w:val="left"/>
              <w:rPr>
                <w:rFonts w:ascii="宋体" w:hAnsi="宋体" w:cs="宋体" w:eastAsia="宋体" w:hint="default"/>
                <w:sz w:val="21"/>
                <w:szCs w:val="21"/>
              </w:rPr>
            </w:pPr>
            <w:r>
              <w:rPr>
                <w:rFonts w:ascii="宋体" w:hAnsi="宋体" w:cs="宋体" w:eastAsia="宋体" w:hint="default"/>
                <w:sz w:val="21"/>
                <w:szCs w:val="21"/>
              </w:rPr>
              <w:t>瑞德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68"/>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定以工</w:t>
            </w:r>
          </w:p>
          <w:p>
            <w:pPr>
              <w:pStyle w:val="TableParagraph"/>
              <w:spacing w:line="237" w:lineRule="auto"/>
              <w:ind w:left="103" w:right="235"/>
              <w:jc w:val="both"/>
              <w:rPr>
                <w:rFonts w:ascii="宋体" w:hAnsi="宋体" w:cs="宋体" w:eastAsia="宋体" w:hint="default"/>
                <w:sz w:val="21"/>
                <w:szCs w:val="21"/>
              </w:rPr>
            </w:pPr>
            <w:r>
              <w:rPr>
                <w:rFonts w:ascii="宋体" w:hAnsi="宋体" w:cs="宋体" w:eastAsia="宋体" w:hint="default"/>
                <w:sz w:val="21"/>
                <w:szCs w:val="21"/>
              </w:rPr>
              <w:t>商变更</w:t>
            </w:r>
            <w:r>
              <w:rPr>
                <w:rFonts w:ascii="宋体" w:hAnsi="宋体" w:cs="宋体" w:eastAsia="宋体" w:hint="default"/>
                <w:spacing w:val="-102"/>
                <w:sz w:val="21"/>
                <w:szCs w:val="21"/>
              </w:rPr>
              <w:t> </w:t>
            </w:r>
            <w:r>
              <w:rPr>
                <w:rFonts w:ascii="宋体" w:hAnsi="宋体" w:cs="宋体" w:eastAsia="宋体" w:hint="default"/>
                <w:sz w:val="21"/>
                <w:szCs w:val="21"/>
              </w:rPr>
              <w:t>时点作</w:t>
            </w:r>
            <w:r>
              <w:rPr>
                <w:rFonts w:ascii="宋体" w:hAnsi="宋体" w:cs="宋体" w:eastAsia="宋体" w:hint="default"/>
                <w:spacing w:val="-102"/>
                <w:sz w:val="21"/>
                <w:szCs w:val="21"/>
              </w:rPr>
              <w:t> </w:t>
            </w:r>
            <w:r>
              <w:rPr>
                <w:rFonts w:ascii="宋体" w:hAnsi="宋体" w:cs="宋体" w:eastAsia="宋体" w:hint="default"/>
                <w:sz w:val="21"/>
                <w:szCs w:val="21"/>
              </w:rPr>
              <w:t>为购买</w:t>
            </w:r>
            <w:r>
              <w:rPr>
                <w:rFonts w:ascii="宋体" w:hAnsi="宋体" w:cs="宋体" w:eastAsia="宋体" w:hint="default"/>
                <w:spacing w:val="-102"/>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398" w:right="0"/>
        <w:jc w:val="left"/>
      </w:pPr>
      <w:r>
        <w:rPr/>
        <w:t>其他说明：截至本财务报告批准报出日，本公司已实缴增资</w:t>
      </w:r>
      <w:r>
        <w:rPr>
          <w:spacing w:val="-53"/>
        </w:rPr>
        <w:t> </w:t>
      </w:r>
      <w:r>
        <w:rPr>
          <w:rFonts w:ascii="宋体" w:hAnsi="宋体" w:cs="宋体" w:eastAsia="宋体" w:hint="default"/>
        </w:rPr>
        <w:t>3,000,000.00</w:t>
      </w:r>
      <w:r>
        <w:rPr>
          <w:rFonts w:ascii="宋体" w:hAnsi="宋体" w:cs="宋体" w:eastAsia="宋体" w:hint="default"/>
          <w:spacing w:val="-56"/>
        </w:rPr>
        <w:t> </w:t>
      </w:r>
      <w:r>
        <w:rPr>
          <w:spacing w:val="-3"/>
        </w:rPr>
        <w:t>元。</w:t>
      </w:r>
      <w:r>
        <w:rPr/>
      </w:r>
    </w:p>
    <w:p>
      <w:pPr>
        <w:pStyle w:val="Heading3"/>
        <w:tabs>
          <w:tab w:pos="1055" w:val="left" w:leader="none"/>
        </w:tabs>
        <w:spacing w:line="240" w:lineRule="auto" w:before="58"/>
        <w:ind w:left="398" w:right="0"/>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6"/>
        <w:ind w:left="398" w:right="0"/>
        <w:jc w:val="left"/>
      </w:pPr>
      <w:r>
        <w:rPr/>
        <w:t>√适用</w:t>
      </w:r>
      <w:r>
        <w:rPr>
          <w:spacing w:val="-1"/>
        </w:rPr>
        <w:t> </w:t>
      </w:r>
      <w:r>
        <w:rPr/>
        <w:t>□不适用</w:t>
      </w:r>
    </w:p>
    <w:p>
      <w:pPr>
        <w:pStyle w:val="BodyText"/>
        <w:tabs>
          <w:tab w:pos="1157" w:val="left" w:leader="none"/>
        </w:tabs>
        <w:spacing w:line="274" w:lineRule="exact"/>
        <w:ind w:left="0" w:right="2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39" w:type="dxa"/>
        <w:tblLayout w:type="fixed"/>
        <w:tblCellMar>
          <w:top w:w="0" w:type="dxa"/>
          <w:left w:w="0" w:type="dxa"/>
          <w:bottom w:w="0" w:type="dxa"/>
          <w:right w:w="0" w:type="dxa"/>
        </w:tblCellMar>
        <w:tblLook w:val="01E0"/>
      </w:tblPr>
      <w:tblGrid>
        <w:gridCol w:w="6534"/>
        <w:gridCol w:w="2607"/>
      </w:tblGrid>
      <w:tr>
        <w:trPr>
          <w:trHeight w:val="408" w:hRule="exact"/>
        </w:trPr>
        <w:tc>
          <w:tcPr>
            <w:tcW w:w="6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江苏瑞德</w:t>
            </w:r>
          </w:p>
        </w:tc>
      </w:tr>
      <w:tr>
        <w:trPr>
          <w:trHeight w:val="406" w:hRule="exact"/>
        </w:trPr>
        <w:tc>
          <w:tcPr>
            <w:tcW w:w="6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13,000,000.00</w:t>
            </w:r>
          </w:p>
        </w:tc>
      </w:tr>
      <w:tr>
        <w:trPr>
          <w:trHeight w:val="408" w:hRule="exact"/>
        </w:trPr>
        <w:tc>
          <w:tcPr>
            <w:tcW w:w="6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607"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6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13,000,000.00</w:t>
            </w:r>
          </w:p>
        </w:tc>
      </w:tr>
      <w:tr>
        <w:trPr>
          <w:trHeight w:val="408" w:hRule="exact"/>
        </w:trPr>
        <w:tc>
          <w:tcPr>
            <w:tcW w:w="6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12,055,707.34</w:t>
            </w:r>
          </w:p>
        </w:tc>
      </w:tr>
      <w:tr>
        <w:trPr>
          <w:trHeight w:val="408" w:hRule="exact"/>
        </w:trPr>
        <w:tc>
          <w:tcPr>
            <w:tcW w:w="6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944,292.66</w:t>
            </w:r>
          </w:p>
        </w:tc>
      </w:tr>
    </w:tbl>
    <w:p>
      <w:pPr>
        <w:pStyle w:val="BodyText"/>
        <w:spacing w:line="239" w:lineRule="exact"/>
        <w:ind w:left="398" w:right="0"/>
        <w:jc w:val="left"/>
      </w:pPr>
      <w:r>
        <w:rPr/>
        <w:t>合并成本公允价值的确定方法、或有对价及其变动的说明：被合并净资产公允价值以经江苏华信</w:t>
      </w:r>
    </w:p>
    <w:p>
      <w:pPr>
        <w:pStyle w:val="BodyText"/>
        <w:spacing w:line="240" w:lineRule="auto"/>
        <w:ind w:left="398" w:right="1115"/>
        <w:jc w:val="left"/>
      </w:pPr>
      <w:r>
        <w:rPr/>
        <w:t>资产评估有限公司按资产基础法确定的估值结果确定（苏华评报字</w:t>
      </w:r>
      <w:r>
        <w:rPr>
          <w:rFonts w:ascii="宋体" w:hAnsi="宋体" w:cs="宋体" w:eastAsia="宋体" w:hint="default"/>
        </w:rPr>
        <w:t>[2017]</w:t>
      </w:r>
      <w:r>
        <w:rPr/>
        <w:t>第</w:t>
      </w:r>
      <w:r>
        <w:rPr>
          <w:spacing w:val="-57"/>
        </w:rPr>
        <w:t> </w:t>
      </w:r>
      <w:r>
        <w:rPr>
          <w:rFonts w:ascii="宋体" w:hAnsi="宋体" w:cs="宋体" w:eastAsia="宋体" w:hint="default"/>
        </w:rPr>
        <w:t>212</w:t>
      </w:r>
      <w:r>
        <w:rPr>
          <w:rFonts w:ascii="宋体" w:hAnsi="宋体" w:cs="宋体" w:eastAsia="宋体" w:hint="default"/>
          <w:spacing w:val="-55"/>
        </w:rPr>
        <w:t> </w:t>
      </w:r>
      <w:r>
        <w:rPr/>
        <w:t>号）。</w:t>
      </w:r>
      <w:r>
        <w:rPr>
          <w:w w:val="100"/>
        </w:rPr>
        <w:t> </w:t>
      </w:r>
      <w:r>
        <w:rPr/>
        <w:t>大额商誉形成的主要原因：不适用</w:t>
      </w:r>
    </w:p>
    <w:p>
      <w:pPr>
        <w:pStyle w:val="BodyText"/>
        <w:spacing w:line="240" w:lineRule="auto" w:before="56"/>
        <w:ind w:left="398" w:right="0"/>
        <w:jc w:val="left"/>
      </w:pPr>
      <w:r>
        <w:rPr/>
        <w:t>其他说明：无</w:t>
      </w:r>
    </w:p>
    <w:p>
      <w:pPr>
        <w:pStyle w:val="Heading3"/>
        <w:tabs>
          <w:tab w:pos="1055" w:val="left" w:leader="none"/>
        </w:tabs>
        <w:spacing w:line="240" w:lineRule="auto" w:before="58"/>
        <w:ind w:left="398" w:right="0"/>
        <w:jc w:val="left"/>
        <w:rPr>
          <w:b w:val="0"/>
          <w:bCs w:val="0"/>
        </w:rPr>
      </w:pPr>
      <w:r>
        <w:rPr>
          <w:rFonts w:ascii="宋体" w:hAnsi="宋体" w:cs="宋体" w:eastAsia="宋体" w:hint="default"/>
          <w:w w:val="95"/>
        </w:rPr>
        <w:t>(3).</w:t>
        <w:tab/>
      </w:r>
      <w:r>
        <w:rPr/>
        <w:t>被购买方于购买日可辨认资产、负债</w:t>
      </w:r>
      <w:r>
        <w:rPr>
          <w:b w:val="0"/>
          <w:bCs w:val="0"/>
        </w:rPr>
      </w:r>
    </w:p>
    <w:p>
      <w:pPr>
        <w:pStyle w:val="BodyText"/>
        <w:tabs>
          <w:tab w:pos="1240" w:val="left" w:leader="none"/>
        </w:tabs>
        <w:spacing w:line="240" w:lineRule="auto" w:before="56"/>
        <w:ind w:left="398" w:right="0"/>
        <w:jc w:val="left"/>
      </w:pPr>
      <w:r>
        <w:rPr/>
        <w:t>√适用</w:t>
        <w:tab/>
        <w:t>□不适用</w:t>
      </w:r>
    </w:p>
    <w:p>
      <w:pPr>
        <w:pStyle w:val="BodyText"/>
        <w:tabs>
          <w:tab w:pos="1157" w:val="left" w:leader="none"/>
        </w:tabs>
        <w:spacing w:line="274" w:lineRule="exact"/>
        <w:ind w:left="0" w:right="2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235"/>
        <w:gridCol w:w="3545"/>
        <w:gridCol w:w="3269"/>
      </w:tblGrid>
      <w:tr>
        <w:trPr>
          <w:trHeight w:val="28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8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江苏瑞德</w:t>
            </w:r>
          </w:p>
        </w:tc>
      </w:tr>
      <w:tr>
        <w:trPr>
          <w:trHeight w:val="290" w:hRule="exact"/>
        </w:trPr>
        <w:tc>
          <w:tcPr>
            <w:tcW w:w="2235" w:type="dxa"/>
            <w:vMerge/>
            <w:tcBorders>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1"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2"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38,651,924.45</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23,974,423.35</w:t>
            </w:r>
          </w:p>
        </w:tc>
      </w:tr>
      <w:tr>
        <w:trPr>
          <w:trHeight w:val="32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545" w:type="dxa"/>
            <w:tcBorders>
              <w:top w:val="single" w:sz="4" w:space="0" w:color="000000"/>
              <w:left w:val="single" w:sz="4" w:space="0" w:color="000000"/>
              <w:bottom w:val="single" w:sz="4" w:space="0" w:color="000000"/>
              <w:right w:val="single" w:sz="4" w:space="0" w:color="000000"/>
            </w:tcBorders>
          </w:tcPr>
          <w:p>
            <w:pPr/>
          </w:p>
        </w:tc>
        <w:tc>
          <w:tcPr>
            <w:tcW w:w="3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36,159,459.26</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23,159,459.26</w:t>
            </w:r>
          </w:p>
        </w:tc>
      </w:tr>
      <w:tr>
        <w:trPr>
          <w:trHeight w:val="32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1,206,555.19</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794,864.56</w:t>
            </w:r>
          </w:p>
        </w:tc>
      </w:tr>
      <w:tr>
        <w:trPr>
          <w:trHeight w:val="32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1,285,910.00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20,099.53</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
        </w:tc>
        <w:tc>
          <w:tcPr>
            <w:tcW w:w="32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4,596,217.11</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4,596,217.11</w:t>
            </w:r>
          </w:p>
        </w:tc>
      </w:tr>
      <w:tr>
        <w:trPr>
          <w:trHeight w:val="32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545" w:type="dxa"/>
            <w:tcBorders>
              <w:top w:val="single" w:sz="4" w:space="0" w:color="000000"/>
              <w:left w:val="single" w:sz="4" w:space="0" w:color="000000"/>
              <w:bottom w:val="single" w:sz="4" w:space="0" w:color="000000"/>
              <w:right w:val="single" w:sz="4" w:space="0" w:color="000000"/>
            </w:tcBorders>
          </w:tcPr>
          <w:p>
            <w:pPr/>
          </w:p>
        </w:tc>
        <w:tc>
          <w:tcPr>
            <w:tcW w:w="3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4,596,217.11</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4,596,217.11</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3545" w:type="dxa"/>
            <w:tcBorders>
              <w:top w:val="single" w:sz="4" w:space="0" w:color="000000"/>
              <w:left w:val="single" w:sz="4" w:space="0" w:color="000000"/>
              <w:bottom w:val="single" w:sz="4" w:space="0" w:color="000000"/>
              <w:right w:val="single" w:sz="4" w:space="0" w:color="000000"/>
            </w:tcBorders>
          </w:tcPr>
          <w:p>
            <w:pPr/>
          </w:p>
        </w:tc>
        <w:tc>
          <w:tcPr>
            <w:tcW w:w="3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34,055,707.34</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19,378,206.24</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22,000,000.00</w:t>
            </w:r>
          </w:p>
        </w:tc>
        <w:tc>
          <w:tcPr>
            <w:tcW w:w="3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12,055,707.34</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19,378,206.24</w:t>
            </w:r>
          </w:p>
        </w:tc>
      </w:tr>
    </w:tbl>
    <w:p>
      <w:pPr>
        <w:pStyle w:val="BodyText"/>
        <w:spacing w:line="290" w:lineRule="auto" w:before="26"/>
        <w:ind w:left="818" w:right="0" w:hanging="420"/>
        <w:jc w:val="left"/>
      </w:pPr>
      <w:r>
        <w:rPr/>
        <w:t>可辨认资产、负债公允价值的确定方法：</w:t>
      </w:r>
      <w:r>
        <w:rPr>
          <w:w w:val="100"/>
        </w:rPr>
        <w:t> </w:t>
      </w:r>
      <w:r>
        <w:rPr>
          <w:spacing w:val="-2"/>
        </w:rPr>
        <w:t>被合并净资产公允价值以经江苏华信资产评估有限公司按资产基础法确定的估值结果确定</w:t>
      </w:r>
    </w:p>
    <w:p>
      <w:pPr>
        <w:pStyle w:val="BodyText"/>
        <w:spacing w:line="240" w:lineRule="auto" w:before="89"/>
        <w:ind w:left="398" w:right="0"/>
        <w:jc w:val="left"/>
      </w:pPr>
      <w:r>
        <w:rPr/>
        <w:t>（苏华评报字</w:t>
      </w:r>
      <w:r>
        <w:rPr>
          <w:rFonts w:ascii="宋体" w:hAnsi="宋体" w:cs="宋体" w:eastAsia="宋体" w:hint="default"/>
        </w:rPr>
        <w:t>[2017]</w:t>
      </w:r>
      <w:r>
        <w:rPr/>
        <w:t>第</w:t>
      </w:r>
      <w:r>
        <w:rPr>
          <w:spacing w:val="-55"/>
        </w:rPr>
        <w:t> </w:t>
      </w:r>
      <w:r>
        <w:rPr>
          <w:rFonts w:ascii="宋体" w:hAnsi="宋体" w:cs="宋体" w:eastAsia="宋体" w:hint="default"/>
        </w:rPr>
        <w:t>212</w:t>
      </w:r>
      <w:r>
        <w:rPr>
          <w:rFonts w:ascii="宋体" w:hAnsi="宋体" w:cs="宋体" w:eastAsia="宋体" w:hint="default"/>
          <w:spacing w:val="-56"/>
        </w:rPr>
        <w:t> </w:t>
      </w:r>
      <w:r>
        <w:rPr/>
        <w:t>号）。</w:t>
      </w:r>
    </w:p>
    <w:p>
      <w:pPr>
        <w:spacing w:line="240" w:lineRule="auto" w:before="10"/>
        <w:rPr>
          <w:rFonts w:ascii="宋体" w:hAnsi="宋体" w:cs="宋体" w:eastAsia="宋体" w:hint="default"/>
          <w:sz w:val="14"/>
          <w:szCs w:val="14"/>
        </w:rPr>
      </w:pPr>
    </w:p>
    <w:p>
      <w:pPr>
        <w:pStyle w:val="BodyText"/>
        <w:spacing w:line="292" w:lineRule="auto"/>
        <w:ind w:left="398" w:right="5174"/>
        <w:jc w:val="left"/>
      </w:pPr>
      <w:r>
        <w:rPr>
          <w:spacing w:val="-2"/>
        </w:rPr>
        <w:t>企业合并中承担的被购买方的或有负债：</w:t>
      </w:r>
      <w:r>
        <w:rPr>
          <w:spacing w:val="-69"/>
        </w:rPr>
        <w:t> </w:t>
      </w:r>
      <w:r>
        <w:rPr>
          <w:spacing w:val="-69"/>
        </w:rPr>
      </w:r>
      <w:r>
        <w:rPr/>
        <w:t>无</w:t>
      </w:r>
    </w:p>
    <w:p>
      <w:pPr>
        <w:pStyle w:val="BodyText"/>
        <w:spacing w:line="240" w:lineRule="auto" w:before="10"/>
        <w:ind w:left="398" w:right="0"/>
        <w:jc w:val="left"/>
      </w:pPr>
      <w:r>
        <w:rPr/>
        <w:t>其他说明：</w:t>
      </w:r>
    </w:p>
    <w:p>
      <w:pPr>
        <w:spacing w:after="0" w:line="240" w:lineRule="auto"/>
        <w:jc w:val="left"/>
        <w:sectPr>
          <w:pgSz w:w="11910" w:h="16840"/>
          <w:pgMar w:header="0" w:footer="1195" w:top="1120" w:bottom="1380" w:left="1400" w:right="1000"/>
        </w:sectPr>
      </w:pPr>
    </w:p>
    <w:p>
      <w:pPr>
        <w:spacing w:line="240" w:lineRule="auto" w:before="1"/>
        <w:rPr>
          <w:rFonts w:ascii="宋体" w:hAnsi="宋体" w:cs="宋体" w:eastAsia="宋体" w:hint="default"/>
          <w:sz w:val="25"/>
          <w:szCs w:val="25"/>
        </w:rPr>
      </w:pPr>
    </w:p>
    <w:p>
      <w:pPr>
        <w:pStyle w:val="BodyText"/>
        <w:spacing w:line="240" w:lineRule="auto" w:before="36"/>
        <w:ind w:right="125"/>
        <w:jc w:val="left"/>
      </w:pPr>
      <w:r>
        <w:rPr>
          <w:w w:val="100"/>
        </w:rPr>
        <w:t>无</w:t>
      </w:r>
    </w:p>
    <w:p>
      <w:pPr>
        <w:spacing w:line="240" w:lineRule="auto" w:before="3"/>
        <w:rPr>
          <w:rFonts w:ascii="宋体" w:hAnsi="宋体" w:cs="宋体" w:eastAsia="宋体" w:hint="default"/>
          <w:sz w:val="25"/>
          <w:szCs w:val="25"/>
        </w:rPr>
      </w:pPr>
    </w:p>
    <w:p>
      <w:pPr>
        <w:tabs>
          <w:tab w:pos="795" w:val="left" w:leader="none"/>
        </w:tabs>
        <w:spacing w:line="290" w:lineRule="auto" w:before="0"/>
        <w:ind w:left="138" w:right="22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7" w:lineRule="exact"/>
        <w:ind w:right="125"/>
        <w:jc w:val="left"/>
      </w:pPr>
      <w:r>
        <w:rPr/>
        <w:t>□适用</w:t>
      </w:r>
      <w:r>
        <w:rPr>
          <w:spacing w:val="-1"/>
        </w:rPr>
        <w:t> </w:t>
      </w:r>
      <w:r>
        <w:rPr/>
        <w:t>√不适用</w:t>
      </w:r>
    </w:p>
    <w:p>
      <w:pPr>
        <w:pStyle w:val="Heading3"/>
        <w:tabs>
          <w:tab w:pos="795" w:val="left" w:leader="none"/>
        </w:tabs>
        <w:spacing w:line="272" w:lineRule="exact" w:before="86"/>
        <w:ind w:left="138" w:right="1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tabs>
          <w:tab w:pos="795" w:val="left" w:leader="none"/>
          <w:tab w:pos="980" w:val="left" w:leader="none"/>
        </w:tabs>
        <w:spacing w:line="290" w:lineRule="auto" w:before="34"/>
        <w:ind w:left="138" w:right="725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(6).</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980" w:val="left" w:leader="none"/>
        </w:tabs>
        <w:spacing w:line="240" w:lineRule="auto" w:before="14"/>
        <w:ind w:right="125"/>
        <w:jc w:val="left"/>
      </w:pPr>
      <w:r>
        <w:rPr>
          <w:spacing w:val="-1"/>
        </w:rPr>
        <w:t>□适用</w:t>
        <w:tab/>
      </w:r>
      <w:r>
        <w:rPr>
          <w:spacing w:val="-2"/>
        </w:rPr>
        <w:t>√不适用</w:t>
      </w:r>
    </w:p>
    <w:p>
      <w:pPr>
        <w:pStyle w:val="Heading3"/>
        <w:spacing w:line="240" w:lineRule="auto" w:before="56"/>
        <w:ind w:left="138" w:right="125"/>
        <w:jc w:val="left"/>
        <w:rPr>
          <w:b w:val="0"/>
          <w:bCs w:val="0"/>
        </w:rPr>
      </w:pPr>
      <w:r>
        <w:rPr>
          <w:rFonts w:ascii="宋体" w:hAnsi="宋体" w:cs="宋体" w:eastAsia="宋体" w:hint="default"/>
        </w:rPr>
        <w:t>2</w:t>
      </w:r>
      <w:r>
        <w:rPr/>
        <w:t>、 同一控制下企业合并</w:t>
      </w:r>
      <w:r>
        <w:rPr>
          <w:b w:val="0"/>
          <w:bCs w:val="0"/>
        </w:rPr>
      </w:r>
    </w:p>
    <w:p>
      <w:pPr>
        <w:spacing w:line="290" w:lineRule="auto" w:before="59"/>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240" w:lineRule="auto" w:before="14"/>
        <w:ind w:right="125"/>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800" w:right="280"/>
        </w:sectPr>
      </w:pPr>
    </w:p>
    <w:p>
      <w:pPr>
        <w:spacing w:line="290" w:lineRule="auto" w:before="175"/>
        <w:ind w:left="99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30" w:lineRule="exact"/>
        <w:ind w:left="9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2049" w:val="left" w:leader="none"/>
        </w:tabs>
        <w:spacing w:line="240" w:lineRule="auto"/>
        <w:ind w:left="9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00" w:right="280"/>
          <w:cols w:num="2" w:equalWidth="0">
            <w:col w:w="5833" w:space="795"/>
            <w:col w:w="4202"/>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59"/>
        <w:gridCol w:w="427"/>
        <w:gridCol w:w="538"/>
        <w:gridCol w:w="377"/>
        <w:gridCol w:w="1008"/>
        <w:gridCol w:w="958"/>
        <w:gridCol w:w="929"/>
        <w:gridCol w:w="547"/>
        <w:gridCol w:w="1272"/>
        <w:gridCol w:w="1270"/>
        <w:gridCol w:w="1273"/>
        <w:gridCol w:w="737"/>
        <w:gridCol w:w="797"/>
      </w:tblGrid>
      <w:tr>
        <w:trPr>
          <w:trHeight w:val="2461"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4" w:right="1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103"/>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52" w:right="50"/>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6" w:right="77"/>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79" w:right="74"/>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52" w:right="51"/>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权时点的</w:t>
            </w:r>
            <w:r>
              <w:rPr>
                <w:rFonts w:ascii="宋体" w:hAnsi="宋体" w:cs="宋体" w:eastAsia="宋体" w:hint="default"/>
                <w:w w:val="100"/>
                <w:sz w:val="21"/>
                <w:szCs w:val="21"/>
              </w:rPr>
              <w:t> </w:t>
            </w:r>
            <w:r>
              <w:rPr>
                <w:rFonts w:ascii="宋体" w:hAnsi="宋体" w:cs="宋体" w:eastAsia="宋体" w:hint="default"/>
                <w:sz w:val="21"/>
                <w:szCs w:val="21"/>
              </w:rPr>
              <w:t>确定依据</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处置价款</w:t>
            </w:r>
          </w:p>
          <w:p>
            <w:pPr>
              <w:pStyle w:val="TableParagraph"/>
              <w:spacing w:line="237" w:lineRule="auto"/>
              <w:ind w:left="38" w:right="36"/>
              <w:jc w:val="center"/>
              <w:rPr>
                <w:rFonts w:ascii="宋体" w:hAnsi="宋体" w:cs="宋体" w:eastAsia="宋体" w:hint="default"/>
                <w:sz w:val="21"/>
                <w:szCs w:val="21"/>
              </w:rPr>
            </w:pPr>
            <w:r>
              <w:rPr>
                <w:rFonts w:ascii="宋体" w:hAnsi="宋体" w:cs="宋体" w:eastAsia="宋体" w:hint="default"/>
                <w:sz w:val="21"/>
                <w:szCs w:val="21"/>
              </w:rPr>
              <w:t>与处置投</w:t>
            </w:r>
            <w:r>
              <w:rPr>
                <w:rFonts w:ascii="宋体" w:hAnsi="宋体" w:cs="宋体" w:eastAsia="宋体" w:hint="default"/>
                <w:w w:val="100"/>
                <w:sz w:val="21"/>
                <w:szCs w:val="21"/>
              </w:rPr>
              <w:t> </w:t>
            </w:r>
            <w:r>
              <w:rPr>
                <w:rFonts w:ascii="宋体" w:hAnsi="宋体" w:cs="宋体" w:eastAsia="宋体" w:hint="default"/>
                <w:sz w:val="21"/>
                <w:szCs w:val="21"/>
              </w:rPr>
              <w:t>资对应的</w:t>
            </w:r>
            <w:r>
              <w:rPr>
                <w:rFonts w:ascii="宋体" w:hAnsi="宋体" w:cs="宋体" w:eastAsia="宋体" w:hint="default"/>
                <w:w w:val="100"/>
                <w:sz w:val="21"/>
                <w:szCs w:val="21"/>
              </w:rPr>
              <w:t> </w:t>
            </w:r>
            <w:r>
              <w:rPr>
                <w:rFonts w:ascii="宋体" w:hAnsi="宋体" w:cs="宋体" w:eastAsia="宋体" w:hint="default"/>
                <w:sz w:val="21"/>
                <w:szCs w:val="21"/>
              </w:rPr>
              <w:t>合并财务</w:t>
            </w:r>
            <w:r>
              <w:rPr>
                <w:rFonts w:ascii="宋体" w:hAnsi="宋体" w:cs="宋体" w:eastAsia="宋体" w:hint="default"/>
                <w:w w:val="100"/>
                <w:sz w:val="21"/>
                <w:szCs w:val="21"/>
              </w:rPr>
              <w:t> </w:t>
            </w:r>
            <w:r>
              <w:rPr>
                <w:rFonts w:ascii="宋体" w:hAnsi="宋体" w:cs="宋体" w:eastAsia="宋体" w:hint="default"/>
                <w:sz w:val="21"/>
                <w:szCs w:val="21"/>
              </w:rPr>
              <w:t>报表层面</w:t>
            </w:r>
            <w:r>
              <w:rPr>
                <w:rFonts w:ascii="宋体" w:hAnsi="宋体" w:cs="宋体" w:eastAsia="宋体" w:hint="default"/>
                <w:w w:val="100"/>
                <w:sz w:val="21"/>
                <w:szCs w:val="21"/>
              </w:rPr>
              <w:t> </w:t>
            </w:r>
            <w:r>
              <w:rPr>
                <w:rFonts w:ascii="宋体" w:hAnsi="宋体" w:cs="宋体" w:eastAsia="宋体" w:hint="default"/>
                <w:sz w:val="21"/>
                <w:szCs w:val="21"/>
              </w:rPr>
              <w:t>享有该子</w:t>
            </w:r>
            <w:r>
              <w:rPr>
                <w:rFonts w:ascii="宋体" w:hAnsi="宋体" w:cs="宋体" w:eastAsia="宋体" w:hint="default"/>
                <w:w w:val="100"/>
                <w:sz w:val="21"/>
                <w:szCs w:val="21"/>
              </w:rPr>
              <w:t> </w:t>
            </w:r>
            <w:r>
              <w:rPr>
                <w:rFonts w:ascii="宋体" w:hAnsi="宋体" w:cs="宋体" w:eastAsia="宋体" w:hint="default"/>
                <w:sz w:val="21"/>
                <w:szCs w:val="21"/>
              </w:rPr>
              <w:t>公司净资</w:t>
            </w:r>
            <w:r>
              <w:rPr>
                <w:rFonts w:ascii="宋体" w:hAnsi="宋体" w:cs="宋体" w:eastAsia="宋体" w:hint="default"/>
                <w:w w:val="100"/>
                <w:sz w:val="21"/>
                <w:szCs w:val="21"/>
              </w:rPr>
              <w:t> </w:t>
            </w:r>
            <w:r>
              <w:rPr>
                <w:rFonts w:ascii="宋体" w:hAnsi="宋体" w:cs="宋体" w:eastAsia="宋体" w:hint="default"/>
                <w:sz w:val="21"/>
                <w:szCs w:val="21"/>
              </w:rPr>
              <w:t>产份额的</w:t>
            </w:r>
            <w:r>
              <w:rPr>
                <w:rFonts w:ascii="宋体" w:hAnsi="宋体" w:cs="宋体" w:eastAsia="宋体" w:hint="default"/>
                <w:w w:val="100"/>
                <w:sz w:val="21"/>
                <w:szCs w:val="21"/>
              </w:rPr>
              <w:t> </w:t>
            </w:r>
            <w:r>
              <w:rPr>
                <w:rFonts w:ascii="宋体" w:hAnsi="宋体" w:cs="宋体" w:eastAsia="宋体" w:hint="default"/>
                <w:sz w:val="21"/>
                <w:szCs w:val="21"/>
              </w:rPr>
              <w:t>差额</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7" w:right="55"/>
              <w:jc w:val="both"/>
              <w:rPr>
                <w:rFonts w:ascii="宋体" w:hAnsi="宋体" w:cs="宋体" w:eastAsia="宋体" w:hint="default"/>
                <w:sz w:val="21"/>
                <w:szCs w:val="21"/>
              </w:rPr>
            </w:pPr>
            <w:r>
              <w:rPr>
                <w:rFonts w:ascii="宋体" w:hAnsi="宋体" w:cs="宋体" w:eastAsia="宋体" w:hint="default"/>
                <w:sz w:val="21"/>
                <w:szCs w:val="21"/>
              </w:rPr>
              <w:t>丧失</w:t>
            </w:r>
            <w:r>
              <w:rPr>
                <w:rFonts w:ascii="宋体" w:hAnsi="宋体" w:cs="宋体" w:eastAsia="宋体" w:hint="default"/>
                <w:spacing w:val="-103"/>
                <w:sz w:val="21"/>
                <w:szCs w:val="21"/>
              </w:rPr>
              <w:t> </w:t>
            </w: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权之</w:t>
            </w:r>
            <w:r>
              <w:rPr>
                <w:rFonts w:ascii="宋体" w:hAnsi="宋体" w:cs="宋体" w:eastAsia="宋体" w:hint="default"/>
                <w:spacing w:val="-103"/>
                <w:sz w:val="21"/>
                <w:szCs w:val="21"/>
              </w:rPr>
              <w:t> </w:t>
            </w:r>
            <w:r>
              <w:rPr>
                <w:rFonts w:ascii="宋体" w:hAnsi="宋体" w:cs="宋体" w:eastAsia="宋体" w:hint="default"/>
                <w:sz w:val="21"/>
                <w:szCs w:val="21"/>
              </w:rPr>
              <w:t>日剩</w:t>
            </w:r>
            <w:r>
              <w:rPr>
                <w:rFonts w:ascii="宋体" w:hAnsi="宋体" w:cs="宋体" w:eastAsia="宋体" w:hint="default"/>
                <w:spacing w:val="-103"/>
                <w:sz w:val="21"/>
                <w:szCs w:val="21"/>
              </w:rPr>
              <w:t> </w:t>
            </w:r>
            <w:r>
              <w:rPr>
                <w:rFonts w:ascii="宋体" w:hAnsi="宋体" w:cs="宋体" w:eastAsia="宋体" w:hint="default"/>
                <w:sz w:val="21"/>
                <w:szCs w:val="21"/>
              </w:rPr>
              <w:t>余股</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left="4"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 w:right="0"/>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日剩余股权的</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3" w:right="-1"/>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日剩余股权的</w:t>
            </w:r>
            <w:r>
              <w:rPr>
                <w:rFonts w:ascii="宋体" w:hAnsi="宋体" w:cs="宋体" w:eastAsia="宋体" w:hint="default"/>
                <w:w w:val="100"/>
                <w:sz w:val="21"/>
                <w:szCs w:val="21"/>
              </w:rPr>
              <w:t> </w:t>
            </w:r>
            <w:r>
              <w:rPr>
                <w:rFonts w:ascii="宋体" w:hAnsi="宋体" w:cs="宋体" w:eastAsia="宋体" w:hint="default"/>
                <w:sz w:val="21"/>
                <w:szCs w:val="21"/>
              </w:rPr>
              <w:t>公允价值</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 w:right="0"/>
              <w:jc w:val="center"/>
              <w:rPr>
                <w:rFonts w:ascii="宋体" w:hAnsi="宋体" w:cs="宋体" w:eastAsia="宋体" w:hint="default"/>
                <w:sz w:val="21"/>
                <w:szCs w:val="21"/>
              </w:rPr>
            </w:pPr>
            <w:r>
              <w:rPr>
                <w:rFonts w:ascii="宋体" w:hAnsi="宋体" w:cs="宋体" w:eastAsia="宋体" w:hint="default"/>
                <w:spacing w:val="-1"/>
                <w:sz w:val="21"/>
                <w:szCs w:val="21"/>
              </w:rPr>
              <w:t>按照公允价值</w:t>
            </w:r>
            <w:r>
              <w:rPr>
                <w:rFonts w:ascii="宋体" w:hAnsi="宋体" w:cs="宋体" w:eastAsia="宋体" w:hint="default"/>
                <w:w w:val="100"/>
                <w:sz w:val="21"/>
                <w:szCs w:val="21"/>
              </w:rPr>
              <w:t> </w:t>
            </w:r>
            <w:r>
              <w:rPr>
                <w:rFonts w:ascii="宋体" w:hAnsi="宋体" w:cs="宋体" w:eastAsia="宋体" w:hint="default"/>
                <w:spacing w:val="-1"/>
                <w:sz w:val="21"/>
                <w:szCs w:val="21"/>
              </w:rPr>
              <w:t>重新计量剩余</w:t>
            </w:r>
            <w:r>
              <w:rPr>
                <w:rFonts w:ascii="宋体" w:hAnsi="宋体" w:cs="宋体" w:eastAsia="宋体" w:hint="default"/>
                <w:w w:val="100"/>
                <w:sz w:val="21"/>
                <w:szCs w:val="21"/>
              </w:rPr>
              <w:t> </w:t>
            </w:r>
            <w:r>
              <w:rPr>
                <w:rFonts w:ascii="宋体" w:hAnsi="宋体" w:cs="宋体" w:eastAsia="宋体" w:hint="default"/>
                <w:spacing w:val="-1"/>
                <w:sz w:val="21"/>
                <w:szCs w:val="21"/>
              </w:rPr>
              <w:t>股权产生的利</w:t>
            </w:r>
            <w:r>
              <w:rPr>
                <w:rFonts w:ascii="宋体" w:hAnsi="宋体" w:cs="宋体" w:eastAsia="宋体" w:hint="default"/>
                <w:w w:val="100"/>
                <w:sz w:val="21"/>
                <w:szCs w:val="21"/>
              </w:rPr>
              <w:t> </w:t>
            </w:r>
            <w:r>
              <w:rPr>
                <w:rFonts w:ascii="宋体" w:hAnsi="宋体" w:cs="宋体" w:eastAsia="宋体" w:hint="default"/>
                <w:sz w:val="21"/>
                <w:szCs w:val="21"/>
              </w:rPr>
              <w:t>得或损失</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丧失控</w:t>
            </w:r>
          </w:p>
          <w:p>
            <w:pPr>
              <w:pStyle w:val="TableParagraph"/>
              <w:spacing w:line="237" w:lineRule="auto"/>
              <w:ind w:left="48" w:right="43"/>
              <w:jc w:val="center"/>
              <w:rPr>
                <w:rFonts w:ascii="宋体" w:hAnsi="宋体" w:cs="宋体" w:eastAsia="宋体" w:hint="default"/>
                <w:sz w:val="21"/>
                <w:szCs w:val="21"/>
              </w:rPr>
            </w:pP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的确定</w:t>
            </w:r>
            <w:r>
              <w:rPr>
                <w:rFonts w:ascii="宋体" w:hAnsi="宋体" w:cs="宋体" w:eastAsia="宋体" w:hint="default"/>
                <w:w w:val="100"/>
                <w:sz w:val="21"/>
                <w:szCs w:val="21"/>
              </w:rPr>
              <w:t> </w:t>
            </w:r>
            <w:r>
              <w:rPr>
                <w:rFonts w:ascii="宋体" w:hAnsi="宋体" w:cs="宋体" w:eastAsia="宋体" w:hint="default"/>
                <w:sz w:val="21"/>
                <w:szCs w:val="21"/>
              </w:rPr>
              <w:t>方法及</w:t>
            </w:r>
            <w:r>
              <w:rPr>
                <w:rFonts w:ascii="宋体" w:hAnsi="宋体" w:cs="宋体" w:eastAsia="宋体" w:hint="default"/>
                <w:w w:val="100"/>
                <w:sz w:val="21"/>
                <w:szCs w:val="21"/>
              </w:rPr>
              <w:t> </w:t>
            </w:r>
            <w:r>
              <w:rPr>
                <w:rFonts w:ascii="宋体" w:hAnsi="宋体" w:cs="宋体" w:eastAsia="宋体" w:hint="default"/>
                <w:sz w:val="21"/>
                <w:szCs w:val="21"/>
              </w:rPr>
              <w:t>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ind w:left="76" w:right="75"/>
              <w:jc w:val="both"/>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权投资</w:t>
            </w:r>
            <w:r>
              <w:rPr>
                <w:rFonts w:ascii="宋体" w:hAnsi="宋体" w:cs="宋体" w:eastAsia="宋体" w:hint="default"/>
                <w:spacing w:val="-102"/>
                <w:sz w:val="21"/>
                <w:szCs w:val="21"/>
              </w:rPr>
              <w:t> </w:t>
            </w: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转入投</w:t>
            </w:r>
            <w:r>
              <w:rPr>
                <w:rFonts w:ascii="宋体" w:hAnsi="宋体" w:cs="宋体" w:eastAsia="宋体" w:hint="default"/>
                <w:spacing w:val="-102"/>
                <w:sz w:val="21"/>
                <w:szCs w:val="21"/>
              </w:rPr>
              <w:t> </w:t>
            </w:r>
            <w:r>
              <w:rPr>
                <w:rFonts w:ascii="宋体" w:hAnsi="宋体" w:cs="宋体" w:eastAsia="宋体" w:hint="default"/>
                <w:sz w:val="21"/>
                <w:szCs w:val="21"/>
              </w:rPr>
              <w:t>资损益</w:t>
            </w:r>
            <w:r>
              <w:rPr>
                <w:rFonts w:ascii="宋体" w:hAnsi="宋体" w:cs="宋体" w:eastAsia="宋体" w:hint="default"/>
                <w:spacing w:val="-102"/>
                <w:sz w:val="21"/>
                <w:szCs w:val="21"/>
              </w:rPr>
              <w:t> </w:t>
            </w:r>
            <w:r>
              <w:rPr>
                <w:rFonts w:ascii="宋体" w:hAnsi="宋体" w:cs="宋体" w:eastAsia="宋体" w:hint="default"/>
                <w:sz w:val="21"/>
                <w:szCs w:val="21"/>
              </w:rPr>
              <w:t>的金额</w:t>
            </w:r>
          </w:p>
        </w:tc>
      </w:tr>
      <w:tr>
        <w:trPr>
          <w:trHeight w:val="557" w:hRule="exact"/>
        </w:trPr>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瑞德</w:t>
            </w:r>
          </w:p>
        </w:tc>
        <w:tc>
          <w:tcPr>
            <w:tcW w:w="42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宋体" w:hAnsi="宋体" w:cs="宋体" w:eastAsia="宋体" w:hint="default"/>
                <w:sz w:val="21"/>
                <w:szCs w:val="21"/>
              </w:rPr>
              <w:t>协议约定</w:t>
            </w:r>
          </w:p>
        </w:tc>
        <w:tc>
          <w:tcPr>
            <w:tcW w:w="92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1"/>
              <w:jc w:val="left"/>
              <w:rPr>
                <w:rFonts w:ascii="宋体" w:hAnsi="宋体" w:cs="宋体" w:eastAsia="宋体" w:hint="default"/>
                <w:sz w:val="21"/>
                <w:szCs w:val="21"/>
              </w:rPr>
            </w:pPr>
            <w:r>
              <w:rPr>
                <w:rFonts w:ascii="宋体"/>
                <w:sz w:val="21"/>
              </w:rPr>
              <w:t>37.15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sz w:val="21"/>
              </w:rPr>
              <w:t>3,376,033.88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
              <w:jc w:val="left"/>
              <w:rPr>
                <w:rFonts w:ascii="宋体" w:hAnsi="宋体" w:cs="宋体" w:eastAsia="宋体" w:hint="default"/>
                <w:sz w:val="21"/>
                <w:szCs w:val="21"/>
              </w:rPr>
            </w:pPr>
            <w:r>
              <w:rPr>
                <w:rFonts w:ascii="宋体"/>
                <w:sz w:val="21"/>
              </w:rPr>
              <w:t>5,728,232.65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sz w:val="21"/>
              </w:rPr>
              <w:t>2,352,198.77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收益评</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估法</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998" w:right="0"/>
        <w:jc w:val="left"/>
      </w:pPr>
      <w:r>
        <w:rPr/>
        <w:t>其他说明：</w:t>
      </w:r>
    </w:p>
    <w:p>
      <w:pPr>
        <w:pStyle w:val="BodyText"/>
        <w:spacing w:line="273" w:lineRule="exact"/>
        <w:ind w:left="998" w:right="0"/>
        <w:jc w:val="left"/>
      </w:pPr>
      <w:r>
        <w:rPr/>
        <w:t>√适用</w:t>
      </w:r>
      <w:r>
        <w:rPr>
          <w:spacing w:val="-1"/>
        </w:rPr>
        <w:t> </w:t>
      </w:r>
      <w:r>
        <w:rPr/>
        <w:t>□不适用</w:t>
      </w:r>
    </w:p>
    <w:p>
      <w:pPr>
        <w:pStyle w:val="BodyText"/>
        <w:spacing w:line="350" w:lineRule="auto" w:before="104"/>
        <w:ind w:left="998" w:right="990" w:firstLine="419"/>
        <w:jc w:val="both"/>
      </w:pPr>
      <w:r>
        <w:rPr>
          <w:rFonts w:ascii="宋体" w:hAnsi="宋体" w:cs="宋体" w:eastAsia="宋体" w:hint="default"/>
        </w:rPr>
        <w:t>2016</w:t>
      </w:r>
      <w:r>
        <w:rPr>
          <w:rFonts w:ascii="宋体" w:hAnsi="宋体" w:cs="宋体" w:eastAsia="宋体" w:hint="default"/>
          <w:spacing w:val="-47"/>
        </w:rPr>
        <w:t> </w:t>
      </w:r>
      <w:r>
        <w:rPr/>
        <w:t>年</w:t>
      </w:r>
      <w:r>
        <w:rPr>
          <w:spacing w:val="-44"/>
        </w:rPr>
        <w:t> </w:t>
      </w:r>
      <w:r>
        <w:rPr>
          <w:rFonts w:ascii="宋体" w:hAnsi="宋体" w:cs="宋体" w:eastAsia="宋体" w:hint="default"/>
        </w:rPr>
        <w:t>11</w:t>
      </w:r>
      <w:r>
        <w:rPr>
          <w:rFonts w:ascii="宋体" w:hAnsi="宋体" w:cs="宋体" w:eastAsia="宋体" w:hint="default"/>
          <w:spacing w:val="-47"/>
        </w:rPr>
        <w:t> </w:t>
      </w:r>
      <w:r>
        <w:rPr/>
        <w:t>月</w:t>
      </w:r>
      <w:r>
        <w:rPr>
          <w:spacing w:val="-44"/>
        </w:rPr>
        <w:t> </w:t>
      </w:r>
      <w:r>
        <w:rPr>
          <w:rFonts w:ascii="宋体" w:hAnsi="宋体" w:cs="宋体" w:eastAsia="宋体" w:hint="default"/>
        </w:rPr>
        <w:t>30</w:t>
      </w:r>
      <w:r>
        <w:rPr>
          <w:rFonts w:ascii="宋体" w:hAnsi="宋体" w:cs="宋体" w:eastAsia="宋体" w:hint="default"/>
          <w:spacing w:val="-44"/>
        </w:rPr>
        <w:t> </w:t>
      </w:r>
      <w:r>
        <w:rPr>
          <w:spacing w:val="-3"/>
        </w:rPr>
        <w:t>日，新华网全资子公司新华网亿连（北京）科技有限责任公司（简称“亿连</w:t>
      </w:r>
      <w:r>
        <w:rPr>
          <w:spacing w:val="-3"/>
          <w:w w:val="100"/>
        </w:rPr>
        <w:t> </w:t>
      </w:r>
      <w:r>
        <w:rPr>
          <w:spacing w:val="-2"/>
        </w:rPr>
        <w:t>科技”）与段同顺、李勃、王农、南京理工大学资产经营有限公司、通普泰克（北京）网络科技</w:t>
      </w:r>
      <w:r>
        <w:rPr>
          <w:spacing w:val="-26"/>
        </w:rPr>
        <w:t> </w:t>
      </w:r>
      <w:r>
        <w:rPr>
          <w:spacing w:val="-26"/>
        </w:rPr>
      </w:r>
      <w:r>
        <w:rPr>
          <w:spacing w:val="-2"/>
        </w:rPr>
        <w:t>有限公司及江苏瑞德信息产业有限公司（简称“江苏瑞德”）签署《增资协议》，协议约定：亿</w:t>
      </w:r>
      <w:r>
        <w:rPr>
          <w:spacing w:val="-25"/>
        </w:rPr>
        <w:t> </w:t>
      </w:r>
      <w:r>
        <w:rPr>
          <w:spacing w:val="-25"/>
        </w:rPr>
      </w:r>
      <w:r>
        <w:rPr>
          <w:spacing w:val="-1"/>
          <w:w w:val="100"/>
        </w:rPr>
        <w:t>连科技以人民币</w:t>
      </w:r>
      <w:r>
        <w:rPr>
          <w:spacing w:val="-60"/>
          <w:w w:val="100"/>
        </w:rPr>
        <w:t> </w:t>
      </w:r>
      <w:r>
        <w:rPr>
          <w:rFonts w:ascii="宋体" w:hAnsi="宋体" w:cs="宋体" w:eastAsia="宋体" w:hint="default"/>
          <w:spacing w:val="-1"/>
          <w:w w:val="100"/>
        </w:rPr>
        <w:t>1,300.00</w:t>
      </w:r>
      <w:r>
        <w:rPr>
          <w:rFonts w:ascii="宋体" w:hAnsi="宋体" w:cs="宋体" w:eastAsia="宋体" w:hint="default"/>
          <w:spacing w:val="-63"/>
          <w:w w:val="100"/>
        </w:rPr>
        <w:t> </w:t>
      </w:r>
      <w:r>
        <w:rPr>
          <w:spacing w:val="-2"/>
          <w:w w:val="100"/>
        </w:rPr>
        <w:t>万元认购江苏瑞德</w:t>
      </w:r>
      <w:r>
        <w:rPr>
          <w:spacing w:val="-60"/>
          <w:w w:val="100"/>
        </w:rPr>
        <w:t> </w:t>
      </w:r>
      <w:r>
        <w:rPr>
          <w:rFonts w:ascii="宋体" w:hAnsi="宋体" w:cs="宋体" w:eastAsia="宋体" w:hint="default"/>
          <w:spacing w:val="-6"/>
          <w:w w:val="100"/>
        </w:rPr>
        <w:t>37.15%</w:t>
      </w:r>
      <w:r>
        <w:rPr>
          <w:spacing w:val="-6"/>
          <w:w w:val="100"/>
        </w:rPr>
        <w:t>的股份，并约定自工商变更登记手续之日起，</w:t>
      </w:r>
      <w:r>
        <w:rPr>
          <w:spacing w:val="-102"/>
          <w:w w:val="100"/>
        </w:rPr>
        <w:t> </w:t>
      </w:r>
      <w:r>
        <w:rPr>
          <w:spacing w:val="-102"/>
          <w:w w:val="100"/>
        </w:rPr>
      </w:r>
      <w:r>
        <w:rPr>
          <w:spacing w:val="-2"/>
        </w:rPr>
        <w:t>亿连科技享有股东权利并承担股东义务。同日，亿连科技与段同顺、李勃成为一致行动人，合计</w:t>
      </w:r>
      <w:r>
        <w:rPr>
          <w:spacing w:val="-25"/>
        </w:rPr>
        <w:t> </w:t>
      </w:r>
      <w:r>
        <w:rPr>
          <w:spacing w:val="-25"/>
        </w:rPr>
      </w:r>
      <w:r>
        <w:rPr/>
        <w:t>持有江苏瑞德 </w:t>
      </w:r>
      <w:r>
        <w:rPr>
          <w:rFonts w:ascii="宋体" w:hAnsi="宋体" w:cs="宋体" w:eastAsia="宋体" w:hint="default"/>
          <w:spacing w:val="-3"/>
        </w:rPr>
        <w:t>75.87%</w:t>
      </w:r>
      <w:r>
        <w:rPr>
          <w:spacing w:val="-3"/>
        </w:rPr>
        <w:t>的股份，三方约定就江苏瑞德董事会、股东会提案的议题和具体决议表决事</w:t>
      </w:r>
      <w:r>
        <w:rPr>
          <w:spacing w:val="-93"/>
        </w:rPr>
        <w:t> </w:t>
      </w:r>
      <w:r>
        <w:rPr>
          <w:spacing w:val="-93"/>
        </w:rPr>
      </w:r>
      <w:r>
        <w:rPr/>
        <w:t>项作出共同意思表示，“出现意见不一致时，以亿连科技的意见为表决意见。</w:t>
      </w:r>
    </w:p>
    <w:p>
      <w:pPr>
        <w:pStyle w:val="BodyText"/>
        <w:spacing w:line="240" w:lineRule="auto" w:before="29"/>
        <w:ind w:left="1418" w:right="0"/>
        <w:jc w:val="left"/>
      </w:pP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3</w:t>
      </w:r>
      <w:r>
        <w:rPr>
          <w:rFonts w:ascii="宋体" w:hAnsi="宋体" w:cs="宋体" w:eastAsia="宋体" w:hint="default"/>
          <w:spacing w:val="-43"/>
        </w:rPr>
        <w:t> </w:t>
      </w:r>
      <w:r>
        <w:rPr/>
        <w:t>月</w:t>
      </w:r>
      <w:r>
        <w:rPr>
          <w:spacing w:val="-41"/>
        </w:rPr>
        <w:t> </w:t>
      </w:r>
      <w:r>
        <w:rPr>
          <w:rFonts w:ascii="宋体" w:hAnsi="宋体" w:cs="宋体" w:eastAsia="宋体" w:hint="default"/>
        </w:rPr>
        <w:t>1</w:t>
      </w:r>
      <w:r>
        <w:rPr>
          <w:rFonts w:ascii="宋体" w:hAnsi="宋体" w:cs="宋体" w:eastAsia="宋体" w:hint="default"/>
          <w:spacing w:val="-43"/>
        </w:rPr>
        <w:t> </w:t>
      </w:r>
      <w:r>
        <w:rPr/>
        <w:t>日，江苏瑞德办理完成工商变更登记，新华网将江苏瑞德纳入合并报表范围。</w:t>
      </w:r>
    </w:p>
    <w:p>
      <w:pPr>
        <w:pStyle w:val="BodyText"/>
        <w:spacing w:line="240" w:lineRule="auto" w:before="126"/>
        <w:ind w:left="1418" w:right="0"/>
        <w:jc w:val="left"/>
      </w:pPr>
      <w:r>
        <w:rPr>
          <w:rFonts w:ascii="宋体" w:hAnsi="宋体" w:cs="宋体" w:eastAsia="宋体" w:hint="default"/>
        </w:rPr>
        <w:t>2017</w:t>
      </w:r>
      <w:r>
        <w:rPr>
          <w:rFonts w:ascii="宋体" w:hAnsi="宋体" w:cs="宋体" w:eastAsia="宋体" w:hint="default"/>
          <w:spacing w:val="-45"/>
        </w:rPr>
        <w:t> </w:t>
      </w:r>
      <w:r>
        <w:rPr/>
        <w:t>年</w:t>
      </w:r>
      <w:r>
        <w:rPr>
          <w:spacing w:val="-42"/>
        </w:rPr>
        <w:t> </w:t>
      </w:r>
      <w:r>
        <w:rPr>
          <w:rFonts w:ascii="宋体" w:hAnsi="宋体" w:cs="宋体" w:eastAsia="宋体" w:hint="default"/>
        </w:rPr>
        <w:t>11</w:t>
      </w:r>
      <w:r>
        <w:rPr>
          <w:rFonts w:ascii="宋体" w:hAnsi="宋体" w:cs="宋体" w:eastAsia="宋体" w:hint="default"/>
          <w:spacing w:val="-45"/>
        </w:rPr>
        <w:t> </w:t>
      </w:r>
      <w:r>
        <w:rPr/>
        <w:t>月</w:t>
      </w:r>
      <w:r>
        <w:rPr>
          <w:spacing w:val="-42"/>
        </w:rPr>
        <w:t> </w:t>
      </w:r>
      <w:r>
        <w:rPr>
          <w:rFonts w:ascii="宋体" w:hAnsi="宋体" w:cs="宋体" w:eastAsia="宋体" w:hint="default"/>
        </w:rPr>
        <w:t>30</w:t>
      </w:r>
      <w:r>
        <w:rPr>
          <w:rFonts w:ascii="宋体" w:hAnsi="宋体" w:cs="宋体" w:eastAsia="宋体" w:hint="default"/>
          <w:spacing w:val="-42"/>
        </w:rPr>
        <w:t> </w:t>
      </w:r>
      <w:r>
        <w:rPr>
          <w:spacing w:val="-3"/>
        </w:rPr>
        <w:t>日，亿连科技与段同顺、李勃签署了一致行动人解除协议，不再具有对江苏</w:t>
      </w:r>
    </w:p>
    <w:p>
      <w:pPr>
        <w:pStyle w:val="BodyText"/>
        <w:spacing w:line="256" w:lineRule="auto" w:before="123"/>
        <w:ind w:left="998" w:right="0"/>
        <w:jc w:val="left"/>
      </w:pPr>
      <w:r>
        <w:rPr>
          <w:spacing w:val="-2"/>
        </w:rPr>
        <w:t>瑞德行使控制权。新华网通过亿连科技持有江苏瑞德</w:t>
      </w:r>
      <w:r>
        <w:rPr/>
        <w:t> </w:t>
      </w:r>
      <w:r>
        <w:rPr>
          <w:rFonts w:ascii="宋体" w:hAnsi="宋体" w:cs="宋体" w:eastAsia="宋体" w:hint="default"/>
          <w:spacing w:val="-2"/>
        </w:rPr>
        <w:t>37.15%</w:t>
      </w:r>
      <w:r>
        <w:rPr>
          <w:spacing w:val="-2"/>
        </w:rPr>
        <w:t>的股份，对其具有重大影响。</w:t>
      </w:r>
      <w:r>
        <w:rPr>
          <w:spacing w:val="-82"/>
        </w:rPr>
        <w:t> </w:t>
      </w:r>
      <w:r>
        <w:rPr>
          <w:spacing w:val="-82"/>
        </w:rPr>
      </w:r>
      <w:r>
        <w:rPr/>
        <w:t>是否存在通过多次交易分步处置对子公司投资且在本期丧失控制权的情形</w:t>
      </w:r>
    </w:p>
    <w:p>
      <w:pPr>
        <w:pStyle w:val="BodyText"/>
        <w:spacing w:line="259" w:lineRule="exact"/>
        <w:ind w:left="998" w:right="0"/>
        <w:jc w:val="left"/>
      </w:pPr>
      <w:r>
        <w:rPr/>
        <w:t>□适用 √不适用</w:t>
      </w:r>
    </w:p>
    <w:p>
      <w:pPr>
        <w:spacing w:line="240" w:lineRule="auto" w:before="13"/>
        <w:rPr>
          <w:rFonts w:ascii="宋体" w:hAnsi="宋体" w:cs="宋体" w:eastAsia="宋体" w:hint="default"/>
          <w:sz w:val="23"/>
          <w:szCs w:val="23"/>
        </w:rPr>
      </w:pPr>
    </w:p>
    <w:p>
      <w:pPr>
        <w:spacing w:line="290" w:lineRule="auto" w:before="0"/>
        <w:ind w:left="99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9" w:lineRule="exact"/>
        <w:ind w:left="998" w:right="0"/>
        <w:jc w:val="left"/>
      </w:pPr>
      <w:r>
        <w:rPr/>
        <w:t>√适用</w:t>
      </w:r>
      <w:r>
        <w:rPr>
          <w:spacing w:val="-1"/>
        </w:rPr>
        <w:t> </w:t>
      </w:r>
      <w:r>
        <w:rPr/>
        <w:t>□不适用</w:t>
      </w:r>
    </w:p>
    <w:p>
      <w:pPr>
        <w:pStyle w:val="BodyText"/>
        <w:spacing w:line="240" w:lineRule="auto" w:before="104"/>
        <w:ind w:left="1418" w:right="0"/>
        <w:jc w:val="left"/>
      </w:pPr>
      <w:r>
        <w:rPr/>
        <w:t>（</w:t>
      </w:r>
      <w:r>
        <w:rPr>
          <w:rFonts w:ascii="宋体" w:hAnsi="宋体" w:cs="宋体" w:eastAsia="宋体" w:hint="default"/>
        </w:rPr>
        <w:t>1</w:t>
      </w:r>
      <w:r>
        <w:rPr/>
        <w:t>）本年新设成立并处置的单位</w:t>
      </w:r>
    </w:p>
    <w:p>
      <w:pPr>
        <w:pStyle w:val="BodyText"/>
        <w:spacing w:line="240" w:lineRule="auto" w:before="126"/>
        <w:ind w:left="1418" w:right="0"/>
        <w:jc w:val="left"/>
      </w:pPr>
      <w:r>
        <w:rPr>
          <w:rFonts w:ascii="宋体" w:hAnsi="宋体" w:cs="宋体" w:eastAsia="宋体" w:hint="default"/>
        </w:rPr>
        <w:t>2017</w:t>
      </w:r>
      <w:r>
        <w:rPr>
          <w:rFonts w:ascii="宋体" w:hAnsi="宋体" w:cs="宋体" w:eastAsia="宋体" w:hint="default"/>
          <w:spacing w:val="-34"/>
        </w:rPr>
        <w:t> </w:t>
      </w:r>
      <w:r>
        <w:rPr/>
        <w:t>年</w:t>
      </w:r>
      <w:r>
        <w:rPr>
          <w:spacing w:val="-31"/>
        </w:rPr>
        <w:t> </w:t>
      </w:r>
      <w:r>
        <w:rPr>
          <w:rFonts w:ascii="宋体" w:hAnsi="宋体" w:cs="宋体" w:eastAsia="宋体" w:hint="default"/>
        </w:rPr>
        <w:t>8</w:t>
      </w:r>
      <w:r>
        <w:rPr>
          <w:rFonts w:ascii="宋体" w:hAnsi="宋体" w:cs="宋体" w:eastAsia="宋体" w:hint="default"/>
          <w:spacing w:val="-34"/>
        </w:rPr>
        <w:t> </w:t>
      </w:r>
      <w:r>
        <w:rPr/>
        <w:t>月，新华网成立了全资子公司北京星程同创信息咨询有限公司（“星程同创”），</w:t>
      </w:r>
    </w:p>
    <w:p>
      <w:pPr>
        <w:pStyle w:val="BodyText"/>
        <w:spacing w:line="348" w:lineRule="auto" w:before="126"/>
        <w:ind w:left="998" w:right="0"/>
        <w:jc w:val="left"/>
      </w:pPr>
      <w:r>
        <w:rPr/>
        <w:t>注册资本</w:t>
      </w:r>
      <w:r>
        <w:rPr>
          <w:spacing w:val="-22"/>
        </w:rPr>
        <w:t> </w:t>
      </w:r>
      <w:r>
        <w:rPr>
          <w:rFonts w:ascii="宋体" w:hAnsi="宋体" w:cs="宋体" w:eastAsia="宋体" w:hint="default"/>
        </w:rPr>
        <w:t>3,500.00</w:t>
      </w:r>
      <w:r>
        <w:rPr>
          <w:rFonts w:ascii="宋体" w:hAnsi="宋体" w:cs="宋体" w:eastAsia="宋体" w:hint="default"/>
          <w:spacing w:val="-26"/>
        </w:rPr>
        <w:t> </w:t>
      </w:r>
      <w:r>
        <w:rPr>
          <w:spacing w:val="-5"/>
        </w:rPr>
        <w:t>万。通过协议转让的方式，新华网将持有的银橙传媒股票转让给了全资子公司</w:t>
      </w:r>
      <w:r>
        <w:rPr>
          <w:spacing w:val="-94"/>
        </w:rPr>
        <w:t> </w:t>
      </w:r>
      <w:r>
        <w:rPr>
          <w:spacing w:val="-94"/>
        </w:rPr>
      </w:r>
      <w:r>
        <w:rPr/>
        <w:t>星程同创，然后在上海产权交易所公开挂牌转让星程同创公司。</w:t>
      </w:r>
    </w:p>
    <w:p>
      <w:pPr>
        <w:pStyle w:val="BodyText"/>
        <w:spacing w:line="240" w:lineRule="auto" w:before="31"/>
        <w:ind w:left="1418" w:right="0"/>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日，新华网将银橙传媒股票过户给了星程同创。</w:t>
      </w:r>
    </w:p>
    <w:p>
      <w:pPr>
        <w:spacing w:after="0" w:line="240" w:lineRule="auto"/>
        <w:jc w:val="left"/>
        <w:sectPr>
          <w:type w:val="continuous"/>
          <w:pgSz w:w="11910" w:h="16840"/>
          <w:pgMar w:top="1120" w:bottom="1380" w:left="800" w:right="2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638" w:right="95"/>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日，上海朴银信息技术有限公司（“上海朴银”）以</w:t>
      </w:r>
      <w:r>
        <w:rPr>
          <w:spacing w:val="-54"/>
        </w:rPr>
        <w:t> </w:t>
      </w:r>
      <w:r>
        <w:rPr>
          <w:rFonts w:ascii="宋体" w:hAnsi="宋体" w:cs="宋体" w:eastAsia="宋体" w:hint="default"/>
        </w:rPr>
        <w:t>5,200.00</w:t>
      </w:r>
      <w:r>
        <w:rPr>
          <w:rFonts w:ascii="宋体" w:hAnsi="宋体" w:cs="宋体" w:eastAsia="宋体" w:hint="default"/>
          <w:spacing w:val="-53"/>
        </w:rPr>
        <w:t> </w:t>
      </w:r>
      <w:r>
        <w:rPr/>
        <w:t>万元摘牌星</w:t>
      </w:r>
    </w:p>
    <w:p>
      <w:pPr>
        <w:pStyle w:val="BodyText"/>
        <w:spacing w:line="240" w:lineRule="auto" w:before="126"/>
        <w:ind w:left="218" w:right="95"/>
        <w:jc w:val="left"/>
        <w:rPr>
          <w:rFonts w:ascii="宋体" w:hAnsi="宋体" w:cs="宋体" w:eastAsia="宋体" w:hint="default"/>
        </w:rPr>
      </w:pPr>
      <w:r>
        <w:rPr>
          <w:spacing w:val="-5"/>
        </w:rPr>
        <w:t>程同创，并以</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26</w:t>
      </w:r>
      <w:r>
        <w:rPr>
          <w:rFonts w:ascii="宋体" w:hAnsi="宋体" w:cs="宋体" w:eastAsia="宋体" w:hint="default"/>
          <w:spacing w:val="-54"/>
        </w:rPr>
        <w:t> </w:t>
      </w:r>
      <w:r>
        <w:rPr/>
        <w:t>日支付了第一笔股权转让款</w:t>
      </w:r>
      <w:r>
        <w:rPr>
          <w:spacing w:val="-52"/>
        </w:rPr>
        <w:t> </w:t>
      </w:r>
      <w:r>
        <w:rPr>
          <w:rFonts w:ascii="宋体" w:hAnsi="宋体" w:cs="宋体" w:eastAsia="宋体" w:hint="default"/>
        </w:rPr>
        <w:t>2,080.00</w:t>
      </w:r>
      <w:r>
        <w:rPr>
          <w:rFonts w:ascii="宋体" w:hAnsi="宋体" w:cs="宋体" w:eastAsia="宋体" w:hint="default"/>
          <w:spacing w:val="-52"/>
        </w:rPr>
        <w:t> </w:t>
      </w:r>
      <w:r>
        <w:rPr>
          <w:spacing w:val="-6"/>
        </w:rPr>
        <w:t>万元。截至</w:t>
      </w:r>
      <w:r>
        <w:rPr>
          <w:spacing w:val="-51"/>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p>
    <w:p>
      <w:pPr>
        <w:pStyle w:val="BodyText"/>
        <w:spacing w:line="240" w:lineRule="auto" w:before="126"/>
        <w:ind w:left="218" w:right="95"/>
        <w:jc w:val="left"/>
      </w:pPr>
      <w:r>
        <w:rPr/>
        <w:t>日，新华网应收上海朴银</w:t>
      </w:r>
      <w:r>
        <w:rPr>
          <w:spacing w:val="-57"/>
        </w:rPr>
        <w:t> </w:t>
      </w:r>
      <w:r>
        <w:rPr>
          <w:rFonts w:ascii="宋体" w:hAnsi="宋体" w:cs="宋体" w:eastAsia="宋体" w:hint="default"/>
        </w:rPr>
        <w:t>3,120.00</w:t>
      </w:r>
      <w:r>
        <w:rPr>
          <w:rFonts w:ascii="宋体" w:hAnsi="宋体" w:cs="宋体" w:eastAsia="宋体" w:hint="default"/>
          <w:spacing w:val="-57"/>
        </w:rPr>
        <w:t> </w:t>
      </w:r>
      <w:r>
        <w:rPr/>
        <w:t>万元股权转让款。</w:t>
      </w:r>
    </w:p>
    <w:p>
      <w:pPr>
        <w:pStyle w:val="BodyText"/>
        <w:spacing w:line="240" w:lineRule="auto" w:before="123"/>
        <w:ind w:left="638" w:right="95"/>
        <w:jc w:val="left"/>
      </w:pPr>
      <w:r>
        <w:rPr/>
        <w:t>（</w:t>
      </w:r>
      <w:r>
        <w:rPr>
          <w:rFonts w:ascii="宋体" w:hAnsi="宋体" w:cs="宋体" w:eastAsia="宋体" w:hint="default"/>
        </w:rPr>
        <w:t>2</w:t>
      </w:r>
      <w:r>
        <w:rPr/>
        <w:t>）与上年相比本年新设成立合并单位</w:t>
      </w:r>
      <w:r>
        <w:rPr>
          <w:spacing w:val="-53"/>
        </w:rPr>
        <w:t> </w:t>
      </w:r>
      <w:r>
        <w:rPr>
          <w:rFonts w:ascii="宋体" w:hAnsi="宋体" w:cs="宋体" w:eastAsia="宋体" w:hint="default"/>
        </w:rPr>
        <w:t>7</w:t>
      </w:r>
      <w:r>
        <w:rPr>
          <w:rFonts w:ascii="宋体" w:hAnsi="宋体" w:cs="宋体" w:eastAsia="宋体" w:hint="default"/>
          <w:spacing w:val="-55"/>
        </w:rPr>
        <w:t> </w:t>
      </w:r>
      <w:r>
        <w:rPr/>
        <w:t>家：</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010"/>
        <w:gridCol w:w="2090"/>
        <w:gridCol w:w="1949"/>
      </w:tblGrid>
      <w:tr>
        <w:trPr>
          <w:trHeight w:val="408"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1"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2"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06"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新华网北美公司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7,561,092.91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-287,213.32</w:t>
            </w:r>
          </w:p>
        </w:tc>
      </w:tr>
      <w:tr>
        <w:trPr>
          <w:trHeight w:val="408"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新华网亚太有限公司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2,507,569.98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68.64</w:t>
            </w:r>
          </w:p>
        </w:tc>
      </w:tr>
      <w:tr>
        <w:trPr>
          <w:trHeight w:val="406"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新华网四川有限公司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26,501,476.12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501,476.12</w:t>
            </w:r>
          </w:p>
        </w:tc>
      </w:tr>
      <w:tr>
        <w:trPr>
          <w:trHeight w:val="409"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新华网江苏有限公司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1"/>
                <w:szCs w:val="21"/>
              </w:rPr>
            </w:pPr>
            <w:r>
              <w:rPr>
                <w:rFonts w:ascii="宋体"/>
                <w:spacing w:val="-1"/>
                <w:sz w:val="21"/>
              </w:rPr>
              <w:t>26,940,449.85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940,449.85</w:t>
            </w:r>
          </w:p>
        </w:tc>
      </w:tr>
      <w:tr>
        <w:trPr>
          <w:trHeight w:val="408"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新华网广东有限公司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26,493,627.40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493,627.40</w:t>
            </w:r>
          </w:p>
        </w:tc>
      </w:tr>
      <w:tr>
        <w:trPr>
          <w:trHeight w:val="406"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新华网创业投资有限公司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29,646,541.52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-353,458.48</w:t>
            </w:r>
          </w:p>
        </w:tc>
      </w:tr>
      <w:tr>
        <w:trPr>
          <w:trHeight w:val="408"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新华网亿连投资管理（天津）有限公司</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2,641,734.09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641,734.09</w:t>
            </w:r>
          </w:p>
        </w:tc>
      </w:tr>
    </w:tbl>
    <w:p>
      <w:pPr>
        <w:pStyle w:val="BodyText"/>
        <w:spacing w:line="241" w:lineRule="exact"/>
        <w:ind w:left="218" w:right="95"/>
        <w:jc w:val="left"/>
      </w:pPr>
      <w:r>
        <w:rPr/>
        <w:t>注：①</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月，本公司出资</w:t>
      </w:r>
      <w:r>
        <w:rPr>
          <w:spacing w:val="-53"/>
        </w:rPr>
        <w:t> </w:t>
      </w:r>
      <w:r>
        <w:rPr>
          <w:rFonts w:ascii="宋体" w:hAnsi="宋体" w:cs="宋体" w:eastAsia="宋体" w:hint="default"/>
        </w:rPr>
        <w:t>120.00</w:t>
      </w:r>
      <w:r>
        <w:rPr>
          <w:rFonts w:ascii="宋体" w:hAnsi="宋体" w:cs="宋体" w:eastAsia="宋体" w:hint="default"/>
          <w:spacing w:val="-56"/>
        </w:rPr>
        <w:t> </w:t>
      </w:r>
      <w:r>
        <w:rPr/>
        <w:t>万美元，设立新华网北美公司，持股比例</w:t>
      </w:r>
      <w:r>
        <w:rPr>
          <w:spacing w:val="-53"/>
        </w:rPr>
        <w:t> </w:t>
      </w:r>
      <w:r>
        <w:rPr>
          <w:rFonts w:ascii="宋体" w:hAnsi="宋体" w:cs="宋体" w:eastAsia="宋体" w:hint="default"/>
        </w:rPr>
        <w:t>100%</w:t>
      </w:r>
      <w:r>
        <w:rPr/>
        <w:t>，自设立</w:t>
      </w:r>
    </w:p>
    <w:p>
      <w:pPr>
        <w:pStyle w:val="BodyText"/>
        <w:spacing w:line="240" w:lineRule="auto" w:before="133"/>
        <w:ind w:left="218" w:right="95"/>
        <w:jc w:val="left"/>
      </w:pPr>
      <w:r>
        <w:rPr/>
        <w:t>之日起将其纳入合并财务报表范围。</w:t>
      </w:r>
    </w:p>
    <w:p>
      <w:pPr>
        <w:pStyle w:val="BodyText"/>
        <w:spacing w:line="357" w:lineRule="auto" w:before="133"/>
        <w:ind w:left="218" w:right="95" w:firstLine="419"/>
        <w:jc w:val="left"/>
      </w:pPr>
      <w:r>
        <w:rPr/>
        <w:t>②</w:t>
      </w:r>
      <w:r>
        <w:rPr>
          <w:rFonts w:ascii="宋体" w:hAnsi="宋体" w:cs="宋体" w:eastAsia="宋体" w:hint="default"/>
        </w:rPr>
        <w:t>2017</w:t>
      </w:r>
      <w:r>
        <w:rPr>
          <w:rFonts w:ascii="宋体" w:hAnsi="宋体" w:cs="宋体" w:eastAsia="宋体" w:hint="default"/>
          <w:spacing w:val="-55"/>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月，本公司出资</w:t>
      </w:r>
      <w:r>
        <w:rPr>
          <w:spacing w:val="-54"/>
        </w:rPr>
        <w:t> </w:t>
      </w:r>
      <w:r>
        <w:rPr>
          <w:rFonts w:ascii="宋体" w:hAnsi="宋体" w:cs="宋体" w:eastAsia="宋体" w:hint="default"/>
        </w:rPr>
        <w:t>1,000.00</w:t>
      </w:r>
      <w:r>
        <w:rPr>
          <w:rFonts w:ascii="宋体" w:hAnsi="宋体" w:cs="宋体" w:eastAsia="宋体" w:hint="default"/>
          <w:spacing w:val="-55"/>
        </w:rPr>
        <w:t> </w:t>
      </w:r>
      <w:r>
        <w:rPr/>
        <w:t>万港币，设立新华网亚太有限公司，持股比例</w:t>
      </w:r>
      <w:r>
        <w:rPr>
          <w:spacing w:val="-54"/>
        </w:rPr>
        <w:t> </w:t>
      </w:r>
      <w:r>
        <w:rPr>
          <w:rFonts w:ascii="宋体" w:hAnsi="宋体" w:cs="宋体" w:eastAsia="宋体" w:hint="default"/>
        </w:rPr>
        <w:t>100%</w:t>
      </w:r>
      <w:r>
        <w:rPr/>
        <w:t>，</w:t>
      </w:r>
      <w:r>
        <w:rPr>
          <w:w w:val="100"/>
        </w:rPr>
        <w:t> </w:t>
      </w:r>
      <w:r>
        <w:rPr/>
        <w:t>自设立之日起将其纳入合并财务报表范围。</w:t>
      </w:r>
    </w:p>
    <w:p>
      <w:pPr>
        <w:pStyle w:val="BodyText"/>
        <w:spacing w:line="355" w:lineRule="auto" w:before="30"/>
        <w:ind w:left="218" w:right="372" w:firstLine="419"/>
        <w:jc w:val="left"/>
      </w:pPr>
      <w:r>
        <w:rPr/>
        <w:t>③</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6-7</w:t>
      </w:r>
      <w:r>
        <w:rPr>
          <w:rFonts w:ascii="宋体" w:hAnsi="宋体" w:cs="宋体" w:eastAsia="宋体" w:hint="default"/>
          <w:spacing w:val="-56"/>
        </w:rPr>
        <w:t> </w:t>
      </w:r>
      <w:r>
        <w:rPr/>
        <w:t>月，本公司分别出资</w:t>
      </w:r>
      <w:r>
        <w:rPr>
          <w:spacing w:val="-53"/>
        </w:rPr>
        <w:t> </w:t>
      </w:r>
      <w:r>
        <w:rPr>
          <w:rFonts w:ascii="宋体" w:hAnsi="宋体" w:cs="宋体" w:eastAsia="宋体" w:hint="default"/>
        </w:rPr>
        <w:t>2,600.00</w:t>
      </w:r>
      <w:r>
        <w:rPr>
          <w:rFonts w:ascii="宋体" w:hAnsi="宋体" w:cs="宋体" w:eastAsia="宋体" w:hint="default"/>
          <w:spacing w:val="-56"/>
        </w:rPr>
        <w:t> </w:t>
      </w:r>
      <w:r>
        <w:rPr/>
        <w:t>万元，设立新华网四川有限公司、新华网江苏</w:t>
      </w:r>
      <w:r>
        <w:rPr>
          <w:w w:val="100"/>
        </w:rPr>
        <w:t> </w:t>
      </w:r>
      <w:r>
        <w:rPr>
          <w:spacing w:val="-2"/>
        </w:rPr>
        <w:t>有限公司及新华网广东有限公司，持股比例</w:t>
      </w:r>
      <w:r>
        <w:rPr>
          <w:spacing w:val="24"/>
        </w:rPr>
        <w:t> </w:t>
      </w:r>
      <w:r>
        <w:rPr>
          <w:rFonts w:ascii="宋体" w:hAnsi="宋体" w:cs="宋体" w:eastAsia="宋体" w:hint="default"/>
          <w:spacing w:val="-2"/>
        </w:rPr>
        <w:t>100%</w:t>
      </w:r>
      <w:r>
        <w:rPr>
          <w:spacing w:val="-2"/>
        </w:rPr>
        <w:t>，自设立之日起将其纳入合并财务报表范围。</w:t>
      </w:r>
    </w:p>
    <w:p>
      <w:pPr>
        <w:pStyle w:val="BodyText"/>
        <w:spacing w:line="355" w:lineRule="auto" w:before="32"/>
        <w:ind w:left="218" w:right="95" w:firstLine="419"/>
        <w:jc w:val="left"/>
      </w:pPr>
      <w:r>
        <w:rPr>
          <w:w w:val="100"/>
        </w:rPr>
        <w:t>④</w:t>
      </w:r>
      <w:r>
        <w:rPr>
          <w:rFonts w:ascii="宋体" w:hAnsi="宋体" w:cs="宋体" w:eastAsia="宋体" w:hint="default"/>
          <w:w w:val="100"/>
        </w:rPr>
        <w:t>2017</w:t>
      </w:r>
      <w:r>
        <w:rPr>
          <w:rFonts w:ascii="宋体" w:hAnsi="宋体" w:cs="宋体" w:eastAsia="宋体" w:hint="default"/>
          <w:spacing w:val="-66"/>
          <w:w w:val="100"/>
        </w:rPr>
        <w:t> </w:t>
      </w:r>
      <w:r>
        <w:rPr>
          <w:w w:val="100"/>
        </w:rPr>
        <w:t>年</w:t>
      </w:r>
      <w:r>
        <w:rPr>
          <w:spacing w:val="-66"/>
          <w:w w:val="100"/>
        </w:rPr>
        <w:t> </w:t>
      </w:r>
      <w:r>
        <w:rPr>
          <w:rFonts w:ascii="宋体" w:hAnsi="宋体" w:cs="宋体" w:eastAsia="宋体" w:hint="default"/>
          <w:w w:val="100"/>
        </w:rPr>
        <w:t>8</w:t>
      </w:r>
      <w:r>
        <w:rPr>
          <w:rFonts w:ascii="宋体" w:hAnsi="宋体" w:cs="宋体" w:eastAsia="宋体" w:hint="default"/>
          <w:spacing w:val="-66"/>
          <w:w w:val="100"/>
        </w:rPr>
        <w:t> </w:t>
      </w:r>
      <w:r>
        <w:rPr>
          <w:spacing w:val="-11"/>
          <w:w w:val="100"/>
        </w:rPr>
        <w:t>月，本公司设立新华网创业投资有限公司，注册资本</w:t>
      </w:r>
      <w:r>
        <w:rPr>
          <w:spacing w:val="-70"/>
          <w:w w:val="100"/>
        </w:rPr>
        <w:t> </w:t>
      </w:r>
      <w:r>
        <w:rPr>
          <w:rFonts w:ascii="宋体" w:hAnsi="宋体" w:cs="宋体" w:eastAsia="宋体" w:hint="default"/>
          <w:spacing w:val="-1"/>
          <w:w w:val="100"/>
        </w:rPr>
        <w:t>10,000.00</w:t>
      </w:r>
      <w:r>
        <w:rPr>
          <w:rFonts w:ascii="宋体" w:hAnsi="宋体" w:cs="宋体" w:eastAsia="宋体" w:hint="default"/>
          <w:spacing w:val="-68"/>
          <w:w w:val="100"/>
        </w:rPr>
        <w:t> </w:t>
      </w:r>
      <w:r>
        <w:rPr>
          <w:spacing w:val="-1"/>
          <w:w w:val="100"/>
        </w:rPr>
        <w:t>万元持股比例</w:t>
      </w:r>
      <w:r>
        <w:rPr>
          <w:spacing w:val="-70"/>
          <w:w w:val="100"/>
        </w:rPr>
        <w:t> </w:t>
      </w:r>
      <w:r>
        <w:rPr>
          <w:rFonts w:ascii="宋体" w:hAnsi="宋体" w:cs="宋体" w:eastAsia="宋体" w:hint="default"/>
          <w:spacing w:val="-1"/>
          <w:w w:val="100"/>
        </w:rPr>
        <w:t>100%</w:t>
      </w:r>
      <w:r>
        <w:rPr>
          <w:spacing w:val="-1"/>
          <w:w w:val="100"/>
        </w:rPr>
        <w:t>，</w:t>
      </w:r>
      <w:r>
        <w:rPr>
          <w:w w:val="100"/>
        </w:rPr>
        <w:t> </w:t>
      </w:r>
      <w:r>
        <w:rPr>
          <w:spacing w:val="-5"/>
        </w:rPr>
        <w:t>截至本年末，实缴 </w:t>
      </w:r>
      <w:r>
        <w:rPr>
          <w:rFonts w:ascii="宋体" w:hAnsi="宋体" w:cs="宋体" w:eastAsia="宋体" w:hint="default"/>
        </w:rPr>
        <w:t>3,000.00</w:t>
      </w:r>
      <w:r>
        <w:rPr>
          <w:rFonts w:ascii="宋体" w:hAnsi="宋体" w:cs="宋体" w:eastAsia="宋体" w:hint="default"/>
          <w:spacing w:val="-42"/>
        </w:rPr>
        <w:t> </w:t>
      </w:r>
      <w:r>
        <w:rPr>
          <w:spacing w:val="-4"/>
        </w:rPr>
        <w:t>万元。同月，新华网创业投资有限公司设立新华网亿连投资管理（天</w:t>
      </w:r>
    </w:p>
    <w:p>
      <w:pPr>
        <w:pStyle w:val="BodyText"/>
        <w:spacing w:line="355" w:lineRule="auto" w:before="34"/>
        <w:ind w:left="218" w:right="95"/>
        <w:jc w:val="left"/>
      </w:pPr>
      <w:r>
        <w:rPr>
          <w:spacing w:val="-3"/>
        </w:rPr>
        <w:t>津）有限公司，注册资本</w:t>
      </w:r>
      <w:r>
        <w:rPr>
          <w:spacing w:val="-43"/>
        </w:rPr>
        <w:t> </w:t>
      </w:r>
      <w:r>
        <w:rPr>
          <w:rFonts w:ascii="宋体" w:hAnsi="宋体" w:cs="宋体" w:eastAsia="宋体" w:hint="default"/>
        </w:rPr>
        <w:t>1,000.00</w:t>
      </w:r>
      <w:r>
        <w:rPr>
          <w:rFonts w:ascii="宋体" w:hAnsi="宋体" w:cs="宋体" w:eastAsia="宋体" w:hint="default"/>
          <w:spacing w:val="-43"/>
        </w:rPr>
        <w:t> </w:t>
      </w:r>
      <w:r>
        <w:rPr>
          <w:spacing w:val="-3"/>
        </w:rPr>
        <w:t>万元，持股比例</w:t>
      </w:r>
      <w:r>
        <w:rPr>
          <w:spacing w:val="-43"/>
        </w:rPr>
        <w:t> </w:t>
      </w:r>
      <w:r>
        <w:rPr>
          <w:rFonts w:ascii="宋体" w:hAnsi="宋体" w:cs="宋体" w:eastAsia="宋体" w:hint="default"/>
          <w:spacing w:val="-3"/>
        </w:rPr>
        <w:t>100%</w:t>
      </w:r>
      <w:r>
        <w:rPr>
          <w:spacing w:val="-3"/>
        </w:rPr>
        <w:t>，截至本年末，实缴</w:t>
      </w:r>
      <w:r>
        <w:rPr>
          <w:spacing w:val="-41"/>
        </w:rPr>
        <w:t> </w:t>
      </w:r>
      <w:r>
        <w:rPr>
          <w:rFonts w:ascii="宋体" w:hAnsi="宋体" w:cs="宋体" w:eastAsia="宋体" w:hint="default"/>
        </w:rPr>
        <w:t>200.00</w:t>
      </w:r>
      <w:r>
        <w:rPr>
          <w:rFonts w:ascii="宋体" w:hAnsi="宋体" w:cs="宋体" w:eastAsia="宋体" w:hint="default"/>
          <w:spacing w:val="-45"/>
        </w:rPr>
        <w:t> </w:t>
      </w:r>
      <w:r>
        <w:rPr>
          <w:spacing w:val="-3"/>
        </w:rPr>
        <w:t>万元。自设</w:t>
      </w:r>
      <w:r>
        <w:rPr>
          <w:spacing w:val="-100"/>
        </w:rPr>
        <w:t> </w:t>
      </w:r>
      <w:r>
        <w:rPr>
          <w:spacing w:val="-100"/>
        </w:rPr>
      </w:r>
      <w:r>
        <w:rPr/>
        <w:t>立之日起将其纳入合并财务报表范围。</w:t>
      </w:r>
    </w:p>
    <w:p>
      <w:pPr>
        <w:pStyle w:val="Heading3"/>
        <w:spacing w:line="240" w:lineRule="auto" w:before="92"/>
        <w:ind w:right="9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8"/>
        <w:ind w:left="218" w:right="95"/>
        <w:jc w:val="left"/>
      </w:pPr>
      <w:r>
        <w:rPr>
          <w:spacing w:val="-1"/>
        </w:rPr>
        <w:t>□适用</w:t>
        <w:tab/>
      </w:r>
      <w:r>
        <w:rPr>
          <w:spacing w:val="-2"/>
        </w:rPr>
        <w:t>√不适用</w:t>
      </w:r>
    </w:p>
    <w:p>
      <w:pPr>
        <w:spacing w:after="0" w:line="240" w:lineRule="auto"/>
        <w:jc w:val="left"/>
        <w:sectPr>
          <w:pgSz w:w="11910" w:h="16840"/>
          <w:pgMar w:header="0" w:footer="1195" w:top="1120" w:bottom="1380" w:left="15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861" w:val="left" w:leader="none"/>
        </w:tabs>
        <w:spacing w:line="290" w:lineRule="auto" w:before="175"/>
        <w:ind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994"/>
        <w:gridCol w:w="850"/>
        <w:gridCol w:w="1843"/>
        <w:gridCol w:w="850"/>
        <w:gridCol w:w="852"/>
        <w:gridCol w:w="718"/>
      </w:tblGrid>
      <w:tr>
        <w:trPr>
          <w:trHeight w:val="406" w:hRule="exact"/>
        </w:trPr>
        <w:tc>
          <w:tcPr>
            <w:tcW w:w="2943" w:type="dxa"/>
            <w:vMerge w:val="restart"/>
            <w:tcBorders>
              <w:top w:val="single" w:sz="4" w:space="0" w:color="000000"/>
              <w:left w:val="single" w:sz="4" w:space="0" w:color="000000"/>
              <w:right w:val="single" w:sz="4" w:space="0" w:color="000000"/>
            </w:tcBorders>
          </w:tcPr>
          <w:p>
            <w:pPr>
              <w:pStyle w:val="TableParagraph"/>
              <w:spacing w:line="272" w:lineRule="exact" w:before="123"/>
              <w:ind w:left="1149" w:right="1148"/>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994" w:type="dxa"/>
            <w:vMerge w:val="restart"/>
            <w:tcBorders>
              <w:top w:val="single" w:sz="4" w:space="0" w:color="000000"/>
              <w:left w:val="single" w:sz="4" w:space="0" w:color="000000"/>
              <w:right w:val="single" w:sz="4" w:space="0" w:color="000000"/>
            </w:tcBorders>
          </w:tcPr>
          <w:p>
            <w:pPr>
              <w:pStyle w:val="TableParagraph"/>
              <w:spacing w:line="272" w:lineRule="exact" w:before="123"/>
              <w:ind w:left="280" w:right="173"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718" w:type="dxa"/>
            <w:vMerge w:val="restart"/>
            <w:tcBorders>
              <w:top w:val="single" w:sz="4" w:space="0" w:color="000000"/>
              <w:left w:val="single" w:sz="4" w:space="0" w:color="000000"/>
              <w:right w:val="single" w:sz="4" w:space="0" w:color="000000"/>
            </w:tcBorders>
          </w:tcPr>
          <w:p>
            <w:pPr>
              <w:pStyle w:val="TableParagraph"/>
              <w:spacing w:line="272" w:lineRule="exact" w:before="123"/>
              <w:ind w:left="144" w:right="139"/>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408" w:hRule="exact"/>
        </w:trPr>
        <w:tc>
          <w:tcPr>
            <w:tcW w:w="294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0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718" w:type="dxa"/>
            <w:vMerge/>
            <w:tcBorders>
              <w:left w:val="single" w:sz="4" w:space="0" w:color="000000"/>
              <w:bottom w:val="single" w:sz="4" w:space="0" w:color="000000"/>
              <w:right w:val="single" w:sz="4" w:space="0" w:color="000000"/>
            </w:tcBorders>
          </w:tcPr>
          <w:p>
            <w:pP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新华网股份有限公司欧洲公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荷兰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荷兰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9"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新华网欧洲传播与运营中心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比利时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比利时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center"/>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新华网亿连（北京）科技有限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互联网信息服务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70.00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新华网四川有限公司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新华网江苏有限公司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新华网广东有限公司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新华网北美公司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纽约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纽约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新华网亚太有限公司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新华网创业投资有限公司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新华网亿连投资管理（天津）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sz w:val="21"/>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239" w:lineRule="exact"/>
        <w:ind w:left="218" w:right="2465"/>
        <w:jc w:val="left"/>
      </w:pPr>
      <w:r>
        <w:rPr/>
        <w:t>在子公司的持股比例不同于表决权比例的说明：不适用</w:t>
      </w:r>
    </w:p>
    <w:p>
      <w:pPr>
        <w:pStyle w:val="BodyText"/>
        <w:spacing w:line="240" w:lineRule="auto"/>
        <w:ind w:left="218" w:right="227"/>
        <w:jc w:val="left"/>
      </w:pPr>
      <w:r>
        <w:rPr>
          <w:spacing w:val="-2"/>
        </w:rPr>
        <w:t>持有半数或以下表决权但仍控制被投资单位、以及持有半数以上表决权但不控制被投资单位的依</w:t>
      </w:r>
      <w:r>
        <w:rPr>
          <w:spacing w:val="-25"/>
        </w:rPr>
        <w:t> </w:t>
      </w:r>
      <w:r>
        <w:rPr>
          <w:spacing w:val="-25"/>
        </w:rPr>
      </w:r>
      <w:r>
        <w:rPr/>
        <w:t>据：不适用</w:t>
      </w:r>
    </w:p>
    <w:p>
      <w:pPr>
        <w:pStyle w:val="BodyText"/>
        <w:spacing w:line="272" w:lineRule="exact" w:before="24"/>
        <w:ind w:left="218" w:right="2465"/>
        <w:jc w:val="left"/>
      </w:pPr>
      <w:r>
        <w:rPr>
          <w:spacing w:val="-2"/>
        </w:rPr>
        <w:t>对于纳入合并范围的重要的结构化主体，控制的依据：不适用</w:t>
      </w:r>
      <w:r>
        <w:rPr>
          <w:spacing w:val="-52"/>
        </w:rPr>
        <w:t> </w:t>
      </w:r>
      <w:r>
        <w:rPr>
          <w:spacing w:val="-52"/>
        </w:rPr>
      </w:r>
      <w:r>
        <w:rPr/>
        <w:t>确定公司是代理人还是委托人的依据：不适用</w:t>
      </w:r>
    </w:p>
    <w:p>
      <w:pPr>
        <w:pStyle w:val="BodyText"/>
        <w:spacing w:line="249" w:lineRule="exact"/>
        <w:ind w:left="218" w:right="2465"/>
        <w:jc w:val="left"/>
      </w:pPr>
      <w:r>
        <w:rPr/>
        <w:t>其他说明：无</w:t>
      </w:r>
    </w:p>
    <w:p>
      <w:pPr>
        <w:pStyle w:val="Heading3"/>
        <w:tabs>
          <w:tab w:pos="861" w:val="left" w:leader="none"/>
        </w:tabs>
        <w:spacing w:line="240" w:lineRule="auto" w:before="56"/>
        <w:ind w:right="2465"/>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218" w:right="2465"/>
        <w:jc w:val="left"/>
      </w:pPr>
      <w:r>
        <w:rPr/>
        <w:t>□适用</w:t>
      </w:r>
      <w:r>
        <w:rPr>
          <w:spacing w:val="-1"/>
        </w:rPr>
        <w:t> </w:t>
      </w:r>
      <w:r>
        <w:rPr/>
        <w:t>√不适用</w:t>
      </w:r>
    </w:p>
    <w:p>
      <w:pPr>
        <w:pStyle w:val="Heading3"/>
        <w:tabs>
          <w:tab w:pos="861" w:val="left" w:leader="none"/>
        </w:tabs>
        <w:spacing w:line="240" w:lineRule="auto" w:before="56"/>
        <w:ind w:right="2465"/>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spacing w:line="240" w:lineRule="auto" w:before="58"/>
        <w:ind w:left="218" w:right="2465"/>
        <w:jc w:val="left"/>
      </w:pPr>
      <w:r>
        <w:rPr/>
        <w:t>□适用</w:t>
      </w:r>
      <w:r>
        <w:rPr>
          <w:spacing w:val="-1"/>
        </w:rPr>
        <w:t> </w:t>
      </w:r>
      <w:r>
        <w:rPr/>
        <w:t>√不适用</w:t>
      </w:r>
    </w:p>
    <w:p>
      <w:pPr>
        <w:pStyle w:val="Heading3"/>
        <w:tabs>
          <w:tab w:pos="861" w:val="left" w:leader="none"/>
        </w:tabs>
        <w:spacing w:line="240" w:lineRule="auto" w:before="57"/>
        <w:ind w:right="2465"/>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8"/>
        <w:ind w:left="218" w:right="2465"/>
        <w:jc w:val="left"/>
      </w:pPr>
      <w:r>
        <w:rPr/>
        <w:t>□适用</w:t>
      </w:r>
      <w:r>
        <w:rPr>
          <w:spacing w:val="-1"/>
        </w:rPr>
        <w:t> </w:t>
      </w:r>
      <w:r>
        <w:rPr/>
        <w:t>√不适用</w:t>
      </w:r>
    </w:p>
    <w:p>
      <w:pPr>
        <w:pStyle w:val="Heading3"/>
        <w:tabs>
          <w:tab w:pos="861" w:val="left" w:leader="none"/>
        </w:tabs>
        <w:spacing w:line="240" w:lineRule="auto" w:before="56"/>
        <w:ind w:right="227"/>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1060" w:val="left" w:leader="none"/>
        </w:tabs>
        <w:spacing w:line="272" w:lineRule="exact" w:before="86"/>
        <w:ind w:left="218" w:right="7383"/>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left="218" w:right="2465"/>
        <w:jc w:val="left"/>
      </w:pPr>
      <w:r>
        <w:rPr/>
        <w:t>□适用</w:t>
      </w:r>
      <w:r>
        <w:rPr>
          <w:spacing w:val="-1"/>
        </w:rPr>
        <w:t> </w:t>
      </w:r>
      <w:r>
        <w:rPr/>
        <w:t>√不适用</w:t>
      </w:r>
    </w:p>
    <w:p>
      <w:pPr>
        <w:pStyle w:val="Heading3"/>
        <w:spacing w:line="240" w:lineRule="auto" w:before="56"/>
        <w:ind w:right="2465"/>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8"/>
        <w:ind w:left="21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1060" w:val="left" w:leader="none"/>
        </w:tabs>
        <w:spacing w:line="331" w:lineRule="auto" w:before="14"/>
        <w:ind w:left="218" w:right="5072"/>
        <w:jc w:val="left"/>
      </w:pPr>
      <w:r>
        <w:rPr>
          <w:spacing w:val="-1"/>
        </w:rPr>
        <w:t>√适用</w:t>
        <w:tab/>
      </w:r>
      <w:r>
        <w:rPr>
          <w:spacing w:val="-2"/>
        </w:rPr>
        <w:t>□不适用</w:t>
      </w:r>
      <w:r>
        <w:rPr>
          <w:spacing w:val="-99"/>
        </w:rPr>
        <w:t> </w:t>
      </w:r>
      <w:r>
        <w:rPr>
          <w:spacing w:val="-99"/>
        </w:rPr>
      </w:r>
      <w:r>
        <w:rPr>
          <w:spacing w:val="-2"/>
        </w:rPr>
        <w:t>新华网亿连（北京）科技有限责任公司增资</w:t>
      </w:r>
    </w:p>
    <w:p>
      <w:pPr>
        <w:spacing w:after="0" w:line="331" w:lineRule="auto"/>
        <w:jc w:val="left"/>
        <w:sectPr>
          <w:footerReference w:type="default" r:id="rId91"/>
          <w:pgSz w:w="11910" w:h="16840"/>
          <w:pgMar w:footer="1195" w:header="0"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218" w:right="227" w:firstLine="419"/>
        <w:jc w:val="left"/>
      </w:pPr>
      <w:r>
        <w:rPr>
          <w:rFonts w:ascii="宋体" w:hAnsi="宋体" w:cs="宋体" w:eastAsia="宋体" w:hint="default"/>
        </w:rPr>
        <w:t>2016</w:t>
      </w:r>
      <w:r>
        <w:rPr>
          <w:rFonts w:ascii="宋体" w:hAnsi="宋体" w:cs="宋体" w:eastAsia="宋体" w:hint="default"/>
          <w:spacing w:val="-47"/>
        </w:rPr>
        <w:t> </w:t>
      </w:r>
      <w:r>
        <w:rPr/>
        <w:t>年</w:t>
      </w:r>
      <w:r>
        <w:rPr>
          <w:spacing w:val="-44"/>
        </w:rPr>
        <w:t> </w:t>
      </w:r>
      <w:r>
        <w:rPr>
          <w:rFonts w:ascii="宋体" w:hAnsi="宋体" w:cs="宋体" w:eastAsia="宋体" w:hint="default"/>
        </w:rPr>
        <w:t>10</w:t>
      </w:r>
      <w:r>
        <w:rPr>
          <w:rFonts w:ascii="宋体" w:hAnsi="宋体" w:cs="宋体" w:eastAsia="宋体" w:hint="default"/>
          <w:spacing w:val="-47"/>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spacing w:val="-3"/>
        </w:rPr>
        <w:t>日，北京睿至大数据有限公司（以下简称“睿至”）与本公司、亿连科技共</w:t>
      </w:r>
      <w:r>
        <w:rPr>
          <w:w w:val="100"/>
        </w:rPr>
        <w:t> </w:t>
      </w:r>
      <w:r>
        <w:rPr/>
        <w:t>同签署《投资协议》，协议约定：</w:t>
      </w:r>
    </w:p>
    <w:p>
      <w:pPr>
        <w:pStyle w:val="BodyText"/>
        <w:spacing w:line="348" w:lineRule="auto" w:before="29"/>
        <w:ind w:left="218" w:right="235" w:firstLine="419"/>
        <w:jc w:val="left"/>
      </w:pPr>
      <w:r>
        <w:rPr/>
        <w:t>①睿至以增资扩股方式对亿连科技投资人民币</w:t>
      </w:r>
      <w:r>
        <w:rPr>
          <w:spacing w:val="-54"/>
        </w:rPr>
        <w:t> </w:t>
      </w:r>
      <w:r>
        <w:rPr>
          <w:rFonts w:ascii="宋体" w:hAnsi="宋体" w:cs="宋体" w:eastAsia="宋体" w:hint="default"/>
        </w:rPr>
        <w:t>10,000.00</w:t>
      </w:r>
      <w:r>
        <w:rPr>
          <w:rFonts w:ascii="宋体" w:hAnsi="宋体" w:cs="宋体" w:eastAsia="宋体" w:hint="default"/>
          <w:spacing w:val="-57"/>
        </w:rPr>
        <w:t> </w:t>
      </w:r>
      <w:r>
        <w:rPr/>
        <w:t>万元，其中计入注册资本及资本公</w:t>
      </w:r>
      <w:r>
        <w:rPr>
          <w:w w:val="100"/>
        </w:rPr>
        <w:t> </w:t>
      </w:r>
      <w:r>
        <w:rPr/>
        <w:t>积金的金额以</w:t>
      </w:r>
      <w:r>
        <w:rPr>
          <w:spacing w:val="-52"/>
        </w:rPr>
        <w:t> </w:t>
      </w:r>
      <w:r>
        <w:rPr>
          <w:rFonts w:ascii="宋体" w:hAnsi="宋体" w:cs="宋体" w:eastAsia="宋体" w:hint="default"/>
        </w:rPr>
        <w:t>A</w:t>
      </w:r>
      <w:r>
        <w:rPr>
          <w:rFonts w:ascii="宋体" w:hAnsi="宋体" w:cs="宋体" w:eastAsia="宋体" w:hint="default"/>
          <w:spacing w:val="-55"/>
        </w:rPr>
        <w:t> </w:t>
      </w:r>
      <w:r>
        <w:rPr/>
        <w:t>轮融资完成后股东共同签订的公司章程为准。</w:t>
      </w:r>
    </w:p>
    <w:p>
      <w:pPr>
        <w:pStyle w:val="BodyText"/>
        <w:spacing w:line="240" w:lineRule="auto" w:before="31"/>
        <w:ind w:left="638" w:right="2465"/>
        <w:jc w:val="left"/>
      </w:pPr>
      <w:r>
        <w:rPr/>
        <w:t>②亿连科技在</w:t>
      </w:r>
      <w:r>
        <w:rPr>
          <w:spacing w:val="-53"/>
        </w:rPr>
        <w:t> </w:t>
      </w:r>
      <w:r>
        <w:rPr>
          <w:rFonts w:ascii="宋体" w:hAnsi="宋体" w:cs="宋体" w:eastAsia="宋体" w:hint="default"/>
        </w:rPr>
        <w:t>A</w:t>
      </w:r>
      <w:r>
        <w:rPr>
          <w:rFonts w:ascii="宋体" w:hAnsi="宋体" w:cs="宋体" w:eastAsia="宋体" w:hint="default"/>
          <w:spacing w:val="-55"/>
        </w:rPr>
        <w:t> </w:t>
      </w:r>
      <w:r>
        <w:rPr/>
        <w:t>轮融资完成后，睿至持有亿连科技</w:t>
      </w:r>
      <w:r>
        <w:rPr>
          <w:spacing w:val="-55"/>
        </w:rPr>
        <w:t> </w:t>
      </w:r>
      <w:r>
        <w:rPr>
          <w:rFonts w:ascii="宋体" w:hAnsi="宋体" w:cs="宋体" w:eastAsia="宋体" w:hint="default"/>
        </w:rPr>
        <w:t>20.00%</w:t>
      </w:r>
      <w:r>
        <w:rPr/>
        <w:t>的股权。</w:t>
      </w:r>
    </w:p>
    <w:p>
      <w:pPr>
        <w:pStyle w:val="BodyText"/>
        <w:spacing w:line="348" w:lineRule="auto" w:before="126"/>
        <w:ind w:left="218" w:right="227" w:firstLine="419"/>
        <w:jc w:val="left"/>
      </w:pPr>
      <w:r>
        <w:rPr>
          <w:spacing w:val="-7"/>
          <w:w w:val="100"/>
        </w:rPr>
        <w:t>③股权交割日为增资的工商变更登记日。自股权交割日起，睿至按照持股比例享受股东权益、</w:t>
      </w:r>
      <w:r>
        <w:rPr>
          <w:w w:val="100"/>
        </w:rPr>
        <w:t> </w:t>
      </w:r>
      <w:r>
        <w:rPr/>
        <w:t>承担股东义务。</w:t>
      </w:r>
    </w:p>
    <w:p>
      <w:pPr>
        <w:pStyle w:val="BodyText"/>
        <w:spacing w:line="350" w:lineRule="auto" w:before="31"/>
        <w:ind w:left="218" w:right="123" w:firstLine="419"/>
        <w:jc w:val="left"/>
      </w:pPr>
      <w:r>
        <w:rPr>
          <w:rFonts w:ascii="宋体" w:hAnsi="宋体" w:cs="宋体" w:eastAsia="宋体" w:hint="default"/>
        </w:rPr>
        <w:t>2016</w:t>
      </w:r>
      <w:r>
        <w:rPr>
          <w:rFonts w:ascii="宋体" w:hAnsi="宋体" w:cs="宋体" w:eastAsia="宋体" w:hint="default"/>
          <w:spacing w:val="-46"/>
        </w:rPr>
        <w:t> </w:t>
      </w:r>
      <w:r>
        <w:rPr/>
        <w:t>年</w:t>
      </w:r>
      <w:r>
        <w:rPr>
          <w:spacing w:val="-43"/>
        </w:rPr>
        <w:t> </w:t>
      </w:r>
      <w:r>
        <w:rPr>
          <w:rFonts w:ascii="宋体" w:hAnsi="宋体" w:cs="宋体" w:eastAsia="宋体" w:hint="default"/>
        </w:rPr>
        <w:t>10</w:t>
      </w:r>
      <w:r>
        <w:rPr>
          <w:rFonts w:ascii="宋体" w:hAnsi="宋体" w:cs="宋体" w:eastAsia="宋体" w:hint="default"/>
          <w:spacing w:val="-46"/>
        </w:rPr>
        <w:t> </w:t>
      </w:r>
      <w:r>
        <w:rPr/>
        <w:t>月</w:t>
      </w:r>
      <w:r>
        <w:rPr>
          <w:spacing w:val="-43"/>
        </w:rPr>
        <w:t> </w:t>
      </w:r>
      <w:r>
        <w:rPr>
          <w:rFonts w:ascii="宋体" w:hAnsi="宋体" w:cs="宋体" w:eastAsia="宋体" w:hint="default"/>
        </w:rPr>
        <w:t>25</w:t>
      </w:r>
      <w:r>
        <w:rPr>
          <w:rFonts w:ascii="宋体" w:hAnsi="宋体" w:cs="宋体" w:eastAsia="宋体" w:hint="default"/>
          <w:spacing w:val="-43"/>
        </w:rPr>
        <w:t> </w:t>
      </w:r>
      <w:r>
        <w:rPr>
          <w:spacing w:val="-3"/>
        </w:rPr>
        <w:t>日，深圳道易互联网股权投资基金（有限合伙）（以下简称“道易”）与本</w:t>
      </w:r>
      <w:r>
        <w:rPr>
          <w:w w:val="100"/>
        </w:rPr>
        <w:t> </w:t>
      </w:r>
      <w:r>
        <w:rPr/>
        <w:t>公司、亿连科技共同签署《增资协议》，协议约定：</w:t>
      </w:r>
    </w:p>
    <w:p>
      <w:pPr>
        <w:pStyle w:val="BodyText"/>
        <w:spacing w:line="240" w:lineRule="auto" w:before="27"/>
        <w:ind w:left="638" w:right="0"/>
        <w:jc w:val="left"/>
      </w:pPr>
      <w:r>
        <w:rPr/>
        <w:t>①</w:t>
      </w:r>
      <w:r>
        <w:rPr>
          <w:spacing w:val="48"/>
        </w:rPr>
        <w:t> </w:t>
      </w:r>
      <w:r>
        <w:rPr/>
        <w:t>道易以增资扩股的方式对亿连科技投资</w:t>
      </w:r>
      <w:r>
        <w:rPr>
          <w:spacing w:val="-51"/>
        </w:rPr>
        <w:t> </w:t>
      </w:r>
      <w:r>
        <w:rPr>
          <w:rFonts w:ascii="宋体" w:hAnsi="宋体" w:cs="宋体" w:eastAsia="宋体" w:hint="default"/>
        </w:rPr>
        <w:t>2,500.00</w:t>
      </w:r>
      <w:r>
        <w:rPr>
          <w:rFonts w:ascii="宋体" w:hAnsi="宋体" w:cs="宋体" w:eastAsia="宋体" w:hint="default"/>
          <w:spacing w:val="-54"/>
        </w:rPr>
        <w:t> </w:t>
      </w:r>
      <w:r>
        <w:rPr/>
        <w:t>万元，增资后持有亿连科技</w:t>
      </w:r>
      <w:r>
        <w:rPr>
          <w:spacing w:val="-50"/>
        </w:rPr>
        <w:t> </w:t>
      </w:r>
      <w:r>
        <w:rPr>
          <w:rFonts w:ascii="宋体" w:hAnsi="宋体" w:cs="宋体" w:eastAsia="宋体" w:hint="default"/>
        </w:rPr>
        <w:t>5%</w:t>
      </w:r>
      <w:r>
        <w:rPr/>
        <w:t>的股权。</w:t>
      </w:r>
    </w:p>
    <w:p>
      <w:pPr>
        <w:pStyle w:val="BodyText"/>
        <w:tabs>
          <w:tab w:pos="1057" w:val="left" w:leader="none"/>
        </w:tabs>
        <w:spacing w:line="350" w:lineRule="auto" w:before="126"/>
        <w:ind w:left="218" w:right="239" w:firstLine="419"/>
        <w:jc w:val="left"/>
      </w:pPr>
      <w:r>
        <w:rPr/>
        <w:t>②</w:t>
        <w:tab/>
      </w:r>
      <w:r>
        <w:rPr>
          <w:spacing w:val="-1"/>
        </w:rPr>
        <w:t>股权交割日为增资的工商变更登记日，自股权交割日起，道易按照持股比例享受股东权</w:t>
      </w:r>
      <w:r>
        <w:rPr>
          <w:w w:val="100"/>
        </w:rPr>
        <w:t> </w:t>
      </w:r>
      <w:r>
        <w:rPr/>
        <w:t>益、承担股东义务。</w:t>
      </w:r>
    </w:p>
    <w:p>
      <w:pPr>
        <w:pStyle w:val="BodyText"/>
        <w:spacing w:line="240" w:lineRule="auto" w:before="27"/>
        <w:ind w:left="638" w:right="227"/>
        <w:jc w:val="left"/>
      </w:pPr>
      <w:r>
        <w:rPr/>
        <w:t>亿连科技分别于</w:t>
      </w:r>
      <w:r>
        <w:rPr>
          <w:spacing w:val="-53"/>
        </w:rPr>
        <w:t> </w:t>
      </w:r>
      <w:r>
        <w:rPr>
          <w:rFonts w:ascii="宋体" w:hAnsi="宋体" w:cs="宋体" w:eastAsia="宋体" w:hint="default"/>
        </w:rPr>
        <w:t>2017</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日进行了工商变更，截至</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p>
    <w:p>
      <w:pPr>
        <w:spacing w:line="307" w:lineRule="auto" w:before="126"/>
        <w:ind w:left="218" w:right="2465"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日，上述增资已经完成。</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交易对于少数股东权益及归属于母公司所有者权益的影响</w:t>
      </w:r>
      <w:r>
        <w:rPr>
          <w:rFonts w:ascii="宋体" w:hAnsi="宋体" w:cs="宋体" w:eastAsia="宋体" w:hint="default"/>
          <w:spacing w:val="-1"/>
          <w:sz w:val="21"/>
          <w:szCs w:val="21"/>
        </w:rPr>
        <w:t>：</w:t>
      </w:r>
    </w:p>
    <w:p>
      <w:pPr>
        <w:pStyle w:val="BodyText"/>
        <w:tabs>
          <w:tab w:pos="1060" w:val="left" w:leader="none"/>
        </w:tabs>
        <w:spacing w:line="272" w:lineRule="exact"/>
        <w:ind w:left="218" w:right="2465"/>
        <w:jc w:val="left"/>
      </w:pPr>
      <w:r>
        <w:rPr>
          <w:spacing w:val="-1"/>
        </w:rPr>
        <w:t>√适用</w:t>
        <w:tab/>
      </w:r>
      <w:r>
        <w:rPr>
          <w:spacing w:val="-2"/>
        </w:rPr>
        <w:t>□不适用</w:t>
      </w:r>
    </w:p>
    <w:p>
      <w:pPr>
        <w:pStyle w:val="BodyText"/>
        <w:tabs>
          <w:tab w:pos="1051" w:val="left" w:leader="none"/>
        </w:tabs>
        <w:spacing w:line="274"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39"/>
        <w:gridCol w:w="3411"/>
      </w:tblGrid>
      <w:tr>
        <w:trPr>
          <w:trHeight w:val="284" w:hRule="exact"/>
        </w:trPr>
        <w:tc>
          <w:tcPr>
            <w:tcW w:w="5639"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亿连科技</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125,000,000.00</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125,000,000.00</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125,000,000.00</w:t>
            </w:r>
          </w:p>
        </w:tc>
      </w:tr>
      <w:tr>
        <w:trPr>
          <w:trHeight w:val="281"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处置的股权比例计算的子公司净资产份额</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3,333,333.33</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121,666,666.67</w:t>
            </w:r>
          </w:p>
        </w:tc>
      </w:tr>
      <w:tr>
        <w:trPr>
          <w:trHeight w:val="283" w:hRule="exact"/>
        </w:trPr>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84,898,206.91</w:t>
            </w:r>
          </w:p>
        </w:tc>
      </w:tr>
    </w:tbl>
    <w:p>
      <w:pPr>
        <w:spacing w:after="0" w:line="241" w:lineRule="exact"/>
        <w:jc w:val="right"/>
        <w:rPr>
          <w:rFonts w:ascii="宋体" w:hAnsi="宋体" w:cs="宋体" w:eastAsia="宋体" w:hint="default"/>
          <w:sz w:val="21"/>
          <w:szCs w:val="21"/>
        </w:rPr>
        <w:sectPr>
          <w:footerReference w:type="default" r:id="rId92"/>
          <w:pgSz w:w="11910" w:h="16840"/>
          <w:pgMar w:footer="1195" w:header="0" w:top="1120" w:bottom="1380" w:left="1580" w:right="1040"/>
          <w:pgNumType w:start="161"/>
        </w:sectPr>
      </w:pPr>
    </w:p>
    <w:p>
      <w:pPr>
        <w:pStyle w:val="BodyText"/>
        <w:spacing w:line="239" w:lineRule="exact"/>
        <w:ind w:left="218" w:right="-18"/>
        <w:jc w:val="left"/>
      </w:pPr>
      <w:r>
        <w:rPr/>
        <w:t>其他说明</w:t>
      </w:r>
    </w:p>
    <w:p>
      <w:pPr>
        <w:pStyle w:val="BodyText"/>
        <w:spacing w:line="273" w:lineRule="exact"/>
        <w:ind w:left="218" w:right="-18"/>
        <w:jc w:val="left"/>
      </w:pPr>
      <w:r>
        <w:rPr/>
        <w:t>□适用</w:t>
      </w:r>
      <w:r>
        <w:rPr>
          <w:spacing w:val="-1"/>
        </w:rPr>
        <w:t> </w:t>
      </w:r>
      <w:r>
        <w:rPr/>
        <w:t>√不适用</w:t>
      </w:r>
    </w:p>
    <w:p>
      <w:pPr>
        <w:pStyle w:val="Heading3"/>
        <w:spacing w:line="240" w:lineRule="auto" w:before="58"/>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218" w:right="-18"/>
        <w:jc w:val="left"/>
      </w:pPr>
      <w:r>
        <w:rPr/>
        <w:t>√适用</w:t>
      </w:r>
      <w:r>
        <w:rPr>
          <w:spacing w:val="-1"/>
        </w:rPr>
        <w:t> </w:t>
      </w:r>
      <w:r>
        <w:rPr/>
        <w:t>□不适用</w:t>
      </w:r>
    </w:p>
    <w:p>
      <w:pPr>
        <w:pStyle w:val="Heading3"/>
        <w:tabs>
          <w:tab w:pos="849" w:val="left" w:leader="none"/>
        </w:tabs>
        <w:spacing w:line="240" w:lineRule="auto" w:before="59"/>
        <w:ind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1060" w:val="left" w:leader="none"/>
        </w:tabs>
        <w:spacing w:line="240" w:lineRule="auto" w:before="56"/>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269"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037"/>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28"/>
        <w:gridCol w:w="1253"/>
        <w:gridCol w:w="1707"/>
        <w:gridCol w:w="994"/>
        <w:gridCol w:w="853"/>
        <w:gridCol w:w="1709"/>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23" w:right="110"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1207"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1707"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1"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709" w:type="dxa"/>
            <w:vMerge/>
            <w:tcBorders>
              <w:left w:val="single" w:sz="4" w:space="0" w:color="000000"/>
              <w:bottom w:val="single" w:sz="4" w:space="0" w:color="000000"/>
              <w:right w:val="single" w:sz="4" w:space="0" w:color="000000"/>
            </w:tcBorders>
          </w:tcPr>
          <w:p>
            <w:pPr/>
          </w:p>
        </w:tc>
      </w:tr>
      <w:tr>
        <w:trPr>
          <w:trHeight w:val="28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新华智云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大数据开发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40.80</w:t>
            </w:r>
          </w:p>
        </w:tc>
        <w:tc>
          <w:tcPr>
            <w:tcW w:w="85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新华康美</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医疗搜索引擎、</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医疗健康信息服</w:t>
            </w:r>
            <w:r>
              <w:rPr>
                <w:rFonts w:ascii="宋体" w:hAnsi="宋体" w:cs="宋体" w:eastAsia="宋体" w:hint="default"/>
                <w:spacing w:val="-83"/>
                <w:sz w:val="21"/>
                <w:szCs w:val="21"/>
              </w:rPr>
              <w:t> </w:t>
            </w:r>
            <w:r>
              <w:rPr>
                <w:rFonts w:ascii="宋体" w:hAnsi="宋体" w:cs="宋体" w:eastAsia="宋体" w:hint="default"/>
                <w:sz w:val="21"/>
                <w:szCs w:val="21"/>
              </w:rPr>
              <w:t>务、医疗健康产</w:t>
            </w:r>
            <w:r>
              <w:rPr>
                <w:rFonts w:ascii="宋体" w:hAnsi="宋体" w:cs="宋体" w:eastAsia="宋体" w:hint="default"/>
                <w:spacing w:val="-83"/>
                <w:sz w:val="21"/>
                <w:szCs w:val="21"/>
              </w:rPr>
              <w:t> </w:t>
            </w:r>
            <w:r>
              <w:rPr>
                <w:rFonts w:ascii="宋体" w:hAnsi="宋体" w:cs="宋体" w:eastAsia="宋体" w:hint="default"/>
                <w:sz w:val="21"/>
                <w:szCs w:val="21"/>
              </w:rPr>
              <w:t>品研发等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43.00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30"/>
              <w:jc w:val="righ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新彩华章</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z w:val="21"/>
                <w:szCs w:val="21"/>
              </w:rPr>
              <w:t>技术开发、技术</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12"/>
                <w:w w:val="100"/>
                <w:sz w:val="21"/>
                <w:szCs w:val="21"/>
              </w:rPr>
              <w:t>推广、技术转让、</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技术咨询、技术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0"/>
              <w:jc w:val="righ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07"/>
        <w:gridCol w:w="1328"/>
        <w:gridCol w:w="1253"/>
        <w:gridCol w:w="1707"/>
        <w:gridCol w:w="994"/>
        <w:gridCol w:w="853"/>
        <w:gridCol w:w="1709"/>
      </w:tblGrid>
      <w:tr>
        <w:trPr>
          <w:trHeight w:val="284" w:hRule="exact"/>
        </w:trPr>
        <w:tc>
          <w:tcPr>
            <w:tcW w:w="120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服务等</w:t>
            </w: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海南亿连</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hAnsi="宋体" w:cs="宋体" w:eastAsia="宋体" w:hint="default"/>
                <w:sz w:val="21"/>
                <w:szCs w:val="21"/>
              </w:rPr>
              <w:t>海南</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计算机数据技术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w:t>
            </w:r>
          </w:p>
        </w:tc>
        <w:tc>
          <w:tcPr>
            <w:tcW w:w="99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40.00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0" w:lineRule="auto" w:before="74"/>
        <w:ind w:left="638" w:right="123"/>
        <w:jc w:val="left"/>
        <w:rPr>
          <w:rFonts w:ascii="宋体" w:hAnsi="宋体" w:cs="宋体" w:eastAsia="宋体" w:hint="default"/>
        </w:rPr>
      </w:pPr>
      <w:r>
        <w:rPr/>
        <w:t>注：本公司于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月与杭州阿里创业投资有限公司（简称“阿里创投”）等</w:t>
      </w:r>
      <w:r>
        <w:rPr>
          <w:spacing w:val="-53"/>
        </w:rPr>
        <w:t> </w:t>
      </w:r>
      <w:r>
        <w:rPr>
          <w:rFonts w:ascii="宋体" w:hAnsi="宋体" w:cs="宋体" w:eastAsia="宋体" w:hint="default"/>
        </w:rPr>
        <w:t>4</w:t>
      </w:r>
      <w:r>
        <w:rPr>
          <w:rFonts w:ascii="宋体" w:hAnsi="宋体" w:cs="宋体" w:eastAsia="宋体" w:hint="default"/>
          <w:spacing w:val="-55"/>
        </w:rPr>
        <w:t> </w:t>
      </w:r>
      <w:r>
        <w:rPr/>
        <w:t>家公司</w:t>
      </w:r>
      <w:r>
        <w:rPr>
          <w:rFonts w:ascii="宋体" w:hAnsi="宋体" w:cs="宋体" w:eastAsia="宋体" w:hint="default"/>
        </w:rPr>
        <w:t>/</w:t>
      </w:r>
    </w:p>
    <w:p>
      <w:pPr>
        <w:pStyle w:val="BodyText"/>
        <w:spacing w:line="350" w:lineRule="auto" w:before="126"/>
        <w:ind w:left="218" w:right="227"/>
        <w:jc w:val="both"/>
      </w:pPr>
      <w:r>
        <w:rPr>
          <w:spacing w:val="-11"/>
          <w:w w:val="100"/>
        </w:rPr>
        <w:t>企业签订投资合作协议，成立新华智云。注册资本</w:t>
      </w:r>
      <w:r>
        <w:rPr>
          <w:spacing w:val="-66"/>
          <w:w w:val="100"/>
        </w:rPr>
        <w:t> </w:t>
      </w:r>
      <w:r>
        <w:rPr>
          <w:rFonts w:ascii="宋体" w:hAnsi="宋体" w:cs="宋体" w:eastAsia="宋体" w:hint="default"/>
          <w:spacing w:val="-1"/>
          <w:w w:val="100"/>
        </w:rPr>
        <w:t>49,019.6079</w:t>
      </w:r>
      <w:r>
        <w:rPr>
          <w:rFonts w:ascii="宋体" w:hAnsi="宋体" w:cs="宋体" w:eastAsia="宋体" w:hint="default"/>
          <w:spacing w:val="-65"/>
          <w:w w:val="100"/>
        </w:rPr>
        <w:t> </w:t>
      </w:r>
      <w:r>
        <w:rPr>
          <w:spacing w:val="-11"/>
          <w:w w:val="100"/>
        </w:rPr>
        <w:t>万元元，其中新华网认缴</w:t>
      </w:r>
      <w:r>
        <w:rPr>
          <w:spacing w:val="-62"/>
          <w:w w:val="100"/>
        </w:rPr>
        <w:t> </w:t>
      </w:r>
      <w:r>
        <w:rPr>
          <w:rFonts w:ascii="宋体" w:hAnsi="宋体" w:cs="宋体" w:eastAsia="宋体" w:hint="default"/>
          <w:spacing w:val="-1"/>
          <w:w w:val="100"/>
        </w:rPr>
        <w:t>20,000.00</w:t>
      </w:r>
      <w:r>
        <w:rPr>
          <w:rFonts w:ascii="宋体" w:hAnsi="宋体" w:cs="宋体" w:eastAsia="宋体" w:hint="default"/>
          <w:spacing w:val="-103"/>
          <w:w w:val="100"/>
        </w:rPr>
        <w:t> </w:t>
      </w:r>
      <w:r>
        <w:rPr>
          <w:rFonts w:ascii="宋体" w:hAnsi="宋体" w:cs="宋体" w:eastAsia="宋体" w:hint="default"/>
          <w:spacing w:val="-103"/>
          <w:w w:val="100"/>
        </w:rPr>
      </w:r>
      <w:r>
        <w:rPr>
          <w:spacing w:val="-3"/>
        </w:rPr>
        <w:t>万元元，股权比例 </w:t>
      </w:r>
      <w:r>
        <w:rPr>
          <w:rFonts w:ascii="宋体" w:hAnsi="宋体" w:cs="宋体" w:eastAsia="宋体" w:hint="default"/>
          <w:spacing w:val="-3"/>
        </w:rPr>
        <w:t>40.80%</w:t>
      </w:r>
      <w:r>
        <w:rPr>
          <w:spacing w:val="-3"/>
        </w:rPr>
        <w:t>。根据协议约定，本公司与阿里创投共同控制新华智云，本公司将该投</w:t>
      </w:r>
      <w:r>
        <w:rPr>
          <w:spacing w:val="-73"/>
        </w:rPr>
        <w:t> </w:t>
      </w:r>
      <w:r>
        <w:rPr>
          <w:spacing w:val="-73"/>
        </w:rPr>
      </w:r>
      <w:r>
        <w:rPr>
          <w:spacing w:val="-12"/>
          <w:w w:val="100"/>
        </w:rPr>
        <w:t>资确认为长期股权投资，以权益法核算。截至</w:t>
      </w:r>
      <w:r>
        <w:rPr>
          <w:spacing w:val="-58"/>
          <w:w w:val="100"/>
        </w:rPr>
        <w:t> </w:t>
      </w:r>
      <w:r>
        <w:rPr>
          <w:rFonts w:ascii="宋体" w:hAnsi="宋体" w:cs="宋体" w:eastAsia="宋体" w:hint="default"/>
          <w:spacing w:val="-2"/>
          <w:w w:val="100"/>
        </w:rPr>
        <w:t>2017</w:t>
      </w:r>
      <w:r>
        <w:rPr>
          <w:rFonts w:ascii="宋体" w:hAnsi="宋体" w:cs="宋体" w:eastAsia="宋体" w:hint="default"/>
          <w:spacing w:val="-60"/>
          <w:w w:val="100"/>
        </w:rPr>
        <w:t> </w:t>
      </w:r>
      <w:r>
        <w:rPr>
          <w:w w:val="100"/>
        </w:rPr>
        <w:t>年</w:t>
      </w:r>
      <w:r>
        <w:rPr>
          <w:spacing w:val="-57"/>
          <w:w w:val="100"/>
        </w:rPr>
        <w:t> </w:t>
      </w:r>
      <w:r>
        <w:rPr>
          <w:rFonts w:ascii="宋体" w:hAnsi="宋体" w:cs="宋体" w:eastAsia="宋体" w:hint="default"/>
          <w:spacing w:val="-2"/>
          <w:w w:val="100"/>
        </w:rPr>
        <w:t>12</w:t>
      </w:r>
      <w:r>
        <w:rPr>
          <w:rFonts w:ascii="宋体" w:hAnsi="宋体" w:cs="宋体" w:eastAsia="宋体" w:hint="default"/>
          <w:spacing w:val="-60"/>
          <w:w w:val="100"/>
        </w:rPr>
        <w:t> </w:t>
      </w:r>
      <w:r>
        <w:rPr>
          <w:w w:val="100"/>
        </w:rPr>
        <w:t>月</w:t>
      </w:r>
      <w:r>
        <w:rPr>
          <w:spacing w:val="-57"/>
          <w:w w:val="100"/>
        </w:rPr>
        <w:t> </w:t>
      </w:r>
      <w:r>
        <w:rPr>
          <w:rFonts w:ascii="宋体" w:hAnsi="宋体" w:cs="宋体" w:eastAsia="宋体" w:hint="default"/>
          <w:spacing w:val="-2"/>
          <w:w w:val="100"/>
        </w:rPr>
        <w:t>31</w:t>
      </w:r>
      <w:r>
        <w:rPr>
          <w:rFonts w:ascii="宋体" w:hAnsi="宋体" w:cs="宋体" w:eastAsia="宋体" w:hint="default"/>
          <w:spacing w:val="-57"/>
          <w:w w:val="100"/>
        </w:rPr>
        <w:t> </w:t>
      </w:r>
      <w:r>
        <w:rPr>
          <w:spacing w:val="-13"/>
          <w:w w:val="100"/>
        </w:rPr>
        <w:t>日，本公司实缴出资</w:t>
      </w:r>
      <w:r>
        <w:rPr>
          <w:spacing w:val="-57"/>
          <w:w w:val="100"/>
        </w:rPr>
        <w:t> </w:t>
      </w:r>
      <w:r>
        <w:rPr>
          <w:rFonts w:ascii="宋体" w:hAnsi="宋体" w:cs="宋体" w:eastAsia="宋体" w:hint="default"/>
          <w:spacing w:val="-1"/>
          <w:w w:val="100"/>
        </w:rPr>
        <w:t>130,000,000.00</w:t>
      </w:r>
      <w:r>
        <w:rPr>
          <w:rFonts w:ascii="宋体" w:hAnsi="宋体" w:cs="宋体" w:eastAsia="宋体" w:hint="default"/>
          <w:w w:val="100"/>
        </w:rPr>
        <w:t> </w:t>
      </w:r>
      <w:r>
        <w:rPr/>
        <w:t>元。</w:t>
      </w:r>
    </w:p>
    <w:p>
      <w:pPr>
        <w:pStyle w:val="BodyText"/>
        <w:spacing w:line="194" w:lineRule="exact"/>
        <w:ind w:left="218" w:right="0"/>
        <w:jc w:val="both"/>
      </w:pPr>
      <w:r>
        <w:rPr/>
        <w:t>在合营企业或联营企业的持股比例不同于表决权比例的说明：无</w:t>
      </w:r>
    </w:p>
    <w:p>
      <w:pPr>
        <w:tabs>
          <w:tab w:pos="849" w:val="left" w:leader="none"/>
        </w:tabs>
        <w:spacing w:line="292" w:lineRule="auto" w:before="0"/>
        <w:ind w:left="218" w:right="348" w:firstLine="0"/>
        <w:jc w:val="left"/>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58"/>
          <w:sz w:val="21"/>
          <w:szCs w:val="21"/>
        </w:rPr>
        <w:t> </w:t>
      </w:r>
      <w:r>
        <w:rPr>
          <w:rFonts w:ascii="宋体" w:hAnsi="宋体" w:cs="宋体" w:eastAsia="宋体" w:hint="default"/>
          <w:sz w:val="21"/>
          <w:szCs w:val="21"/>
        </w:rPr>
        <w:t>20%</w:t>
      </w:r>
      <w:r>
        <w:rPr>
          <w:rFonts w:ascii="宋体" w:hAnsi="宋体" w:cs="宋体" w:eastAsia="宋体" w:hint="default"/>
          <w:sz w:val="21"/>
          <w:szCs w:val="21"/>
        </w:rPr>
        <w:t>以下表决权但具有重大影响，或者持有</w:t>
      </w:r>
      <w:r>
        <w:rPr>
          <w:rFonts w:ascii="宋体" w:hAnsi="宋体" w:cs="宋体" w:eastAsia="宋体" w:hint="default"/>
          <w:spacing w:val="-58"/>
          <w:sz w:val="21"/>
          <w:szCs w:val="21"/>
        </w:rPr>
        <w:t> </w:t>
      </w:r>
      <w:r>
        <w:rPr>
          <w:rFonts w:ascii="宋体" w:hAnsi="宋体" w:cs="宋体" w:eastAsia="宋体" w:hint="default"/>
          <w:sz w:val="21"/>
          <w:szCs w:val="21"/>
        </w:rPr>
        <w:t>20%</w:t>
      </w:r>
      <w:r>
        <w:rPr>
          <w:rFonts w:ascii="宋体" w:hAnsi="宋体" w:cs="宋体" w:eastAsia="宋体" w:hint="default"/>
          <w:sz w:val="21"/>
          <w:szCs w:val="21"/>
        </w:rPr>
        <w:t>或以上表决权但不具有重大影响的依据：无</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pStyle w:val="BodyText"/>
        <w:spacing w:line="240" w:lineRule="auto" w:before="10"/>
        <w:ind w:left="218" w:right="0"/>
        <w:jc w:val="both"/>
      </w:pPr>
      <w:r>
        <w:rPr/>
        <w:t>√适用</w:t>
      </w:r>
      <w:r>
        <w:rPr>
          <w:spacing w:val="104"/>
        </w:rPr>
        <w:t> </w:t>
      </w:r>
      <w:r>
        <w:rPr/>
        <w:t>□不适用</w:t>
      </w:r>
    </w:p>
    <w:p>
      <w:pPr>
        <w:pStyle w:val="BodyText"/>
        <w:tabs>
          <w:tab w:pos="1051" w:val="left" w:leader="none"/>
        </w:tabs>
        <w:spacing w:line="274"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94"/>
        <w:gridCol w:w="2494"/>
        <w:gridCol w:w="2561"/>
      </w:tblGrid>
      <w:tr>
        <w:trPr>
          <w:trHeight w:val="286" w:hRule="exact"/>
        </w:trPr>
        <w:tc>
          <w:tcPr>
            <w:tcW w:w="3994" w:type="dxa"/>
            <w:vMerge w:val="restart"/>
            <w:tcBorders>
              <w:top w:val="single" w:sz="4" w:space="0" w:color="000000"/>
              <w:left w:val="single" w:sz="4" w:space="0" w:color="000000"/>
              <w:right w:val="single" w:sz="6" w:space="0" w:color="000000"/>
            </w:tcBorders>
          </w:tcPr>
          <w:p>
            <w:pPr/>
          </w:p>
        </w:tc>
        <w:tc>
          <w:tcPr>
            <w:tcW w:w="249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256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286" w:hRule="exact"/>
        </w:trPr>
        <w:tc>
          <w:tcPr>
            <w:tcW w:w="3994" w:type="dxa"/>
            <w:vMerge/>
            <w:tcBorders>
              <w:left w:val="single" w:sz="4" w:space="0" w:color="000000"/>
              <w:bottom w:val="single" w:sz="6" w:space="0" w:color="000000"/>
              <w:right w:val="single" w:sz="6" w:space="0" w:color="000000"/>
            </w:tcBorders>
          </w:tcPr>
          <w:p>
            <w:pP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新华智云</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新华智云</w:t>
            </w: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463,296,943.63</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158,560,218.73</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4,696,637.42</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467,993,581.05</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11,921,801.49</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11,921,801.49</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456,071,779.56</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156,947,326.00</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156,947,326.00</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94" w:type="dxa"/>
            <w:tcBorders>
              <w:top w:val="single" w:sz="6" w:space="0" w:color="000000"/>
              <w:left w:val="single" w:sz="4" w:space="0" w:color="000000"/>
              <w:bottom w:val="single" w:sz="6" w:space="0" w:color="000000"/>
              <w:right w:val="single" w:sz="6" w:space="0" w:color="000000"/>
            </w:tcBorders>
          </w:tcPr>
          <w:p>
            <w:pP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-6,202,385.23</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-24,928,220.44</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-24,928,220.44</w:t>
            </w: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94" w:type="dxa"/>
            <w:tcBorders>
              <w:top w:val="single" w:sz="6" w:space="0" w:color="000000"/>
              <w:left w:val="single" w:sz="4" w:space="0" w:color="000000"/>
              <w:bottom w:val="single" w:sz="6" w:space="0" w:color="000000"/>
              <w:right w:val="single" w:sz="6" w:space="0" w:color="000000"/>
            </w:tcBorders>
          </w:tcPr>
          <w:p>
            <w:pPr/>
          </w:p>
        </w:tc>
        <w:tc>
          <w:tcPr>
            <w:tcW w:w="2494"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9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494" w:type="dxa"/>
            <w:tcBorders>
              <w:top w:val="single" w:sz="6" w:space="0" w:color="000000"/>
              <w:left w:val="single" w:sz="6" w:space="0" w:color="000000"/>
              <w:bottom w:val="single" w:sz="4" w:space="0" w:color="000000"/>
              <w:right w:val="single" w:sz="6" w:space="0" w:color="000000"/>
            </w:tcBorders>
          </w:tcPr>
          <w:p>
            <w:pPr/>
          </w:p>
        </w:tc>
        <w:tc>
          <w:tcPr>
            <w:tcW w:w="2561"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BodyText"/>
        <w:spacing w:line="240" w:lineRule="auto" w:before="36"/>
        <w:ind w:left="218" w:right="2516"/>
        <w:jc w:val="left"/>
      </w:pPr>
      <w:r>
        <w:rPr>
          <w:spacing w:val="-1"/>
        </w:rPr>
        <w:t>其他说明</w:t>
      </w:r>
      <w:r>
        <w:rPr>
          <w:spacing w:val="-100"/>
        </w:rPr>
        <w:t> </w:t>
      </w:r>
      <w:r>
        <w:rPr>
          <w:spacing w:val="-100"/>
        </w:rPr>
      </w:r>
      <w:r>
        <w:rPr/>
        <w:t>无</w:t>
      </w:r>
    </w:p>
    <w:p>
      <w:pPr>
        <w:pStyle w:val="Heading3"/>
        <w:tabs>
          <w:tab w:pos="849" w:val="left" w:leader="none"/>
        </w:tabs>
        <w:spacing w:line="240" w:lineRule="auto" w:before="56"/>
        <w:ind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060" w:val="left" w:leader="none"/>
        </w:tabs>
        <w:spacing w:line="240" w:lineRule="auto" w:before="58"/>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1" w:space="2828"/>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685"/>
        <w:gridCol w:w="1582"/>
        <w:gridCol w:w="1688"/>
        <w:gridCol w:w="1579"/>
      </w:tblGrid>
      <w:tr>
        <w:trPr>
          <w:trHeight w:val="283" w:hRule="exact"/>
        </w:trPr>
        <w:tc>
          <w:tcPr>
            <w:tcW w:w="2516" w:type="dxa"/>
            <w:vMerge w:val="restart"/>
            <w:tcBorders>
              <w:top w:val="single" w:sz="4" w:space="0" w:color="000000"/>
              <w:left w:val="single" w:sz="4" w:space="0" w:color="000000"/>
              <w:right w:val="single" w:sz="6" w:space="0" w:color="000000"/>
            </w:tcBorders>
          </w:tcPr>
          <w:p>
            <w:pPr/>
          </w:p>
        </w:tc>
        <w:tc>
          <w:tcPr>
            <w:tcW w:w="326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326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288" w:hRule="exact"/>
        </w:trPr>
        <w:tc>
          <w:tcPr>
            <w:tcW w:w="2516" w:type="dxa"/>
            <w:vMerge/>
            <w:tcBorders>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新彩华章</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106,427,151.32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15,551,414.63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112,940,871.98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14,015,736.71</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7,492,635.68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246,004.65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2,240,219.54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358,928.71</w:t>
            </w: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113,919,787.00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15,797,419.28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115,181,091.52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14,374,665.42</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198,384.96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975,368.62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316,724.49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111,881.91</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198,384.96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975,368.62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316,724.49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111,881.91</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113,721,402.04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14,822,050.66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114,864,367.03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14,262,783.51</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48,900,202.87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5,928,820.26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49,391,677.82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5,705,113.40</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48,900,202.87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5,928,820.26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49,391,677.82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5,705,113.40</w:t>
            </w:r>
          </w:p>
        </w:tc>
      </w:tr>
      <w:tr>
        <w:trPr>
          <w:trHeight w:val="562"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业权益投资的公允价值</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2,830,188.68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7,879,949.48</w:t>
            </w: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1,768,530.06</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-1,142,964.99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559,267.15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-4,323,749.41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-5,743,462.71</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-1,142,964.99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559,267.15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-4,323,749.41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-5,743,462.71</w:t>
            </w:r>
          </w:p>
        </w:tc>
      </w:tr>
      <w:tr>
        <w:trPr>
          <w:trHeight w:val="289"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516"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企业的股利</w:t>
            </w:r>
          </w:p>
        </w:tc>
        <w:tc>
          <w:tcPr>
            <w:tcW w:w="1685"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688" w:type="dxa"/>
            <w:tcBorders>
              <w:top w:val="single" w:sz="6" w:space="0" w:color="000000"/>
              <w:left w:val="single" w:sz="6" w:space="0" w:color="000000"/>
              <w:bottom w:val="single" w:sz="4" w:space="0" w:color="000000"/>
              <w:right w:val="single" w:sz="6" w:space="0" w:color="000000"/>
            </w:tcBorders>
          </w:tcPr>
          <w:p>
            <w:pPr/>
          </w:p>
        </w:tc>
        <w:tc>
          <w:tcPr>
            <w:tcW w:w="1579" w:type="dxa"/>
            <w:tcBorders>
              <w:top w:val="single" w:sz="6" w:space="0" w:color="000000"/>
              <w:left w:val="single" w:sz="6" w:space="0" w:color="000000"/>
              <w:bottom w:val="single" w:sz="4" w:space="0" w:color="000000"/>
              <w:right w:val="single" w:sz="6" w:space="0" w:color="000000"/>
            </w:tcBorders>
          </w:tcPr>
          <w:p>
            <w:pPr/>
          </w:p>
        </w:tc>
      </w:tr>
    </w:tbl>
    <w:p>
      <w:pPr>
        <w:spacing w:after="0"/>
        <w:sectPr>
          <w:type w:val="continuous"/>
          <w:pgSz w:w="11910" w:h="16840"/>
          <w:pgMar w:top="1120" w:bottom="1380" w:left="1580" w:right="1040"/>
        </w:sectPr>
      </w:pPr>
    </w:p>
    <w:p>
      <w:pPr>
        <w:pStyle w:val="BodyText"/>
        <w:spacing w:line="240" w:lineRule="exact"/>
        <w:ind w:left="218" w:right="0"/>
        <w:jc w:val="left"/>
      </w:pPr>
      <w:r>
        <w:rPr/>
        <w:t>其他说明</w:t>
      </w:r>
    </w:p>
    <w:p>
      <w:pPr>
        <w:pStyle w:val="BodyText"/>
        <w:spacing w:line="274" w:lineRule="exact"/>
        <w:ind w:left="218" w:right="0"/>
        <w:jc w:val="left"/>
      </w:pPr>
      <w:r>
        <w:rPr>
          <w:w w:val="100"/>
        </w:rPr>
        <w:t>无</w:t>
      </w:r>
    </w:p>
    <w:p>
      <w:pPr>
        <w:pStyle w:val="Heading3"/>
        <w:tabs>
          <w:tab w:pos="849" w:val="left" w:leader="none"/>
        </w:tabs>
        <w:spacing w:line="240" w:lineRule="auto" w:before="56"/>
        <w:ind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1060" w:val="left" w:leader="none"/>
        </w:tabs>
        <w:spacing w:line="240" w:lineRule="auto" w:before="58"/>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69" w:space="1349"/>
            <w:col w:w="287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96" w:right="0"/>
              <w:jc w:val="left"/>
              <w:rPr>
                <w:rFonts w:ascii="宋体" w:hAnsi="宋体" w:cs="宋体" w:eastAsia="宋体" w:hint="default"/>
                <w:sz w:val="21"/>
                <w:szCs w:val="21"/>
              </w:rPr>
            </w:pPr>
            <w:r>
              <w:rPr>
                <w:rFonts w:ascii="宋体"/>
                <w:sz w:val="21"/>
              </w:rPr>
              <w:t>9,067,516.73</w:t>
            </w: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-660,715.92</w:t>
            </w: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-660,715.92</w:t>
            </w:r>
          </w:p>
        </w:tc>
        <w:tc>
          <w:tcPr>
            <w:tcW w:w="30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8" w:right="0"/>
        <w:jc w:val="both"/>
      </w:pPr>
      <w:r>
        <w:rPr/>
        <w:t>其他说明：无</w:t>
      </w:r>
    </w:p>
    <w:p>
      <w:pPr>
        <w:pStyle w:val="Heading3"/>
        <w:spacing w:line="240" w:lineRule="auto" w:before="56"/>
        <w:ind w:right="0"/>
        <w:jc w:val="both"/>
        <w:rPr>
          <w:b w:val="0"/>
          <w:bCs w:val="0"/>
        </w:rPr>
      </w:pPr>
      <w:r>
        <w:rPr>
          <w:rFonts w:ascii="宋体" w:hAnsi="宋体" w:cs="宋体" w:eastAsia="宋体" w:hint="default"/>
        </w:rPr>
        <w:t>(5).</w:t>
      </w:r>
      <w:r>
        <w:rPr>
          <w:rFonts w:ascii="宋体" w:hAnsi="宋体" w:cs="宋体" w:eastAsia="宋体" w:hint="default"/>
          <w:spacing w:val="101"/>
        </w:rPr>
        <w:t> </w:t>
      </w:r>
      <w:r>
        <w:rPr/>
        <w:t>合营企业或联营企业向本公司转移资金的能力存在重大限制的说明：</w:t>
      </w:r>
      <w:r>
        <w:rPr>
          <w:b w:val="0"/>
          <w:bCs w:val="0"/>
        </w:rPr>
      </w:r>
    </w:p>
    <w:p>
      <w:pPr>
        <w:pStyle w:val="BodyText"/>
        <w:spacing w:line="240" w:lineRule="auto" w:before="56"/>
        <w:ind w:left="218" w:right="0"/>
        <w:jc w:val="both"/>
      </w:pPr>
      <w:r>
        <w:rPr/>
        <w:t>□适用</w:t>
      </w:r>
      <w:r>
        <w:rPr>
          <w:spacing w:val="104"/>
        </w:rPr>
        <w:t> </w:t>
      </w:r>
      <w:r>
        <w:rPr/>
        <w:t>√不适用</w:t>
      </w:r>
    </w:p>
    <w:p>
      <w:pPr>
        <w:pStyle w:val="Heading3"/>
        <w:spacing w:line="240" w:lineRule="auto" w:before="58"/>
        <w:ind w:right="0"/>
        <w:jc w:val="both"/>
        <w:rPr>
          <w:b w:val="0"/>
          <w:bCs w:val="0"/>
        </w:rPr>
      </w:pPr>
      <w:r>
        <w:rPr>
          <w:rFonts w:ascii="宋体" w:hAnsi="宋体" w:cs="宋体" w:eastAsia="宋体" w:hint="default"/>
        </w:rPr>
        <w:t>(6).</w:t>
      </w:r>
      <w:r>
        <w:rPr>
          <w:rFonts w:ascii="宋体" w:hAnsi="宋体" w:cs="宋体" w:eastAsia="宋体" w:hint="default"/>
          <w:spacing w:val="102"/>
        </w:rPr>
        <w:t> </w:t>
      </w:r>
      <w:r>
        <w:rPr/>
        <w:t>合营企业或联营企业发生的超额亏损</w:t>
      </w:r>
      <w:r>
        <w:rPr>
          <w:b w:val="0"/>
          <w:bCs w:val="0"/>
        </w:rPr>
      </w:r>
    </w:p>
    <w:p>
      <w:pPr>
        <w:pStyle w:val="BodyText"/>
        <w:spacing w:line="240" w:lineRule="auto" w:before="56"/>
        <w:ind w:left="21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(7).</w:t>
      </w:r>
      <w:r>
        <w:rPr>
          <w:rFonts w:ascii="宋体" w:hAnsi="宋体" w:cs="宋体" w:eastAsia="宋体" w:hint="default"/>
          <w:spacing w:val="101"/>
        </w:rPr>
        <w:t> </w:t>
      </w:r>
      <w:r>
        <w:rPr/>
        <w:t>与合营企业投资相关的未确认承诺</w:t>
      </w:r>
      <w:r>
        <w:rPr>
          <w:b w:val="0"/>
          <w:bCs w:val="0"/>
        </w:rPr>
      </w:r>
    </w:p>
    <w:p>
      <w:pPr>
        <w:pStyle w:val="BodyText"/>
        <w:spacing w:line="273" w:lineRule="exact" w:before="58"/>
        <w:ind w:left="218" w:right="0"/>
        <w:jc w:val="both"/>
      </w:pPr>
      <w:r>
        <w:rPr/>
        <w:t>√适用</w:t>
      </w:r>
      <w:r>
        <w:rPr>
          <w:spacing w:val="104"/>
        </w:rPr>
        <w:t> </w:t>
      </w:r>
      <w:r>
        <w:rPr/>
        <w:t>□不适用</w:t>
      </w:r>
    </w:p>
    <w:p>
      <w:pPr>
        <w:pStyle w:val="BodyText"/>
        <w:spacing w:line="273" w:lineRule="exact"/>
        <w:ind w:left="638" w:right="227"/>
        <w:jc w:val="left"/>
        <w:rPr>
          <w:rFonts w:ascii="宋体" w:hAnsi="宋体" w:cs="宋体" w:eastAsia="宋体" w:hint="default"/>
        </w:rPr>
      </w:pPr>
      <w:r>
        <w:rPr/>
        <w:t>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月与阿里投资合资成立新华智云，认缴投资总额</w:t>
      </w:r>
      <w:r>
        <w:rPr>
          <w:spacing w:val="-54"/>
        </w:rPr>
        <w:t> </w:t>
      </w:r>
      <w:r>
        <w:rPr>
          <w:rFonts w:ascii="宋体" w:hAnsi="宋体" w:cs="宋体" w:eastAsia="宋体" w:hint="default"/>
        </w:rPr>
        <w:t>2.00</w:t>
      </w:r>
      <w:r>
        <w:rPr>
          <w:rFonts w:ascii="宋体" w:hAnsi="宋体" w:cs="宋体" w:eastAsia="宋体" w:hint="default"/>
          <w:spacing w:val="-53"/>
        </w:rPr>
        <w:t> </w:t>
      </w:r>
      <w:r>
        <w:rPr/>
        <w:t>亿元。截至</w:t>
      </w:r>
      <w:r>
        <w:rPr>
          <w:spacing w:val="-54"/>
        </w:rPr>
        <w:t> </w:t>
      </w:r>
      <w:r>
        <w:rPr>
          <w:rFonts w:ascii="宋体" w:hAnsi="宋体" w:cs="宋体" w:eastAsia="宋体" w:hint="default"/>
        </w:rPr>
        <w:t>2017</w:t>
      </w:r>
    </w:p>
    <w:p>
      <w:pPr>
        <w:pStyle w:val="BodyText"/>
        <w:spacing w:line="272" w:lineRule="exact"/>
        <w:ind w:left="218" w:right="0"/>
        <w:jc w:val="both"/>
        <w:rPr>
          <w:rFonts w:ascii="宋体" w:hAnsi="宋体" w:cs="宋体" w:eastAsia="宋体" w:hint="default"/>
        </w:rPr>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日已出资</w:t>
      </w:r>
      <w:r>
        <w:rPr>
          <w:spacing w:val="-53"/>
        </w:rPr>
        <w:t> </w:t>
      </w:r>
      <w:r>
        <w:rPr>
          <w:rFonts w:ascii="宋体" w:hAnsi="宋体" w:cs="宋体" w:eastAsia="宋体" w:hint="default"/>
        </w:rPr>
        <w:t>1.30</w:t>
      </w:r>
      <w:r>
        <w:rPr>
          <w:rFonts w:ascii="宋体" w:hAnsi="宋体" w:cs="宋体" w:eastAsia="宋体" w:hint="default"/>
          <w:spacing w:val="-55"/>
        </w:rPr>
        <w:t> </w:t>
      </w:r>
      <w:r>
        <w:rPr/>
        <w:t>亿元。根据协议约定，本公司分别应不晚于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2019</w:t>
      </w:r>
    </w:p>
    <w:p>
      <w:pPr>
        <w:pStyle w:val="BodyText"/>
        <w:spacing w:line="273" w:lineRule="exact"/>
        <w:ind w:left="218" w:right="0"/>
        <w:jc w:val="both"/>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日各出资</w:t>
      </w:r>
      <w:r>
        <w:rPr>
          <w:spacing w:val="-53"/>
        </w:rPr>
        <w:t> </w:t>
      </w:r>
      <w:r>
        <w:rPr>
          <w:rFonts w:ascii="宋体" w:hAnsi="宋体" w:cs="宋体" w:eastAsia="宋体" w:hint="default"/>
        </w:rPr>
        <w:t>0.30</w:t>
      </w:r>
      <w:r>
        <w:rPr>
          <w:rFonts w:ascii="宋体" w:hAnsi="宋体" w:cs="宋体" w:eastAsia="宋体" w:hint="default"/>
          <w:spacing w:val="-55"/>
        </w:rPr>
        <w:t> </w:t>
      </w:r>
      <w:r>
        <w:rPr/>
        <w:t>亿元、</w:t>
      </w:r>
      <w:r>
        <w:rPr>
          <w:rFonts w:ascii="宋体" w:hAnsi="宋体" w:cs="宋体" w:eastAsia="宋体" w:hint="default"/>
        </w:rPr>
        <w:t>0.40</w:t>
      </w:r>
      <w:r>
        <w:rPr>
          <w:rFonts w:ascii="宋体" w:hAnsi="宋体" w:cs="宋体" w:eastAsia="宋体" w:hint="default"/>
          <w:spacing w:val="-53"/>
        </w:rPr>
        <w:t> </w:t>
      </w:r>
      <w:r>
        <w:rPr/>
        <w:t>亿元。</w:t>
      </w:r>
    </w:p>
    <w:p>
      <w:pPr>
        <w:pStyle w:val="Heading3"/>
        <w:spacing w:line="240" w:lineRule="auto" w:before="58"/>
        <w:ind w:right="0"/>
        <w:jc w:val="both"/>
        <w:rPr>
          <w:b w:val="0"/>
          <w:bCs w:val="0"/>
        </w:rPr>
      </w:pPr>
      <w:r>
        <w:rPr>
          <w:rFonts w:ascii="宋体" w:hAnsi="宋体" w:cs="宋体" w:eastAsia="宋体" w:hint="default"/>
        </w:rPr>
        <w:t>(8).</w:t>
      </w:r>
      <w:r>
        <w:rPr>
          <w:rFonts w:ascii="宋体" w:hAnsi="宋体" w:cs="宋体" w:eastAsia="宋体" w:hint="default"/>
          <w:spacing w:val="103"/>
        </w:rPr>
        <w:t> </w:t>
      </w:r>
      <w:r>
        <w:rPr/>
        <w:t>与合营企业或联营企业投资相关的或有负债</w:t>
      </w:r>
      <w:r>
        <w:rPr>
          <w:b w:val="0"/>
          <w:bCs w:val="0"/>
        </w:rPr>
      </w:r>
    </w:p>
    <w:p>
      <w:pPr>
        <w:tabs>
          <w:tab w:pos="1060" w:val="left" w:leader="none"/>
        </w:tabs>
        <w:spacing w:line="290" w:lineRule="auto" w:before="56"/>
        <w:ind w:left="218" w:right="716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重要的共同经营</w:t>
      </w:r>
      <w:r>
        <w:rPr>
          <w:rFonts w:ascii="宋体" w:hAnsi="宋体" w:cs="宋体" w:eastAsia="宋体" w:hint="default"/>
          <w:sz w:val="21"/>
          <w:szCs w:val="21"/>
        </w:rPr>
      </w:r>
    </w:p>
    <w:p>
      <w:pPr>
        <w:pStyle w:val="BodyText"/>
        <w:spacing w:line="240" w:lineRule="auto" w:before="12"/>
        <w:ind w:left="218" w:right="0"/>
        <w:jc w:val="both"/>
      </w:pPr>
      <w:r>
        <w:rPr/>
        <w:t>□适用</w:t>
      </w:r>
      <w:r>
        <w:rPr>
          <w:spacing w:val="-1"/>
        </w:rPr>
        <w:t> </w:t>
      </w:r>
      <w:r>
        <w:rPr/>
        <w:t>√不适用</w:t>
      </w:r>
    </w:p>
    <w:p>
      <w:pPr>
        <w:spacing w:line="290" w:lineRule="auto" w:before="58"/>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left="218" w:right="0"/>
        <w:jc w:val="both"/>
      </w:pPr>
      <w:r>
        <w:rPr/>
        <w:t>√适用</w:t>
      </w:r>
      <w:r>
        <w:rPr>
          <w:spacing w:val="-1"/>
        </w:rPr>
        <w:t> </w:t>
      </w:r>
      <w:r>
        <w:rPr/>
        <w:t>□不适用</w:t>
      </w:r>
    </w:p>
    <w:p>
      <w:pPr>
        <w:pStyle w:val="BodyText"/>
        <w:spacing w:line="240" w:lineRule="auto" w:before="104"/>
        <w:ind w:left="638" w:right="123"/>
        <w:jc w:val="left"/>
      </w:pPr>
      <w:r>
        <w:rPr>
          <w:rFonts w:ascii="宋体" w:hAnsi="宋体" w:cs="宋体" w:eastAsia="宋体" w:hint="default"/>
        </w:rPr>
        <w:t>2017</w:t>
      </w:r>
      <w:r>
        <w:rPr>
          <w:rFonts w:ascii="宋体" w:hAnsi="宋体" w:cs="宋体" w:eastAsia="宋体" w:hint="default"/>
          <w:spacing w:val="-44"/>
        </w:rPr>
        <w:t> </w:t>
      </w:r>
      <w:r>
        <w:rPr/>
        <w:t>年</w:t>
      </w:r>
      <w:r>
        <w:rPr>
          <w:spacing w:val="-42"/>
        </w:rPr>
        <w:t> </w:t>
      </w:r>
      <w:r>
        <w:rPr>
          <w:rFonts w:ascii="宋体" w:hAnsi="宋体" w:cs="宋体" w:eastAsia="宋体" w:hint="default"/>
        </w:rPr>
        <w:t>9</w:t>
      </w:r>
      <w:r>
        <w:rPr>
          <w:rFonts w:ascii="宋体" w:hAnsi="宋体" w:cs="宋体" w:eastAsia="宋体" w:hint="default"/>
          <w:spacing w:val="-44"/>
        </w:rPr>
        <w:t> </w:t>
      </w:r>
      <w:r>
        <w:rPr/>
        <w:t>月</w:t>
      </w:r>
      <w:r>
        <w:rPr>
          <w:spacing w:val="-42"/>
        </w:rPr>
        <w:t> </w:t>
      </w:r>
      <w:r>
        <w:rPr>
          <w:rFonts w:ascii="宋体" w:hAnsi="宋体" w:cs="宋体" w:eastAsia="宋体" w:hint="default"/>
        </w:rPr>
        <w:t>5</w:t>
      </w:r>
      <w:r>
        <w:rPr>
          <w:rFonts w:ascii="宋体" w:hAnsi="宋体" w:cs="宋体" w:eastAsia="宋体" w:hint="default"/>
          <w:spacing w:val="-44"/>
        </w:rPr>
        <w:t> </w:t>
      </w:r>
      <w:r>
        <w:rPr>
          <w:spacing w:val="-3"/>
        </w:rPr>
        <w:t>日，本公司全资孙公司新华网亿连投资管理（天津）有限公司（简称“亿连投</w:t>
      </w:r>
    </w:p>
    <w:p>
      <w:pPr>
        <w:pStyle w:val="BodyText"/>
        <w:spacing w:line="350" w:lineRule="auto" w:before="126"/>
        <w:ind w:left="218" w:right="228"/>
        <w:jc w:val="both"/>
      </w:pPr>
      <w:r>
        <w:rPr>
          <w:spacing w:val="-5"/>
        </w:rPr>
        <w:t>资”）出资人民币</w:t>
      </w:r>
      <w:r>
        <w:rPr>
          <w:spacing w:val="-26"/>
        </w:rPr>
        <w:t> </w:t>
      </w:r>
      <w:r>
        <w:rPr>
          <w:rFonts w:ascii="宋体" w:hAnsi="宋体" w:cs="宋体" w:eastAsia="宋体" w:hint="default"/>
        </w:rPr>
        <w:t>132.00</w:t>
      </w:r>
      <w:r>
        <w:rPr>
          <w:rFonts w:ascii="宋体" w:hAnsi="宋体" w:cs="宋体" w:eastAsia="宋体" w:hint="default"/>
          <w:spacing w:val="-29"/>
        </w:rPr>
        <w:t> </w:t>
      </w:r>
      <w:r>
        <w:rPr>
          <w:spacing w:val="-4"/>
        </w:rPr>
        <w:t>万元与深圳润信股权投资基金管理有限公司（简称“深圳润信”）、深</w:t>
      </w:r>
      <w:r>
        <w:rPr>
          <w:spacing w:val="-94"/>
        </w:rPr>
        <w:t> </w:t>
      </w:r>
      <w:r>
        <w:rPr>
          <w:spacing w:val="-94"/>
        </w:rPr>
      </w:r>
      <w:r>
        <w:rPr>
          <w:spacing w:val="-2"/>
        </w:rPr>
        <w:t>圳红树林创业投资有限公司（简称“深圳红树林”）共同投资设立新华网文投创新（天津）投资</w:t>
      </w:r>
      <w:r>
        <w:rPr>
          <w:spacing w:val="-25"/>
        </w:rPr>
        <w:t> </w:t>
      </w:r>
      <w:r>
        <w:rPr>
          <w:spacing w:val="-25"/>
        </w:rPr>
      </w:r>
      <w:r>
        <w:rPr>
          <w:spacing w:val="-2"/>
        </w:rPr>
        <w:t>合伙企业（有限合伙）（简称“文创合伙”）。其中，亿连投资、深圳润信为普通合伙人，深圳</w:t>
      </w:r>
      <w:r>
        <w:rPr>
          <w:spacing w:val="-25"/>
        </w:rPr>
        <w:t> </w:t>
      </w:r>
      <w:r>
        <w:rPr>
          <w:spacing w:val="-25"/>
        </w:rPr>
      </w:r>
      <w:r>
        <w:rPr/>
        <w:t>红树林为有限合伙人，亿连投资为执行事务合伙人。</w:t>
      </w:r>
    </w:p>
    <w:p>
      <w:pPr>
        <w:pStyle w:val="BodyText"/>
        <w:spacing w:line="350" w:lineRule="auto" w:before="27"/>
        <w:ind w:left="218" w:right="237" w:firstLine="419"/>
        <w:jc w:val="both"/>
      </w:pPr>
      <w:r>
        <w:rPr>
          <w:spacing w:val="-2"/>
        </w:rPr>
        <w:t>其中，根据合伙协议中对合伙人会议的约定，合伙人会议实行一人一票，合伙人会议中三分</w:t>
      </w:r>
      <w:r>
        <w:rPr>
          <w:w w:val="100"/>
        </w:rPr>
        <w:t> </w:t>
      </w:r>
      <w:r>
        <w:rPr>
          <w:spacing w:val="-2"/>
        </w:rPr>
        <w:t>之二以上通过即可做出包括“决定除名及更换普通合伙人、有限合伙人”等决议事项。由于深圳</w:t>
      </w:r>
      <w:r>
        <w:rPr>
          <w:spacing w:val="-25"/>
        </w:rPr>
        <w:t> </w:t>
      </w:r>
      <w:r>
        <w:rPr>
          <w:spacing w:val="-25"/>
        </w:rPr>
      </w:r>
      <w:r>
        <w:rPr>
          <w:spacing w:val="-2"/>
        </w:rPr>
        <w:t>润信、深圳红树林为同一最终控制方，应视为一致行动人，也即其可以无条件罢免执行事务合伙</w:t>
      </w:r>
      <w:r>
        <w:rPr>
          <w:spacing w:val="-25"/>
        </w:rPr>
        <w:t> </w:t>
      </w:r>
      <w:r>
        <w:rPr>
          <w:spacing w:val="-25"/>
        </w:rPr>
      </w:r>
      <w:r>
        <w:rPr>
          <w:spacing w:val="-2"/>
        </w:rPr>
        <w:t>人。因此，亿连投资实质上并不能对合伙企业的经营管理、投资决策形成重大影响，因此亿连投</w:t>
      </w:r>
      <w:r>
        <w:rPr>
          <w:spacing w:val="-25"/>
        </w:rPr>
        <w:t> </w:t>
      </w:r>
      <w:r>
        <w:rPr>
          <w:spacing w:val="-25"/>
        </w:rPr>
      </w:r>
      <w:r>
        <w:rPr/>
        <w:t>资将其确认为金融资产。</w:t>
      </w:r>
    </w:p>
    <w:p>
      <w:pPr>
        <w:pStyle w:val="Heading3"/>
        <w:spacing w:line="256" w:lineRule="exact" w:before="0"/>
        <w:ind w:right="0"/>
        <w:jc w:val="both"/>
        <w:rPr>
          <w:b w:val="0"/>
          <w:bCs w:val="0"/>
        </w:rPr>
      </w:pPr>
      <w:r>
        <w:rPr>
          <w:rFonts w:ascii="宋体" w:hAnsi="宋体" w:cs="宋体" w:eastAsia="宋体" w:hint="default"/>
        </w:rPr>
        <w:t>6</w:t>
      </w:r>
      <w:r>
        <w:rPr/>
        <w:t>、</w:t>
      </w:r>
      <w:r>
        <w:rPr>
          <w:spacing w:val="-3"/>
        </w:rPr>
        <w:t> </w:t>
      </w:r>
      <w:r>
        <w:rPr/>
        <w:t>其他</w:t>
      </w:r>
      <w:r>
        <w:rPr>
          <w:b w:val="0"/>
          <w:bCs w:val="0"/>
        </w:rPr>
      </w:r>
    </w:p>
    <w:p>
      <w:pPr>
        <w:tabs>
          <w:tab w:pos="1060" w:val="left" w:leader="none"/>
        </w:tabs>
        <w:spacing w:line="290" w:lineRule="auto" w:before="56"/>
        <w:ind w:left="218" w:right="653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tabs>
          <w:tab w:pos="1060" w:val="left" w:leader="none"/>
        </w:tabs>
        <w:spacing w:line="333" w:lineRule="auto" w:before="12"/>
        <w:ind w:left="638" w:right="239" w:hanging="420"/>
        <w:jc w:val="left"/>
      </w:pPr>
      <w:r>
        <w:rPr/>
        <w:t>√适用</w:t>
        <w:tab/>
        <w:t>□不适用</w:t>
      </w:r>
      <w:r>
        <w:rPr>
          <w:w w:val="100"/>
        </w:rPr>
        <w:t> </w:t>
      </w:r>
      <w:r>
        <w:rPr>
          <w:spacing w:val="-2"/>
        </w:rPr>
        <w:t>本公司的主要金融工具包括应收账款、应付账款，各项金融工具的详细情况说明见本报告第</w:t>
      </w:r>
    </w:p>
    <w:p>
      <w:pPr>
        <w:pStyle w:val="BodyText"/>
        <w:spacing w:line="350" w:lineRule="auto" w:before="41"/>
        <w:ind w:left="218" w:right="237"/>
        <w:jc w:val="both"/>
      </w:pPr>
      <w:r>
        <w:rPr>
          <w:spacing w:val="-2"/>
        </w:rPr>
        <w:t>十一节、七相关项目。与这些金融工具有关的风险，以及本公司为降低这些风险所采取的风险管</w:t>
      </w:r>
      <w:r>
        <w:rPr>
          <w:spacing w:val="-25"/>
        </w:rPr>
        <w:t> </w:t>
      </w:r>
      <w:r>
        <w:rPr>
          <w:spacing w:val="-25"/>
        </w:rPr>
      </w:r>
      <w:r>
        <w:rPr>
          <w:spacing w:val="-2"/>
        </w:rPr>
        <w:t>理政策如下所述。本公司管理层对这些风险敞口进行管理和监控以确保将上述风险控制在限定的</w:t>
      </w:r>
      <w:r>
        <w:rPr>
          <w:spacing w:val="-25"/>
        </w:rPr>
        <w:t> </w:t>
      </w:r>
      <w:r>
        <w:rPr>
          <w:spacing w:val="-25"/>
        </w:rPr>
      </w:r>
      <w:r>
        <w:rPr/>
        <w:t>范围之内。</w:t>
      </w:r>
    </w:p>
    <w:p>
      <w:pPr>
        <w:spacing w:after="0" w:line="350" w:lineRule="auto"/>
        <w:jc w:val="both"/>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218" w:right="228"/>
        <w:jc w:val="both"/>
      </w:pPr>
      <w:r>
        <w:rPr>
          <w:spacing w:val="-4"/>
          <w:w w:val="100"/>
        </w:rPr>
        <w:t>风险管理目标和政策</w:t>
      </w:r>
      <w:r>
        <w:rPr>
          <w:rFonts w:ascii="宋体" w:hAnsi="宋体" w:cs="宋体" w:eastAsia="宋体" w:hint="default"/>
          <w:spacing w:val="-4"/>
          <w:w w:val="100"/>
        </w:rPr>
        <w:t>:</w:t>
      </w:r>
      <w:r>
        <w:rPr>
          <w:spacing w:val="-4"/>
          <w:w w:val="100"/>
        </w:rPr>
        <w:t>本公司从事风险管理的目标是在风险和收益之间取得适当的平衡，将风险对</w:t>
      </w:r>
      <w:r>
        <w:rPr>
          <w:spacing w:val="-86"/>
          <w:w w:val="100"/>
        </w:rPr>
        <w:t> </w:t>
      </w:r>
      <w:r>
        <w:rPr>
          <w:spacing w:val="-86"/>
          <w:w w:val="100"/>
        </w:rPr>
      </w:r>
      <w:r>
        <w:rPr>
          <w:spacing w:val="-2"/>
        </w:rPr>
        <w:t>本公司经营业绩的负面影响降低到最低水平，使股东及其其他权益投资者的利益最大化。基于该</w:t>
      </w:r>
      <w:r>
        <w:rPr>
          <w:spacing w:val="-25"/>
        </w:rPr>
        <w:t> </w:t>
      </w:r>
      <w:r>
        <w:rPr>
          <w:spacing w:val="-25"/>
        </w:rPr>
      </w:r>
      <w:r>
        <w:rPr>
          <w:spacing w:val="-2"/>
        </w:rPr>
        <w:t>风险管理目标，本公司风险管理的基本策略是确定和分析本公司所面临的各种风险，建立适当的</w:t>
      </w:r>
      <w:r>
        <w:rPr>
          <w:spacing w:val="-25"/>
        </w:rPr>
        <w:t> </w:t>
      </w:r>
      <w:r>
        <w:rPr>
          <w:spacing w:val="-25"/>
        </w:rPr>
      </w:r>
      <w:r>
        <w:rPr>
          <w:spacing w:val="-2"/>
        </w:rPr>
        <w:t>风险承受底线和进行风险管理，并及时可靠地对各种风险进行监督，将风险控制在限定的范围之</w:t>
      </w:r>
      <w:r>
        <w:rPr>
          <w:spacing w:val="-25"/>
        </w:rPr>
        <w:t> </w:t>
      </w:r>
      <w:r>
        <w:rPr>
          <w:spacing w:val="-25"/>
        </w:rPr>
      </w:r>
      <w:r>
        <w:rPr/>
        <w:t>内。</w:t>
      </w:r>
    </w:p>
    <w:p>
      <w:pPr>
        <w:pStyle w:val="BodyText"/>
        <w:spacing w:line="240" w:lineRule="auto" w:before="29"/>
        <w:ind w:left="218" w:right="0"/>
        <w:jc w:val="both"/>
      </w:pPr>
      <w:r>
        <w:rPr>
          <w:rFonts w:ascii="宋体" w:hAnsi="宋体" w:cs="宋体" w:eastAsia="宋体" w:hint="default"/>
        </w:rPr>
        <w:t>1</w:t>
      </w:r>
      <w:r>
        <w:rPr/>
        <w:t>、市场风险</w:t>
      </w:r>
    </w:p>
    <w:p>
      <w:pPr>
        <w:pStyle w:val="BodyText"/>
        <w:spacing w:line="240" w:lineRule="auto" w:before="123"/>
        <w:ind w:left="218" w:right="0"/>
        <w:jc w:val="both"/>
      </w:pPr>
      <w:r>
        <w:rPr/>
        <w:t>（</w:t>
      </w:r>
      <w:r>
        <w:rPr>
          <w:rFonts w:ascii="宋体" w:hAnsi="宋体" w:cs="宋体" w:eastAsia="宋体" w:hint="default"/>
        </w:rPr>
        <w:t>1</w:t>
      </w:r>
      <w:r>
        <w:rPr/>
        <w:t>）外汇风险</w:t>
      </w:r>
    </w:p>
    <w:p>
      <w:pPr>
        <w:pStyle w:val="BodyText"/>
        <w:spacing w:line="350" w:lineRule="auto" w:before="126"/>
        <w:ind w:left="218" w:right="228" w:firstLine="419"/>
        <w:jc w:val="both"/>
      </w:pPr>
      <w:r>
        <w:rPr/>
        <w:pict>
          <v:shape style="position:absolute;margin-left:84.264pt;margin-top:102.593704pt;width:453.2pt;height:22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678,237.01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550,597.59</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2,933,900.64</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2,606,653.82</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99,870.12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41,482.41</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196,958.38</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285.44</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981.19</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40,800.00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880.00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w:t>
                        </w:r>
                      </w:p>
                    </w:tc>
                    <w:tc>
                      <w:tcPr>
                        <w:tcW w:w="301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spacing w:val="-2"/>
        </w:rPr>
        <w:t>外汇风险指因汇率变动产生损失的风险。本公司承受外汇风险主要与欧元、美元及港币（应</w:t>
      </w:r>
      <w:r>
        <w:rPr>
          <w:w w:val="100"/>
        </w:rPr>
        <w:t> </w:t>
      </w:r>
      <w:r>
        <w:rPr>
          <w:spacing w:val="-2"/>
        </w:rPr>
        <w:t>按照实际情况进行修改）有关，除本公司的几个下属子公司以欧元、美元及港币进行采购和销售</w:t>
      </w:r>
      <w:r>
        <w:rPr>
          <w:spacing w:val="-25"/>
        </w:rPr>
        <w:t> </w:t>
      </w:r>
      <w:r>
        <w:rPr>
          <w:spacing w:val="-25"/>
        </w:rPr>
      </w:r>
      <w:r>
        <w:rPr>
          <w:spacing w:val="-4"/>
        </w:rPr>
        <w:t>外，本公司的其他主要业务活动以人民币计价结算。于</w:t>
      </w:r>
      <w:r>
        <w:rPr>
          <w:spacing w:val="-43"/>
        </w:rPr>
        <w:t> </w:t>
      </w: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7"/>
        </w:rPr>
        <w:t> </w:t>
      </w:r>
      <w:r>
        <w:rPr>
          <w:spacing w:val="-5"/>
        </w:rPr>
        <w:t>日，除下表所述资产或负</w:t>
      </w:r>
      <w:r>
        <w:rPr>
          <w:spacing w:val="-102"/>
        </w:rPr>
        <w:t> </w:t>
      </w:r>
      <w:r>
        <w:rPr>
          <w:spacing w:val="-102"/>
        </w:rPr>
      </w:r>
      <w:r>
        <w:rPr>
          <w:spacing w:val="-2"/>
        </w:rPr>
        <w:t>债为外币余额外，本公司的资产及负债均为人民币余额。该等外币余额的资产和负债产生的外汇</w:t>
      </w:r>
      <w:r>
        <w:rPr>
          <w:spacing w:val="-25"/>
        </w:rPr>
        <w:t> </w:t>
      </w:r>
      <w:r>
        <w:rPr>
          <w:spacing w:val="-25"/>
        </w:rPr>
      </w:r>
      <w:r>
        <w:rPr/>
        <w:t>风险可能对本公司的经营业绩产生影响。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350" w:lineRule="auto" w:before="36"/>
        <w:ind w:left="218" w:right="227" w:firstLine="419"/>
        <w:jc w:val="left"/>
      </w:pPr>
      <w:r>
        <w:rPr>
          <w:spacing w:val="-2"/>
        </w:rPr>
        <w:t>本公司密切关注汇率变动对本公司外汇风险的影响。本公司目前并未采取任何措施规避外汇</w:t>
      </w:r>
      <w:r>
        <w:rPr>
          <w:w w:val="100"/>
        </w:rPr>
        <w:t> </w:t>
      </w:r>
      <w:r>
        <w:rPr/>
        <w:t>风险。</w:t>
      </w:r>
    </w:p>
    <w:p>
      <w:pPr>
        <w:pStyle w:val="BodyText"/>
        <w:spacing w:line="350" w:lineRule="auto" w:before="27"/>
        <w:ind w:left="638" w:right="227" w:hanging="420"/>
        <w:jc w:val="left"/>
      </w:pPr>
      <w:r>
        <w:rPr/>
        <w:t>（</w:t>
      </w:r>
      <w:r>
        <w:rPr>
          <w:rFonts w:ascii="宋体" w:hAnsi="宋体" w:cs="宋体" w:eastAsia="宋体" w:hint="default"/>
        </w:rPr>
        <w:t>3</w:t>
      </w:r>
      <w:r>
        <w:rPr/>
        <w:t>）其他价格风险</w:t>
      </w:r>
      <w:r>
        <w:rPr>
          <w:w w:val="100"/>
        </w:rPr>
        <w:t> </w:t>
      </w:r>
      <w:r>
        <w:rPr>
          <w:spacing w:val="-2"/>
        </w:rPr>
        <w:t>本公司持有的分类为可供出售金融资产和交易性金融资产的投资在资产负债表日以公允价值</w:t>
      </w:r>
    </w:p>
    <w:p>
      <w:pPr>
        <w:pStyle w:val="BodyText"/>
        <w:spacing w:line="348" w:lineRule="auto" w:before="29"/>
        <w:ind w:left="218" w:right="3655"/>
        <w:jc w:val="left"/>
      </w:pPr>
      <w:r>
        <w:rPr>
          <w:spacing w:val="-2"/>
        </w:rPr>
        <w:t>计量。因此，本公司承担着证券市场变动的风险。</w:t>
      </w:r>
      <w:r>
        <w:rPr>
          <w:spacing w:val="-62"/>
        </w:rPr>
        <w:t> </w:t>
      </w:r>
      <w:r>
        <w:rPr>
          <w:spacing w:val="-62"/>
        </w:rPr>
      </w:r>
      <w:r>
        <w:rPr>
          <w:rFonts w:ascii="宋体" w:hAnsi="宋体" w:cs="宋体" w:eastAsia="宋体" w:hint="default"/>
        </w:rPr>
        <w:t>2</w:t>
      </w:r>
      <w:r>
        <w:rPr/>
        <w:t>、信用风险</w:t>
      </w:r>
    </w:p>
    <w:p>
      <w:pPr>
        <w:pStyle w:val="BodyText"/>
        <w:spacing w:line="350" w:lineRule="auto" w:before="31"/>
        <w:ind w:left="218" w:right="227" w:firstLine="419"/>
        <w:jc w:val="left"/>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日，可能引起本公司财务损失的最大信用风险敞口主要来自于合同另一方未</w:t>
      </w:r>
      <w:r>
        <w:rPr>
          <w:w w:val="100"/>
        </w:rPr>
        <w:t> </w:t>
      </w:r>
      <w:r>
        <w:rPr/>
        <w:t>能履行义务而导致本公司金融资产产生的损失。</w:t>
      </w:r>
      <w:r>
        <w:rPr>
          <w:w w:val="100"/>
        </w:rPr>
        <w:t> </w:t>
      </w:r>
      <w:r>
        <w:rPr>
          <w:spacing w:val="-2"/>
        </w:rPr>
        <w:t>为降低信用风险，本公司成立了一个小组负责确定信用额度、进行信用审批，并执行其他监控程</w:t>
      </w:r>
      <w:r>
        <w:rPr>
          <w:spacing w:val="-25"/>
        </w:rPr>
        <w:t> </w:t>
      </w:r>
      <w:r>
        <w:rPr>
          <w:spacing w:val="-25"/>
        </w:rPr>
      </w:r>
      <w:r>
        <w:rPr>
          <w:spacing w:val="-2"/>
        </w:rPr>
        <w:t>序以确保采取必要的措施回收过期债权。此外，本公司于每个资产负债表日审核每一单项应收款</w:t>
      </w:r>
    </w:p>
    <w:p>
      <w:pPr>
        <w:spacing w:after="0" w:line="35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0"/>
        <w:jc w:val="left"/>
      </w:pPr>
      <w:r>
        <w:rPr>
          <w:spacing w:val="-2"/>
        </w:rPr>
        <w:t>的回收情况，以确保就无法回收的款项计提充分的坏账准备。因此，本公司管理层认为本公司所</w:t>
      </w:r>
      <w:r>
        <w:rPr>
          <w:spacing w:val="-25"/>
        </w:rPr>
        <w:t> </w:t>
      </w:r>
      <w:r>
        <w:rPr>
          <w:spacing w:val="-25"/>
        </w:rPr>
      </w:r>
      <w:r>
        <w:rPr/>
        <w:t>承担的信用风险已经大为降低。</w:t>
      </w:r>
    </w:p>
    <w:p>
      <w:pPr>
        <w:pStyle w:val="BodyText"/>
        <w:spacing w:line="350" w:lineRule="auto" w:before="29"/>
        <w:ind w:right="0" w:firstLine="419"/>
        <w:jc w:val="left"/>
      </w:pPr>
      <w:r>
        <w:rPr/>
        <w:t>本公司的流动资金存放在信用评级较高的银行，故流动资金的信用风险较低。</w:t>
      </w:r>
      <w:r>
        <w:rPr>
          <w:w w:val="100"/>
        </w:rPr>
        <w:t> </w:t>
      </w:r>
      <w:r>
        <w:rPr/>
        <w:t>由于本公司的风险敞口分布在多个合同方和多个客户，因此本公司没有重大的信用集中风险。</w:t>
      </w:r>
      <w:r>
        <w:rPr>
          <w:w w:val="100"/>
        </w:rPr>
        <w:t> </w:t>
      </w:r>
      <w:r>
        <w:rPr>
          <w:spacing w:val="-2"/>
        </w:rPr>
        <w:t>本公司采用了必要的政策确保所有销售客户均具有良好的信用记录。本公司无其他重大信用集中</w:t>
      </w:r>
      <w:r>
        <w:rPr>
          <w:spacing w:val="-25"/>
        </w:rPr>
        <w:t> </w:t>
      </w:r>
      <w:r>
        <w:rPr>
          <w:spacing w:val="-25"/>
        </w:rPr>
      </w:r>
      <w:r>
        <w:rPr/>
        <w:t>风险。</w:t>
      </w:r>
    </w:p>
    <w:p>
      <w:pPr>
        <w:pStyle w:val="BodyText"/>
        <w:spacing w:line="240" w:lineRule="auto" w:before="27"/>
        <w:ind w:right="0"/>
        <w:jc w:val="left"/>
      </w:pPr>
      <w:r>
        <w:rPr>
          <w:rFonts w:ascii="宋体" w:hAnsi="宋体" w:cs="宋体" w:eastAsia="宋体" w:hint="default"/>
        </w:rPr>
        <w:t>3</w:t>
      </w:r>
      <w:r>
        <w:rPr/>
        <w:t>、流动风险</w:t>
      </w:r>
    </w:p>
    <w:p>
      <w:pPr>
        <w:pStyle w:val="BodyText"/>
        <w:spacing w:line="350" w:lineRule="auto" w:before="126"/>
        <w:ind w:right="157" w:firstLine="419"/>
        <w:jc w:val="both"/>
      </w:pPr>
      <w:r>
        <w:rPr>
          <w:spacing w:val="-2"/>
        </w:rPr>
        <w:t>管理流动风险时，本公司保持管理层认为充分的现金及现金等价物并对其进行监控，以满足</w:t>
      </w:r>
      <w:r>
        <w:rPr>
          <w:w w:val="100"/>
        </w:rPr>
        <w:t> </w:t>
      </w:r>
      <w:r>
        <w:rPr>
          <w:spacing w:val="-2"/>
        </w:rPr>
        <w:t>本公司经营需要，并降低现金流量波动的影响。本公司管理层对银行借款的使用情况进行监控并</w:t>
      </w:r>
      <w:r>
        <w:rPr>
          <w:spacing w:val="-25"/>
        </w:rPr>
        <w:t> </w:t>
      </w:r>
      <w:r>
        <w:rPr>
          <w:spacing w:val="-25"/>
        </w:rPr>
      </w:r>
      <w:r>
        <w:rPr/>
        <w:t>确保遵守借款协议。</w:t>
      </w:r>
    </w:p>
    <w:p>
      <w:pPr>
        <w:pStyle w:val="Heading3"/>
        <w:tabs>
          <w:tab w:pos="977" w:val="left" w:leader="none"/>
        </w:tabs>
        <w:spacing w:line="256" w:lineRule="exact" w:before="0"/>
        <w:ind w:left="138" w:right="0"/>
        <w:jc w:val="left"/>
        <w:rPr>
          <w:b w:val="0"/>
          <w:bCs w:val="0"/>
        </w:rPr>
      </w:pPr>
      <w:r>
        <w:rPr/>
        <w:t>十一、</w:t>
        <w:tab/>
        <w:t>公允价值的披露</w:t>
      </w:r>
      <w:r>
        <w:rPr>
          <w:b w:val="0"/>
          <w:bCs w:val="0"/>
        </w:rPr>
      </w:r>
    </w:p>
    <w:p>
      <w:pPr>
        <w:pStyle w:val="Heading3"/>
        <w:spacing w:line="240" w:lineRule="auto" w:before="58"/>
        <w:ind w:left="1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80" w:val="left" w:leader="none"/>
        </w:tabs>
        <w:spacing w:line="240" w:lineRule="auto" w:before="56"/>
        <w:ind w:right="0"/>
        <w:jc w:val="left"/>
      </w:pPr>
      <w:r>
        <w:rPr/>
        <w:t>□适用</w:t>
        <w:tab/>
        <w:t>□不适用</w:t>
      </w:r>
    </w:p>
    <w:p>
      <w:pPr>
        <w:pStyle w:val="BodyText"/>
        <w:tabs>
          <w:tab w:pos="1051" w:val="left" w:leader="none"/>
        </w:tabs>
        <w:spacing w:line="274" w:lineRule="exact"/>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30"/>
        <w:gridCol w:w="1695"/>
        <w:gridCol w:w="1526"/>
      </w:tblGrid>
      <w:tr>
        <w:trPr>
          <w:trHeight w:val="283"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72"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交易性金融资产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指定以公允价值计量且</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其变动计入当期损益的金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110,156,322.48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82,863,973.66</w:t>
            </w: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sz w:val="21"/>
              </w:rPr>
              <w:t>193,020,296.14</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110,156,322.48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82,863,973.66</w:t>
            </w: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193,020,296.14</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30"/>
        <w:gridCol w:w="1695"/>
        <w:gridCol w:w="1526"/>
      </w:tblGrid>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3" w:right="0"/>
              <w:jc w:val="left"/>
              <w:rPr>
                <w:rFonts w:ascii="宋体" w:hAnsi="宋体" w:cs="宋体" w:eastAsia="宋体" w:hint="default"/>
                <w:sz w:val="21"/>
                <w:szCs w:val="21"/>
              </w:rPr>
            </w:pPr>
            <w:r>
              <w:rPr>
                <w:rFonts w:ascii="宋体"/>
                <w:sz w:val="21"/>
              </w:rPr>
              <w:t>110,156,322.48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8" w:right="0"/>
              <w:jc w:val="left"/>
              <w:rPr>
                <w:rFonts w:ascii="宋体" w:hAnsi="宋体" w:cs="宋体" w:eastAsia="宋体" w:hint="default"/>
                <w:sz w:val="21"/>
                <w:szCs w:val="21"/>
              </w:rPr>
            </w:pPr>
            <w:r>
              <w:rPr>
                <w:rFonts w:ascii="宋体"/>
                <w:sz w:val="21"/>
              </w:rPr>
              <w:t>82,863,973.66</w:t>
            </w: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193,020,296.14</w:t>
            </w:r>
          </w:p>
        </w:tc>
      </w:tr>
      <w:tr>
        <w:trPr>
          <w:trHeight w:val="30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spacing w:line="240" w:lineRule="auto"/>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80" w:val="left" w:leader="none"/>
        </w:tabs>
        <w:spacing w:line="348" w:lineRule="auto" w:before="56"/>
        <w:ind w:left="558" w:right="158" w:hanging="420"/>
        <w:jc w:val="left"/>
      </w:pPr>
      <w:r>
        <w:rPr>
          <w:spacing w:val="-1"/>
        </w:rPr>
        <w:t>√适用</w:t>
        <w:tab/>
      </w:r>
      <w:r>
        <w:rPr>
          <w:spacing w:val="-2"/>
        </w:rPr>
        <w:t>□不适用</w:t>
      </w:r>
      <w:r>
        <w:rPr>
          <w:spacing w:val="-99"/>
        </w:rPr>
        <w:t> </w:t>
      </w:r>
      <w:r>
        <w:rPr>
          <w:spacing w:val="-99"/>
        </w:rPr>
      </w:r>
      <w:r>
        <w:rPr>
          <w:spacing w:val="-2"/>
        </w:rPr>
        <w:t>本公司以证券交易场所在资产负债表日的收盘价格作为确定上市权益工具号百控股（上交所</w:t>
      </w:r>
    </w:p>
    <w:p>
      <w:pPr>
        <w:pStyle w:val="BodyText"/>
        <w:spacing w:line="367" w:lineRule="auto" w:before="50"/>
        <w:ind w:right="0"/>
        <w:jc w:val="left"/>
      </w:pPr>
      <w:r>
        <w:rPr>
          <w:spacing w:val="-2"/>
        </w:rPr>
        <w:t>上市）、银橙传媒（新三板挂牌）、道有道（新三板挂牌）和华强方特（新三板挂牌）公允价值</w:t>
      </w:r>
      <w:r>
        <w:rPr>
          <w:spacing w:val="-25"/>
        </w:rPr>
        <w:t> </w:t>
      </w:r>
      <w:r>
        <w:rPr>
          <w:spacing w:val="-25"/>
        </w:rPr>
      </w:r>
      <w:r>
        <w:rPr/>
        <w:t>的依据。</w:t>
      </w:r>
    </w:p>
    <w:p>
      <w:pPr>
        <w:spacing w:line="240" w:lineRule="auto" w:before="5"/>
        <w:rPr>
          <w:rFonts w:ascii="宋体" w:hAnsi="宋体" w:cs="宋体" w:eastAsia="宋体" w:hint="default"/>
          <w:sz w:val="18"/>
          <w:szCs w:val="18"/>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80" w:val="left" w:leader="none"/>
        </w:tabs>
        <w:spacing w:line="240" w:lineRule="auto" w:before="59"/>
        <w:ind w:right="0"/>
        <w:jc w:val="left"/>
      </w:pPr>
      <w:r>
        <w:rPr>
          <w:spacing w:val="-1"/>
        </w:rPr>
        <w:t>√适用</w:t>
        <w:tab/>
      </w:r>
      <w:r>
        <w:rPr>
          <w:spacing w:val="-2"/>
        </w:rPr>
        <w:t>□不适用</w:t>
      </w:r>
    </w:p>
    <w:p>
      <w:pPr>
        <w:pStyle w:val="BodyText"/>
        <w:spacing w:line="240" w:lineRule="auto" w:before="121"/>
        <w:ind w:left="558" w:right="0"/>
        <w:jc w:val="left"/>
      </w:pPr>
      <w:r>
        <w:rPr>
          <w:rFonts w:ascii="宋体" w:hAnsi="宋体" w:cs="宋体" w:eastAsia="宋体" w:hint="default"/>
        </w:rPr>
        <w:t>2017</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3"/>
        </w:rPr>
        <w:t>日，道有道自认购后一直处于停牌状态，本公司根据北京经纬东元资产评估</w:t>
      </w:r>
    </w:p>
    <w:p>
      <w:pPr>
        <w:pStyle w:val="BodyText"/>
        <w:spacing w:line="240" w:lineRule="auto" w:before="145"/>
        <w:ind w:right="0"/>
        <w:jc w:val="left"/>
      </w:pPr>
      <w:r>
        <w:rPr/>
        <w:t>有限公司</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3"/>
        </w:rPr>
        <w:t> </w:t>
      </w:r>
      <w:r>
        <w:rPr>
          <w:rFonts w:ascii="宋体" w:hAnsi="宋体" w:cs="宋体" w:eastAsia="宋体" w:hint="default"/>
        </w:rPr>
        <w:t>28</w:t>
      </w:r>
      <w:r>
        <w:rPr>
          <w:rFonts w:ascii="宋体" w:hAnsi="宋体" w:cs="宋体" w:eastAsia="宋体" w:hint="default"/>
          <w:spacing w:val="-56"/>
        </w:rPr>
        <w:t> </w:t>
      </w:r>
      <w:r>
        <w:rPr/>
        <w:t>日出具的京经咨报字</w:t>
      </w:r>
      <w:r>
        <w:rPr>
          <w:rFonts w:ascii="宋体" w:hAnsi="宋体" w:cs="宋体" w:eastAsia="宋体" w:hint="default"/>
        </w:rPr>
        <w:t>[2018]</w:t>
      </w:r>
      <w:r>
        <w:rPr/>
        <w:t>第</w:t>
      </w:r>
      <w:r>
        <w:rPr>
          <w:spacing w:val="-54"/>
        </w:rPr>
        <w:t> </w:t>
      </w:r>
      <w:r>
        <w:rPr>
          <w:rFonts w:ascii="宋体" w:hAnsi="宋体" w:cs="宋体" w:eastAsia="宋体" w:hint="default"/>
        </w:rPr>
        <w:t>006</w:t>
      </w:r>
      <w:r>
        <w:rPr>
          <w:rFonts w:ascii="宋体" w:hAnsi="宋体" w:cs="宋体" w:eastAsia="宋体" w:hint="default"/>
          <w:spacing w:val="-54"/>
        </w:rPr>
        <w:t> </w:t>
      </w:r>
      <w:r>
        <w:rPr/>
        <w:t>号资产评估咨询报告，采用市场价格</w:t>
      </w:r>
    </w:p>
    <w:p>
      <w:pPr>
        <w:pStyle w:val="BodyText"/>
        <w:spacing w:line="240" w:lineRule="auto" w:before="145"/>
        <w:ind w:right="0"/>
        <w:jc w:val="left"/>
      </w:pPr>
      <w:r>
        <w:rPr/>
        <w:t>模型法对道有道</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日股票价格的评估结果作为公允价值的依据。</w:t>
      </w:r>
    </w:p>
    <w:p>
      <w:pPr>
        <w:spacing w:line="240" w:lineRule="auto" w:before="1"/>
        <w:rPr>
          <w:rFonts w:ascii="宋体" w:hAnsi="宋体" w:cs="宋体" w:eastAsia="宋体" w:hint="default"/>
          <w:sz w:val="27"/>
          <w:szCs w:val="27"/>
        </w:rPr>
      </w:pPr>
    </w:p>
    <w:p>
      <w:pPr>
        <w:pStyle w:val="Heading3"/>
        <w:spacing w:line="240" w:lineRule="auto" w:before="0"/>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pStyle w:val="BodyText"/>
        <w:spacing w:line="240" w:lineRule="auto" w:before="121"/>
        <w:ind w:left="558" w:right="0"/>
        <w:jc w:val="left"/>
      </w:pPr>
      <w:r>
        <w:rPr/>
        <w:t>本公司根据北京东方燕都资产评估有限责任公司</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日出具地京东方燕都报字</w:t>
      </w:r>
    </w:p>
    <w:p>
      <w:pPr>
        <w:pStyle w:val="BodyText"/>
        <w:spacing w:line="367" w:lineRule="auto" w:before="145"/>
        <w:ind w:right="158"/>
        <w:jc w:val="left"/>
      </w:pPr>
      <w:r>
        <w:rPr>
          <w:rFonts w:ascii="宋体" w:hAnsi="宋体" w:cs="宋体" w:eastAsia="宋体" w:hint="default"/>
        </w:rPr>
        <w:t>[2018]</w:t>
      </w:r>
      <w:r>
        <w:rPr/>
        <w:t>第</w:t>
      </w:r>
      <w:r>
        <w:rPr>
          <w:spacing w:val="-53"/>
        </w:rPr>
        <w:t> </w:t>
      </w:r>
      <w:r>
        <w:rPr>
          <w:rFonts w:ascii="宋体" w:hAnsi="宋体" w:cs="宋体" w:eastAsia="宋体" w:hint="default"/>
        </w:rPr>
        <w:t>0421</w:t>
      </w:r>
      <w:r>
        <w:rPr>
          <w:rFonts w:ascii="宋体" w:hAnsi="宋体" w:cs="宋体" w:eastAsia="宋体" w:hint="default"/>
          <w:spacing w:val="-55"/>
        </w:rPr>
        <w:t> </w:t>
      </w:r>
      <w:r>
        <w:rPr/>
        <w:t>号资产评估报告，采用目标公司比较法对中证金牛</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日股权可回收</w:t>
      </w:r>
      <w:r>
        <w:rPr>
          <w:w w:val="100"/>
        </w:rPr>
        <w:t> </w:t>
      </w:r>
      <w:r>
        <w:rPr/>
        <w:t>价值的评估结果作为公允价值的依据。</w:t>
      </w:r>
    </w:p>
    <w:p>
      <w:pPr>
        <w:spacing w:after="0" w:line="367" w:lineRule="auto"/>
        <w:jc w:val="left"/>
        <w:sectPr>
          <w:pgSz w:w="11910" w:h="16840"/>
          <w:pgMar w:header="0" w:footer="1195" w:top="1120" w:bottom="1380" w:left="1660" w:right="1120"/>
        </w:sectPr>
      </w:pPr>
    </w:p>
    <w:p>
      <w:pPr>
        <w:spacing w:line="240" w:lineRule="auto" w:before="1"/>
        <w:rPr>
          <w:rFonts w:ascii="宋体" w:hAnsi="宋体" w:cs="宋体" w:eastAsia="宋体" w:hint="default"/>
          <w:sz w:val="25"/>
          <w:szCs w:val="25"/>
        </w:rPr>
      </w:pPr>
    </w:p>
    <w:p>
      <w:pPr>
        <w:pStyle w:val="Heading3"/>
        <w:spacing w:line="240" w:lineRule="auto"/>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56"/>
        <w:ind w:left="218" w:right="2465"/>
        <w:jc w:val="left"/>
      </w:pPr>
      <w:r>
        <w:rPr>
          <w:spacing w:val="-1"/>
        </w:rPr>
        <w:t>□适用</w:t>
        <w:tab/>
      </w:r>
      <w:r>
        <w:rPr>
          <w:spacing w:val="-2"/>
        </w:rPr>
        <w:t>√不适用</w:t>
      </w:r>
    </w:p>
    <w:p>
      <w:pPr>
        <w:pStyle w:val="Heading3"/>
        <w:spacing w:line="272" w:lineRule="exact" w:before="8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4"/>
        <w:ind w:left="218" w:right="2465"/>
        <w:jc w:val="left"/>
      </w:pPr>
      <w:r>
        <w:rPr>
          <w:spacing w:val="-1"/>
        </w:rPr>
        <w:t>□适用</w:t>
        <w:tab/>
      </w:r>
      <w:r>
        <w:rPr>
          <w:spacing w:val="-2"/>
        </w:rPr>
        <w:t>√不适用</w:t>
      </w:r>
    </w:p>
    <w:p>
      <w:pPr>
        <w:pStyle w:val="Heading3"/>
        <w:spacing w:line="240" w:lineRule="auto" w:before="56"/>
        <w:ind w:right="246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left="218" w:right="2465"/>
        <w:jc w:val="left"/>
      </w:pPr>
      <w:r>
        <w:rPr>
          <w:spacing w:val="-1"/>
        </w:rPr>
        <w:t>□适用</w:t>
        <w:tab/>
      </w:r>
      <w:r>
        <w:rPr>
          <w:spacing w:val="-2"/>
        </w:rPr>
        <w:t>√不适用</w:t>
      </w:r>
    </w:p>
    <w:p>
      <w:pPr>
        <w:pStyle w:val="Heading3"/>
        <w:spacing w:line="240" w:lineRule="auto" w:before="56"/>
        <w:ind w:right="246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tabs>
          <w:tab w:pos="1163" w:val="left" w:leader="none"/>
        </w:tabs>
        <w:spacing w:line="290" w:lineRule="auto" w:before="58"/>
        <w:ind w:left="218" w:right="727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√不适用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left="218" w:right="2465"/>
        <w:jc w:val="left"/>
      </w:pPr>
      <w:r>
        <w:rPr>
          <w:spacing w:val="-1"/>
        </w:rPr>
        <w:t>□适用</w:t>
        <w:tab/>
      </w:r>
      <w:r>
        <w:rPr>
          <w:spacing w:val="-2"/>
        </w:rPr>
        <w:t>√不适用</w:t>
      </w:r>
    </w:p>
    <w:p>
      <w:pPr>
        <w:pStyle w:val="Heading3"/>
        <w:tabs>
          <w:tab w:pos="1057" w:val="left" w:leader="none"/>
        </w:tabs>
        <w:spacing w:line="290" w:lineRule="auto" w:before="56"/>
        <w:ind w:right="65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left="218" w:right="2465"/>
        <w:jc w:val="left"/>
      </w:pPr>
      <w:r>
        <w:rPr>
          <w:spacing w:val="-1"/>
        </w:rPr>
        <w:t>√适用</w:t>
        <w:tab/>
      </w:r>
      <w:r>
        <w:rPr>
          <w:spacing w:val="-2"/>
        </w:rPr>
        <w:t>□不适用</w:t>
      </w:r>
    </w:p>
    <w:p>
      <w:pPr>
        <w:pStyle w:val="BodyText"/>
        <w:tabs>
          <w:tab w:pos="1366" w:val="left" w:leader="none"/>
        </w:tabs>
        <w:spacing w:line="274" w:lineRule="exact"/>
        <w:ind w:left="0" w:right="235"/>
        <w:jc w:val="right"/>
      </w:pPr>
      <w:r>
        <w:rPr>
          <w:spacing w:val="-1"/>
        </w:rPr>
        <w:t>单位：万元</w:t>
        <w:tab/>
      </w:r>
      <w:r>
        <w:rPr>
          <w:spacing w:val="-2"/>
        </w:rPr>
        <w:t>币种：人民币</w:t>
      </w:r>
      <w:r>
        <w:rPr/>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新华通讯社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新闻</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sz w:val="21"/>
              </w:rPr>
              <w:t>173,808.00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sz w:val="21"/>
              </w:rPr>
              <w:t>59.785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sz w:val="21"/>
              </w:rPr>
              <w:t>59.785</w:t>
            </w:r>
          </w:p>
        </w:tc>
      </w:tr>
    </w:tbl>
    <w:p>
      <w:pPr>
        <w:pStyle w:val="BodyText"/>
        <w:spacing w:line="239" w:lineRule="exact"/>
        <w:ind w:left="218" w:right="2465"/>
        <w:jc w:val="left"/>
      </w:pPr>
      <w:r>
        <w:rPr/>
        <w:t>本企业的母公司情况的说明</w:t>
      </w:r>
    </w:p>
    <w:p>
      <w:pPr>
        <w:pStyle w:val="BodyText"/>
        <w:spacing w:line="240" w:lineRule="auto"/>
        <w:ind w:left="218" w:right="227" w:firstLine="419"/>
        <w:jc w:val="left"/>
      </w:pPr>
      <w:r>
        <w:rPr>
          <w:spacing w:val="-2"/>
        </w:rPr>
        <w:t>新华通讯社是国务院直属事业单位，是中国国家通讯社和世界性通讯社，是涵盖各种媒体类</w:t>
      </w:r>
      <w:r>
        <w:rPr>
          <w:w w:val="100"/>
        </w:rPr>
        <w:t> </w:t>
      </w:r>
      <w:r>
        <w:rPr/>
        <w:t>型的全媒体机构。</w:t>
      </w:r>
    </w:p>
    <w:p>
      <w:pPr>
        <w:pStyle w:val="BodyText"/>
        <w:spacing w:line="274" w:lineRule="exact" w:before="22"/>
        <w:ind w:left="218" w:right="6110"/>
        <w:jc w:val="left"/>
      </w:pPr>
      <w:r>
        <w:rPr>
          <w:spacing w:val="-2"/>
        </w:rPr>
        <w:t>本企业最终控制方是新华通讯社</w:t>
      </w:r>
      <w:r>
        <w:rPr>
          <w:spacing w:val="-76"/>
        </w:rPr>
        <w:t> </w:t>
      </w:r>
      <w:r>
        <w:rPr>
          <w:spacing w:val="-76"/>
        </w:rPr>
      </w:r>
      <w:r>
        <w:rPr/>
        <w:t>其他说明：无</w:t>
      </w:r>
    </w:p>
    <w:p>
      <w:pPr>
        <w:spacing w:line="290" w:lineRule="auto" w:before="31"/>
        <w:ind w:left="218" w:right="672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21"/>
          <w:szCs w:val="21"/>
        </w:rPr>
        <w:t>本企业子公司的情况</w:t>
      </w:r>
    </w:p>
    <w:p>
      <w:pPr>
        <w:pStyle w:val="BodyText"/>
        <w:tabs>
          <w:tab w:pos="1060" w:val="left" w:leader="none"/>
        </w:tabs>
        <w:spacing w:line="226" w:lineRule="exact"/>
        <w:ind w:left="218" w:right="2465"/>
        <w:jc w:val="left"/>
      </w:pPr>
      <w:r>
        <w:rPr>
          <w:spacing w:val="-1"/>
        </w:rPr>
        <w:t>√适用</w:t>
        <w:tab/>
      </w:r>
      <w:r>
        <w:rPr>
          <w:spacing w:val="-2"/>
        </w:rPr>
        <w:t>□不适用</w:t>
      </w:r>
    </w:p>
    <w:p>
      <w:pPr>
        <w:spacing w:line="290" w:lineRule="auto" w:before="0"/>
        <w:ind w:left="218" w:right="2012" w:firstLine="0"/>
        <w:jc w:val="left"/>
        <w:rPr>
          <w:rFonts w:ascii="宋体" w:hAnsi="宋体" w:cs="宋体" w:eastAsia="宋体" w:hint="default"/>
          <w:sz w:val="21"/>
          <w:szCs w:val="21"/>
        </w:rPr>
      </w:pPr>
      <w:r>
        <w:rPr>
          <w:rFonts w:ascii="宋体" w:hAnsi="宋体" w:cs="宋体" w:eastAsia="宋体" w:hint="default"/>
          <w:spacing w:val="-2"/>
          <w:sz w:val="21"/>
          <w:szCs w:val="21"/>
        </w:rPr>
        <w:t>本企业子公司的情况详见第十一节财务报告、九、</w:t>
      </w:r>
      <w:r>
        <w:rPr>
          <w:rFonts w:ascii="宋体" w:hAnsi="宋体" w:cs="宋体" w:eastAsia="宋体" w:hint="default"/>
          <w:spacing w:val="-2"/>
          <w:sz w:val="21"/>
          <w:szCs w:val="21"/>
        </w:rPr>
        <w:t>1</w:t>
      </w:r>
      <w:r>
        <w:rPr>
          <w:rFonts w:ascii="宋体" w:hAnsi="宋体" w:cs="宋体" w:eastAsia="宋体" w:hint="default"/>
          <w:spacing w:val="-2"/>
          <w:sz w:val="21"/>
          <w:szCs w:val="21"/>
        </w:rPr>
        <w:t>、在子公司中的权益。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 本企业合营和联营企业情况</w:t>
      </w:r>
      <w:r>
        <w:rPr>
          <w:rFonts w:ascii="宋体" w:hAnsi="宋体" w:cs="宋体" w:eastAsia="宋体" w:hint="default"/>
          <w:sz w:val="21"/>
          <w:szCs w:val="21"/>
        </w:rPr>
      </w:r>
    </w:p>
    <w:p>
      <w:pPr>
        <w:pStyle w:val="BodyText"/>
        <w:spacing w:line="273" w:lineRule="exact" w:before="14"/>
        <w:ind w:left="218" w:right="2465"/>
        <w:jc w:val="left"/>
      </w:pPr>
      <w:r>
        <w:rPr/>
        <w:t>本企业重要的合营或联营企业</w:t>
      </w:r>
    </w:p>
    <w:p>
      <w:pPr>
        <w:pStyle w:val="BodyText"/>
        <w:spacing w:line="240" w:lineRule="auto"/>
        <w:ind w:left="218" w:right="227"/>
        <w:jc w:val="left"/>
      </w:pPr>
      <w:r>
        <w:rPr/>
        <w:t>√适用</w:t>
      </w:r>
      <w:r>
        <w:rPr>
          <w:spacing w:val="-2"/>
        </w:rPr>
        <w:t> </w:t>
      </w:r>
      <w:r>
        <w:rPr/>
        <w:t>□不适用</w:t>
      </w:r>
      <w:r>
        <w:rPr>
          <w:w w:val="100"/>
        </w:rPr>
        <w:t> </w:t>
      </w:r>
      <w:r>
        <w:rPr/>
        <w:t>本企业重要的合营或联营见第十一节财务报告、九、</w:t>
      </w:r>
      <w:r>
        <w:rPr>
          <w:rFonts w:ascii="宋体" w:hAnsi="宋体" w:cs="宋体" w:eastAsia="宋体" w:hint="default"/>
        </w:rPr>
        <w:t>3</w:t>
      </w:r>
      <w:r>
        <w:rPr/>
        <w:t>、在合营企业或联营企业中的权益。</w:t>
      </w:r>
    </w:p>
    <w:p>
      <w:pPr>
        <w:spacing w:line="240" w:lineRule="auto" w:before="10"/>
        <w:rPr>
          <w:rFonts w:ascii="宋体" w:hAnsi="宋体" w:cs="宋体" w:eastAsia="宋体" w:hint="default"/>
          <w:sz w:val="22"/>
          <w:szCs w:val="22"/>
        </w:rPr>
      </w:pPr>
    </w:p>
    <w:p>
      <w:pPr>
        <w:pStyle w:val="BodyText"/>
        <w:spacing w:line="272" w:lineRule="exact"/>
        <w:ind w:left="218"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6" w:lineRule="exact"/>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9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0"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中证金牛（北京）投资咨询有限公司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同受母公司控制，重大影响</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新华康美健康智库股份有限公司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重大影响</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重大影响</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新华智云科技有限公司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重大影响</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海南亿连数据科技有限公司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重大影响</w:t>
            </w:r>
          </w:p>
        </w:tc>
      </w:tr>
    </w:tbl>
    <w:p>
      <w:pPr>
        <w:pStyle w:val="BodyText"/>
        <w:spacing w:line="239" w:lineRule="exact"/>
        <w:ind w:left="218" w:right="2465"/>
        <w:jc w:val="left"/>
      </w:pPr>
      <w:r>
        <w:rPr/>
        <w:t>其他说明</w:t>
      </w:r>
    </w:p>
    <w:p>
      <w:pPr>
        <w:pStyle w:val="BodyText"/>
        <w:spacing w:line="273" w:lineRule="exact"/>
        <w:ind w:left="218" w:right="2465"/>
        <w:jc w:val="left"/>
      </w:pPr>
      <w:r>
        <w:rPr/>
        <w:t>√适用</w:t>
      </w:r>
      <w:r>
        <w:rPr>
          <w:spacing w:val="-1"/>
        </w:rPr>
        <w:t> </w:t>
      </w:r>
      <w:r>
        <w:rPr/>
        <w:t>□不适用</w:t>
      </w:r>
    </w:p>
    <w:p>
      <w:pPr>
        <w:spacing w:after="0" w:line="273" w:lineRule="exact"/>
        <w:jc w:val="left"/>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227"/>
        <w:jc w:val="left"/>
      </w:pPr>
      <w:r>
        <w:rPr/>
        <w:t>本公司</w:t>
      </w:r>
      <w:r>
        <w:rPr>
          <w:spacing w:val="-34"/>
        </w:rPr>
        <w:t> </w:t>
      </w:r>
      <w:r>
        <w:rPr>
          <w:rFonts w:ascii="宋体" w:hAnsi="宋体" w:cs="宋体" w:eastAsia="宋体" w:hint="default"/>
        </w:rPr>
        <w:t>2017</w:t>
      </w:r>
      <w:r>
        <w:rPr>
          <w:rFonts w:ascii="宋体" w:hAnsi="宋体" w:cs="宋体" w:eastAsia="宋体" w:hint="default"/>
          <w:spacing w:val="-34"/>
        </w:rPr>
        <w:t> </w:t>
      </w:r>
      <w:r>
        <w:rPr>
          <w:spacing w:val="-4"/>
        </w:rPr>
        <w:t>年处置部分中证金牛股权，处置后不对中证金牛具有控制、共同控制或重大影响，详</w:t>
      </w:r>
      <w:r>
        <w:rPr>
          <w:spacing w:val="-98"/>
        </w:rPr>
        <w:t> </w:t>
      </w:r>
      <w:r>
        <w:rPr>
          <w:spacing w:val="-98"/>
        </w:rPr>
      </w:r>
      <w:r>
        <w:rPr/>
        <w:t>见本报告第十一节、七、</w:t>
      </w:r>
      <w:r>
        <w:rPr>
          <w:rFonts w:ascii="宋体" w:hAnsi="宋体" w:cs="宋体" w:eastAsia="宋体" w:hint="default"/>
        </w:rPr>
        <w:t>14</w:t>
      </w:r>
      <w:r>
        <w:rPr/>
        <w:t>、可供出售金融资产。</w:t>
      </w:r>
    </w:p>
    <w:p>
      <w:pPr>
        <w:pStyle w:val="Heading3"/>
        <w:spacing w:line="240" w:lineRule="auto" w:before="56"/>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北京新华物业管理中心</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上海新证财经信息咨询有限公司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现代金报社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48"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中国经济信息社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中国图片社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中国广告联合总公司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新华通讯社印务有限责任公司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新华出版社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48"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中经社控股有限公司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新华新媒文化传播有限公司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中国环球公共关系公司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江苏现代快报传媒有限公司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中国新闻发展深圳有限公司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48"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中国新华新闻电视网有限公司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中国国际文化影像传播有限公司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盘古文化传播有限公司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新华影廊（北京）文化传播有限责任公司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中国新闻发展公司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新华社投资控股有限公司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48"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北京新搜文化传播有限责任公司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北京新华每日广告公司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35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新华（青岛）国际海洋资讯中心有限公司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参考消息报社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半月谈杂志社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48"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瞭望周刊社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经济参考报社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新华社教育培训中心</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35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新中国新闻有限公司（香港）</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r>
    </w:tbl>
    <w:p>
      <w:pPr>
        <w:pStyle w:val="BodyText"/>
        <w:spacing w:line="241" w:lineRule="exact"/>
        <w:ind w:left="218" w:right="2465"/>
        <w:jc w:val="left"/>
      </w:pPr>
      <w:r>
        <w:rPr/>
        <w:t>其他说明：无</w:t>
      </w:r>
    </w:p>
    <w:p>
      <w:pPr>
        <w:pStyle w:val="Heading3"/>
        <w:spacing w:line="240" w:lineRule="auto" w:before="58"/>
        <w:ind w:right="2465"/>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6"/>
        <w:ind w:left="218" w:right="484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after="0" w:line="290" w:lineRule="auto"/>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pPr>
      <w:r>
        <w:rPr/>
        <w:t>√适用</w:t>
      </w:r>
      <w:r>
        <w:rPr>
          <w:spacing w:val="-1"/>
        </w:rPr>
        <w:t> </w:t>
      </w:r>
      <w:r>
        <w:rPr/>
        <w:t>□不适用</w:t>
      </w:r>
    </w:p>
    <w:p>
      <w:pPr>
        <w:pStyle w:val="BodyText"/>
        <w:tabs>
          <w:tab w:pos="1157"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57"/>
        <w:gridCol w:w="1656"/>
        <w:gridCol w:w="1541"/>
        <w:gridCol w:w="1541"/>
      </w:tblGrid>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新华社新闻信息中心</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20,754,717.06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20,754,717.06</w:t>
            </w: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5,990,364.29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1,207,365.00</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2,153,337.61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3,462,447.34</w:t>
            </w: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新华通讯社江苏分社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1,204,659.84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2,086,415.69</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新华物业管理中心</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物业费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500,026.18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515,034.89</w:t>
            </w: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中国证券报有限责任公司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信息披露</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943,396.23</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上海证券报社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信息披露</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943,396.23</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新华通讯社江西分社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576,189.33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217,500.00</w:t>
            </w: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瞭望周刊社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460,377.35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283,018.86</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新华通讯社河南分社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741,932.08</w:t>
            </w: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新华社新闻信息中心</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699,528.30</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631,958.22</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信息披露</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586,956.50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新华影廊（北京）文化传播有限责任公司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490,566.02</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海南亿连数据科技有限公司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信息披露</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471,698.11</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新华通讯社曼谷分社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443,720.00</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新华出版社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图书出版</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86,371.68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240,000.00</w:t>
            </w: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中证金牛（北京）投资咨询有限公司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信息披露</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300,000.00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新华通讯社曼谷分社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信息披露</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299,985.93</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新华通讯社洛杉矶分社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259,136.00</w:t>
            </w: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188,679.25</w:t>
            </w:r>
          </w:p>
        </w:tc>
      </w:tr>
      <w:tr>
        <w:trPr>
          <w:trHeight w:val="409"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北京新华每日广告公司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155,962.26</w:t>
            </w: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新华通讯社河北分社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物业费</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150,000.00</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参考消息文化传媒（公司）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信息披露</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141,509.43</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新华通讯社河北分社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100,000.00</w:t>
            </w: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新华通讯社重庆分社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97,087.38</w:t>
            </w: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新华通讯社安徽分社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94,339.62</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新华通讯社海南分社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94,339.62</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新华社亚欧总分社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信息披露</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40,000.00</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中国国际文化影像传播有限公司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信息披露</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6,603.77</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新华通讯社机关事务管理局</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1,837.50</w:t>
            </w:r>
          </w:p>
        </w:tc>
      </w:tr>
    </w:tbl>
    <w:p>
      <w:pPr>
        <w:spacing w:after="0" w:line="240" w:lineRule="auto"/>
        <w:jc w:val="right"/>
        <w:rPr>
          <w:rFonts w:ascii="宋体" w:hAnsi="宋体" w:cs="宋体" w:eastAsia="宋体" w:hint="default"/>
          <w:sz w:val="21"/>
          <w:szCs w:val="21"/>
        </w:rPr>
        <w:sectPr>
          <w:footerReference w:type="default" r:id="rId93"/>
          <w:pgSz w:w="11910" w:h="16840"/>
          <w:pgMar w:footer="1195" w:header="0"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57"/>
        <w:gridCol w:w="1656"/>
        <w:gridCol w:w="1541"/>
        <w:gridCol w:w="1541"/>
      </w:tblGrid>
      <w:tr>
        <w:trPr>
          <w:trHeight w:val="408"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6"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67" w:right="0"/>
              <w:jc w:val="left"/>
              <w:rPr>
                <w:rFonts w:ascii="宋体" w:hAnsi="宋体" w:cs="宋体" w:eastAsia="宋体" w:hint="default"/>
                <w:sz w:val="21"/>
                <w:szCs w:val="21"/>
              </w:rPr>
            </w:pPr>
            <w:r>
              <w:rPr>
                <w:rFonts w:ascii="宋体"/>
                <w:sz w:val="21"/>
              </w:rPr>
              <w:t>1,310.40</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94"/>
          <w:pgSz w:w="11910" w:h="16840"/>
          <w:pgMar w:footer="1195" w:header="0" w:top="1120" w:bottom="1380" w:left="1660" w:right="1120"/>
          <w:pgNumType w:start="171"/>
        </w:sectPr>
      </w:pPr>
    </w:p>
    <w:p>
      <w:pPr>
        <w:pStyle w:val="BodyText"/>
        <w:spacing w:line="273" w:lineRule="exact" w:before="36"/>
        <w:ind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95"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56" w:space="3863"/>
            <w:col w:w="271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56"/>
        <w:gridCol w:w="2007"/>
        <w:gridCol w:w="1467"/>
        <w:gridCol w:w="1466"/>
      </w:tblGrid>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参考消息报社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4,886.79</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参考消息报社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426,415.08</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上海新证财经信息咨询有限公司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235,849.05</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21"/>
                <w:szCs w:val="21"/>
              </w:rPr>
            </w:pPr>
            <w:r>
              <w:rPr>
                <w:rFonts w:ascii="宋体" w:hAnsi="宋体" w:cs="宋体" w:eastAsia="宋体" w:hint="default"/>
                <w:sz w:val="21"/>
                <w:szCs w:val="21"/>
              </w:rPr>
              <w:t>上海证券报社有限公司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宋体" w:hAnsi="宋体" w:cs="宋体" w:eastAsia="宋体" w:hint="default"/>
                <w:sz w:val="21"/>
                <w:szCs w:val="21"/>
              </w:rPr>
            </w:pPr>
            <w:r>
              <w:rPr>
                <w:rFonts w:ascii="宋体"/>
                <w:spacing w:val="-1"/>
                <w:sz w:val="21"/>
              </w:rPr>
              <w:t>1,037,735.85</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新华（青岛）国际海洋资讯中心有限公司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235,849.04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245,283.02</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新华康美健康智库股份有限公司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1,551,886.77</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2,688,679.29</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新华社广西分社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283,018.87</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新华社江苏分社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386,792.43</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新华社教育培训中心</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311,320.75</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新华通讯社安徽分社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pacing w:val="-1"/>
                <w:sz w:val="21"/>
              </w:rPr>
              <w:t>716,981.13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272,394.34</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新华通讯社安徽分社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283,018.87</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94,339.61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160,377.35</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160,377.36</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264,150.92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1,009,433.99</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新华通讯社福建分社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11,199.68</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新华通讯社甘肃分社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数字影视业务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28,301.89</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新华通讯社甘肃分社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216,981.13</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新华通讯社甘肃分社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94,339.60</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 w:right="0"/>
              <w:jc w:val="left"/>
              <w:rPr>
                <w:rFonts w:ascii="宋体" w:hAnsi="宋体" w:cs="宋体" w:eastAsia="宋体" w:hint="default"/>
                <w:sz w:val="21"/>
                <w:szCs w:val="21"/>
              </w:rPr>
            </w:pPr>
            <w:r>
              <w:rPr>
                <w:rFonts w:ascii="宋体" w:hAnsi="宋体" w:cs="宋体" w:eastAsia="宋体" w:hint="default"/>
                <w:sz w:val="21"/>
                <w:szCs w:val="21"/>
              </w:rPr>
              <w:t>新华通讯社广东分社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56,603.76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宋体" w:hAnsi="宋体" w:cs="宋体" w:eastAsia="宋体" w:hint="default"/>
                <w:sz w:val="21"/>
                <w:szCs w:val="21"/>
              </w:rPr>
            </w:pPr>
            <w:r>
              <w:rPr>
                <w:rFonts w:ascii="宋体"/>
                <w:spacing w:val="-1"/>
                <w:sz w:val="21"/>
              </w:rPr>
              <w:t>870,754.69</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新华通讯社广东分社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207,547.17</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新华通讯社广东分社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56,603.75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136,792.43</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新华通讯社广西分社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2,420,543.57</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新华通讯社贵州分社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1,886,792.46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2,622,641.50</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新华通讯社贵州分社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1,886,792.46</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新华通讯社海南分社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94,339.61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94,339.62</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新华通讯社海南分社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117,924.53</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21"/>
                <w:szCs w:val="21"/>
              </w:rPr>
            </w:pPr>
            <w:r>
              <w:rPr>
                <w:rFonts w:ascii="宋体" w:hAnsi="宋体" w:cs="宋体" w:eastAsia="宋体" w:hint="default"/>
                <w:sz w:val="21"/>
                <w:szCs w:val="21"/>
              </w:rPr>
              <w:t>新华通讯社河北分社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1"/>
                <w:szCs w:val="21"/>
              </w:rPr>
            </w:pPr>
            <w:r>
              <w:rPr>
                <w:rFonts w:ascii="宋体"/>
                <w:spacing w:val="-1"/>
                <w:sz w:val="21"/>
              </w:rPr>
              <w:t>283,018.87</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新华通讯社河北分社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695,754.72</w:t>
            </w:r>
          </w:p>
        </w:tc>
        <w:tc>
          <w:tcPr>
            <w:tcW w:w="14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956"/>
        <w:gridCol w:w="2007"/>
        <w:gridCol w:w="1467"/>
        <w:gridCol w:w="1466"/>
      </w:tblGrid>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21"/>
                <w:szCs w:val="21"/>
              </w:rPr>
            </w:pPr>
            <w:r>
              <w:rPr>
                <w:rFonts w:ascii="宋体" w:hAnsi="宋体" w:cs="宋体" w:eastAsia="宋体" w:hint="default"/>
                <w:sz w:val="21"/>
                <w:szCs w:val="21"/>
              </w:rPr>
              <w:t>新华通讯社河南分社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数字影视业务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宋体" w:hAnsi="宋体" w:cs="宋体" w:eastAsia="宋体" w:hint="default"/>
                <w:sz w:val="21"/>
                <w:szCs w:val="21"/>
              </w:rPr>
            </w:pPr>
            <w:r>
              <w:rPr>
                <w:rFonts w:ascii="宋体"/>
                <w:spacing w:val="-1"/>
                <w:sz w:val="21"/>
              </w:rPr>
              <w:t>160,377.36</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新华通讯社河南分社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318,962.27</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新华通讯社河南分社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94,339.62</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新华通讯社湖南分社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471,698.11</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新华通讯社吉林分社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数字影视业务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28,301.89</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新华通讯社吉林分社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566,037.74</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新华通讯社江苏分社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37,735.84</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新华通讯社江苏分社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273,584.86</w:t>
            </w:r>
          </w:p>
        </w:tc>
      </w:tr>
      <w:tr>
        <w:trPr>
          <w:trHeight w:val="409"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 w:right="0"/>
              <w:jc w:val="left"/>
              <w:rPr>
                <w:rFonts w:ascii="宋体" w:hAnsi="宋体" w:cs="宋体" w:eastAsia="宋体" w:hint="default"/>
                <w:sz w:val="21"/>
                <w:szCs w:val="21"/>
              </w:rPr>
            </w:pPr>
            <w:r>
              <w:rPr>
                <w:rFonts w:ascii="宋体" w:hAnsi="宋体" w:cs="宋体" w:eastAsia="宋体" w:hint="default"/>
                <w:sz w:val="21"/>
                <w:szCs w:val="21"/>
              </w:rPr>
              <w:t>新华通讯社江苏分社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683,243.44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宋体" w:hAnsi="宋体" w:cs="宋体" w:eastAsia="宋体" w:hint="default"/>
                <w:sz w:val="21"/>
                <w:szCs w:val="21"/>
              </w:rPr>
            </w:pPr>
            <w:r>
              <w:rPr>
                <w:rFonts w:ascii="宋体"/>
                <w:spacing w:val="-1"/>
                <w:sz w:val="21"/>
              </w:rPr>
              <w:t>141,509.41</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新华通讯社江苏分社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移动增值</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1,125,864.11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2,361,670.34</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新华通讯社江西分社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1,726,415.07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856,132.08</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新华通讯社江西分社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330,188.68</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新华通讯社辽宁分社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243,207.55</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数字影视业务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28,301.89</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301,886.78</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131,698.10</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新华通讯社陕西分社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103,773.58</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新华通讯社陕西分社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56,603.77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377,358.49</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新华通讯社上海分社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207,547.17</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手机党校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170,693.51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212,395.89</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数字影视业务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915,094.34</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707,547.18</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103,773.58</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47,169.79</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21"/>
                <w:szCs w:val="21"/>
              </w:rPr>
            </w:pPr>
            <w:r>
              <w:rPr>
                <w:rFonts w:ascii="宋体" w:hAnsi="宋体" w:cs="宋体" w:eastAsia="宋体" w:hint="default"/>
                <w:sz w:val="21"/>
                <w:szCs w:val="21"/>
              </w:rPr>
              <w:t>新华通讯社天津分社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1"/>
                <w:szCs w:val="21"/>
              </w:rPr>
            </w:pPr>
            <w:r>
              <w:rPr>
                <w:rFonts w:ascii="宋体"/>
                <w:spacing w:val="-1"/>
                <w:sz w:val="21"/>
              </w:rPr>
              <w:t>188,679.25</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新华通讯社天津分社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443,396.20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311,320.76</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网络供稿</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11,320,754.72</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网络供稿</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11,320,754.76</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66,803,867.92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8,231,780.27</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3,150,454.45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2,320,754.72</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23,556,603.77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9,198,113.21</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舆情培训</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94,339.60</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新华通讯社云南分社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330,188.62</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新华通讯社云南分社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188,679.20</w:t>
            </w:r>
          </w:p>
        </w:tc>
      </w:tr>
    </w:tbl>
    <w:p>
      <w:pPr>
        <w:spacing w:after="0" w:line="240" w:lineRule="auto"/>
        <w:jc w:val="right"/>
        <w:rPr>
          <w:rFonts w:ascii="宋体" w:hAnsi="宋体" w:cs="宋体" w:eastAsia="宋体" w:hint="default"/>
          <w:sz w:val="21"/>
          <w:szCs w:val="21"/>
        </w:rPr>
        <w:sectPr>
          <w:pgSz w:w="11910" w:h="16840"/>
          <w:pgMar w:header="0"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956"/>
        <w:gridCol w:w="2007"/>
        <w:gridCol w:w="1467"/>
        <w:gridCol w:w="1466"/>
      </w:tblGrid>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21"/>
                <w:szCs w:val="21"/>
              </w:rPr>
            </w:pPr>
            <w:r>
              <w:rPr>
                <w:rFonts w:ascii="宋体" w:hAnsi="宋体" w:cs="宋体" w:eastAsia="宋体" w:hint="default"/>
                <w:sz w:val="21"/>
                <w:szCs w:val="21"/>
              </w:rPr>
              <w:t>新华通讯社云南分社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1"/>
                <w:szCs w:val="21"/>
              </w:rPr>
            </w:pPr>
            <w:r>
              <w:rPr>
                <w:rFonts w:ascii="宋体"/>
                <w:spacing w:val="-1"/>
                <w:sz w:val="21"/>
              </w:rPr>
              <w:t>377,358.49</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新华影廊（北京）文化传播有限责任公司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70,754.72</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新中国新闻有限公司（香港）</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802,209.43</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中国广告联合总公司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849,056.60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377,358.49</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中国环球公共关系公司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数字影视业务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141,509.43</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4,554,501.89</w:t>
            </w: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3,079,245.30</w:t>
            </w: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数字影视业务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283,018.86</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宋体" w:hAnsi="宋体" w:cs="宋体" w:eastAsia="宋体" w:hint="default"/>
                <w:sz w:val="21"/>
                <w:szCs w:val="21"/>
              </w:rPr>
            </w:pPr>
            <w:r>
              <w:rPr>
                <w:rFonts w:ascii="宋体"/>
                <w:spacing w:val="-1"/>
                <w:sz w:val="21"/>
              </w:rPr>
              <w:t>12,520,431.57</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2,150,943.36</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5,266,037.69</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405,660.38</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网站建设及技术服务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pacing w:val="-1"/>
                <w:sz w:val="21"/>
              </w:rPr>
              <w:t>66,037.73</w:t>
            </w:r>
          </w:p>
        </w:tc>
        <w:tc>
          <w:tcPr>
            <w:tcW w:w="14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3,392,925.33</w:t>
            </w:r>
          </w:p>
        </w:tc>
        <w:tc>
          <w:tcPr>
            <w:tcW w:w="14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660" w:right="1120"/>
        </w:sectPr>
      </w:pPr>
    </w:p>
    <w:p>
      <w:pPr>
        <w:pStyle w:val="BodyText"/>
        <w:spacing w:line="239" w:lineRule="exact"/>
        <w:ind w:right="-18"/>
        <w:jc w:val="left"/>
      </w:pPr>
      <w:r>
        <w:rPr/>
        <w:t>购销商品、提供和接受劳务的关联交易说明</w:t>
      </w:r>
    </w:p>
    <w:p>
      <w:pPr>
        <w:pStyle w:val="BodyText"/>
        <w:spacing w:line="273" w:lineRule="exact"/>
        <w:ind w:right="-18"/>
        <w:jc w:val="left"/>
      </w:pPr>
      <w:r>
        <w:rPr/>
        <w:t>□适用</w:t>
      </w:r>
      <w:r>
        <w:rPr>
          <w:spacing w:val="-1"/>
        </w:rPr>
        <w:t> </w:t>
      </w:r>
      <w:r>
        <w:rPr/>
        <w:t>√不适用</w:t>
      </w:r>
    </w:p>
    <w:p>
      <w:pPr>
        <w:spacing w:line="273" w:lineRule="auto" w:before="58"/>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2" w:lineRule="exact"/>
        <w:ind w:right="-18"/>
        <w:jc w:val="left"/>
      </w:pPr>
      <w:r>
        <w:rPr/>
        <w:t>□适用</w:t>
      </w:r>
      <w:r>
        <w:rPr>
          <w:spacing w:val="-1"/>
        </w:rPr>
        <w:t> </w:t>
      </w:r>
      <w:r>
        <w:rPr/>
        <w:t>√不适用</w:t>
      </w:r>
    </w:p>
    <w:p>
      <w:pPr>
        <w:pStyle w:val="BodyText"/>
        <w:spacing w:line="272" w:lineRule="exact"/>
        <w:ind w:right="-18"/>
        <w:jc w:val="left"/>
      </w:pPr>
      <w:r>
        <w:rPr/>
        <w:t>关联托管</w:t>
      </w:r>
      <w:r>
        <w:rPr>
          <w:rFonts w:ascii="宋体" w:hAnsi="宋体" w:cs="宋体" w:eastAsia="宋体" w:hint="default"/>
        </w:rPr>
        <w:t>/</w:t>
      </w:r>
      <w:r>
        <w:rPr/>
        <w:t>承包情况说明</w:t>
      </w:r>
    </w:p>
    <w:p>
      <w:pPr>
        <w:pStyle w:val="BodyText"/>
        <w:spacing w:line="272" w:lineRule="exact" w:before="27"/>
        <w:ind w:right="680"/>
        <w:jc w:val="left"/>
      </w:pPr>
      <w:r>
        <w:rPr/>
        <w:t>□适用</w:t>
      </w:r>
      <w:r>
        <w:rPr>
          <w:spacing w:val="-2"/>
        </w:rPr>
        <w:t> </w:t>
      </w:r>
      <w:r>
        <w:rPr/>
        <w:t>√不适用</w:t>
      </w:r>
      <w:r>
        <w:rPr>
          <w:w w:val="100"/>
        </w:rPr>
        <w:t> </w:t>
      </w:r>
      <w:r>
        <w:rPr>
          <w:spacing w:val="-2"/>
        </w:rPr>
        <w:t>本公司委托管理</w:t>
      </w:r>
      <w:r>
        <w:rPr>
          <w:rFonts w:ascii="宋体" w:hAnsi="宋体" w:cs="宋体" w:eastAsia="宋体" w:hint="default"/>
          <w:spacing w:val="-2"/>
        </w:rPr>
        <w:t>/</w:t>
      </w:r>
      <w:r>
        <w:rPr>
          <w:spacing w:val="-2"/>
        </w:rPr>
        <w:t>出包情况表：</w:t>
      </w:r>
    </w:p>
    <w:p>
      <w:pPr>
        <w:pStyle w:val="BodyText"/>
        <w:spacing w:line="272" w:lineRule="exact" w:before="1"/>
        <w:ind w:right="680"/>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right="-18"/>
        <w:jc w:val="left"/>
      </w:pPr>
      <w:r>
        <w:rPr/>
        <w:t>□适用</w:t>
      </w:r>
      <w:r>
        <w:rPr>
          <w:spacing w:val="-1"/>
        </w:rPr>
        <w:t> </w:t>
      </w:r>
      <w:r>
        <w:rPr/>
        <w:t>√不适用</w:t>
      </w:r>
    </w:p>
    <w:p>
      <w:pPr>
        <w:spacing w:line="290" w:lineRule="auto" w:before="56"/>
        <w:ind w:left="138" w:right="251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8" w:lineRule="exact"/>
        <w:ind w:right="-18"/>
        <w:jc w:val="left"/>
      </w:pPr>
      <w:r>
        <w:rPr/>
        <w:t>□适用</w:t>
      </w:r>
      <w:r>
        <w:rPr>
          <w:spacing w:val="-1"/>
        </w:rPr>
        <w:t> </w:t>
      </w:r>
      <w:r>
        <w:rPr/>
        <w:t>√不适用</w:t>
      </w:r>
    </w:p>
    <w:p>
      <w:pPr>
        <w:pStyle w:val="BodyText"/>
        <w:spacing w:line="273" w:lineRule="exact"/>
        <w:ind w:right="-18"/>
        <w:jc w:val="left"/>
      </w:pPr>
      <w:r>
        <w:rPr/>
        <w:t>本公司作为承租方：</w:t>
      </w:r>
    </w:p>
    <w:p>
      <w:pPr>
        <w:pStyle w:val="BodyText"/>
        <w:spacing w:line="274"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tabs>
          <w:tab w:pos="1295"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555" w:space="1863"/>
            <w:col w:w="271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3"/>
        <w:gridCol w:w="1637"/>
        <w:gridCol w:w="2158"/>
        <w:gridCol w:w="2158"/>
      </w:tblGrid>
      <w:tr>
        <w:trPr>
          <w:trHeight w:val="319"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40"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5"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新华社印务有限责任公司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3" w:right="0"/>
              <w:jc w:val="left"/>
              <w:rPr>
                <w:rFonts w:ascii="宋体" w:hAnsi="宋体" w:cs="宋体" w:eastAsia="宋体" w:hint="default"/>
                <w:sz w:val="21"/>
                <w:szCs w:val="21"/>
              </w:rPr>
            </w:pPr>
            <w:r>
              <w:rPr>
                <w:rFonts w:ascii="宋体"/>
                <w:sz w:val="21"/>
              </w:rPr>
              <w:t>9,673,067.66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7,420,435.44</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15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38,000.00</w:t>
            </w:r>
          </w:p>
        </w:tc>
      </w:tr>
    </w:tbl>
    <w:p>
      <w:pPr>
        <w:pStyle w:val="BodyText"/>
        <w:spacing w:line="239" w:lineRule="exact"/>
        <w:ind w:right="0"/>
        <w:jc w:val="left"/>
      </w:pPr>
      <w:r>
        <w:rPr/>
        <w:t>关联租赁情况说明</w:t>
      </w:r>
    </w:p>
    <w:p>
      <w:pPr>
        <w:spacing w:line="290" w:lineRule="auto" w:before="0"/>
        <w:ind w:left="138" w:right="70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8" w:lineRule="exact"/>
        <w:ind w:right="0"/>
        <w:jc w:val="left"/>
      </w:pPr>
      <w:r>
        <w:rPr/>
        <w:t>□适用</w:t>
      </w:r>
      <w:r>
        <w:rPr>
          <w:spacing w:val="-1"/>
        </w:rPr>
        <w:t> </w:t>
      </w:r>
      <w:r>
        <w:rPr/>
        <w:t>√不适用</w:t>
      </w:r>
    </w:p>
    <w:p>
      <w:pPr>
        <w:pStyle w:val="BodyText"/>
        <w:spacing w:line="273" w:lineRule="exact"/>
        <w:ind w:right="0"/>
        <w:jc w:val="left"/>
      </w:pPr>
      <w:r>
        <w:rPr/>
        <w:t>本公司作为被担保方</w:t>
      </w:r>
    </w:p>
    <w:p>
      <w:pPr>
        <w:pStyle w:val="BodyText"/>
        <w:spacing w:line="272" w:lineRule="exact" w:before="27"/>
        <w:ind w:right="7303"/>
        <w:jc w:val="left"/>
      </w:pPr>
      <w:r>
        <w:rPr/>
        <w:t>□适用</w:t>
      </w:r>
      <w:r>
        <w:rPr>
          <w:spacing w:val="-2"/>
        </w:rPr>
        <w:t> </w:t>
      </w:r>
      <w:r>
        <w:rPr/>
        <w:t>√不适用</w:t>
      </w:r>
      <w:r>
        <w:rPr>
          <w:w w:val="100"/>
        </w:rPr>
        <w:t> </w:t>
      </w:r>
      <w:r>
        <w:rPr>
          <w:spacing w:val="-2"/>
        </w:rPr>
        <w:t>关联担保情况说明</w:t>
      </w:r>
    </w:p>
    <w:p>
      <w:pPr>
        <w:spacing w:after="0" w:line="272"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BodyText"/>
        <w:spacing w:line="240" w:lineRule="auto" w:before="36"/>
        <w:ind w:left="218" w:right="-18"/>
        <w:jc w:val="left"/>
      </w:pPr>
      <w:r>
        <w:rPr/>
        <w:t>□适用</w:t>
      </w:r>
      <w:r>
        <w:rPr>
          <w:spacing w:val="-1"/>
        </w:rPr>
        <w:t> </w:t>
      </w:r>
      <w:r>
        <w:rPr/>
        <w:t>√不适用</w:t>
      </w:r>
    </w:p>
    <w:p>
      <w:pPr>
        <w:pStyle w:val="Heading3"/>
        <w:spacing w:line="240" w:lineRule="auto" w:before="58"/>
        <w:ind w:right="-18"/>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left="218" w:right="-18"/>
        <w:jc w:val="left"/>
      </w:pPr>
      <w:r>
        <w:rPr/>
        <w:t>□适用</w:t>
      </w:r>
      <w:r>
        <w:rPr>
          <w:spacing w:val="-1"/>
        </w:rPr>
        <w:t> </w:t>
      </w:r>
      <w:r>
        <w:rPr/>
        <w:t>√不适用</w:t>
      </w:r>
    </w:p>
    <w:p>
      <w:pPr>
        <w:pStyle w:val="Heading3"/>
        <w:spacing w:line="240" w:lineRule="auto" w:before="58"/>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218" w:right="-18"/>
        <w:jc w:val="left"/>
      </w:pPr>
      <w:r>
        <w:rPr/>
        <w:t>□适用</w:t>
      </w:r>
      <w:r>
        <w:rPr>
          <w:spacing w:val="-1"/>
        </w:rPr>
        <w:t> </w:t>
      </w:r>
      <w:r>
        <w:rPr/>
        <w:t>√不适用</w:t>
      </w:r>
    </w:p>
    <w:p>
      <w:pPr>
        <w:pStyle w:val="Heading3"/>
        <w:spacing w:line="240" w:lineRule="auto" w:before="58"/>
        <w:ind w:right="-18"/>
        <w:jc w:val="left"/>
        <w:rPr>
          <w:b w:val="0"/>
          <w:bCs w:val="0"/>
        </w:rPr>
      </w:pPr>
      <w:r>
        <w:rPr>
          <w:rFonts w:ascii="宋体" w:hAnsi="宋体" w:cs="宋体" w:eastAsia="宋体" w:hint="default"/>
        </w:rPr>
        <w:t>(7).</w:t>
      </w:r>
      <w:r>
        <w:rPr>
          <w:rFonts w:ascii="宋体" w:hAnsi="宋体" w:cs="宋体" w:eastAsia="宋体" w:hint="default"/>
          <w:spacing w:val="90"/>
        </w:rPr>
        <w:t> </w:t>
      </w:r>
      <w:r>
        <w:rPr/>
        <w:t>关键管理人员报酬</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1581" w:val="left" w:leader="none"/>
        </w:tabs>
        <w:spacing w:line="240" w:lineRule="auto"/>
        <w:ind w:left="218" w:right="0"/>
        <w:jc w:val="left"/>
      </w:pPr>
      <w:r>
        <w:rPr>
          <w:spacing w:val="-1"/>
        </w:rPr>
        <w:t>单位：万元</w:t>
        <w:tab/>
      </w:r>
      <w:r>
        <w:rPr>
          <w:spacing w:val="-2"/>
        </w:rPr>
        <w:t>币种：人民币</w:t>
      </w:r>
      <w:r>
        <w:rPr/>
      </w:r>
    </w:p>
    <w:p>
      <w:pPr>
        <w:spacing w:after="0" w:line="240" w:lineRule="auto"/>
        <w:jc w:val="left"/>
        <w:sectPr>
          <w:type w:val="continuous"/>
          <w:pgSz w:w="11910" w:h="16840"/>
          <w:pgMar w:top="1120" w:bottom="1380" w:left="1580" w:right="1040"/>
          <w:cols w:num="2" w:equalWidth="0">
            <w:col w:w="3787" w:space="2420"/>
            <w:col w:w="308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2931"/>
        <w:gridCol w:w="2845"/>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16" w:right="0"/>
              <w:jc w:val="left"/>
              <w:rPr>
                <w:rFonts w:ascii="宋体" w:hAnsi="宋体" w:cs="宋体" w:eastAsia="宋体" w:hint="default"/>
                <w:sz w:val="21"/>
                <w:szCs w:val="21"/>
              </w:rPr>
            </w:pPr>
            <w:r>
              <w:rPr>
                <w:rFonts w:ascii="宋体" w:hAnsi="宋体" w:cs="宋体" w:eastAsia="宋体" w:hint="default"/>
                <w:sz w:val="21"/>
                <w:szCs w:val="21"/>
              </w:rPr>
              <w:t>545.37</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0" w:right="0"/>
              <w:jc w:val="left"/>
              <w:rPr>
                <w:rFonts w:ascii="宋体" w:hAnsi="宋体" w:cs="宋体" w:eastAsia="宋体" w:hint="default"/>
                <w:sz w:val="21"/>
                <w:szCs w:val="21"/>
              </w:rPr>
            </w:pPr>
            <w:r>
              <w:rPr>
                <w:rFonts w:ascii="宋体" w:hAnsi="宋体" w:cs="宋体" w:eastAsia="宋体" w:hint="default"/>
                <w:sz w:val="21"/>
                <w:szCs w:val="21"/>
              </w:rPr>
              <w:t>469.10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20"/>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060" w:val="left" w:leader="none"/>
        </w:tabs>
        <w:spacing w:line="240" w:lineRule="auto" w:before="58"/>
        <w:ind w:left="218" w:right="-20"/>
        <w:jc w:val="left"/>
      </w:pPr>
      <w:r>
        <w:rPr>
          <w:spacing w:val="-1"/>
        </w:rPr>
        <w:t>□适用</w:t>
        <w:tab/>
      </w:r>
      <w:r>
        <w:rPr>
          <w:spacing w:val="-2"/>
        </w:rPr>
        <w:t>√不适用</w:t>
      </w:r>
    </w:p>
    <w:p>
      <w:pPr>
        <w:pStyle w:val="Heading3"/>
        <w:spacing w:line="290" w:lineRule="auto" w:before="5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060" w:val="left" w:leader="none"/>
        </w:tabs>
        <w:spacing w:line="240" w:lineRule="auto" w:before="12"/>
        <w:ind w:left="21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083"/>
            <w:col w:w="2663"/>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66"/>
        <w:gridCol w:w="1618"/>
        <w:gridCol w:w="1426"/>
        <w:gridCol w:w="1352"/>
        <w:gridCol w:w="1481"/>
        <w:gridCol w:w="1853"/>
      </w:tblGrid>
      <w:tr>
        <w:trPr>
          <w:trHeight w:val="283" w:hRule="exact"/>
        </w:trPr>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07"/>
              <w:ind w:left="15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107"/>
              <w:ind w:left="48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166" w:type="dxa"/>
            <w:vMerge/>
            <w:tcBorders>
              <w:left w:val="single" w:sz="4" w:space="0" w:color="000000"/>
              <w:bottom w:val="single" w:sz="4" w:space="0" w:color="000000"/>
              <w:right w:val="single" w:sz="4" w:space="0" w:color="000000"/>
            </w:tcBorders>
          </w:tcPr>
          <w:p>
            <w:pPr/>
          </w:p>
        </w:tc>
        <w:tc>
          <w:tcPr>
            <w:tcW w:w="161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18,000,000.00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新华通讯社新闻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信息中心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49,477,241.60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3,984,000.00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中国广告联合总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1,552,000.00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652,000.00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新华通讯社东京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sz w:val="21"/>
              </w:rPr>
              <w:t>350,000.00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350,000.00</w:t>
            </w: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新华通讯社北京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sz w:val="21"/>
              </w:rPr>
              <w:t>420,000.00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420,000.00</w:t>
            </w:r>
          </w:p>
        </w:tc>
      </w:tr>
      <w:tr>
        <w:trPr>
          <w:trHeight w:val="557"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新华社教育培训</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330,000.00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330,000.00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新华通讯社安徽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860,000.00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3" w:right="0"/>
              <w:jc w:val="left"/>
              <w:rPr>
                <w:rFonts w:ascii="宋体" w:hAnsi="宋体" w:cs="宋体" w:eastAsia="宋体" w:hint="default"/>
                <w:sz w:val="21"/>
                <w:szCs w:val="21"/>
              </w:rPr>
            </w:pPr>
            <w:r>
              <w:rPr>
                <w:rFonts w:ascii="宋体"/>
                <w:sz w:val="21"/>
              </w:rPr>
              <w:t>300,000.00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300,000.00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300,000.00</w:t>
            </w:r>
          </w:p>
        </w:tc>
      </w:tr>
      <w:tr>
        <w:trPr>
          <w:trHeight w:val="555"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新华通讯社河北</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262,500.00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新华通讯社河南</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27,326.00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新华通讯社黑龙</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江分社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500,000.00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470,000.00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新华通讯社江西</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350,000.00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新华通讯社云南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400,000.00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新华通讯社广东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410,000.00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北京新华每日广</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告公司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60,000.00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60,000.00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585,800.00</w:t>
            </w: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166"/>
        <w:gridCol w:w="1618"/>
        <w:gridCol w:w="1426"/>
        <w:gridCol w:w="1352"/>
        <w:gridCol w:w="1481"/>
        <w:gridCol w:w="1853"/>
      </w:tblGrid>
      <w:tr>
        <w:trPr>
          <w:trHeight w:val="557"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中国环球公共关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系公司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150,000.00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北京新华物业管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理中心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pacing w:val="-1"/>
                <w:sz w:val="21"/>
              </w:rPr>
              <w:t>44,169.00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44,169.00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新华通讯社河北</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21,000.00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新华通讯社江苏</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1,260,000.00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10,194.17</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北京新彩华章网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36,220.95</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新华社印务有限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441,692.46</w:t>
            </w: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新华通讯社重庆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新华通讯社湖南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新华通讯社湖北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84,800.00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新华通讯社西藏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分社</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48,548.34</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高管备用金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监事备用金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60" w:right="1120"/>
        </w:sectPr>
      </w:pPr>
    </w:p>
    <w:p>
      <w:pPr>
        <w:pStyle w:val="Heading3"/>
        <w:spacing w:line="240" w:lineRule="auto"/>
        <w:ind w:left="13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8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1821" w:space="4806"/>
            <w:col w:w="250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1"/>
        <w:gridCol w:w="4119"/>
        <w:gridCol w:w="1844"/>
        <w:gridCol w:w="1632"/>
      </w:tblGrid>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新华社印务有限责任公司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3,401,032.93</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38,000.00</w:t>
            </w:r>
          </w:p>
        </w:tc>
      </w:tr>
      <w:tr>
        <w:trPr>
          <w:trHeight w:val="34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新华通讯社江西分社（新闻信息中心）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217,500.00</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420,000.00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海南亿连数据科技有限公司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500,000.00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4,416,041.96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80,000.00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280,000.00</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新华通讯社江苏分社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456,000.00</w:t>
            </w:r>
          </w:p>
        </w:tc>
      </w:tr>
      <w:tr>
        <w:trPr>
          <w:trHeight w:val="34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2,310,000.00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新华通讯社海南分社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100,000.00</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50,000.00</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新华通讯社甘肃分社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270,000.00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330,000.00</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新华通讯社广西分社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313,273.73</w:t>
            </w:r>
          </w:p>
        </w:tc>
      </w:tr>
      <w:tr>
        <w:trPr>
          <w:trHeight w:val="351"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新华通讯社江西分社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930,000.00</w:t>
            </w:r>
          </w:p>
        </w:tc>
      </w:tr>
      <w:tr>
        <w:trPr>
          <w:trHeight w:val="34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新华通讯社陕西分社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1,460,000.00</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新华通讯社天津分社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470,000.00</w:t>
            </w:r>
          </w:p>
        </w:tc>
      </w:tr>
    </w:tbl>
    <w:p>
      <w:pPr>
        <w:spacing w:after="0" w:line="240" w:lineRule="auto"/>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301"/>
        <w:gridCol w:w="4119"/>
        <w:gridCol w:w="1844"/>
        <w:gridCol w:w="1632"/>
      </w:tblGrid>
      <w:tr>
        <w:trPr>
          <w:trHeight w:val="351"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新华通讯社广东分社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220,000.00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新华（青岛）国际海洋资讯中心有限公司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1"/>
                <w:szCs w:val="21"/>
              </w:rPr>
            </w:pPr>
            <w:r>
              <w:rPr>
                <w:rFonts w:ascii="宋体"/>
                <w:spacing w:val="-1"/>
                <w:sz w:val="21"/>
              </w:rPr>
              <w:t>190,000.00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60,000.00</w:t>
            </w: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参考消息报社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1,473,700.00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6,040,156.50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600,000.00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新华通讯社广东分社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220,000.00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656,891.75</w:t>
            </w:r>
          </w:p>
        </w:tc>
      </w:tr>
    </w:tbl>
    <w:p>
      <w:pPr>
        <w:spacing w:line="240" w:lineRule="auto" w:before="2"/>
        <w:rPr>
          <w:rFonts w:ascii="宋体" w:hAnsi="宋体" w:cs="宋体" w:eastAsia="宋体" w:hint="default"/>
          <w:sz w:val="20"/>
          <w:szCs w:val="20"/>
        </w:rPr>
      </w:pPr>
    </w:p>
    <w:p>
      <w:pPr>
        <w:pStyle w:val="Heading3"/>
        <w:spacing w:line="240" w:lineRule="auto"/>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before="59"/>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977" w:val="left" w:leader="none"/>
        </w:tabs>
        <w:spacing w:line="290" w:lineRule="auto" w:before="56"/>
        <w:ind w:left="138" w:right="730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十三、</w:t>
        <w:tab/>
        <w:t>股份支付</w:t>
      </w:r>
      <w:r>
        <w:rPr>
          <w:rFonts w:ascii="宋体" w:hAnsi="宋体" w:cs="宋体" w:eastAsia="宋体" w:hint="default"/>
          <w:sz w:val="21"/>
          <w:szCs w:val="21"/>
        </w:rPr>
      </w:r>
    </w:p>
    <w:p>
      <w:pPr>
        <w:pStyle w:val="Heading3"/>
        <w:spacing w:line="240" w:lineRule="auto" w:before="12"/>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right="0"/>
        <w:jc w:val="left"/>
      </w:pPr>
      <w:r>
        <w:rPr/>
        <w:t>□适用</w:t>
      </w:r>
      <w:r>
        <w:rPr>
          <w:spacing w:val="-1"/>
        </w:rPr>
        <w:t> </w:t>
      </w:r>
      <w:r>
        <w:rPr/>
        <w:t>√不适用</w:t>
      </w:r>
    </w:p>
    <w:p>
      <w:pPr>
        <w:pStyle w:val="Heading3"/>
        <w:spacing w:line="240" w:lineRule="auto" w:before="56"/>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0"/>
        <w:jc w:val="left"/>
      </w:pPr>
      <w:r>
        <w:rPr/>
        <w:t>□适用</w:t>
      </w:r>
      <w:r>
        <w:rPr>
          <w:spacing w:val="-1"/>
        </w:rPr>
        <w:t> </w:t>
      </w:r>
      <w:r>
        <w:rPr/>
        <w:t>√不适用</w:t>
      </w:r>
    </w:p>
    <w:p>
      <w:pPr>
        <w:pStyle w:val="Heading3"/>
        <w:spacing w:line="240" w:lineRule="auto" w:before="56"/>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0"/>
        <w:jc w:val="left"/>
      </w:pPr>
      <w:r>
        <w:rPr/>
        <w:t>□适用</w:t>
      </w:r>
      <w:r>
        <w:rPr>
          <w:spacing w:val="-1"/>
        </w:rPr>
        <w:t> </w:t>
      </w:r>
      <w:r>
        <w:rPr/>
        <w:t>√不适用</w:t>
      </w:r>
    </w:p>
    <w:p>
      <w:pPr>
        <w:pStyle w:val="Heading3"/>
        <w:spacing w:line="240" w:lineRule="auto" w:before="56"/>
        <w:ind w:left="138" w:right="0"/>
        <w:jc w:val="left"/>
        <w:rPr>
          <w:b w:val="0"/>
          <w:bCs w:val="0"/>
        </w:rPr>
      </w:pPr>
      <w:r>
        <w:rPr>
          <w:rFonts w:ascii="宋体" w:hAnsi="宋体" w:cs="宋体" w:eastAsia="宋体" w:hint="default"/>
        </w:rPr>
        <w:t>4</w:t>
      </w:r>
      <w:r>
        <w:rPr/>
        <w:t>、 股份支付的修改、终止情况</w:t>
      </w:r>
      <w:r>
        <w:rPr>
          <w:b w:val="0"/>
          <w:bCs w:val="0"/>
        </w:rPr>
      </w:r>
    </w:p>
    <w:p>
      <w:pPr>
        <w:tabs>
          <w:tab w:pos="980" w:val="left" w:leader="none"/>
        </w:tabs>
        <w:spacing w:line="290" w:lineRule="auto" w:before="58"/>
        <w:ind w:left="13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14"/>
        <w:ind w:right="0"/>
        <w:jc w:val="left"/>
      </w:pPr>
      <w:r>
        <w:rPr>
          <w:spacing w:val="-1"/>
        </w:rPr>
        <w:t>□适用</w:t>
        <w:tab/>
      </w:r>
      <w:r>
        <w:rPr>
          <w:spacing w:val="-2"/>
        </w:rPr>
        <w:t>√不适用</w:t>
      </w:r>
    </w:p>
    <w:p>
      <w:pPr>
        <w:pStyle w:val="Heading3"/>
        <w:tabs>
          <w:tab w:pos="977" w:val="left" w:leader="none"/>
        </w:tabs>
        <w:spacing w:line="290" w:lineRule="auto" w:before="56"/>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0"/>
        <w:ind w:right="3067"/>
        <w:jc w:val="left"/>
      </w:pPr>
      <w:r>
        <w:rPr/>
        <w:t>√适用</w:t>
      </w:r>
      <w:r>
        <w:rPr>
          <w:spacing w:val="-2"/>
        </w:rPr>
        <w:t> </w:t>
      </w:r>
      <w:r>
        <w:rPr/>
        <w:t>□不适用</w:t>
      </w:r>
      <w:r>
        <w:rPr>
          <w:w w:val="100"/>
        </w:rPr>
        <w:t> </w:t>
      </w:r>
      <w:r>
        <w:rPr>
          <w:spacing w:val="-2"/>
        </w:rPr>
        <w:t>资产负债表日存在的对外重要承诺、性质、金额</w:t>
      </w:r>
    </w:p>
    <w:p>
      <w:pPr>
        <w:pStyle w:val="BodyText"/>
        <w:spacing w:line="350" w:lineRule="auto" w:before="82"/>
        <w:ind w:right="144" w:firstLine="419"/>
        <w:jc w:val="left"/>
      </w:pPr>
      <w:r>
        <w:rPr/>
        <w:t>（</w:t>
      </w: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月，本公司与虹彩飞扬签订《合作协议》，共同出资设立新彩华章。协议约</w:t>
      </w:r>
      <w:r>
        <w:rPr>
          <w:w w:val="100"/>
        </w:rPr>
        <w:t> </w:t>
      </w:r>
      <w:r>
        <w:rPr>
          <w:spacing w:val="-7"/>
        </w:rPr>
        <w:t>定：本公司以 </w:t>
      </w:r>
      <w:r>
        <w:rPr>
          <w:rFonts w:ascii="宋体" w:hAnsi="宋体" w:cs="宋体" w:eastAsia="宋体" w:hint="default"/>
        </w:rPr>
        <w:t>800.00</w:t>
      </w:r>
      <w:r>
        <w:rPr>
          <w:rFonts w:ascii="宋体" w:hAnsi="宋体" w:cs="宋体" w:eastAsia="宋体" w:hint="default"/>
          <w:spacing w:val="-25"/>
        </w:rPr>
        <w:t> </w:t>
      </w:r>
      <w:r>
        <w:rPr>
          <w:spacing w:val="-4"/>
        </w:rPr>
        <w:t>万元增资新彩华章，待新彩华章第一张互联网牌照申请成功一个月后，本公</w:t>
      </w:r>
    </w:p>
    <w:p>
      <w:pPr>
        <w:pStyle w:val="BodyText"/>
        <w:spacing w:line="240" w:lineRule="auto" w:before="27"/>
        <w:ind w:right="0"/>
        <w:jc w:val="left"/>
      </w:pPr>
      <w:r>
        <w:rPr/>
        <w:t>司增资</w:t>
      </w:r>
      <w:r>
        <w:rPr>
          <w:spacing w:val="-55"/>
        </w:rPr>
        <w:t> </w:t>
      </w:r>
      <w:r>
        <w:rPr>
          <w:rFonts w:ascii="宋体" w:hAnsi="宋体" w:cs="宋体" w:eastAsia="宋体" w:hint="default"/>
        </w:rPr>
        <w:t>1,200.00</w:t>
      </w:r>
      <w:r>
        <w:rPr>
          <w:rFonts w:ascii="宋体" w:hAnsi="宋体" w:cs="宋体" w:eastAsia="宋体" w:hint="default"/>
          <w:spacing w:val="-55"/>
        </w:rPr>
        <w:t> </w:t>
      </w:r>
      <w:r>
        <w:rPr/>
        <w:t>万元。截至本财务报告批准报出日，本公司已出资</w:t>
      </w:r>
      <w:r>
        <w:rPr>
          <w:spacing w:val="-55"/>
        </w:rPr>
        <w:t> </w:t>
      </w:r>
      <w:r>
        <w:rPr>
          <w:rFonts w:ascii="宋体" w:hAnsi="宋体" w:cs="宋体" w:eastAsia="宋体" w:hint="default"/>
        </w:rPr>
        <w:t>800.00</w:t>
      </w:r>
      <w:r>
        <w:rPr>
          <w:rFonts w:ascii="宋体" w:hAnsi="宋体" w:cs="宋体" w:eastAsia="宋体" w:hint="default"/>
          <w:spacing w:val="-57"/>
        </w:rPr>
        <w:t> </w:t>
      </w:r>
      <w:r>
        <w:rPr/>
        <w:t>万元。</w:t>
      </w:r>
    </w:p>
    <w:p>
      <w:pPr>
        <w:pStyle w:val="BodyText"/>
        <w:spacing w:line="240" w:lineRule="auto" w:before="126"/>
        <w:ind w:left="558" w:right="0"/>
        <w:jc w:val="left"/>
        <w:rPr>
          <w:rFonts w:ascii="宋体" w:hAnsi="宋体" w:cs="宋体" w:eastAsia="宋体" w:hint="default"/>
        </w:rPr>
      </w:pPr>
      <w:r>
        <w:rPr>
          <w:spacing w:val="-3"/>
        </w:rPr>
        <w:t>（</w:t>
      </w:r>
      <w:r>
        <w:rPr>
          <w:rFonts w:ascii="宋体" w:hAnsi="宋体" w:cs="宋体" w:eastAsia="宋体" w:hint="default"/>
          <w:spacing w:val="-3"/>
        </w:rPr>
        <w:t>2</w:t>
      </w:r>
      <w:r>
        <w:rPr>
          <w:spacing w:val="-3"/>
        </w:rPr>
        <w:t>）根据本公司与康美药业于</w:t>
      </w:r>
      <w:r>
        <w:rPr>
          <w:spacing w:val="-42"/>
        </w:rPr>
        <w:t> </w:t>
      </w:r>
      <w:r>
        <w:rPr>
          <w:rFonts w:ascii="宋体" w:hAnsi="宋体" w:cs="宋体" w:eastAsia="宋体" w:hint="default"/>
        </w:rPr>
        <w:t>2015</w:t>
      </w:r>
      <w:r>
        <w:rPr>
          <w:rFonts w:ascii="宋体" w:hAnsi="宋体" w:cs="宋体" w:eastAsia="宋体" w:hint="default"/>
          <w:spacing w:val="-46"/>
        </w:rPr>
        <w:t> </w:t>
      </w:r>
      <w:r>
        <w:rPr/>
        <w:t>年</w:t>
      </w:r>
      <w:r>
        <w:rPr>
          <w:spacing w:val="-44"/>
        </w:rPr>
        <w:t> </w:t>
      </w:r>
      <w:r>
        <w:rPr>
          <w:rFonts w:ascii="宋体" w:hAnsi="宋体" w:cs="宋体" w:eastAsia="宋体" w:hint="default"/>
        </w:rPr>
        <w:t>6</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6"/>
        </w:rPr>
        <w:t> </w:t>
      </w:r>
      <w:r>
        <w:rPr>
          <w:spacing w:val="-4"/>
        </w:rPr>
        <w:t>日签署的《股份公司发起人协议书》及于</w:t>
      </w:r>
      <w:r>
        <w:rPr>
          <w:spacing w:val="-44"/>
        </w:rPr>
        <w:t> </w:t>
      </w:r>
      <w:r>
        <w:rPr>
          <w:rFonts w:ascii="宋体" w:hAnsi="宋体" w:cs="宋体" w:eastAsia="宋体" w:hint="default"/>
        </w:rPr>
        <w:t>2016</w:t>
      </w:r>
    </w:p>
    <w:p>
      <w:pPr>
        <w:pStyle w:val="BodyText"/>
        <w:spacing w:line="240" w:lineRule="auto" w:before="126"/>
        <w:ind w:right="0"/>
        <w:jc w:val="left"/>
      </w:pPr>
      <w:r>
        <w:rPr/>
        <w:t>年</w:t>
      </w:r>
      <w:r>
        <w:rPr>
          <w:spacing w:val="-39"/>
        </w:rPr>
        <w:t> </w:t>
      </w:r>
      <w:r>
        <w:rPr>
          <w:rFonts w:ascii="宋体" w:hAnsi="宋体" w:cs="宋体" w:eastAsia="宋体" w:hint="default"/>
        </w:rPr>
        <w:t>2</w:t>
      </w:r>
      <w:r>
        <w:rPr>
          <w:rFonts w:ascii="宋体" w:hAnsi="宋体" w:cs="宋体" w:eastAsia="宋体" w:hint="default"/>
          <w:spacing w:val="-42"/>
        </w:rPr>
        <w:t> </w:t>
      </w:r>
      <w:r>
        <w:rPr/>
        <w:t>月</w:t>
      </w:r>
      <w:r>
        <w:rPr>
          <w:spacing w:val="-39"/>
        </w:rPr>
        <w:t> </w:t>
      </w:r>
      <w:r>
        <w:rPr>
          <w:rFonts w:ascii="宋体" w:hAnsi="宋体" w:cs="宋体" w:eastAsia="宋体" w:hint="default"/>
        </w:rPr>
        <w:t>26</w:t>
      </w:r>
      <w:r>
        <w:rPr>
          <w:rFonts w:ascii="宋体" w:hAnsi="宋体" w:cs="宋体" w:eastAsia="宋体" w:hint="default"/>
          <w:spacing w:val="-42"/>
        </w:rPr>
        <w:t> </w:t>
      </w:r>
      <w:r>
        <w:rPr>
          <w:spacing w:val="-4"/>
        </w:rPr>
        <w:t>日签署的《股份公司发起人协议之补充协议》，双方约定共同出资设立新华康美健康智</w:t>
      </w:r>
    </w:p>
    <w:p>
      <w:pPr>
        <w:pStyle w:val="BodyText"/>
        <w:spacing w:line="240" w:lineRule="auto" w:before="123"/>
        <w:ind w:right="0"/>
        <w:jc w:val="left"/>
        <w:rPr>
          <w:rFonts w:ascii="宋体" w:hAnsi="宋体" w:cs="宋体" w:eastAsia="宋体" w:hint="default"/>
        </w:rPr>
      </w:pPr>
      <w:r>
        <w:rPr>
          <w:spacing w:val="-9"/>
        </w:rPr>
        <w:t>库。协议约定，康美智库的注册资本分三期缴付：</w:t>
      </w:r>
      <w:r>
        <w:rPr>
          <w:rFonts w:ascii="宋体" w:hAnsi="宋体" w:cs="宋体" w:eastAsia="宋体" w:hint="default"/>
          <w:spacing w:val="-9"/>
        </w:rPr>
        <w:t>2016</w:t>
      </w:r>
      <w:r>
        <w:rPr>
          <w:rFonts w:ascii="宋体" w:hAnsi="宋体" w:cs="宋体" w:eastAsia="宋体" w:hint="default"/>
          <w:spacing w:val="-48"/>
        </w:rPr>
        <w:t> </w:t>
      </w:r>
      <w:r>
        <w:rPr/>
        <w:t>年</w:t>
      </w:r>
      <w:r>
        <w:rPr>
          <w:spacing w:val="-49"/>
        </w:rPr>
        <w:t> </w:t>
      </w:r>
      <w:r>
        <w:rPr>
          <w:rFonts w:ascii="宋体" w:hAnsi="宋体" w:cs="宋体" w:eastAsia="宋体" w:hint="default"/>
        </w:rPr>
        <w:t>9</w:t>
      </w:r>
      <w:r>
        <w:rPr>
          <w:rFonts w:ascii="宋体" w:hAnsi="宋体" w:cs="宋体" w:eastAsia="宋体" w:hint="default"/>
          <w:spacing w:val="-51"/>
        </w:rPr>
        <w:t> </w:t>
      </w:r>
      <w:r>
        <w:rPr/>
        <w:t>月</w:t>
      </w:r>
      <w:r>
        <w:rPr>
          <w:spacing w:val="-49"/>
        </w:rPr>
        <w:t> </w:t>
      </w:r>
      <w:r>
        <w:rPr>
          <w:rFonts w:ascii="宋体" w:hAnsi="宋体" w:cs="宋体" w:eastAsia="宋体" w:hint="default"/>
        </w:rPr>
        <w:t>15</w:t>
      </w:r>
      <w:r>
        <w:rPr>
          <w:rFonts w:ascii="宋体" w:hAnsi="宋体" w:cs="宋体" w:eastAsia="宋体" w:hint="default"/>
          <w:spacing w:val="-49"/>
        </w:rPr>
        <w:t> </w:t>
      </w:r>
      <w:r>
        <w:rPr/>
        <w:t>日前双方按持股比例出资</w:t>
      </w:r>
      <w:r>
        <w:rPr>
          <w:spacing w:val="-49"/>
        </w:rPr>
        <w:t> </w:t>
      </w:r>
      <w:r>
        <w:rPr>
          <w:rFonts w:ascii="宋体" w:hAnsi="宋体" w:cs="宋体" w:eastAsia="宋体" w:hint="default"/>
        </w:rPr>
        <w:t>12,000</w:t>
      </w:r>
    </w:p>
    <w:p>
      <w:pPr>
        <w:pStyle w:val="BodyText"/>
        <w:spacing w:line="240" w:lineRule="auto" w:before="126"/>
        <w:ind w:right="0"/>
        <w:jc w:val="left"/>
      </w:pPr>
      <w:r>
        <w:rPr>
          <w:spacing w:val="-8"/>
        </w:rPr>
        <w:t>万元；</w:t>
      </w:r>
      <w:r>
        <w:rPr>
          <w:rFonts w:ascii="宋体" w:hAnsi="宋体" w:cs="宋体" w:eastAsia="宋体" w:hint="default"/>
          <w:spacing w:val="-8"/>
        </w:rPr>
        <w:t>2017</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2"/>
        </w:rPr>
        <w:t> </w:t>
      </w:r>
      <w:r>
        <w:rPr/>
        <w:t>日前双方按持股比例出资</w:t>
      </w:r>
      <w:r>
        <w:rPr>
          <w:spacing w:val="-52"/>
        </w:rPr>
        <w:t> </w:t>
      </w:r>
      <w:r>
        <w:rPr>
          <w:rFonts w:ascii="宋体" w:hAnsi="宋体" w:cs="宋体" w:eastAsia="宋体" w:hint="default"/>
        </w:rPr>
        <w:t>9,000</w:t>
      </w:r>
      <w:r>
        <w:rPr>
          <w:rFonts w:ascii="宋体" w:hAnsi="宋体" w:cs="宋体" w:eastAsia="宋体" w:hint="default"/>
          <w:spacing w:val="-51"/>
        </w:rPr>
        <w:t> </w:t>
      </w:r>
      <w:r>
        <w:rPr>
          <w:spacing w:val="-8"/>
        </w:rPr>
        <w:t>万元；</w:t>
      </w:r>
      <w:r>
        <w:rPr>
          <w:rFonts w:ascii="宋体" w:hAnsi="宋体" w:cs="宋体" w:eastAsia="宋体" w:hint="default"/>
          <w:spacing w:val="-8"/>
        </w:rPr>
        <w:t>2018</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30</w:t>
      </w:r>
      <w:r>
        <w:rPr>
          <w:rFonts w:ascii="宋体" w:hAnsi="宋体" w:cs="宋体" w:eastAsia="宋体" w:hint="default"/>
          <w:spacing w:val="-54"/>
        </w:rPr>
        <w:t> </w:t>
      </w:r>
      <w:r>
        <w:rPr/>
        <w:t>日前双方按持股比例</w:t>
      </w:r>
    </w:p>
    <w:p>
      <w:pPr>
        <w:pStyle w:val="BodyText"/>
        <w:spacing w:line="240" w:lineRule="auto" w:before="126"/>
        <w:ind w:right="0"/>
        <w:jc w:val="left"/>
      </w:pPr>
      <w:r>
        <w:rPr/>
        <w:t>出资</w:t>
      </w:r>
      <w:r>
        <w:rPr>
          <w:spacing w:val="-52"/>
        </w:rPr>
        <w:t> </w:t>
      </w:r>
      <w:r>
        <w:rPr>
          <w:rFonts w:ascii="宋体" w:hAnsi="宋体" w:cs="宋体" w:eastAsia="宋体" w:hint="default"/>
        </w:rPr>
        <w:t>9,000</w:t>
      </w:r>
      <w:r>
        <w:rPr>
          <w:rFonts w:ascii="宋体" w:hAnsi="宋体" w:cs="宋体" w:eastAsia="宋体" w:hint="default"/>
          <w:spacing w:val="-54"/>
        </w:rPr>
        <w:t> </w:t>
      </w:r>
      <w:r>
        <w:rPr/>
        <w:t>万元。</w:t>
      </w:r>
    </w:p>
    <w:p>
      <w:pPr>
        <w:pStyle w:val="BodyText"/>
        <w:spacing w:line="350" w:lineRule="auto" w:before="123"/>
        <w:ind w:right="153" w:firstLine="419"/>
        <w:jc w:val="left"/>
      </w:pPr>
      <w:r>
        <w:rPr/>
        <w:t>截至本财务报告批准报出日，双方已按持股比例出资</w:t>
      </w:r>
      <w:r>
        <w:rPr>
          <w:spacing w:val="-54"/>
        </w:rPr>
        <w:t> </w:t>
      </w:r>
      <w:r>
        <w:rPr>
          <w:rFonts w:ascii="宋体" w:hAnsi="宋体" w:cs="宋体" w:eastAsia="宋体" w:hint="default"/>
        </w:rPr>
        <w:t>12,000.00</w:t>
      </w:r>
      <w:r>
        <w:rPr>
          <w:rFonts w:ascii="宋体" w:hAnsi="宋体" w:cs="宋体" w:eastAsia="宋体" w:hint="default"/>
          <w:spacing w:val="-55"/>
        </w:rPr>
        <w:t> </w:t>
      </w:r>
      <w:r>
        <w:rPr/>
        <w:t>万元，后续出资尚在进一步</w:t>
      </w:r>
      <w:r>
        <w:rPr>
          <w:w w:val="100"/>
        </w:rPr>
        <w:t> </w:t>
      </w:r>
      <w:r>
        <w:rPr/>
        <w:t>协商中。</w:t>
      </w:r>
    </w:p>
    <w:p>
      <w:pPr>
        <w:pStyle w:val="BodyText"/>
        <w:spacing w:line="348" w:lineRule="auto" w:before="29"/>
        <w:ind w:right="0" w:firstLine="419"/>
        <w:jc w:val="left"/>
      </w:pPr>
      <w:r>
        <w:rPr/>
        <w:t>（</w:t>
      </w:r>
      <w:r>
        <w:rPr>
          <w:rFonts w:ascii="宋体" w:hAnsi="宋体" w:cs="宋体" w:eastAsia="宋体" w:hint="default"/>
        </w:rPr>
        <w:t>3</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30</w:t>
      </w:r>
      <w:r>
        <w:rPr>
          <w:rFonts w:ascii="宋体" w:hAnsi="宋体" w:cs="宋体" w:eastAsia="宋体" w:hint="default"/>
          <w:spacing w:val="-54"/>
        </w:rPr>
        <w:t> </w:t>
      </w:r>
      <w:r>
        <w:rPr/>
        <w:t>日，本公司全资子公司亿连科技与段同顺、李勃、王农、南京理工大</w:t>
      </w:r>
      <w:r>
        <w:rPr>
          <w:w w:val="100"/>
        </w:rPr>
        <w:t> </w:t>
      </w:r>
      <w:r>
        <w:rPr>
          <w:spacing w:val="-2"/>
        </w:rPr>
        <w:t>学资产经营有限公司、通普泰克（北京）网络科技有限公司及江苏瑞德签署《增资协议》，协议</w:t>
      </w:r>
    </w:p>
    <w:p>
      <w:pPr>
        <w:spacing w:after="0" w:line="348" w:lineRule="auto"/>
        <w:jc w:val="left"/>
        <w:sectPr>
          <w:pgSz w:w="11910" w:h="16840"/>
          <w:pgMar w:header="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218" w:right="227"/>
        <w:jc w:val="left"/>
      </w:pPr>
      <w:r>
        <w:rPr/>
        <w:t>约定：亿连科技以人民币</w:t>
      </w:r>
      <w:r>
        <w:rPr>
          <w:spacing w:val="-57"/>
        </w:rPr>
        <w:t> </w:t>
      </w:r>
      <w:r>
        <w:rPr>
          <w:rFonts w:ascii="宋体" w:hAnsi="宋体" w:cs="宋体" w:eastAsia="宋体" w:hint="default"/>
        </w:rPr>
        <w:t>1,300.00</w:t>
      </w:r>
      <w:r>
        <w:rPr>
          <w:rFonts w:ascii="宋体" w:hAnsi="宋体" w:cs="宋体" w:eastAsia="宋体" w:hint="default"/>
          <w:spacing w:val="-57"/>
        </w:rPr>
        <w:t> </w:t>
      </w:r>
      <w:r>
        <w:rPr/>
        <w:t>万元认购江苏瑞德</w:t>
      </w:r>
      <w:r>
        <w:rPr>
          <w:spacing w:val="-55"/>
        </w:rPr>
        <w:t> </w:t>
      </w:r>
      <w:r>
        <w:rPr>
          <w:rFonts w:ascii="宋体" w:hAnsi="宋体" w:cs="宋体" w:eastAsia="宋体" w:hint="default"/>
        </w:rPr>
        <w:t>37.15%</w:t>
      </w:r>
      <w:r>
        <w:rPr/>
        <w:t>的股份，增资款分三次支付：</w:t>
      </w:r>
      <w:r>
        <w:rPr>
          <w:rFonts w:ascii="宋体" w:hAnsi="宋体" w:cs="宋体" w:eastAsia="宋体" w:hint="default"/>
        </w:rPr>
        <w:t>2017</w:t>
      </w:r>
      <w:r>
        <w:rPr>
          <w:rFonts w:ascii="宋体" w:hAnsi="宋体" w:cs="宋体" w:eastAsia="宋体" w:hint="default"/>
          <w:w w:val="100"/>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日前支付</w:t>
      </w:r>
      <w:r>
        <w:rPr>
          <w:spacing w:val="-55"/>
        </w:rPr>
        <w:t> </w:t>
      </w:r>
      <w:r>
        <w:rPr>
          <w:rFonts w:ascii="宋体" w:hAnsi="宋体" w:cs="宋体" w:eastAsia="宋体" w:hint="default"/>
        </w:rPr>
        <w:t>300.00</w:t>
      </w:r>
      <w:r>
        <w:rPr>
          <w:rFonts w:ascii="宋体" w:hAnsi="宋体" w:cs="宋体" w:eastAsia="宋体" w:hint="default"/>
          <w:spacing w:val="-52"/>
        </w:rPr>
        <w:t> </w:t>
      </w:r>
      <w:r>
        <w:rPr/>
        <w:t>万元，</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日前支付</w:t>
      </w:r>
      <w:r>
        <w:rPr>
          <w:spacing w:val="-53"/>
        </w:rPr>
        <w:t> </w:t>
      </w:r>
      <w:r>
        <w:rPr>
          <w:rFonts w:ascii="宋体" w:hAnsi="宋体" w:cs="宋体" w:eastAsia="宋体" w:hint="default"/>
        </w:rPr>
        <w:t>300.00</w:t>
      </w:r>
      <w:r>
        <w:rPr>
          <w:rFonts w:ascii="宋体" w:hAnsi="宋体" w:cs="宋体" w:eastAsia="宋体" w:hint="default"/>
          <w:spacing w:val="-55"/>
        </w:rPr>
        <w:t> </w:t>
      </w:r>
      <w:r>
        <w:rPr/>
        <w:t>万元，</w:t>
      </w:r>
      <w:r>
        <w:rPr>
          <w:rFonts w:ascii="宋体" w:hAnsi="宋体" w:cs="宋体" w:eastAsia="宋体" w:hint="default"/>
        </w:rPr>
        <w:t>2020</w:t>
      </w:r>
      <w:r>
        <w:rPr>
          <w:rFonts w:ascii="宋体" w:hAnsi="宋体" w:cs="宋体" w:eastAsia="宋体" w:hint="default"/>
          <w:spacing w:val="-52"/>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3"/>
        </w:rPr>
        <w:t> </w:t>
      </w:r>
      <w:r>
        <w:rPr/>
        <w:t>日前支</w:t>
      </w:r>
    </w:p>
    <w:p>
      <w:pPr>
        <w:pStyle w:val="BodyText"/>
        <w:spacing w:line="240" w:lineRule="auto" w:before="29"/>
        <w:ind w:left="218" w:right="0"/>
        <w:jc w:val="both"/>
      </w:pPr>
      <w:r>
        <w:rPr/>
        <w:t>付</w:t>
      </w:r>
      <w:r>
        <w:rPr>
          <w:spacing w:val="-52"/>
        </w:rPr>
        <w:t> </w:t>
      </w:r>
      <w:r>
        <w:rPr>
          <w:rFonts w:ascii="宋体" w:hAnsi="宋体" w:cs="宋体" w:eastAsia="宋体" w:hint="default"/>
        </w:rPr>
        <w:t>700.00</w:t>
      </w:r>
      <w:r>
        <w:rPr>
          <w:rFonts w:ascii="宋体" w:hAnsi="宋体" w:cs="宋体" w:eastAsia="宋体" w:hint="default"/>
          <w:spacing w:val="-54"/>
        </w:rPr>
        <w:t> </w:t>
      </w:r>
      <w:r>
        <w:rPr/>
        <w:t>万元。</w:t>
      </w:r>
    </w:p>
    <w:p>
      <w:pPr>
        <w:pStyle w:val="BodyText"/>
        <w:spacing w:line="240" w:lineRule="auto" w:before="123"/>
        <w:ind w:left="638" w:right="227"/>
        <w:jc w:val="left"/>
      </w:pPr>
      <w:r>
        <w:rPr/>
        <w:t>截至本财务报告批准报出日，本公司尚未支付第二期</w:t>
      </w:r>
      <w:r>
        <w:rPr>
          <w:spacing w:val="-53"/>
        </w:rPr>
        <w:t> </w:t>
      </w:r>
      <w:r>
        <w:rPr>
          <w:rFonts w:ascii="宋体" w:hAnsi="宋体" w:cs="宋体" w:eastAsia="宋体" w:hint="default"/>
        </w:rPr>
        <w:t>300.00</w:t>
      </w:r>
      <w:r>
        <w:rPr>
          <w:rFonts w:ascii="宋体" w:hAnsi="宋体" w:cs="宋体" w:eastAsia="宋体" w:hint="default"/>
          <w:spacing w:val="-56"/>
        </w:rPr>
        <w:t> </w:t>
      </w:r>
      <w:r>
        <w:rPr/>
        <w:t>万元增资款。</w:t>
      </w:r>
    </w:p>
    <w:p>
      <w:pPr>
        <w:pStyle w:val="BodyText"/>
        <w:spacing w:line="350" w:lineRule="auto" w:before="126"/>
        <w:ind w:left="638" w:right="227"/>
        <w:jc w:val="left"/>
      </w:pPr>
      <w:r>
        <w:rPr/>
        <w:t>（</w:t>
      </w:r>
      <w:r>
        <w:rPr>
          <w:rFonts w:ascii="宋体" w:hAnsi="宋体" w:cs="宋体" w:eastAsia="宋体" w:hint="default"/>
        </w:rPr>
        <w:t>4</w:t>
      </w:r>
      <w:r>
        <w:rPr/>
        <w:t>）与合营企业投资相关的未确认承诺</w:t>
      </w:r>
      <w:r>
        <w:rPr>
          <w:w w:val="100"/>
        </w:rPr>
        <w:t> </w:t>
      </w:r>
      <w:r>
        <w:rPr>
          <w:spacing w:val="-2"/>
        </w:rPr>
        <w:t>参见本报告第十一节、九、</w:t>
      </w:r>
      <w:r>
        <w:rPr>
          <w:rFonts w:ascii="宋体" w:hAnsi="宋体" w:cs="宋体" w:eastAsia="宋体" w:hint="default"/>
          <w:spacing w:val="-2"/>
        </w:rPr>
        <w:t>3</w:t>
      </w:r>
      <w:r>
        <w:rPr>
          <w:spacing w:val="-2"/>
        </w:rPr>
        <w:t>、（</w:t>
      </w:r>
      <w:r>
        <w:rPr>
          <w:rFonts w:ascii="宋体" w:hAnsi="宋体" w:cs="宋体" w:eastAsia="宋体" w:hint="default"/>
          <w:spacing w:val="-2"/>
        </w:rPr>
        <w:t>5</w:t>
      </w:r>
      <w:r>
        <w:rPr>
          <w:spacing w:val="-2"/>
        </w:rPr>
        <w:t>）与合营企业投资相关的未确认承诺。</w:t>
      </w:r>
    </w:p>
    <w:p>
      <w:pPr>
        <w:pStyle w:val="Heading3"/>
        <w:spacing w:line="254" w:lineRule="exact" w:before="0"/>
        <w:ind w:right="0"/>
        <w:jc w:val="both"/>
        <w:rPr>
          <w:b w:val="0"/>
          <w:bCs w:val="0"/>
        </w:rPr>
      </w:pPr>
      <w:r>
        <w:rPr>
          <w:rFonts w:ascii="宋体" w:hAnsi="宋体" w:cs="宋体" w:eastAsia="宋体" w:hint="default"/>
        </w:rPr>
        <w:t>2</w:t>
      </w:r>
      <w:r>
        <w:rPr/>
        <w:t>、</w:t>
      </w:r>
      <w:r>
        <w:rPr>
          <w:spacing w:val="3"/>
        </w:rPr>
        <w:t> </w:t>
      </w:r>
      <w:r>
        <w:rPr/>
        <w:t>或有事项</w:t>
      </w:r>
      <w:r>
        <w:rPr>
          <w:b w:val="0"/>
          <w:bCs w:val="0"/>
        </w:rPr>
      </w:r>
    </w:p>
    <w:p>
      <w:pPr>
        <w:pStyle w:val="Heading3"/>
        <w:spacing w:line="240" w:lineRule="auto" w:before="58"/>
        <w:ind w:right="0"/>
        <w:jc w:val="both"/>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56"/>
        <w:ind w:left="218" w:right="0"/>
        <w:jc w:val="both"/>
      </w:pPr>
      <w:r>
        <w:rPr/>
        <w:t>√适用</w:t>
      </w:r>
      <w:r>
        <w:rPr>
          <w:spacing w:val="104"/>
        </w:rPr>
        <w:t> </w:t>
      </w:r>
      <w:r>
        <w:rPr/>
        <w:t>□不适用</w:t>
      </w:r>
    </w:p>
    <w:p>
      <w:pPr>
        <w:pStyle w:val="BodyText"/>
        <w:spacing w:line="350" w:lineRule="auto" w:before="107"/>
        <w:ind w:left="218" w:right="227" w:firstLine="419"/>
        <w:jc w:val="both"/>
      </w:pP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2"/>
        </w:rPr>
        <w:t> </w:t>
      </w:r>
      <w:r>
        <w:rPr>
          <w:rFonts w:ascii="宋体" w:hAnsi="宋体" w:cs="宋体" w:eastAsia="宋体" w:hint="default"/>
        </w:rPr>
        <w:t>29</w:t>
      </w:r>
      <w:r>
        <w:rPr>
          <w:rFonts w:ascii="宋体" w:hAnsi="宋体" w:cs="宋体" w:eastAsia="宋体" w:hint="default"/>
          <w:spacing w:val="-55"/>
        </w:rPr>
        <w:t> </w:t>
      </w:r>
      <w:r>
        <w:rPr/>
        <w:t>日，本公司尚未审结的民事诉讼案件</w:t>
      </w:r>
      <w:r>
        <w:rPr>
          <w:spacing w:val="-53"/>
        </w:rPr>
        <w:t> </w:t>
      </w:r>
      <w:r>
        <w:rPr>
          <w:rFonts w:ascii="宋体" w:hAnsi="宋体" w:cs="宋体" w:eastAsia="宋体" w:hint="default"/>
        </w:rPr>
        <w:t>14</w:t>
      </w:r>
      <w:r>
        <w:rPr>
          <w:rFonts w:ascii="宋体" w:hAnsi="宋体" w:cs="宋体" w:eastAsia="宋体" w:hint="default"/>
          <w:spacing w:val="-55"/>
        </w:rPr>
        <w:t> </w:t>
      </w:r>
      <w:r>
        <w:rPr/>
        <w:t>起，其中：本公司作为被告</w:t>
      </w:r>
      <w:r>
        <w:rPr>
          <w:spacing w:val="-53"/>
        </w:rPr>
        <w:t> </w:t>
      </w:r>
      <w:r>
        <w:rPr>
          <w:rFonts w:ascii="宋体" w:hAnsi="宋体" w:cs="宋体" w:eastAsia="宋体" w:hint="default"/>
        </w:rPr>
        <w:t>14</w:t>
      </w:r>
      <w:r>
        <w:rPr>
          <w:rFonts w:ascii="宋体" w:hAnsi="宋体" w:cs="宋体" w:eastAsia="宋体" w:hint="default"/>
          <w:w w:val="100"/>
        </w:rPr>
        <w:t> </w:t>
      </w:r>
      <w:r>
        <w:rPr>
          <w:spacing w:val="-2"/>
        </w:rPr>
        <w:t>起，系因本公司社交论坛上网友发帖、网上报道引起的名誉权、人格权、肖像权、著作权等纠纷</w:t>
      </w:r>
      <w:r>
        <w:rPr>
          <w:spacing w:val="-25"/>
        </w:rPr>
        <w:t> </w:t>
      </w:r>
      <w:r>
        <w:rPr>
          <w:spacing w:val="-25"/>
        </w:rPr>
      </w:r>
      <w:r>
        <w:rPr>
          <w:spacing w:val="-3"/>
        </w:rPr>
        <w:t>以及新华网合作公司之间产生的合同纠纷，原告提出诉讼请求金额</w:t>
      </w:r>
      <w:r>
        <w:rPr>
          <w:spacing w:val="-29"/>
        </w:rPr>
        <w:t> </w:t>
      </w:r>
      <w:r>
        <w:rPr>
          <w:rFonts w:ascii="宋体" w:hAnsi="宋体" w:cs="宋体" w:eastAsia="宋体" w:hint="default"/>
        </w:rPr>
        <w:t>4,545,100.00</w:t>
      </w:r>
      <w:r>
        <w:rPr>
          <w:rFonts w:ascii="宋体" w:hAnsi="宋体" w:cs="宋体" w:eastAsia="宋体" w:hint="default"/>
          <w:spacing w:val="-32"/>
        </w:rPr>
        <w:t> </w:t>
      </w:r>
      <w:r>
        <w:rPr>
          <w:spacing w:val="-10"/>
        </w:rPr>
        <w:t>元（其中，南京</w:t>
      </w:r>
      <w:r>
        <w:rPr>
          <w:spacing w:val="-95"/>
        </w:rPr>
        <w:t> </w:t>
      </w:r>
      <w:r>
        <w:rPr>
          <w:spacing w:val="-95"/>
        </w:rPr>
      </w:r>
      <w:r>
        <w:rPr>
          <w:spacing w:val="-2"/>
          <w:w w:val="100"/>
        </w:rPr>
        <w:t>苏亚屠宰设备制造有限公司诉我网侵害名誉权案诉讼请求为</w:t>
      </w:r>
      <w:r>
        <w:rPr>
          <w:w w:val="100"/>
        </w:rPr>
        <w:t> </w:t>
      </w:r>
      <w:r>
        <w:rPr>
          <w:rFonts w:ascii="宋体" w:hAnsi="宋体" w:cs="宋体" w:eastAsia="宋体" w:hint="default"/>
          <w:spacing w:val="-1"/>
          <w:w w:val="100"/>
        </w:rPr>
        <w:t>1,201,100.00</w:t>
      </w:r>
      <w:r>
        <w:rPr>
          <w:rFonts w:ascii="宋体" w:hAnsi="宋体" w:cs="宋体" w:eastAsia="宋体" w:hint="default"/>
          <w:spacing w:val="-84"/>
          <w:w w:val="100"/>
        </w:rPr>
        <w:t> </w:t>
      </w:r>
      <w:r>
        <w:rPr>
          <w:spacing w:val="-11"/>
          <w:w w:val="100"/>
        </w:rPr>
        <w:t>元，诉请包括本公司在</w:t>
      </w:r>
    </w:p>
    <w:p>
      <w:pPr>
        <w:pStyle w:val="BodyText"/>
        <w:spacing w:line="348" w:lineRule="auto" w:before="29"/>
        <w:ind w:left="218" w:right="228"/>
        <w:jc w:val="both"/>
      </w:pPr>
      <w:r>
        <w:rPr>
          <w:w w:val="100"/>
        </w:rPr>
        <w:t>内的共</w:t>
      </w:r>
      <w:r>
        <w:rPr>
          <w:spacing w:val="-76"/>
          <w:w w:val="100"/>
        </w:rPr>
        <w:t> </w:t>
      </w:r>
      <w:r>
        <w:rPr>
          <w:rFonts w:ascii="宋体" w:hAnsi="宋体" w:cs="宋体" w:eastAsia="宋体" w:hint="default"/>
          <w:w w:val="100"/>
        </w:rPr>
        <w:t>14</w:t>
      </w:r>
      <w:r>
        <w:rPr>
          <w:rFonts w:ascii="宋体" w:hAnsi="宋体" w:cs="宋体" w:eastAsia="宋体" w:hint="default"/>
          <w:spacing w:val="-78"/>
          <w:w w:val="100"/>
        </w:rPr>
        <w:t> </w:t>
      </w:r>
      <w:r>
        <w:rPr>
          <w:spacing w:val="-5"/>
          <w:w w:val="100"/>
        </w:rPr>
        <w:t>家媒体企业共同承担上述责任；黄奕诉我网侵害名誉权案诉讼请求为</w:t>
      </w:r>
      <w:r>
        <w:rPr>
          <w:spacing w:val="-75"/>
          <w:w w:val="100"/>
        </w:rPr>
        <w:t> </w:t>
      </w:r>
      <w:r>
        <w:rPr>
          <w:rFonts w:ascii="宋体" w:hAnsi="宋体" w:cs="宋体" w:eastAsia="宋体" w:hint="default"/>
          <w:spacing w:val="-1"/>
          <w:w w:val="100"/>
        </w:rPr>
        <w:t>1,050,000.00</w:t>
      </w:r>
      <w:r>
        <w:rPr>
          <w:rFonts w:ascii="宋体" w:hAnsi="宋体" w:cs="宋体" w:eastAsia="宋体" w:hint="default"/>
          <w:spacing w:val="-78"/>
          <w:w w:val="100"/>
        </w:rPr>
        <w:t> </w:t>
      </w:r>
      <w:r>
        <w:rPr>
          <w:w w:val="100"/>
        </w:rPr>
        <w:t>元， </w:t>
      </w:r>
      <w:r>
        <w:rPr>
          <w:spacing w:val="-2"/>
        </w:rPr>
        <w:t>诉请由本公司及黄毅清共同承担上述责任），本公司法律部门已就前述诉讼案件采取措施积极应</w:t>
      </w:r>
      <w:r>
        <w:rPr>
          <w:spacing w:val="-25"/>
        </w:rPr>
        <w:t> </w:t>
      </w:r>
      <w:r>
        <w:rPr>
          <w:spacing w:val="-25"/>
        </w:rPr>
      </w:r>
      <w:r>
        <w:rPr/>
        <w:t>诉。</w:t>
      </w:r>
    </w:p>
    <w:p>
      <w:pPr>
        <w:pStyle w:val="Heading3"/>
        <w:spacing w:line="258" w:lineRule="exact" w:before="0"/>
        <w:ind w:right="0"/>
        <w:jc w:val="both"/>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tabs>
          <w:tab w:pos="1060" w:val="left" w:leader="none"/>
        </w:tabs>
        <w:spacing w:line="290" w:lineRule="auto" w:before="5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14"/>
        <w:ind w:left="218" w:right="0"/>
        <w:jc w:val="both"/>
      </w:pPr>
      <w:r>
        <w:rPr/>
        <w:t>√适用  </w:t>
      </w:r>
      <w:r>
        <w:rPr>
          <w:spacing w:val="1"/>
        </w:rPr>
        <w:t> </w:t>
      </w:r>
      <w:r>
        <w:rPr/>
        <w:t>□不适用</w:t>
      </w:r>
    </w:p>
    <w:p>
      <w:pPr>
        <w:pStyle w:val="BodyText"/>
        <w:spacing w:line="272" w:lineRule="exact"/>
        <w:ind w:left="638" w:right="123"/>
        <w:jc w:val="left"/>
      </w:pPr>
      <w:r>
        <w:rPr>
          <w:rFonts w:ascii="宋体" w:hAnsi="宋体" w:cs="宋体" w:eastAsia="宋体" w:hint="default"/>
        </w:rPr>
        <w:t>2016</w:t>
      </w:r>
      <w:r>
        <w:rPr>
          <w:rFonts w:ascii="宋体" w:hAnsi="宋体" w:cs="宋体" w:eastAsia="宋体" w:hint="default"/>
          <w:spacing w:val="-45"/>
        </w:rPr>
        <w:t> </w:t>
      </w:r>
      <w:r>
        <w:rPr/>
        <w:t>年</w:t>
      </w:r>
      <w:r>
        <w:rPr>
          <w:spacing w:val="-42"/>
        </w:rPr>
        <w:t> </w:t>
      </w:r>
      <w:r>
        <w:rPr>
          <w:rFonts w:ascii="宋体" w:hAnsi="宋体" w:cs="宋体" w:eastAsia="宋体" w:hint="default"/>
        </w:rPr>
        <w:t>10</w:t>
      </w:r>
      <w:r>
        <w:rPr>
          <w:rFonts w:ascii="宋体" w:hAnsi="宋体" w:cs="宋体" w:eastAsia="宋体" w:hint="default"/>
          <w:spacing w:val="-45"/>
        </w:rPr>
        <w:t> </w:t>
      </w:r>
      <w:r>
        <w:rPr/>
        <w:t>月</w:t>
      </w:r>
      <w:r>
        <w:rPr>
          <w:spacing w:val="-42"/>
        </w:rPr>
        <w:t> </w:t>
      </w:r>
      <w:r>
        <w:rPr>
          <w:rFonts w:ascii="宋体" w:hAnsi="宋体" w:cs="宋体" w:eastAsia="宋体" w:hint="default"/>
        </w:rPr>
        <w:t>25</w:t>
      </w:r>
      <w:r>
        <w:rPr>
          <w:rFonts w:ascii="宋体" w:hAnsi="宋体" w:cs="宋体" w:eastAsia="宋体" w:hint="default"/>
          <w:spacing w:val="-42"/>
        </w:rPr>
        <w:t> </w:t>
      </w:r>
      <w:r>
        <w:rPr>
          <w:spacing w:val="-3"/>
        </w:rPr>
        <w:t>日，北京睿至大数据有限公司（简称“睿至”）与本公司及亿连科技共同签</w:t>
      </w:r>
    </w:p>
    <w:p>
      <w:pPr>
        <w:pStyle w:val="BodyText"/>
        <w:spacing w:line="237" w:lineRule="auto" w:before="2"/>
        <w:ind w:left="218" w:right="237"/>
        <w:jc w:val="both"/>
      </w:pPr>
      <w:r>
        <w:rPr/>
        <w:t>署《投资协议》，并对</w:t>
      </w:r>
      <w:r>
        <w:rPr>
          <w:spacing w:val="-54"/>
        </w:rPr>
        <w:t> </w:t>
      </w:r>
      <w:r>
        <w:rPr>
          <w:rFonts w:ascii="宋体" w:hAnsi="宋体" w:cs="宋体" w:eastAsia="宋体" w:hint="default"/>
        </w:rPr>
        <w:t>2016</w:t>
      </w:r>
      <w:r>
        <w:rPr>
          <w:rFonts w:ascii="宋体" w:hAnsi="宋体" w:cs="宋体" w:eastAsia="宋体" w:hint="default"/>
          <w:spacing w:val="-55"/>
        </w:rPr>
        <w:t> </w:t>
      </w:r>
      <w:r>
        <w:rPr/>
        <w:t>至</w:t>
      </w:r>
      <w:r>
        <w:rPr>
          <w:spacing w:val="-55"/>
        </w:rPr>
        <w:t> </w:t>
      </w:r>
      <w:r>
        <w:rPr>
          <w:rFonts w:ascii="宋体" w:hAnsi="宋体" w:cs="宋体" w:eastAsia="宋体" w:hint="default"/>
        </w:rPr>
        <w:t>2019</w:t>
      </w:r>
      <w:r>
        <w:rPr>
          <w:rFonts w:ascii="宋体" w:hAnsi="宋体" w:cs="宋体" w:eastAsia="宋体" w:hint="default"/>
          <w:spacing w:val="-57"/>
        </w:rPr>
        <w:t> </w:t>
      </w:r>
      <w:r>
        <w:rPr/>
        <w:t>年睿至协同亿连科技合同收入及合同毛利作出特别承诺。截</w:t>
      </w:r>
      <w:r>
        <w:rPr>
          <w:w w:val="100"/>
        </w:rPr>
        <w:t> </w:t>
      </w:r>
      <w:r>
        <w:rPr>
          <w:spacing w:val="-2"/>
        </w:rPr>
        <w:t>至本财务报告批准报出日，睿至已将其持有的全部亿连科技股权转让给深圳前海红莲基金管理有</w:t>
      </w:r>
      <w:r>
        <w:rPr>
          <w:spacing w:val="-25"/>
        </w:rPr>
        <w:t> </w:t>
      </w:r>
      <w:r>
        <w:rPr>
          <w:spacing w:val="-25"/>
        </w:rPr>
      </w:r>
      <w:r>
        <w:rPr/>
        <w:t>限公司，经协议各方友好协商，对前述业绩承诺条款明确如下：</w:t>
      </w:r>
    </w:p>
    <w:p>
      <w:pPr>
        <w:spacing w:line="240" w:lineRule="auto" w:before="10"/>
        <w:rPr>
          <w:rFonts w:ascii="宋体" w:hAnsi="宋体" w:cs="宋体" w:eastAsia="宋体" w:hint="default"/>
          <w:sz w:val="22"/>
          <w:szCs w:val="22"/>
        </w:rPr>
      </w:pPr>
    </w:p>
    <w:p>
      <w:pPr>
        <w:pStyle w:val="BodyText"/>
        <w:spacing w:line="272" w:lineRule="exact"/>
        <w:ind w:left="218" w:right="237" w:firstLine="419"/>
        <w:jc w:val="both"/>
      </w:pPr>
      <w:r>
        <w:rPr>
          <w:spacing w:val="-2"/>
        </w:rPr>
        <w:t>睿至对亿连科技的业绩协同责任不因股权转让而变更，睿至继续承担原投资协议中的业绩协</w:t>
      </w:r>
      <w:r>
        <w:rPr>
          <w:w w:val="100"/>
        </w:rPr>
        <w:t> </w:t>
      </w:r>
      <w:r>
        <w:rPr/>
        <w:t>同责任；</w:t>
      </w:r>
    </w:p>
    <w:p>
      <w:pPr>
        <w:pStyle w:val="BodyText"/>
        <w:spacing w:line="247" w:lineRule="exact"/>
        <w:ind w:left="638" w:right="123"/>
        <w:jc w:val="left"/>
      </w:pPr>
      <w:r>
        <w:rPr/>
        <w:t>截止</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49"/>
        </w:rPr>
        <w:t> </w:t>
      </w:r>
      <w:r>
        <w:rPr>
          <w:spacing w:val="-6"/>
        </w:rPr>
        <w:t>日，睿至未能全部完成上述</w:t>
      </w:r>
      <w:r>
        <w:rPr>
          <w:spacing w:val="-49"/>
        </w:rPr>
        <w:t> </w:t>
      </w:r>
      <w:r>
        <w:rPr>
          <w:rFonts w:ascii="宋体" w:hAnsi="宋体" w:cs="宋体" w:eastAsia="宋体" w:hint="default"/>
        </w:rPr>
        <w:t>2016</w:t>
      </w:r>
      <w:r>
        <w:rPr>
          <w:rFonts w:ascii="宋体" w:hAnsi="宋体" w:cs="宋体" w:eastAsia="宋体" w:hint="default"/>
          <w:spacing w:val="-49"/>
        </w:rPr>
        <w:t> </w:t>
      </w:r>
      <w:r>
        <w:rPr/>
        <w:t>年及</w:t>
      </w:r>
      <w:r>
        <w:rPr>
          <w:spacing w:val="-49"/>
        </w:rPr>
        <w:t> </w:t>
      </w:r>
      <w:r>
        <w:rPr>
          <w:rFonts w:ascii="宋体" w:hAnsi="宋体" w:cs="宋体" w:eastAsia="宋体" w:hint="default"/>
        </w:rPr>
        <w:t>2017</w:t>
      </w:r>
      <w:r>
        <w:rPr>
          <w:rFonts w:ascii="宋体" w:hAnsi="宋体" w:cs="宋体" w:eastAsia="宋体" w:hint="default"/>
          <w:spacing w:val="-49"/>
        </w:rPr>
        <w:t> </w:t>
      </w:r>
      <w:r>
        <w:rPr>
          <w:spacing w:val="-6"/>
        </w:rPr>
        <w:t>年业绩承诺，同意睿至将未</w:t>
      </w:r>
    </w:p>
    <w:p>
      <w:pPr>
        <w:pStyle w:val="BodyText"/>
        <w:spacing w:line="240" w:lineRule="auto"/>
        <w:ind w:left="638" w:right="227" w:hanging="420"/>
        <w:jc w:val="left"/>
      </w:pPr>
      <w:r>
        <w:rPr/>
        <w:t>完成部分累计推算至</w:t>
      </w:r>
      <w:r>
        <w:rPr>
          <w:spacing w:val="-53"/>
        </w:rPr>
        <w:t> </w:t>
      </w:r>
      <w:r>
        <w:rPr>
          <w:rFonts w:ascii="宋体" w:hAnsi="宋体" w:cs="宋体" w:eastAsia="宋体" w:hint="default"/>
        </w:rPr>
        <w:t>2018</w:t>
      </w:r>
      <w:r>
        <w:rPr>
          <w:rFonts w:ascii="宋体" w:hAnsi="宋体" w:cs="宋体" w:eastAsia="宋体" w:hint="default"/>
          <w:spacing w:val="-55"/>
        </w:rPr>
        <w:t> </w:t>
      </w:r>
      <w:r>
        <w:rPr/>
        <w:t>年度；</w:t>
      </w:r>
      <w:r>
        <w:rPr>
          <w:w w:val="100"/>
        </w:rPr>
        <w:t> </w:t>
      </w:r>
      <w:r>
        <w:rPr>
          <w:spacing w:val="-2"/>
        </w:rPr>
        <w:t>若睿至如果未能完成当年承诺，则睿至未兑现的合同收入、毛利部分，以现金补偿方式支付</w:t>
      </w:r>
    </w:p>
    <w:p>
      <w:pPr>
        <w:pStyle w:val="BodyText"/>
        <w:spacing w:line="271" w:lineRule="exact"/>
        <w:ind w:left="218" w:right="0"/>
        <w:jc w:val="both"/>
      </w:pPr>
      <w:r>
        <w:rPr/>
        <w:t>给亿连科技。</w:t>
      </w:r>
    </w:p>
    <w:p>
      <w:pPr>
        <w:pStyle w:val="Heading3"/>
        <w:spacing w:line="240" w:lineRule="auto" w:before="58"/>
        <w:ind w:right="0"/>
        <w:jc w:val="both"/>
        <w:rPr>
          <w:b w:val="0"/>
          <w:bCs w:val="0"/>
        </w:rPr>
      </w:pPr>
      <w:r>
        <w:rPr/>
        <w:t>十五、</w:t>
      </w:r>
      <w:r>
        <w:rPr>
          <w:spacing w:val="104"/>
        </w:rPr>
        <w:t> </w:t>
      </w:r>
      <w:r>
        <w:rPr/>
        <w:t>资产负债表日后事项</w:t>
      </w:r>
      <w:r>
        <w:rPr>
          <w:b w:val="0"/>
          <w:bCs w:val="0"/>
        </w:rPr>
      </w:r>
    </w:p>
    <w:p>
      <w:pPr>
        <w:pStyle w:val="Heading3"/>
        <w:spacing w:line="240" w:lineRule="auto" w:before="56"/>
        <w:ind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0"/>
        <w:jc w:val="both"/>
      </w:pPr>
      <w:r>
        <w:rPr/>
        <w:t>□适用</w:t>
      </w:r>
      <w:r>
        <w:rPr>
          <w:spacing w:val="-1"/>
        </w:rPr>
        <w:t> </w:t>
      </w:r>
      <w:r>
        <w:rPr/>
        <w:t>√不适用</w:t>
      </w:r>
    </w:p>
    <w:p>
      <w:pPr>
        <w:pStyle w:val="Heading3"/>
        <w:spacing w:line="240" w:lineRule="auto" w:before="56"/>
        <w:ind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0"/>
        <w:jc w:val="both"/>
      </w:pPr>
      <w:r>
        <w:rPr/>
        <w:t>√适用</w:t>
      </w:r>
      <w:r>
        <w:rPr>
          <w:spacing w:val="-1"/>
        </w:rPr>
        <w:t> </w:t>
      </w:r>
      <w:r>
        <w:rPr/>
        <w:t>□不适用</w:t>
      </w:r>
    </w:p>
    <w:p>
      <w:pPr>
        <w:pStyle w:val="BodyText"/>
        <w:tabs>
          <w:tab w:pos="1157"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103,805,872.00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103,805,872.00</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left="13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0"/>
        <w:jc w:val="both"/>
      </w:pPr>
      <w:r>
        <w:rPr/>
        <w:t>□适用</w:t>
      </w:r>
      <w:r>
        <w:rPr>
          <w:spacing w:val="-1"/>
        </w:rPr>
        <w:t> </w:t>
      </w:r>
      <w:r>
        <w:rPr/>
        <w:t>√不适用</w:t>
      </w:r>
    </w:p>
    <w:p>
      <w:pPr>
        <w:pStyle w:val="Heading3"/>
        <w:spacing w:line="240" w:lineRule="auto" w:before="56"/>
        <w:ind w:left="13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32"/>
        <w:ind w:right="0"/>
        <w:jc w:val="both"/>
      </w:pPr>
      <w:r>
        <w:rPr/>
        <w:t>√适用</w:t>
      </w:r>
      <w:r>
        <w:rPr>
          <w:spacing w:val="104"/>
        </w:rPr>
        <w:t> </w:t>
      </w:r>
      <w:r>
        <w:rPr/>
        <w:t>□不适用</w:t>
      </w:r>
    </w:p>
    <w:p>
      <w:pPr>
        <w:pStyle w:val="BodyText"/>
        <w:spacing w:line="272" w:lineRule="exact"/>
        <w:ind w:left="558" w:right="125"/>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日，本公司以支付现金</w:t>
      </w:r>
      <w:r>
        <w:rPr>
          <w:spacing w:val="-53"/>
        </w:rPr>
        <w:t> </w:t>
      </w:r>
      <w:r>
        <w:rPr>
          <w:rFonts w:ascii="宋体" w:hAnsi="宋体" w:cs="宋体" w:eastAsia="宋体" w:hint="default"/>
        </w:rPr>
        <w:t>2,497.00</w:t>
      </w:r>
      <w:r>
        <w:rPr>
          <w:rFonts w:ascii="宋体" w:hAnsi="宋体" w:cs="宋体" w:eastAsia="宋体" w:hint="default"/>
          <w:spacing w:val="-53"/>
        </w:rPr>
        <w:t> </w:t>
      </w:r>
      <w:r>
        <w:rPr/>
        <w:t>元的方式购买了点滴云教育科技有限公司</w:t>
      </w:r>
    </w:p>
    <w:p>
      <w:pPr>
        <w:pStyle w:val="BodyText"/>
        <w:spacing w:line="274" w:lineRule="exact"/>
        <w:ind w:right="0"/>
        <w:jc w:val="both"/>
      </w:pPr>
      <w:r>
        <w:rPr>
          <w:rFonts w:ascii="宋体" w:hAnsi="宋体" w:cs="宋体" w:eastAsia="宋体" w:hint="default"/>
        </w:rPr>
        <w:t>100.00%</w:t>
      </w:r>
      <w:r>
        <w:rPr/>
        <w:t>股权。</w:t>
      </w:r>
    </w:p>
    <w:p>
      <w:pPr>
        <w:pStyle w:val="Heading3"/>
        <w:spacing w:line="290" w:lineRule="auto" w:before="56"/>
        <w:ind w:left="138" w:right="68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138" w:right="72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4"/>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3"/>
        <w:spacing w:line="240" w:lineRule="auto" w:before="14"/>
        <w:ind w:left="13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tabs>
          <w:tab w:pos="781" w:val="left" w:leader="none"/>
          <w:tab w:pos="980" w:val="left" w:leader="none"/>
        </w:tabs>
        <w:spacing w:line="300" w:lineRule="auto" w:before="133"/>
        <w:ind w:left="138" w:right="705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其他资产置换</w:t>
      </w:r>
      <w:r>
        <w:rPr>
          <w:rFonts w:ascii="宋体" w:hAnsi="宋体" w:cs="宋体" w:eastAsia="宋体" w:hint="default"/>
          <w:sz w:val="21"/>
          <w:szCs w:val="21"/>
        </w:rPr>
      </w:r>
    </w:p>
    <w:p>
      <w:pPr>
        <w:tabs>
          <w:tab w:pos="980" w:val="left" w:leader="none"/>
        </w:tabs>
        <w:spacing w:line="290" w:lineRule="auto" w:before="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2"/>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90" w:lineRule="auto" w:before="12"/>
        <w:ind w:left="138" w:right="73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3"/>
        <w:spacing w:line="240" w:lineRule="auto" w:before="12"/>
        <w:ind w:left="138"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spacing w:line="240" w:lineRule="auto" w:before="58"/>
        <w:ind w:right="0"/>
        <w:jc w:val="both"/>
      </w:pPr>
      <w:r>
        <w:rPr/>
        <w:t>□适用</w:t>
      </w:r>
      <w:r>
        <w:rPr>
          <w:spacing w:val="104"/>
        </w:rPr>
        <w:t> </w:t>
      </w:r>
      <w:r>
        <w:rPr/>
        <w:t>√不适用</w:t>
      </w:r>
    </w:p>
    <w:p>
      <w:pPr>
        <w:pStyle w:val="Heading3"/>
        <w:spacing w:line="240" w:lineRule="auto" w:before="56"/>
        <w:ind w:left="138" w:right="0"/>
        <w:jc w:val="both"/>
        <w:rPr>
          <w:b w:val="0"/>
          <w:bCs w:val="0"/>
        </w:rPr>
      </w:pPr>
      <w:r>
        <w:rPr>
          <w:rFonts w:ascii="宋体" w:hAnsi="宋体" w:cs="宋体" w:eastAsia="宋体" w:hint="default"/>
        </w:rPr>
        <w:t>(2). </w:t>
      </w:r>
      <w:r>
        <w:rPr>
          <w:rFonts w:ascii="宋体" w:hAnsi="宋体" w:cs="宋体" w:eastAsia="宋体" w:hint="default"/>
          <w:spacing w:val="11"/>
        </w:rPr>
        <w:t> </w:t>
      </w:r>
      <w:r>
        <w:rPr/>
        <w:t>报告分部的财务信息</w:t>
      </w:r>
      <w:r>
        <w:rPr>
          <w:b w:val="0"/>
          <w:bCs w:val="0"/>
        </w:rPr>
      </w:r>
    </w:p>
    <w:p>
      <w:pPr>
        <w:pStyle w:val="BodyText"/>
        <w:spacing w:line="240" w:lineRule="auto" w:before="58"/>
        <w:ind w:right="0"/>
        <w:jc w:val="both"/>
      </w:pPr>
      <w:r>
        <w:rPr/>
        <w:t>□适用</w:t>
      </w:r>
      <w:r>
        <w:rPr>
          <w:spacing w:val="104"/>
        </w:rPr>
        <w:t> </w:t>
      </w:r>
      <w:r>
        <w:rPr/>
        <w:t>√不适用</w:t>
      </w:r>
    </w:p>
    <w:p>
      <w:pPr>
        <w:pStyle w:val="Heading3"/>
        <w:spacing w:line="240" w:lineRule="auto" w:before="56"/>
        <w:ind w:left="138" w:right="0"/>
        <w:jc w:val="both"/>
        <w:rPr>
          <w:b w:val="0"/>
          <w:bCs w:val="0"/>
        </w:rPr>
      </w:pPr>
      <w:r>
        <w:rPr>
          <w:rFonts w:ascii="宋体" w:hAnsi="宋体" w:cs="宋体" w:eastAsia="宋体" w:hint="default"/>
        </w:rPr>
        <w:t>(3). </w:t>
      </w:r>
      <w:r>
        <w:rPr>
          <w:rFonts w:ascii="宋体" w:hAnsi="宋体" w:cs="宋体" w:eastAsia="宋体" w:hint="default"/>
          <w:spacing w:val="4"/>
        </w:rPr>
        <w:t> </w:t>
      </w:r>
      <w:r>
        <w:rPr/>
        <w:t>公司无报告分部的，或者不能披露各报告分部的资产总额和负债总额的，应说明原因</w:t>
      </w:r>
      <w:r>
        <w:rPr>
          <w:b w:val="0"/>
          <w:bCs w:val="0"/>
        </w:rPr>
      </w:r>
    </w:p>
    <w:p>
      <w:pPr>
        <w:tabs>
          <w:tab w:pos="781" w:val="left" w:leader="none"/>
          <w:tab w:pos="980" w:val="left" w:leader="none"/>
        </w:tabs>
        <w:spacing w:line="290" w:lineRule="auto" w:before="58"/>
        <w:ind w:left="138" w:right="7267"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(4).</w:t>
        <w:tab/>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4"/>
        <w:ind w:right="0"/>
        <w:jc w:val="both"/>
      </w:pPr>
      <w:r>
        <w:rPr/>
        <w:t>□适用</w:t>
      </w:r>
      <w:r>
        <w:rPr>
          <w:spacing w:val="104"/>
        </w:rPr>
        <w:t> </w:t>
      </w:r>
      <w:r>
        <w:rPr/>
        <w:t>√不适用</w:t>
      </w:r>
    </w:p>
    <w:p>
      <w:pPr>
        <w:pStyle w:val="Heading3"/>
        <w:spacing w:line="240" w:lineRule="auto" w:before="56"/>
        <w:ind w:left="13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tabs>
          <w:tab w:pos="980" w:val="left" w:leader="none"/>
        </w:tabs>
        <w:spacing w:line="300" w:lineRule="auto" w:before="135"/>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4"/>
        <w:ind w:right="0"/>
        <w:jc w:val="both"/>
      </w:pPr>
      <w:r>
        <w:rPr/>
        <w:t>□适用</w:t>
      </w:r>
      <w:r>
        <w:rPr>
          <w:spacing w:val="104"/>
        </w:rPr>
        <w:t> </w:t>
      </w:r>
      <w:r>
        <w:rPr/>
        <w:t>√不适用</w:t>
      </w:r>
    </w:p>
    <w:p>
      <w:pPr>
        <w:spacing w:after="0" w:line="240" w:lineRule="auto"/>
        <w:jc w:val="both"/>
        <w:sectPr>
          <w:pgSz w:w="11910" w:h="16840"/>
          <w:pgMar w:header="0" w:footer="1195" w:top="1120" w:bottom="1380" w:left="1660" w:right="11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95"/>
          <w:footerReference w:type="default" r:id="rId96"/>
          <w:pgSz w:w="16840" w:h="11910" w:orient="landscape"/>
          <w:pgMar w:header="0" w:footer="0" w:top="800" w:bottom="280" w:left="1300" w:right="1380"/>
        </w:sectPr>
      </w:pPr>
    </w:p>
    <w:p>
      <w:pPr>
        <w:pStyle w:val="Heading3"/>
        <w:tabs>
          <w:tab w:pos="980" w:val="left" w:leader="none"/>
        </w:tabs>
        <w:spacing w:line="290" w:lineRule="auto"/>
        <w:ind w:left="140"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3"/>
        <w:tabs>
          <w:tab w:pos="980" w:val="left" w:leader="none"/>
        </w:tabs>
        <w:spacing w:line="240" w:lineRule="auto" w:before="14"/>
        <w:ind w:left="281"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982" w:val="left" w:leader="none"/>
        </w:tabs>
        <w:spacing w:line="240" w:lineRule="auto" w:before="56"/>
        <w:ind w:left="14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96"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3722" w:space="7738"/>
            <w:col w:w="270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55"/>
        <w:gridCol w:w="1531"/>
        <w:gridCol w:w="747"/>
        <w:gridCol w:w="1531"/>
        <w:gridCol w:w="775"/>
        <w:gridCol w:w="1534"/>
        <w:gridCol w:w="1531"/>
        <w:gridCol w:w="776"/>
        <w:gridCol w:w="1428"/>
        <w:gridCol w:w="797"/>
        <w:gridCol w:w="1532"/>
      </w:tblGrid>
      <w:tr>
        <w:trPr>
          <w:trHeight w:val="283" w:hRule="exact"/>
        </w:trPr>
        <w:tc>
          <w:tcPr>
            <w:tcW w:w="175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1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755" w:type="dxa"/>
            <w:vMerge/>
            <w:tcBorders>
              <w:left w:val="single" w:sz="4" w:space="0" w:color="000000"/>
              <w:right w:val="single" w:sz="4" w:space="0" w:color="000000"/>
            </w:tcBorders>
          </w:tcPr>
          <w:p>
            <w:pP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4" w:type="dxa"/>
            <w:vMerge w:val="restart"/>
            <w:tcBorders>
              <w:top w:val="single" w:sz="4" w:space="0" w:color="000000"/>
              <w:left w:val="single" w:sz="4" w:space="0" w:color="000000"/>
              <w:right w:val="single" w:sz="4" w:space="0" w:color="000000"/>
            </w:tcBorders>
          </w:tcPr>
          <w:p>
            <w:pPr>
              <w:pStyle w:val="TableParagraph"/>
              <w:spacing w:line="272" w:lineRule="exact" w:before="135"/>
              <w:ind w:left="552" w:right="547"/>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72" w:lineRule="exact" w:before="135"/>
              <w:ind w:left="551"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1755"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hanging="54"/>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1" w:right="0"/>
              <w:jc w:val="left"/>
              <w:rPr>
                <w:rFonts w:ascii="宋体" w:hAnsi="宋体" w:cs="宋体" w:eastAsia="宋体" w:hint="default"/>
                <w:sz w:val="21"/>
                <w:szCs w:val="21"/>
              </w:rPr>
            </w:pPr>
            <w:r>
              <w:rPr>
                <w:rFonts w:ascii="宋体"/>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4"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25" w:right="0"/>
              <w:jc w:val="left"/>
              <w:rPr>
                <w:rFonts w:ascii="宋体" w:hAnsi="宋体" w:cs="宋体" w:eastAsia="宋体" w:hint="default"/>
                <w:sz w:val="21"/>
                <w:szCs w:val="21"/>
              </w:rPr>
            </w:pPr>
            <w:r>
              <w:rPr>
                <w:rFonts w:ascii="宋体"/>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2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r>
      <w:tr>
        <w:trPr>
          <w:trHeight w:val="826"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40" w:lineRule="auto"/>
              <w:ind w:left="26" w:right="34"/>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63,931,122.38</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10.54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63,931,122.38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21"/>
                <w:szCs w:val="21"/>
              </w:rPr>
            </w:pPr>
            <w:r>
              <w:rPr>
                <w:rFonts w:ascii="宋体"/>
                <w:sz w:val="21"/>
              </w:rPr>
              <w:t>100.00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47,820,000.00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10.58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38,320,000.00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80.13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9,500,000.00</w:t>
            </w:r>
          </w:p>
        </w:tc>
      </w:tr>
      <w:tr>
        <w:trPr>
          <w:trHeight w:val="828"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7"/>
              <w:ind w:left="26" w:right="34"/>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526,460,813.83</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86.79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25,282,084.93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21"/>
                <w:szCs w:val="21"/>
              </w:rPr>
            </w:pPr>
            <w:r>
              <w:rPr>
                <w:rFonts w:ascii="宋体"/>
                <w:sz w:val="21"/>
              </w:rPr>
              <w:t>4.80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501,178,728.90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390,939,204.33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86.53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12,200,929.82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3.12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378,738,274.51</w:t>
            </w:r>
          </w:p>
        </w:tc>
      </w:tr>
      <w:tr>
        <w:trPr>
          <w:trHeight w:val="826"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6" w:right="34"/>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16,177,450.94</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sz w:val="21"/>
              </w:rPr>
              <w:t>2.67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16,177,450.94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21"/>
                <w:szCs w:val="21"/>
              </w:rPr>
            </w:pPr>
            <w:r>
              <w:rPr>
                <w:rFonts w:ascii="宋体"/>
                <w:sz w:val="21"/>
              </w:rPr>
              <w:t>100.00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13,053,300.00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2.89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13,053,300.00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606,569,387.15</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right"/>
              <w:rPr>
                <w:rFonts w:ascii="宋体" w:hAnsi="宋体" w:cs="宋体" w:eastAsia="宋体" w:hint="default"/>
                <w:sz w:val="21"/>
                <w:szCs w:val="21"/>
              </w:rPr>
            </w:pPr>
            <w:r>
              <w:rPr>
                <w:rFonts w:ascii="宋体"/>
                <w:sz w:val="21"/>
              </w:rPr>
              <w:t>100.00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105,390,658.25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z w:val="21"/>
              </w:rPr>
              <w:t>17.37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501,178,728.90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451,812,504.33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63,574,229.82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388,238,274.51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63"/>
        <w:ind w:left="6395" w:right="6399" w:firstLine="0"/>
        <w:jc w:val="center"/>
        <w:rPr>
          <w:rFonts w:ascii="Calibri" w:hAnsi="Calibri" w:cs="Calibri" w:eastAsia="Calibri" w:hint="default"/>
          <w:sz w:val="18"/>
          <w:szCs w:val="18"/>
        </w:rPr>
      </w:pPr>
      <w:r>
        <w:rPr>
          <w:rFonts w:ascii="Calibri"/>
          <w:b/>
          <w:sz w:val="18"/>
        </w:rPr>
        <w:t>179 </w:t>
      </w:r>
      <w:r>
        <w:rPr>
          <w:rFonts w:ascii="Calibri"/>
          <w:sz w:val="18"/>
        </w:rPr>
        <w:t>/</w:t>
      </w:r>
      <w:r>
        <w:rPr>
          <w:rFonts w:ascii="Calibri"/>
          <w:spacing w:val="-5"/>
          <w:sz w:val="18"/>
        </w:rPr>
        <w:t> </w:t>
      </w:r>
      <w:r>
        <w:rPr>
          <w:rFonts w:ascii="Calibri"/>
          <w:b/>
          <w:sz w:val="18"/>
        </w:rPr>
        <w:t>189</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7"/>
          <w:pgSz w:w="11910" w:h="16840"/>
          <w:pgMar w:footer="1195" w:header="0" w:top="1120" w:bottom="1380" w:left="1580" w:right="1040"/>
          <w:pgNumType w:start="180"/>
        </w:sectPr>
      </w:pPr>
    </w:p>
    <w:p>
      <w:pPr>
        <w:spacing w:line="240" w:lineRule="auto" w:before="3"/>
        <w:rPr>
          <w:rFonts w:ascii="Calibri" w:hAnsi="Calibri" w:cs="Calibri" w:eastAsia="Calibri" w:hint="default"/>
          <w:b/>
          <w:bCs/>
          <w:sz w:val="17"/>
          <w:szCs w:val="17"/>
        </w:rPr>
      </w:pPr>
    </w:p>
    <w:p>
      <w:pPr>
        <w:pStyle w:val="BodyText"/>
        <w:spacing w:line="240" w:lineRule="auto"/>
        <w:ind w:left="218" w:right="0"/>
        <w:jc w:val="left"/>
      </w:pPr>
      <w:r>
        <w:rPr>
          <w:spacing w:val="-2"/>
        </w:rPr>
        <w:t>期末单项金额重大并单项计提坏账准备的应收账款：</w:t>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365"/>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16"/>
        <w:gridCol w:w="1582"/>
        <w:gridCol w:w="1582"/>
        <w:gridCol w:w="1217"/>
        <w:gridCol w:w="2653"/>
      </w:tblGrid>
      <w:tr>
        <w:trPr>
          <w:trHeight w:val="283" w:hRule="exact"/>
        </w:trPr>
        <w:tc>
          <w:tcPr>
            <w:tcW w:w="20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70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016"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上海</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投资管理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15,891,122.38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15,891,122.38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文化传媒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4,500,000.00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广州市</w:t>
            </w:r>
            <w:r>
              <w:rPr>
                <w:rFonts w:ascii="宋体" w:hAnsi="宋体" w:cs="宋体" w:eastAsia="宋体" w:hint="default"/>
                <w:spacing w:val="-80"/>
                <w:sz w:val="21"/>
                <w:szCs w:val="21"/>
              </w:rPr>
              <w:t> </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11"/>
                <w:sz w:val="21"/>
                <w:szCs w:val="21"/>
              </w:rPr>
              <w:t>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3,820,000.00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sz w:val="21"/>
              </w:rPr>
              <w:t>3,820,000.00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7"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文化传媒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3,250,000.00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3,250,000.00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pacing w:val="14"/>
                <w:sz w:val="21"/>
                <w:szCs w:val="21"/>
              </w:rPr>
              <w:t>投资集团有限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center"/>
              <w:rPr>
                <w:rFonts w:ascii="宋体" w:hAnsi="宋体" w:cs="宋体" w:eastAsia="宋体" w:hint="default"/>
                <w:sz w:val="21"/>
                <w:szCs w:val="21"/>
              </w:rPr>
            </w:pPr>
            <w:r>
              <w:rPr>
                <w:rFonts w:ascii="宋体"/>
                <w:sz w:val="21"/>
              </w:rPr>
              <w:t>3,000,000.00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pacing w:val="14"/>
                <w:sz w:val="21"/>
                <w:szCs w:val="21"/>
              </w:rPr>
              <w:t>科技股份有限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pacing w:val="14"/>
                <w:sz w:val="21"/>
                <w:szCs w:val="21"/>
              </w:rPr>
              <w:t>信息服务（深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圳）有限公司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广州市</w:t>
            </w:r>
            <w:r>
              <w:rPr>
                <w:rFonts w:ascii="宋体" w:hAnsi="宋体" w:cs="宋体" w:eastAsia="宋体" w:hint="default"/>
                <w:spacing w:val="-80"/>
                <w:sz w:val="21"/>
                <w:szCs w:val="21"/>
              </w:rPr>
              <w:t> </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11"/>
                <w:sz w:val="21"/>
                <w:szCs w:val="21"/>
              </w:rPr>
              <w:t>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网络科技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2,400,000.00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sz w:val="21"/>
              </w:rPr>
              <w:t>2,400,000.00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深圳市</w:t>
            </w:r>
            <w:r>
              <w:rPr>
                <w:rFonts w:ascii="宋体" w:hAnsi="宋体" w:cs="宋体" w:eastAsia="宋体" w:hint="default"/>
                <w:spacing w:val="-80"/>
                <w:sz w:val="21"/>
                <w:szCs w:val="21"/>
              </w:rPr>
              <w:t> </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11"/>
                <w:sz w:val="21"/>
                <w:szCs w:val="21"/>
              </w:rPr>
              <w:t>股权基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金管理有限公司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2,400,000.00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广告有限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2,000,000.00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7"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2,000,000.00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广告有限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center"/>
              <w:rPr>
                <w:rFonts w:ascii="宋体" w:hAnsi="宋体" w:cs="宋体" w:eastAsia="宋体" w:hint="default"/>
                <w:sz w:val="21"/>
                <w:szCs w:val="21"/>
              </w:rPr>
            </w:pPr>
            <w:r>
              <w:rPr>
                <w:rFonts w:ascii="宋体"/>
                <w:sz w:val="21"/>
              </w:rPr>
              <w:t>2,000,000.00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pacing w:val="14"/>
                <w:sz w:val="21"/>
                <w:szCs w:val="21"/>
              </w:rPr>
              <w:t>投资管理（北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2,000,000.00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文化传播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1,820,000.00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sz w:val="21"/>
              </w:rPr>
              <w:t>1,820,000.00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传媒广告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1,450,000.00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1,450,000.00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沈阳</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1,200,000.00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山东</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传媒投资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1,100,000.00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广州</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传播有限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1,100,000.00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（北京）信息技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术研究所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7"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河南</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16"/>
        <w:gridCol w:w="1582"/>
        <w:gridCol w:w="1582"/>
        <w:gridCol w:w="1217"/>
        <w:gridCol w:w="2653"/>
      </w:tblGrid>
      <w:tr>
        <w:trPr>
          <w:trHeight w:val="557"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（北京）信息技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sz w:val="21"/>
              </w:rPr>
              <w:t>1,000,000.00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公关策划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center"/>
              <w:rPr>
                <w:rFonts w:ascii="宋体" w:hAnsi="宋体" w:cs="宋体" w:eastAsia="宋体" w:hint="default"/>
                <w:sz w:val="21"/>
                <w:szCs w:val="21"/>
              </w:rPr>
            </w:pPr>
            <w:r>
              <w:rPr>
                <w:rFonts w:ascii="宋体"/>
                <w:sz w:val="21"/>
              </w:rPr>
              <w:t>1,000,000.00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55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四川</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pacing w:val="12"/>
                <w:sz w:val="21"/>
                <w:szCs w:val="21"/>
              </w:rPr>
              <w:t>广告有限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100.00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已有明显迹象表明债务人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很可能无法履行还款义务</w:t>
            </w:r>
          </w:p>
        </w:tc>
      </w:tr>
      <w:tr>
        <w:trPr>
          <w:trHeight w:val="28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63,931,122.38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63,931,122.38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BodyText"/>
        <w:spacing w:line="240" w:lineRule="auto" w:before="36"/>
        <w:ind w:left="218" w:right="0"/>
        <w:jc w:val="left"/>
      </w:pPr>
      <w:r>
        <w:rPr>
          <w:spacing w:val="-2"/>
        </w:rPr>
        <w:t>组合中，按账龄分析法计提坏账准备的应收账款：</w:t>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574"/>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319,695,094.69</w:t>
            </w: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82,982,841.89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4,149,142.09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82,103,411.67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8,210,341.17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25,771,905.58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7,731,571.67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7,665,060.00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3,832,530.00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1,358,500.00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1,358,500.00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519,576,813.83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25,282,084.93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pStyle w:val="BodyText"/>
        <w:spacing w:line="290" w:lineRule="auto" w:before="26"/>
        <w:ind w:left="218" w:right="2465"/>
        <w:jc w:val="left"/>
      </w:pPr>
      <w:r>
        <w:rPr/>
        <w:t>确定该组合依据的说明：</w:t>
      </w:r>
      <w:r>
        <w:rPr>
          <w:w w:val="100"/>
        </w:rPr>
        <w:t> </w:t>
      </w:r>
      <w:r>
        <w:rPr/>
        <w:t>本公司以账龄为信用风险特征组合的确定依据。</w:t>
      </w:r>
      <w:r>
        <w:rPr>
          <w:w w:val="100"/>
        </w:rPr>
        <w:t> </w:t>
      </w:r>
      <w:r>
        <w:rPr>
          <w:spacing w:val="-2"/>
        </w:rPr>
        <w:t>组合中，采用余额百分比法计提坏账准备的应收账款：</w:t>
      </w:r>
    </w:p>
    <w:p>
      <w:pPr>
        <w:pStyle w:val="BodyText"/>
        <w:spacing w:line="240" w:lineRule="auto" w:before="14"/>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18" w:right="2465"/>
        <w:jc w:val="left"/>
      </w:pPr>
      <w:r>
        <w:rPr/>
        <w:t>组合中，采用其他方法计提坏账准备的应收账款：</w:t>
      </w:r>
    </w:p>
    <w:p>
      <w:pPr>
        <w:pStyle w:val="BodyText"/>
        <w:spacing w:line="290" w:lineRule="auto" w:before="56"/>
        <w:ind w:left="218" w:right="4688"/>
        <w:jc w:val="left"/>
      </w:pPr>
      <w:r>
        <w:rPr/>
        <w:t>√适用</w:t>
      </w:r>
      <w:r>
        <w:rPr>
          <w:spacing w:val="-2"/>
        </w:rPr>
        <w:t> </w:t>
      </w:r>
      <w:r>
        <w:rPr/>
        <w:t>□不适用</w:t>
      </w:r>
      <w:r>
        <w:rPr>
          <w:w w:val="100"/>
        </w:rPr>
        <w:t> </w:t>
      </w:r>
      <w:r>
        <w:rPr>
          <w:spacing w:val="-2"/>
        </w:rPr>
        <w:t>采用个别认定法计提坏账准备的应收账款</w:t>
      </w:r>
    </w:p>
    <w:tbl>
      <w:tblPr>
        <w:tblW w:w="0" w:type="auto"/>
        <w:jc w:val="left"/>
        <w:tblInd w:w="105" w:type="dxa"/>
        <w:tblLayout w:type="fixed"/>
        <w:tblCellMar>
          <w:top w:w="0" w:type="dxa"/>
          <w:left w:w="0" w:type="dxa"/>
          <w:bottom w:w="0" w:type="dxa"/>
          <w:right w:w="0" w:type="dxa"/>
        </w:tblCellMar>
        <w:tblLook w:val="01E0"/>
      </w:tblPr>
      <w:tblGrid>
        <w:gridCol w:w="2542"/>
        <w:gridCol w:w="1980"/>
        <w:gridCol w:w="1414"/>
        <w:gridCol w:w="1417"/>
        <w:gridCol w:w="1697"/>
      </w:tblGrid>
      <w:tr>
        <w:trPr>
          <w:trHeight w:val="40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0"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06"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07" w:right="0"/>
              <w:jc w:val="left"/>
              <w:rPr>
                <w:rFonts w:ascii="宋体" w:hAnsi="宋体" w:cs="宋体" w:eastAsia="宋体" w:hint="default"/>
                <w:sz w:val="21"/>
                <w:szCs w:val="21"/>
              </w:rPr>
            </w:pPr>
            <w:r>
              <w:rPr>
                <w:rFonts w:ascii="宋体"/>
                <w:sz w:val="21"/>
              </w:rPr>
              <w:t>6,884,000.00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408"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07" w:right="0"/>
              <w:jc w:val="left"/>
              <w:rPr>
                <w:rFonts w:ascii="宋体" w:hAnsi="宋体" w:cs="宋体" w:eastAsia="宋体" w:hint="default"/>
                <w:sz w:val="21"/>
                <w:szCs w:val="21"/>
              </w:rPr>
            </w:pPr>
            <w:r>
              <w:rPr>
                <w:rFonts w:ascii="宋体"/>
                <w:sz w:val="21"/>
              </w:rPr>
              <w:t>6,884,000.00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tabs>
          <w:tab w:pos="1057" w:val="left" w:leader="none"/>
        </w:tabs>
        <w:spacing w:line="240" w:lineRule="auto"/>
        <w:ind w:left="359" w:right="2465"/>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72" w:lineRule="exact" w:before="86"/>
        <w:ind w:left="218" w:right="1397"/>
        <w:jc w:val="left"/>
      </w:pPr>
      <w:r>
        <w:rPr/>
        <w:t>本期计提坏账准备金额</w:t>
      </w:r>
      <w:r>
        <w:rPr>
          <w:spacing w:val="-54"/>
        </w:rPr>
        <w:t> </w:t>
      </w:r>
      <w:r>
        <w:rPr>
          <w:rFonts w:ascii="宋体" w:hAnsi="宋体" w:cs="宋体" w:eastAsia="宋体" w:hint="default"/>
        </w:rPr>
        <w:t>41,816,428.43</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4"/>
        </w:rPr>
        <w:t> </w:t>
      </w:r>
      <w:r>
        <w:rPr>
          <w:spacing w:val="-3"/>
        </w:rPr>
        <w:t>元。</w:t>
      </w:r>
      <w:r>
        <w:rPr>
          <w:spacing w:val="-3"/>
          <w:w w:val="100"/>
        </w:rPr>
        <w:t> </w:t>
      </w:r>
      <w:r>
        <w:rPr/>
        <w:t>其中本期坏账准备收回或转回金额重要的：</w:t>
      </w:r>
    </w:p>
    <w:p>
      <w:pPr>
        <w:pStyle w:val="BodyText"/>
        <w:spacing w:line="249" w:lineRule="exact"/>
        <w:ind w:left="218" w:right="2465"/>
        <w:jc w:val="left"/>
      </w:pPr>
      <w:r>
        <w:rPr/>
        <w:t>□适用</w:t>
      </w:r>
      <w:r>
        <w:rPr>
          <w:spacing w:val="-1"/>
        </w:rPr>
        <w:t> </w:t>
      </w:r>
      <w:r>
        <w:rPr/>
        <w:t>√不适用</w:t>
      </w:r>
    </w:p>
    <w:p>
      <w:pPr>
        <w:pStyle w:val="Heading3"/>
        <w:tabs>
          <w:tab w:pos="1057" w:val="left" w:leader="none"/>
        </w:tabs>
        <w:spacing w:line="240" w:lineRule="auto" w:before="56"/>
        <w:ind w:left="359" w:right="2465"/>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218" w:right="6323"/>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left="218" w:right="2465"/>
        <w:jc w:val="left"/>
      </w:pPr>
      <w:r>
        <w:rPr/>
        <w:t>□适用</w:t>
      </w:r>
      <w:r>
        <w:rPr>
          <w:spacing w:val="-1"/>
        </w:rPr>
        <w:t> </w:t>
      </w:r>
      <w:r>
        <w:rPr/>
        <w:t>√不适用</w:t>
      </w:r>
    </w:p>
    <w:p>
      <w:pPr>
        <w:pStyle w:val="Heading3"/>
        <w:tabs>
          <w:tab w:pos="1057" w:val="left" w:leader="none"/>
        </w:tabs>
        <w:spacing w:line="240" w:lineRule="auto" w:before="56"/>
        <w:ind w:left="359" w:right="2465"/>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1060" w:val="left" w:leader="none"/>
        </w:tabs>
        <w:spacing w:line="273" w:lineRule="exact" w:before="58"/>
        <w:ind w:left="218" w:right="2465"/>
        <w:jc w:val="left"/>
      </w:pPr>
      <w:r>
        <w:rPr>
          <w:spacing w:val="-1"/>
        </w:rPr>
        <w:t>√适用</w:t>
        <w:tab/>
      </w:r>
      <w:r>
        <w:rPr>
          <w:spacing w:val="-2"/>
        </w:rPr>
        <w:t>□不适用</w:t>
      </w:r>
    </w:p>
    <w:p>
      <w:pPr>
        <w:pStyle w:val="BodyText"/>
        <w:spacing w:line="240" w:lineRule="auto"/>
        <w:ind w:left="218" w:right="123" w:firstLine="419"/>
        <w:jc w:val="left"/>
      </w:pPr>
      <w:r>
        <w:rPr>
          <w:spacing w:val="-2"/>
          <w:w w:val="100"/>
        </w:rPr>
        <w:t>本公司本年按欠款方归集的年末余额前五名应收账款汇总金额</w:t>
      </w:r>
      <w:r>
        <w:rPr>
          <w:spacing w:val="-45"/>
          <w:w w:val="100"/>
        </w:rPr>
        <w:t> </w:t>
      </w:r>
      <w:r>
        <w:rPr>
          <w:rFonts w:ascii="宋体" w:hAnsi="宋体" w:cs="宋体" w:eastAsia="宋体" w:hint="default"/>
          <w:spacing w:val="-1"/>
          <w:w w:val="100"/>
        </w:rPr>
        <w:t>114,541,290.32</w:t>
      </w:r>
      <w:r>
        <w:rPr>
          <w:rFonts w:ascii="宋体" w:hAnsi="宋体" w:cs="宋体" w:eastAsia="宋体" w:hint="default"/>
          <w:spacing w:val="-44"/>
          <w:w w:val="100"/>
        </w:rPr>
        <w:t> </w:t>
      </w:r>
      <w:r>
        <w:rPr>
          <w:spacing w:val="-17"/>
          <w:w w:val="100"/>
        </w:rPr>
        <w:t>元，占应收账</w:t>
      </w:r>
      <w:r>
        <w:rPr>
          <w:w w:val="100"/>
        </w:rPr>
        <w:t> </w:t>
      </w:r>
      <w:r>
        <w:rPr/>
        <w:t>款年末余额合计数的比例</w:t>
      </w:r>
      <w:r>
        <w:rPr>
          <w:spacing w:val="-57"/>
        </w:rPr>
        <w:t> </w:t>
      </w:r>
      <w:r>
        <w:rPr>
          <w:rFonts w:ascii="宋体" w:hAnsi="宋体" w:cs="宋体" w:eastAsia="宋体" w:hint="default"/>
        </w:rPr>
        <w:t>18.88%</w:t>
      </w:r>
      <w:r>
        <w:rPr/>
        <w:t>，相应计提的坏账准备年末余额汇总金额</w:t>
      </w:r>
      <w:r>
        <w:rPr>
          <w:spacing w:val="-55"/>
        </w:rPr>
        <w:t> </w:t>
      </w:r>
      <w:r>
        <w:rPr>
          <w:rFonts w:ascii="宋体" w:hAnsi="宋体" w:cs="宋体" w:eastAsia="宋体" w:hint="default"/>
        </w:rPr>
        <w:t>17,091,122.38</w:t>
      </w:r>
      <w:r>
        <w:rPr>
          <w:rFonts w:ascii="宋体" w:hAnsi="宋体" w:cs="宋体" w:eastAsia="宋体" w:hint="default"/>
          <w:spacing w:val="-54"/>
        </w:rPr>
        <w:t> </w:t>
      </w:r>
      <w:r>
        <w:rPr>
          <w:spacing w:val="-3"/>
        </w:rPr>
        <w:t>元。</w:t>
      </w:r>
      <w:r>
        <w:rPr/>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340" w:right="820"/>
        </w:sectPr>
      </w:pPr>
    </w:p>
    <w:p>
      <w:pPr>
        <w:pStyle w:val="Heading3"/>
        <w:tabs>
          <w:tab w:pos="1297" w:val="left" w:leader="none"/>
        </w:tabs>
        <w:spacing w:line="240" w:lineRule="auto"/>
        <w:ind w:left="59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300" w:val="left" w:leader="none"/>
        </w:tabs>
        <w:spacing w:line="240" w:lineRule="auto" w:before="58"/>
        <w:ind w:left="458" w:right="0"/>
        <w:jc w:val="left"/>
      </w:pPr>
      <w:r>
        <w:rPr>
          <w:spacing w:val="-1"/>
        </w:rPr>
        <w:t>□适用</w:t>
        <w:tab/>
      </w:r>
      <w:r>
        <w:rPr>
          <w:spacing w:val="-2"/>
        </w:rPr>
        <w:t>√不适用</w:t>
      </w:r>
    </w:p>
    <w:p>
      <w:pPr>
        <w:pStyle w:val="Heading3"/>
        <w:tabs>
          <w:tab w:pos="1297" w:val="left" w:leader="none"/>
        </w:tabs>
        <w:spacing w:line="240" w:lineRule="auto" w:before="56"/>
        <w:ind w:left="599" w:right="0"/>
        <w:jc w:val="left"/>
        <w:rPr>
          <w:b w:val="0"/>
          <w:bCs w:val="0"/>
        </w:rPr>
      </w:pPr>
      <w:r>
        <w:rPr>
          <w:rFonts w:ascii="宋体" w:hAnsi="宋体" w:cs="宋体" w:eastAsia="宋体" w:hint="default"/>
          <w:w w:val="95"/>
        </w:rPr>
        <w:t>(6).</w:t>
        <w:tab/>
      </w:r>
      <w:r>
        <w:rPr>
          <w:spacing w:val="-1"/>
        </w:rPr>
        <w:t>转移应收账款且继续涉入形成的资产、负债金额：</w:t>
      </w:r>
      <w:r>
        <w:rPr>
          <w:b w:val="0"/>
          <w:bCs w:val="0"/>
          <w:spacing w:val="-1"/>
        </w:rPr>
      </w:r>
    </w:p>
    <w:p>
      <w:pPr>
        <w:pStyle w:val="BodyText"/>
        <w:tabs>
          <w:tab w:pos="1300" w:val="left" w:leader="none"/>
        </w:tabs>
        <w:spacing w:line="272" w:lineRule="exact" w:before="86"/>
        <w:ind w:left="458" w:right="3795"/>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left="458" w:right="0"/>
        <w:jc w:val="left"/>
      </w:pPr>
      <w:r>
        <w:rPr/>
        <w:t>□适用</w:t>
      </w:r>
      <w:r>
        <w:rPr>
          <w:spacing w:val="-1"/>
        </w:rPr>
        <w:t> </w:t>
      </w:r>
      <w:r>
        <w:rPr/>
        <w:t>√不适用</w:t>
      </w:r>
    </w:p>
    <w:p>
      <w:pPr>
        <w:pStyle w:val="Heading3"/>
        <w:spacing w:line="240" w:lineRule="auto" w:before="56"/>
        <w:ind w:left="458" w:right="0"/>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3"/>
        <w:spacing w:line="240" w:lineRule="auto" w:before="58"/>
        <w:ind w:left="458" w:right="0"/>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300" w:val="left" w:leader="none"/>
        </w:tabs>
        <w:spacing w:line="240" w:lineRule="auto" w:before="56"/>
        <w:ind w:left="4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tabs>
          <w:tab w:pos="1615"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820"/>
          <w:cols w:num="2" w:equalWidth="0">
            <w:col w:w="5939" w:space="480"/>
            <w:col w:w="3331"/>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60"/>
        <w:gridCol w:w="1429"/>
        <w:gridCol w:w="694"/>
        <w:gridCol w:w="281"/>
        <w:gridCol w:w="406"/>
        <w:gridCol w:w="1431"/>
        <w:gridCol w:w="1428"/>
        <w:gridCol w:w="696"/>
        <w:gridCol w:w="281"/>
        <w:gridCol w:w="406"/>
        <w:gridCol w:w="1505"/>
      </w:tblGrid>
      <w:tr>
        <w:trPr>
          <w:trHeight w:val="293" w:hRule="exact"/>
        </w:trPr>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26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960" w:type="dxa"/>
            <w:vMerge/>
            <w:tcBorders>
              <w:left w:val="single" w:sz="4" w:space="0" w:color="000000"/>
              <w:right w:val="single" w:sz="4" w:space="0" w:color="000000"/>
            </w:tcBorders>
          </w:tcPr>
          <w:p>
            <w:pP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96" w:right="50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535" w:right="53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1373" w:hRule="exact"/>
        </w:trPr>
        <w:tc>
          <w:tcPr>
            <w:tcW w:w="960"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4" w:right="12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8" w:right="29"/>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38" w:right="38"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431"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84" w:right="13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8" w:right="29"/>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40" w:right="36"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505" w:type="dxa"/>
            <w:vMerge/>
            <w:tcBorders>
              <w:left w:val="single" w:sz="4" w:space="0" w:color="000000"/>
              <w:bottom w:val="single" w:sz="4" w:space="0" w:color="000000"/>
              <w:right w:val="single" w:sz="4" w:space="0" w:color="000000"/>
            </w:tcBorders>
          </w:tcPr>
          <w:p>
            <w:pP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before="2"/>
              <w:ind w:left="26" w:right="79"/>
              <w:jc w:val="both"/>
              <w:rPr>
                <w:rFonts w:ascii="宋体" w:hAnsi="宋体" w:cs="宋体" w:eastAsia="宋体" w:hint="default"/>
                <w:sz w:val="21"/>
                <w:szCs w:val="21"/>
              </w:rPr>
            </w:pPr>
            <w:r>
              <w:rPr>
                <w:rFonts w:ascii="宋体" w:hAnsi="宋体" w:cs="宋体" w:eastAsia="宋体" w:hint="default"/>
                <w:sz w:val="21"/>
                <w:szCs w:val="21"/>
              </w:rPr>
              <w:t>重大并单</w:t>
            </w:r>
            <w:r>
              <w:rPr>
                <w:rFonts w:ascii="宋体" w:hAnsi="宋体" w:cs="宋体" w:eastAsia="宋体" w:hint="default"/>
                <w:w w:val="100"/>
                <w:sz w:val="21"/>
                <w:szCs w:val="21"/>
              </w:rPr>
              <w:t> </w:t>
            </w:r>
            <w:r>
              <w:rPr>
                <w:rFonts w:ascii="宋体" w:hAnsi="宋体" w:cs="宋体" w:eastAsia="宋体" w:hint="default"/>
                <w:sz w:val="21"/>
                <w:szCs w:val="21"/>
              </w:rPr>
              <w:t>独计提坏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42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w:t>
            </w:r>
          </w:p>
          <w:p>
            <w:pPr>
              <w:pStyle w:val="TableParagraph"/>
              <w:spacing w:line="237" w:lineRule="auto" w:before="2"/>
              <w:ind w:left="26" w:right="79"/>
              <w:jc w:val="both"/>
              <w:rPr>
                <w:rFonts w:ascii="宋体" w:hAnsi="宋体" w:cs="宋体" w:eastAsia="宋体" w:hint="default"/>
                <w:sz w:val="21"/>
                <w:szCs w:val="21"/>
              </w:rPr>
            </w:pPr>
            <w:r>
              <w:rPr>
                <w:rFonts w:ascii="宋体" w:hAnsi="宋体" w:cs="宋体" w:eastAsia="宋体" w:hint="default"/>
                <w:sz w:val="21"/>
                <w:szCs w:val="21"/>
              </w:rPr>
              <w:t>险特征组</w:t>
            </w:r>
            <w:r>
              <w:rPr>
                <w:rFonts w:ascii="宋体" w:hAnsi="宋体" w:cs="宋体" w:eastAsia="宋体" w:hint="default"/>
                <w:w w:val="100"/>
                <w:sz w:val="21"/>
                <w:szCs w:val="21"/>
              </w:rPr>
              <w:t> </w:t>
            </w:r>
            <w:r>
              <w:rPr>
                <w:rFonts w:ascii="宋体" w:hAnsi="宋体" w:cs="宋体" w:eastAsia="宋体" w:hint="default"/>
                <w:sz w:val="21"/>
                <w:szCs w:val="21"/>
              </w:rPr>
              <w:t>合计提坏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49,124,596.81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49,124,596.81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11,571,251.31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11,571,251.31</w:t>
            </w:r>
          </w:p>
        </w:tc>
      </w:tr>
      <w:tr>
        <w:trPr>
          <w:trHeight w:val="16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before="2"/>
              <w:ind w:left="26" w:right="79"/>
              <w:jc w:val="both"/>
              <w:rPr>
                <w:rFonts w:ascii="宋体" w:hAnsi="宋体" w:cs="宋体" w:eastAsia="宋体" w:hint="default"/>
                <w:sz w:val="21"/>
                <w:szCs w:val="21"/>
              </w:rPr>
            </w:pPr>
            <w:r>
              <w:rPr>
                <w:rFonts w:ascii="宋体" w:hAnsi="宋体" w:cs="宋体" w:eastAsia="宋体" w:hint="default"/>
                <w:sz w:val="21"/>
                <w:szCs w:val="21"/>
              </w:rPr>
              <w:t>不重大但</w:t>
            </w:r>
            <w:r>
              <w:rPr>
                <w:rFonts w:ascii="宋体" w:hAnsi="宋体" w:cs="宋体" w:eastAsia="宋体" w:hint="default"/>
                <w:w w:val="100"/>
                <w:sz w:val="21"/>
                <w:szCs w:val="21"/>
              </w:rPr>
              <w:t> </w:t>
            </w:r>
            <w:r>
              <w:rPr>
                <w:rFonts w:ascii="宋体" w:hAnsi="宋体" w:cs="宋体" w:eastAsia="宋体" w:hint="default"/>
                <w:sz w:val="21"/>
                <w:szCs w:val="21"/>
              </w:rPr>
              <w:t>单独计提</w:t>
            </w:r>
            <w:r>
              <w:rPr>
                <w:rFonts w:ascii="宋体" w:hAnsi="宋体" w:cs="宋体" w:eastAsia="宋体" w:hint="default"/>
                <w:w w:val="100"/>
                <w:sz w:val="21"/>
                <w:szCs w:val="21"/>
              </w:rPr>
              <w:t> </w:t>
            </w: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的其他应</w:t>
            </w:r>
            <w:r>
              <w:rPr>
                <w:rFonts w:ascii="宋体" w:hAnsi="宋体" w:cs="宋体" w:eastAsia="宋体" w:hint="default"/>
                <w:w w:val="100"/>
                <w:sz w:val="21"/>
                <w:szCs w:val="21"/>
              </w:rPr>
              <w:t> </w:t>
            </w:r>
            <w:r>
              <w:rPr>
                <w:rFonts w:ascii="宋体" w:hAnsi="宋体" w:cs="宋体" w:eastAsia="宋体" w:hint="default"/>
                <w:sz w:val="21"/>
                <w:szCs w:val="21"/>
              </w:rPr>
              <w:t>收款</w:t>
            </w:r>
          </w:p>
        </w:tc>
        <w:tc>
          <w:tcPr>
            <w:tcW w:w="142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49,124,596.81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281"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w w:val="100"/>
                <w:sz w:val="21"/>
              </w:rPr>
              <w:t>/</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49,124,596.81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11,571,251.31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281"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11,571,251.31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340" w:right="820"/>
        </w:sectPr>
      </w:pPr>
    </w:p>
    <w:p>
      <w:pPr>
        <w:pStyle w:val="BodyText"/>
        <w:spacing w:line="240" w:lineRule="auto" w:before="36"/>
        <w:ind w:left="458" w:right="0"/>
        <w:jc w:val="left"/>
      </w:pPr>
      <w:r>
        <w:rPr>
          <w:spacing w:val="-2"/>
        </w:rPr>
        <w:t>期末单项金额重大并单项计提坏账准备的其他应收款：</w:t>
      </w:r>
    </w:p>
    <w:p>
      <w:pPr>
        <w:pStyle w:val="BodyText"/>
        <w:spacing w:line="290" w:lineRule="auto" w:before="58"/>
        <w:ind w:left="45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4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615"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820"/>
          <w:cols w:num="2" w:equalWidth="0">
            <w:col w:w="5504" w:space="914"/>
            <w:col w:w="3332"/>
          </w:cols>
        </w:sectPr>
      </w:pPr>
    </w:p>
    <w:p>
      <w:pPr>
        <w:spacing w:line="240" w:lineRule="auto" w:before="7"/>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31,200,000.00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31,200,000.00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458" w:right="0"/>
        <w:jc w:val="left"/>
      </w:pPr>
      <w:r>
        <w:rPr/>
        <w:t>确定该组合依据的说明：</w:t>
      </w:r>
    </w:p>
    <w:p>
      <w:pPr>
        <w:spacing w:after="0" w:line="241" w:lineRule="exact"/>
        <w:jc w:val="left"/>
        <w:sectPr>
          <w:type w:val="continuous"/>
          <w:pgSz w:w="11910" w:h="16840"/>
          <w:pgMar w:top="1120" w:bottom="1380" w:left="1340" w:right="820"/>
        </w:sectPr>
      </w:pPr>
    </w:p>
    <w:p>
      <w:pPr>
        <w:spacing w:line="240" w:lineRule="auto" w:before="1"/>
        <w:rPr>
          <w:rFonts w:ascii="宋体" w:hAnsi="宋体" w:cs="宋体" w:eastAsia="宋体" w:hint="default"/>
          <w:sz w:val="25"/>
          <w:szCs w:val="25"/>
        </w:rPr>
      </w:pPr>
    </w:p>
    <w:p>
      <w:pPr>
        <w:pStyle w:val="BodyText"/>
        <w:spacing w:line="290" w:lineRule="auto" w:before="36"/>
        <w:ind w:left="218" w:right="2465"/>
        <w:jc w:val="left"/>
      </w:pPr>
      <w:r>
        <w:rPr/>
        <w:t>本公司以账龄为信用风险特征组合的确定依据。</w:t>
      </w:r>
      <w:r>
        <w:rPr>
          <w:w w:val="100"/>
        </w:rPr>
        <w:t> </w:t>
      </w:r>
      <w:r>
        <w:rPr>
          <w:spacing w:val="-2"/>
        </w:rPr>
        <w:t>组合中，采用余额百分比法计提坏账准备的其他应收款：</w:t>
      </w:r>
    </w:p>
    <w:p>
      <w:pPr>
        <w:pStyle w:val="BodyText"/>
        <w:spacing w:line="290" w:lineRule="auto" w:before="12"/>
        <w:ind w:left="218" w:right="3655"/>
        <w:jc w:val="left"/>
      </w:pPr>
      <w:r>
        <w:rPr/>
        <w:t>□适用</w:t>
      </w:r>
      <w:r>
        <w:rPr>
          <w:spacing w:val="-2"/>
        </w:rPr>
        <w:t> </w:t>
      </w:r>
      <w:r>
        <w:rPr/>
        <w:t>√不适用</w:t>
      </w:r>
      <w:r>
        <w:rPr>
          <w:w w:val="100"/>
        </w:rPr>
        <w:t> </w:t>
      </w:r>
      <w:r>
        <w:rPr>
          <w:spacing w:val="-2"/>
        </w:rPr>
        <w:t>组合中，采用其他方法计提坏账准备的其他应收款：</w:t>
      </w:r>
    </w:p>
    <w:p>
      <w:pPr>
        <w:pStyle w:val="BodyText"/>
        <w:tabs>
          <w:tab w:pos="1060" w:val="left" w:leader="none"/>
        </w:tabs>
        <w:spacing w:line="240" w:lineRule="auto" w:before="12"/>
        <w:ind w:left="218" w:right="5072"/>
        <w:jc w:val="left"/>
      </w:pPr>
      <w:r>
        <w:rPr>
          <w:spacing w:val="-1"/>
        </w:rPr>
        <w:t>√适用</w:t>
        <w:tab/>
      </w:r>
      <w:r>
        <w:rPr>
          <w:spacing w:val="-2"/>
        </w:rPr>
        <w:t>□不适用</w:t>
      </w:r>
      <w:r>
        <w:rPr>
          <w:spacing w:val="-99"/>
        </w:rPr>
        <w:t> </w:t>
      </w:r>
      <w:r>
        <w:rPr>
          <w:spacing w:val="-99"/>
        </w:rPr>
      </w:r>
      <w:r>
        <w:rPr>
          <w:spacing w:val="-2"/>
        </w:rPr>
        <w:t>采用个别认定法计提坏账准备的其他应收款</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3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63"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0"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8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3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15,506,893.28</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3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个人备用金</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2,125,759.76</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35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驻外社保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291,943.77</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35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17,924,596.81</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18" w:right="2343"/>
        <w:jc w:val="left"/>
      </w:pPr>
      <w:r>
        <w:rPr/>
        <w:t>本期计提坏账准备金额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9" w:lineRule="exact"/>
        <w:ind w:left="218" w:right="2465"/>
        <w:jc w:val="left"/>
      </w:pPr>
      <w:r>
        <w:rPr/>
        <w:t>□适用</w:t>
      </w:r>
      <w:r>
        <w:rPr>
          <w:spacing w:val="-1"/>
        </w:rPr>
        <w:t> </w:t>
      </w:r>
      <w:r>
        <w:rPr/>
        <w:t>√不适用</w:t>
      </w:r>
    </w:p>
    <w:p>
      <w:pPr>
        <w:pStyle w:val="Heading3"/>
        <w:spacing w:line="240" w:lineRule="auto" w:before="56"/>
        <w:ind w:right="2465"/>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2465"/>
        <w:jc w:val="left"/>
      </w:pPr>
      <w:r>
        <w:rPr/>
        <w:t>□适用</w:t>
      </w:r>
      <w:r>
        <w:rPr>
          <w:spacing w:val="-1"/>
        </w:rPr>
        <w:t> </w:t>
      </w:r>
      <w:r>
        <w:rPr/>
        <w:t>√不适用</w:t>
      </w:r>
    </w:p>
    <w:p>
      <w:pPr>
        <w:pStyle w:val="Heading3"/>
        <w:spacing w:line="240" w:lineRule="auto" w:before="58"/>
        <w:ind w:right="2465"/>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218" w:right="2465"/>
        <w:jc w:val="left"/>
      </w:pPr>
      <w:r>
        <w:rPr/>
        <w:t>√适用</w:t>
      </w:r>
      <w:r>
        <w:rPr>
          <w:spacing w:val="-1"/>
        </w:rPr>
        <w:t> </w:t>
      </w:r>
      <w:r>
        <w:rPr/>
        <w:t>□不适用</w:t>
      </w:r>
    </w:p>
    <w:p>
      <w:pPr>
        <w:pStyle w:val="BodyText"/>
        <w:tabs>
          <w:tab w:pos="1157"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15,506,893.28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8,475,139.24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2,125,759.76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2,604,463.14</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驻外社保</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291,943.77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305,279.61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31,200,000.00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186,369.32</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49,124,596.81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11,571,251.31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3"/>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824"/>
            <w:col w:w="287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27"/>
        <w:gridCol w:w="1274"/>
        <w:gridCol w:w="1560"/>
        <w:gridCol w:w="991"/>
        <w:gridCol w:w="1419"/>
        <w:gridCol w:w="924"/>
      </w:tblGrid>
      <w:tr>
        <w:trPr>
          <w:trHeight w:val="829"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8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27" w:right="70"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 w:right="3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上海朴银信息技术有限公司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63.51</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北京金隅股份有限公司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押金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8,228,571.80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16.75</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北京天宁华韵文化科技有限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押金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1,935,401.55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3.94</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福建省产权交易中心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1.02</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南京新城商务服务有限公司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0.81</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42,262,173.35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86.03</w:t>
            </w: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18" w:right="2465"/>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60" w:right="1120"/>
        </w:sectPr>
      </w:pPr>
    </w:p>
    <w:p>
      <w:pPr>
        <w:pStyle w:val="Heading3"/>
        <w:spacing w:line="240" w:lineRule="auto"/>
        <w:ind w:left="138" w:right="-16"/>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980" w:val="left" w:leader="none"/>
        </w:tabs>
        <w:spacing w:line="240" w:lineRule="auto" w:before="58"/>
        <w:ind w:right="-16"/>
        <w:jc w:val="left"/>
      </w:pPr>
      <w:r>
        <w:rPr>
          <w:spacing w:val="-1"/>
        </w:rPr>
        <w:t>□适用</w:t>
        <w:tab/>
      </w:r>
      <w:r>
        <w:rPr>
          <w:spacing w:val="-2"/>
        </w:rPr>
        <w:t>√不适用</w:t>
      </w:r>
    </w:p>
    <w:p>
      <w:pPr>
        <w:pStyle w:val="Heading3"/>
        <w:spacing w:line="240" w:lineRule="auto" w:before="56"/>
        <w:ind w:left="138" w:right="-16"/>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980" w:val="left" w:leader="none"/>
        </w:tabs>
        <w:spacing w:line="272" w:lineRule="exact" w:before="86"/>
        <w:ind w:right="3691"/>
        <w:jc w:val="left"/>
      </w:pPr>
      <w:r>
        <w:rPr>
          <w:spacing w:val="-1"/>
        </w:rPr>
        <w:t>□适用</w:t>
        <w:tab/>
      </w:r>
      <w:r>
        <w:rPr>
          <w:spacing w:val="-2"/>
        </w:rPr>
        <w:t>√不适用</w:t>
      </w:r>
      <w:r>
        <w:rPr>
          <w:spacing w:val="-99"/>
        </w:rPr>
        <w:t> </w:t>
      </w:r>
      <w:r>
        <w:rPr>
          <w:spacing w:val="-99"/>
        </w:rPr>
      </w:r>
      <w:r>
        <w:rPr/>
        <w:t>其他说明：</w:t>
      </w:r>
    </w:p>
    <w:p>
      <w:pPr>
        <w:pStyle w:val="BodyText"/>
        <w:tabs>
          <w:tab w:pos="980" w:val="left" w:leader="none"/>
        </w:tabs>
        <w:spacing w:line="249" w:lineRule="exact"/>
        <w:ind w:right="-16"/>
        <w:jc w:val="left"/>
      </w:pPr>
      <w:r>
        <w:rPr>
          <w:spacing w:val="-1"/>
        </w:rPr>
        <w:t>□适用</w:t>
        <w:tab/>
      </w:r>
      <w:r>
        <w:rPr>
          <w:spacing w:val="-2"/>
        </w:rPr>
        <w:t>√不适用</w:t>
      </w:r>
    </w:p>
    <w:p>
      <w:pPr>
        <w:pStyle w:val="Heading3"/>
        <w:spacing w:line="240" w:lineRule="auto" w:before="56"/>
        <w:ind w:left="138" w:right="-16"/>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95" w:val="left" w:leader="none"/>
        </w:tabs>
        <w:spacing w:line="240" w:lineRule="auto" w:before="160"/>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5515" w:space="904"/>
            <w:col w:w="271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532"/>
        <w:gridCol w:w="595"/>
        <w:gridCol w:w="1532"/>
        <w:gridCol w:w="1428"/>
        <w:gridCol w:w="608"/>
        <w:gridCol w:w="1426"/>
      </w:tblGrid>
      <w:tr>
        <w:trPr>
          <w:trHeight w:val="281" w:hRule="exact"/>
        </w:trPr>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1776"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131,498,279.16</w:t>
            </w:r>
          </w:p>
        </w:tc>
        <w:tc>
          <w:tcPr>
            <w:tcW w:w="59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131,498,279.16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12,764,582.16</w:t>
            </w:r>
          </w:p>
        </w:tc>
        <w:tc>
          <w:tcPr>
            <w:tcW w:w="60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12,764,582.16</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对联营、合营企业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211,776,349.13</w:t>
            </w:r>
          </w:p>
        </w:tc>
        <w:tc>
          <w:tcPr>
            <w:tcW w:w="59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211,776,349.13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64,554,583.70</w:t>
            </w:r>
          </w:p>
        </w:tc>
        <w:tc>
          <w:tcPr>
            <w:tcW w:w="60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64,554,583.70</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343,274,628.29</w:t>
            </w:r>
          </w:p>
        </w:tc>
        <w:tc>
          <w:tcPr>
            <w:tcW w:w="59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343,274,628.29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77,319,165.86</w:t>
            </w:r>
          </w:p>
        </w:tc>
        <w:tc>
          <w:tcPr>
            <w:tcW w:w="60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77,319,165.86</w:t>
            </w:r>
          </w:p>
        </w:tc>
      </w:tr>
    </w:tbl>
    <w:p>
      <w:pPr>
        <w:spacing w:after="0" w:line="241"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98"/>
          <w:footerReference w:type="default" r:id="rId99"/>
          <w:pgSz w:w="16840" w:h="11910" w:orient="landscape"/>
          <w:pgMar w:header="882" w:footer="1195" w:top="1120" w:bottom="1380" w:left="1220" w:right="1300"/>
          <w:pgNumType w:start="185"/>
        </w:sectPr>
      </w:pPr>
    </w:p>
    <w:p>
      <w:pPr>
        <w:pStyle w:val="Heading3"/>
        <w:spacing w:line="240" w:lineRule="auto"/>
        <w:ind w:left="220"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6"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1913" w:space="9547"/>
            <w:col w:w="2860"/>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76"/>
        <w:gridCol w:w="1582"/>
        <w:gridCol w:w="1685"/>
        <w:gridCol w:w="1582"/>
        <w:gridCol w:w="1685"/>
        <w:gridCol w:w="1891"/>
        <w:gridCol w:w="1889"/>
      </w:tblGrid>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新华网股份有限公司欧洲公司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3,431,248.83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3,431,248.83</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新华网亿连（北京）科技有限责任公司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9,333,333.33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9,333,333.33</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新华网北美公司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8,177,520.00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8,177,520.00</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新华网亚太有限公司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2,556,177.00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2,556,177.00</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北京星程同创信息咨询有限公司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35,000,000.00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新华网广东有限公司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新华网江苏有限公司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新华网四川有限公司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26,000,000.00</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新华网创业投资有限公司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30,000,000.00</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12,764,582.16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153,733,697.00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35,000,000.00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131,498,279.16</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6840" w:h="11910" w:orient="landscape"/>
          <w:pgMar w:top="1120" w:bottom="1380" w:left="1220" w:right="1300"/>
        </w:sectPr>
      </w:pPr>
    </w:p>
    <w:p>
      <w:pPr>
        <w:pStyle w:val="Heading3"/>
        <w:spacing w:line="240" w:lineRule="auto"/>
        <w:ind w:left="220"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tabs>
          <w:tab w:pos="1062" w:val="left" w:leader="none"/>
        </w:tabs>
        <w:spacing w:line="240" w:lineRule="auto" w:before="58"/>
        <w:ind w:left="220"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76"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2755" w:space="8704"/>
            <w:col w:w="2861"/>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76"/>
        <w:gridCol w:w="1582"/>
        <w:gridCol w:w="1685"/>
        <w:gridCol w:w="1476"/>
        <w:gridCol w:w="1812"/>
        <w:gridCol w:w="646"/>
        <w:gridCol w:w="581"/>
        <w:gridCol w:w="739"/>
        <w:gridCol w:w="581"/>
        <w:gridCol w:w="1582"/>
        <w:gridCol w:w="1688"/>
        <w:gridCol w:w="643"/>
      </w:tblGrid>
      <w:tr>
        <w:trPr>
          <w:trHeight w:val="281" w:hRule="exact"/>
        </w:trPr>
        <w:tc>
          <w:tcPr>
            <w:tcW w:w="10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322" w:right="319"/>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575" w:right="571"/>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910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6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628" w:right="624"/>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08" w:right="10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5" w:hRule="exact"/>
        </w:trPr>
        <w:tc>
          <w:tcPr>
            <w:tcW w:w="1076"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479" w:right="161" w:hanging="315"/>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8" w:right="10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77" w:right="180"/>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180" w:right="178"/>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88"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82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p>
          <w:p>
            <w:pPr>
              <w:pStyle w:val="TableParagraph"/>
              <w:spacing w:line="272" w:lineRule="exact" w:before="27"/>
              <w:ind w:left="103" w:right="118"/>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130,000,000.00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sz w:val="21"/>
              </w:rPr>
              <w:t>-10,170,713.94</w:t>
            </w:r>
          </w:p>
        </w:tc>
        <w:tc>
          <w:tcPr>
            <w:tcW w:w="6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37,118,039.94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156,947,326.00</w:t>
            </w:r>
          </w:p>
        </w:tc>
        <w:tc>
          <w:tcPr>
            <w:tcW w:w="6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076"/>
        <w:gridCol w:w="1582"/>
        <w:gridCol w:w="1685"/>
        <w:gridCol w:w="1476"/>
        <w:gridCol w:w="1812"/>
        <w:gridCol w:w="646"/>
        <w:gridCol w:w="581"/>
        <w:gridCol w:w="739"/>
        <w:gridCol w:w="581"/>
        <w:gridCol w:w="1582"/>
        <w:gridCol w:w="1688"/>
        <w:gridCol w:w="643"/>
      </w:tblGrid>
      <w:tr>
        <w:trPr>
          <w:trHeight w:val="28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-10,170,713.94</w:t>
            </w:r>
          </w:p>
        </w:tc>
        <w:tc>
          <w:tcPr>
            <w:tcW w:w="6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37,118,039.94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156,947,326.00</w:t>
            </w: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99"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中证金牛</w:t>
            </w:r>
          </w:p>
          <w:p>
            <w:pPr>
              <w:pStyle w:val="TableParagraph"/>
              <w:spacing w:line="237" w:lineRule="auto" w:before="2"/>
              <w:ind w:left="103" w:right="118"/>
              <w:jc w:val="both"/>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w w:val="100"/>
                <w:sz w:val="21"/>
                <w:szCs w:val="21"/>
              </w:rPr>
              <w:t> </w:t>
            </w:r>
            <w:r>
              <w:rPr>
                <w:rFonts w:ascii="宋体" w:hAnsi="宋体" w:cs="宋体" w:eastAsia="宋体" w:hint="default"/>
                <w:sz w:val="21"/>
                <w:szCs w:val="21"/>
              </w:rPr>
              <w:t>投资咨询</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9,457,792.48</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6,902,674.48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-2,555,118.00</w:t>
            </w:r>
          </w:p>
        </w:tc>
        <w:tc>
          <w:tcPr>
            <w:tcW w:w="6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新华康美</w:t>
            </w:r>
          </w:p>
          <w:p>
            <w:pPr>
              <w:pStyle w:val="TableParagraph"/>
              <w:spacing w:line="237" w:lineRule="auto" w:before="2"/>
              <w:ind w:left="103" w:right="118"/>
              <w:jc w:val="both"/>
              <w:rPr>
                <w:rFonts w:ascii="宋体" w:hAnsi="宋体" w:cs="宋体" w:eastAsia="宋体" w:hint="default"/>
                <w:sz w:val="21"/>
                <w:szCs w:val="21"/>
              </w:rPr>
            </w:pPr>
            <w:r>
              <w:rPr>
                <w:rFonts w:ascii="宋体" w:hAnsi="宋体" w:cs="宋体" w:eastAsia="宋体" w:hint="default"/>
                <w:sz w:val="21"/>
                <w:szCs w:val="21"/>
              </w:rPr>
              <w:t>健康智库</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49,391,677.82</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-491,474.95</w:t>
            </w:r>
          </w:p>
        </w:tc>
        <w:tc>
          <w:tcPr>
            <w:tcW w:w="6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48,900,202.87</w:t>
            </w: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北京新彩</w:t>
            </w:r>
          </w:p>
          <w:p>
            <w:pPr>
              <w:pStyle w:val="TableParagraph"/>
              <w:spacing w:line="237" w:lineRule="auto" w:before="2"/>
              <w:ind w:left="103" w:right="118"/>
              <w:jc w:val="both"/>
              <w:rPr>
                <w:rFonts w:ascii="宋体" w:hAnsi="宋体" w:cs="宋体" w:eastAsia="宋体" w:hint="default"/>
                <w:sz w:val="21"/>
                <w:szCs w:val="21"/>
              </w:rPr>
            </w:pPr>
            <w:r>
              <w:rPr>
                <w:rFonts w:ascii="宋体" w:hAnsi="宋体" w:cs="宋体" w:eastAsia="宋体" w:hint="default"/>
                <w:sz w:val="21"/>
                <w:szCs w:val="21"/>
              </w:rPr>
              <w:t>华章网络</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5,705,113.40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223,706.86</w:t>
            </w:r>
          </w:p>
        </w:tc>
        <w:tc>
          <w:tcPr>
            <w:tcW w:w="6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5,928,820.26</w:t>
            </w: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64,554,583.70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6,902,674.48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-2,822,886.09</w:t>
            </w:r>
          </w:p>
        </w:tc>
        <w:tc>
          <w:tcPr>
            <w:tcW w:w="6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54,829,023.13</w:t>
            </w:r>
          </w:p>
        </w:tc>
        <w:tc>
          <w:tcPr>
            <w:tcW w:w="6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64,554,583.70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6,902,674.48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-12,993,600.03</w:t>
            </w:r>
          </w:p>
        </w:tc>
        <w:tc>
          <w:tcPr>
            <w:tcW w:w="6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37,118,039.94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211,776,349.13</w:t>
            </w:r>
          </w:p>
        </w:tc>
        <w:tc>
          <w:tcPr>
            <w:tcW w:w="6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20" w:right="60"/>
        <w:jc w:val="left"/>
      </w:pPr>
      <w:r>
        <w:rPr/>
        <w:t>其他说明：无</w:t>
      </w:r>
    </w:p>
    <w:p>
      <w:pPr>
        <w:spacing w:after="0" w:line="240" w:lineRule="auto"/>
        <w:jc w:val="left"/>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0"/>
          <w:footerReference w:type="default" r:id="rId101"/>
          <w:pgSz w:w="11910" w:h="16840"/>
          <w:pgMar w:header="882" w:footer="1195" w:top="1120" w:bottom="1380" w:left="1580" w:right="1040"/>
          <w:pgNumType w:start="187"/>
        </w:sectPr>
      </w:pPr>
    </w:p>
    <w:p>
      <w:pPr>
        <w:pStyle w:val="Heading3"/>
        <w:spacing w:line="240" w:lineRule="auto" w:before="175"/>
        <w:ind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666"/>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4"/>
        <w:gridCol w:w="1897"/>
        <w:gridCol w:w="1688"/>
        <w:gridCol w:w="1897"/>
        <w:gridCol w:w="1685"/>
      </w:tblGrid>
      <w:tr>
        <w:trPr>
          <w:trHeight w:val="283"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88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1,410,328,026.36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759,243,613.24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1,337,914,626.84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658,428,539.08</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1,410,328,026.36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759,243,613.24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1,337,914,626.84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658,428,539.08</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90" w:lineRule="auto" w:before="26"/>
        <w:ind w:left="218" w:right="511"/>
        <w:jc w:val="left"/>
      </w:pPr>
      <w:r>
        <w:rPr>
          <w:spacing w:val="-1"/>
        </w:rPr>
        <w:t>其他说明：</w:t>
      </w:r>
      <w:r>
        <w:rPr>
          <w:spacing w:val="-97"/>
        </w:rPr>
        <w:t> </w:t>
      </w:r>
      <w:r>
        <w:rPr>
          <w:spacing w:val="-97"/>
        </w:rPr>
      </w:r>
      <w:r>
        <w:rPr/>
        <w:t>无</w:t>
      </w:r>
    </w:p>
    <w:p>
      <w:pPr>
        <w:pStyle w:val="Heading3"/>
        <w:spacing w:line="240" w:lineRule="auto" w:before="15"/>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623"/>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-12,993,600.03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-7,006,184.19</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42,177,325.52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34,333,333.33</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3,502,733.91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2,814,333.38</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20,419,697.92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22,849,570.02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75,955,727.34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30,141,482.52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1056"/>
        <w:jc w:val="left"/>
        <w:rPr>
          <w:b w:val="0"/>
          <w:bCs w:val="0"/>
        </w:rPr>
      </w:pPr>
      <w:r>
        <w:rPr>
          <w:rFonts w:ascii="宋体" w:hAnsi="宋体" w:cs="宋体" w:eastAsia="宋体" w:hint="default"/>
        </w:rPr>
        <w:t>6</w:t>
      </w:r>
      <w:r>
        <w:rPr/>
        <w:t>、</w:t>
      </w:r>
      <w:r>
        <w:rPr>
          <w:spacing w:val="2"/>
        </w:rPr>
        <w:t> </w:t>
      </w:r>
      <w:r>
        <w:rPr/>
        <w:t>其他</w:t>
      </w:r>
      <w:r>
        <w:rPr>
          <w:b w:val="0"/>
          <w:bCs w:val="0"/>
        </w:rPr>
      </w:r>
    </w:p>
    <w:p>
      <w:pPr>
        <w:tabs>
          <w:tab w:pos="1057" w:val="left" w:leader="none"/>
        </w:tabs>
        <w:spacing w:line="290" w:lineRule="auto" w:before="56"/>
        <w:ind w:left="218" w:right="105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十八、</w:t>
        <w:tab/>
        <w:t>补充资料</w:t>
      </w:r>
      <w:r>
        <w:rPr>
          <w:rFonts w:ascii="宋体" w:hAnsi="宋体" w:cs="宋体" w:eastAsia="宋体" w:hint="default"/>
          <w:sz w:val="21"/>
          <w:szCs w:val="21"/>
        </w:rPr>
      </w:r>
    </w:p>
    <w:p>
      <w:pPr>
        <w:pStyle w:val="Heading3"/>
        <w:spacing w:line="240" w:lineRule="auto" w:before="12"/>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375"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457"/>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865"/>
        <w:gridCol w:w="1688"/>
        <w:gridCol w:w="497"/>
      </w:tblGrid>
      <w:tr>
        <w:trPr>
          <w:trHeight w:val="554"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说</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明</w:t>
            </w:r>
          </w:p>
        </w:tc>
      </w:tr>
      <w:tr>
        <w:trPr>
          <w:trHeight w:val="351"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7" w:right="0"/>
              <w:jc w:val="center"/>
              <w:rPr>
                <w:rFonts w:ascii="宋体" w:hAnsi="宋体" w:cs="宋体" w:eastAsia="宋体" w:hint="default"/>
                <w:sz w:val="21"/>
                <w:szCs w:val="21"/>
              </w:rPr>
            </w:pPr>
            <w:r>
              <w:rPr>
                <w:rFonts w:ascii="宋体"/>
                <w:sz w:val="21"/>
              </w:rPr>
              <w:t>42,177,325.52</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计入当期损益的政府补助（与企业业务密切相关，按照国家统一标准定额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或定量享受的政府补助除外）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10,858,883.29</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企业取得子公司、联营企业及合营企业的投资成本小于取得投资时应享有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被投资单位可辨认净资产公允价值产生的收益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37,118,039.94</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865"/>
        <w:gridCol w:w="1688"/>
        <w:gridCol w:w="497"/>
      </w:tblGrid>
      <w:tr>
        <w:trPr>
          <w:trHeight w:val="351"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除同公司正常经营业务相关的有效套期保值业务外，持有交易性金融资</w:t>
            </w:r>
          </w:p>
          <w:p>
            <w:pPr>
              <w:pStyle w:val="TableParagraph"/>
              <w:spacing w:line="272" w:lineRule="exact" w:before="27"/>
              <w:ind w:left="103" w:right="-6"/>
              <w:jc w:val="left"/>
              <w:rPr>
                <w:rFonts w:ascii="宋体" w:hAnsi="宋体" w:cs="宋体" w:eastAsia="宋体" w:hint="default"/>
                <w:sz w:val="21"/>
                <w:szCs w:val="21"/>
              </w:rPr>
            </w:pPr>
            <w:r>
              <w:rPr>
                <w:rFonts w:ascii="宋体" w:hAnsi="宋体" w:cs="宋体" w:eastAsia="宋体" w:hint="default"/>
                <w:spacing w:val="-7"/>
                <w:w w:val="100"/>
                <w:sz w:val="21"/>
                <w:szCs w:val="21"/>
              </w:rPr>
              <w:t>产、交易性金融负债产生的公允价值变动损益，以及处置交易性金融资产、</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交易性金融负债和可供出售金融资产取得的投资收益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26,187,941.49</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采用公允价值模式进行后续计量的投资性房地产公允价值变动产生的损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根据税收、会计等法律、法规的要求对当期损益进行一次性调整对当期损</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益的影响</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-143,199.42</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2,352,198.77</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-98,317.92</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-761,273.16</w:t>
            </w: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8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117,691,598.51</w:t>
            </w: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3"/>
          <w:szCs w:val="23"/>
        </w:rPr>
      </w:pPr>
    </w:p>
    <w:p>
      <w:pPr>
        <w:pStyle w:val="BodyText"/>
        <w:spacing w:line="240" w:lineRule="auto" w:before="36"/>
        <w:ind w:left="218" w:right="123"/>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348" w:lineRule="auto" w:before="126"/>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198" w:lineRule="exact"/>
        <w:ind w:left="218" w:right="2465"/>
        <w:jc w:val="left"/>
      </w:pPr>
      <w:r>
        <w:rPr/>
        <w:t>□适用</w:t>
      </w:r>
      <w:r>
        <w:rPr>
          <w:spacing w:val="-1"/>
        </w:rPr>
        <w:t> </w:t>
      </w:r>
      <w:r>
        <w:rPr/>
        <w:t>√不适用</w:t>
      </w:r>
    </w:p>
    <w:p>
      <w:pPr>
        <w:pStyle w:val="Heading3"/>
        <w:spacing w:line="240" w:lineRule="auto" w:before="58"/>
        <w:ind w:right="246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61"/>
        <w:gridCol w:w="1860"/>
        <w:gridCol w:w="1561"/>
        <w:gridCol w:w="1567"/>
      </w:tblGrid>
      <w:tr>
        <w:trPr>
          <w:trHeight w:val="283" w:hRule="exact"/>
        </w:trPr>
        <w:tc>
          <w:tcPr>
            <w:tcW w:w="4061" w:type="dxa"/>
            <w:vMerge w:val="restart"/>
            <w:tcBorders>
              <w:top w:val="single" w:sz="4" w:space="0" w:color="000000"/>
              <w:left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860" w:type="dxa"/>
            <w:vMerge w:val="restart"/>
            <w:tcBorders>
              <w:top w:val="single" w:sz="4" w:space="0" w:color="000000"/>
              <w:left w:val="single" w:sz="4" w:space="0" w:color="000000"/>
              <w:right w:val="single" w:sz="4" w:space="0" w:color="000000"/>
            </w:tcBorders>
          </w:tcPr>
          <w:p>
            <w:pPr>
              <w:pStyle w:val="TableParagraph"/>
              <w:spacing w:line="272" w:lineRule="exact" w:before="44"/>
              <w:ind w:left="345" w:right="187"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3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4061" w:type="dxa"/>
            <w:vMerge/>
            <w:tcBorders>
              <w:left w:val="single" w:sz="4" w:space="0" w:color="000000"/>
              <w:bottom w:val="single" w:sz="4" w:space="0" w:color="000000"/>
              <w:right w:val="single" w:sz="4" w:space="0" w:color="000000"/>
            </w:tcBorders>
          </w:tcPr>
          <w:p>
            <w:pPr/>
          </w:p>
        </w:tc>
        <w:tc>
          <w:tcPr>
            <w:tcW w:w="1860"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0" w:right="0"/>
              <w:jc w:val="left"/>
              <w:rPr>
                <w:rFonts w:ascii="宋体" w:hAnsi="宋体" w:cs="宋体" w:eastAsia="宋体" w:hint="default"/>
                <w:sz w:val="21"/>
                <w:szCs w:val="21"/>
              </w:rPr>
            </w:pPr>
            <w:r>
              <w:rPr>
                <w:rFonts w:ascii="宋体"/>
                <w:sz w:val="21"/>
              </w:rPr>
              <w:t>11.10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21"/>
                <w:szCs w:val="21"/>
              </w:rPr>
            </w:pPr>
            <w:r>
              <w:rPr>
                <w:rFonts w:ascii="宋体"/>
                <w:sz w:val="21"/>
              </w:rPr>
              <w:t>0.55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0.55</w:t>
            </w:r>
          </w:p>
        </w:tc>
      </w:tr>
      <w:tr>
        <w:trPr>
          <w:trHeight w:val="557"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3" w:right="0"/>
              <w:jc w:val="left"/>
              <w:rPr>
                <w:rFonts w:ascii="宋体" w:hAnsi="宋体" w:cs="宋体" w:eastAsia="宋体" w:hint="default"/>
                <w:sz w:val="21"/>
                <w:szCs w:val="21"/>
              </w:rPr>
            </w:pPr>
            <w:r>
              <w:rPr>
                <w:rFonts w:ascii="宋体"/>
                <w:sz w:val="21"/>
              </w:rPr>
              <w:t>6.50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sz w:val="21"/>
              </w:rPr>
              <w:t>0.32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0.32</w:t>
            </w:r>
          </w:p>
        </w:tc>
      </w:tr>
    </w:tbl>
    <w:p>
      <w:pPr>
        <w:spacing w:line="240" w:lineRule="auto" w:before="13"/>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spacing w:line="290" w:lineRule="auto" w:before="58"/>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left="218" w:right="2465"/>
        <w:jc w:val="left"/>
      </w:pPr>
      <w:r>
        <w:rPr>
          <w:spacing w:val="-1"/>
        </w:rPr>
        <w:t>□适用</w:t>
        <w:tab/>
      </w:r>
      <w:r>
        <w:rPr>
          <w:spacing w:val="-2"/>
        </w:rPr>
        <w:t>√不适用</w:t>
      </w:r>
    </w:p>
    <w:p>
      <w:pPr>
        <w:spacing w:after="0" w:line="240" w:lineRule="auto"/>
        <w:jc w:val="left"/>
        <w:sectPr>
          <w:pgSz w:w="11910" w:h="16840"/>
          <w:pgMar w:header="882"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载有会计师事务所盖章、注册会计师签名并盖章的审计报告正本。</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报告期内在证监会指定报纸上公开披露的所有公司文件的正本及公告原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稿。</w:t>
            </w:r>
          </w:p>
        </w:tc>
      </w:tr>
    </w:tbl>
    <w:p>
      <w:pPr>
        <w:spacing w:line="240" w:lineRule="auto" w:before="5"/>
        <w:rPr>
          <w:rFonts w:ascii="宋体" w:hAnsi="宋体" w:cs="宋体" w:eastAsia="宋体" w:hint="default"/>
          <w:b/>
          <w:bCs/>
          <w:sz w:val="21"/>
          <w:szCs w:val="21"/>
        </w:rPr>
      </w:pPr>
    </w:p>
    <w:p>
      <w:pPr>
        <w:pStyle w:val="BodyText"/>
        <w:spacing w:line="314" w:lineRule="auto" w:before="36"/>
        <w:ind w:left="5239" w:right="148" w:firstLine="2256"/>
        <w:jc w:val="left"/>
      </w:pPr>
      <w:r>
        <w:rPr>
          <w:spacing w:val="-1"/>
        </w:rPr>
        <w:t>董事长：田舒斌</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right="0"/>
        <w:jc w:val="left"/>
        <w:rPr>
          <w:b w:val="0"/>
          <w:bCs w:val="0"/>
        </w:rPr>
      </w:pPr>
      <w:r>
        <w:rPr/>
        <w:t>修订信息</w:t>
      </w:r>
      <w:r>
        <w:rPr>
          <w:b w:val="0"/>
          <w:bCs w:val="0"/>
        </w:rPr>
      </w:r>
    </w:p>
    <w:p>
      <w:pPr>
        <w:pStyle w:val="BodyText"/>
        <w:spacing w:line="240" w:lineRule="auto" w:before="4"/>
        <w:ind w:right="0"/>
        <w:jc w:val="left"/>
      </w:pPr>
      <w:r>
        <w:rPr/>
        <w:t>□适用</w:t>
      </w:r>
      <w:r>
        <w:rPr>
          <w:spacing w:val="-1"/>
        </w:rPr>
        <w:t> </w:t>
      </w:r>
      <w:r>
        <w:rPr/>
        <w:t>√不适用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876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28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75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875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75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75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6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75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75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6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75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75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875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5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874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120</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6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122</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874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143</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74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180</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874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185</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76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74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187</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75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762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876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7556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75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875416"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875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87534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875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7517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75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7505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75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7486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74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747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74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7472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74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7467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74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746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74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7426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74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741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74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7608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76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7604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76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759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75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7584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75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757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75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7563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75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spacing w:before="3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xpl@xinhuanet.com" TargetMode="External"/><Relationship Id="rId8" Type="http://schemas.openxmlformats.org/officeDocument/2006/relationships/hyperlink" Target="http://www.xinhuanet.com/" TargetMode="External"/><Relationship Id="rId9" Type="http://schemas.openxmlformats.org/officeDocument/2006/relationships/hyperlink" Target="http://www.news.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image" Target="media/image1.jpeg"/><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www.xiongan.gov.cn/" TargetMode="External"/><Relationship Id="rId18" Type="http://schemas.openxmlformats.org/officeDocument/2006/relationships/footer" Target="footer4.xml"/><Relationship Id="rId19" Type="http://schemas.openxmlformats.org/officeDocument/2006/relationships/header" Target="header2.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3.xml"/><Relationship Id="rId23" Type="http://schemas.openxmlformats.org/officeDocument/2006/relationships/footer" Target="footer7.xml"/><Relationship Id="rId24" Type="http://schemas.openxmlformats.org/officeDocument/2006/relationships/header" Target="header4.xml"/><Relationship Id="rId25" Type="http://schemas.openxmlformats.org/officeDocument/2006/relationships/footer" Target="footer8.xml"/><Relationship Id="rId26" Type="http://schemas.openxmlformats.org/officeDocument/2006/relationships/header" Target="header5.xml"/><Relationship Id="rId27" Type="http://schemas.openxmlformats.org/officeDocument/2006/relationships/footer" Target="footer9.xml"/><Relationship Id="rId28" Type="http://schemas.openxmlformats.org/officeDocument/2006/relationships/header" Target="header6.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eader" Target="header7.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header" Target="header8.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header" Target="header9.xml"/><Relationship Id="rId40" Type="http://schemas.openxmlformats.org/officeDocument/2006/relationships/footer" Target="footer18.xml"/><Relationship Id="rId41" Type="http://schemas.openxmlformats.org/officeDocument/2006/relationships/header" Target="header10.xml"/><Relationship Id="rId42" Type="http://schemas.openxmlformats.org/officeDocument/2006/relationships/footer" Target="footer19.xml"/><Relationship Id="rId43" Type="http://schemas.openxmlformats.org/officeDocument/2006/relationships/header" Target="header1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image" Target="media/image5.png"/><Relationship Id="rId49" Type="http://schemas.openxmlformats.org/officeDocument/2006/relationships/image" Target="media/image6.png"/><Relationship Id="rId50" Type="http://schemas.openxmlformats.org/officeDocument/2006/relationships/header" Target="header12.xml"/><Relationship Id="rId51" Type="http://schemas.openxmlformats.org/officeDocument/2006/relationships/footer" Target="footer24.xml"/><Relationship Id="rId52" Type="http://schemas.openxmlformats.org/officeDocument/2006/relationships/header" Target="header13.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footer" Target="footer28.xml"/><Relationship Id="rId57" Type="http://schemas.openxmlformats.org/officeDocument/2006/relationships/footer" Target="footer29.xml"/><Relationship Id="rId58" Type="http://schemas.openxmlformats.org/officeDocument/2006/relationships/header" Target="header14.xml"/><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header" Target="header15.xml"/><Relationship Id="rId63" Type="http://schemas.openxmlformats.org/officeDocument/2006/relationships/footer" Target="footer33.xml"/><Relationship Id="rId64" Type="http://schemas.openxmlformats.org/officeDocument/2006/relationships/footer" Target="footer34.xml"/><Relationship Id="rId65" Type="http://schemas.openxmlformats.org/officeDocument/2006/relationships/footer" Target="footer35.xml"/><Relationship Id="rId66" Type="http://schemas.openxmlformats.org/officeDocument/2006/relationships/footer" Target="footer36.xml"/><Relationship Id="rId67" Type="http://schemas.openxmlformats.org/officeDocument/2006/relationships/footer" Target="footer37.xml"/><Relationship Id="rId68" Type="http://schemas.openxmlformats.org/officeDocument/2006/relationships/footer" Target="footer38.xml"/><Relationship Id="rId69" Type="http://schemas.openxmlformats.org/officeDocument/2006/relationships/header" Target="header16.xml"/><Relationship Id="rId70" Type="http://schemas.openxmlformats.org/officeDocument/2006/relationships/footer" Target="footer39.xml"/><Relationship Id="rId71" Type="http://schemas.openxmlformats.org/officeDocument/2006/relationships/header" Target="header17.xml"/><Relationship Id="rId72" Type="http://schemas.openxmlformats.org/officeDocument/2006/relationships/footer" Target="footer40.xml"/><Relationship Id="rId73" Type="http://schemas.openxmlformats.org/officeDocument/2006/relationships/header" Target="header18.xml"/><Relationship Id="rId74" Type="http://schemas.openxmlformats.org/officeDocument/2006/relationships/footer" Target="footer41.xml"/><Relationship Id="rId75" Type="http://schemas.openxmlformats.org/officeDocument/2006/relationships/header" Target="header19.xml"/><Relationship Id="rId76" Type="http://schemas.openxmlformats.org/officeDocument/2006/relationships/footer" Target="footer42.xml"/><Relationship Id="rId77" Type="http://schemas.openxmlformats.org/officeDocument/2006/relationships/header" Target="header20.xml"/><Relationship Id="rId78" Type="http://schemas.openxmlformats.org/officeDocument/2006/relationships/footer" Target="footer43.xml"/><Relationship Id="rId79" Type="http://schemas.openxmlformats.org/officeDocument/2006/relationships/header" Target="header21.xml"/><Relationship Id="rId80" Type="http://schemas.openxmlformats.org/officeDocument/2006/relationships/footer" Target="footer44.xml"/><Relationship Id="rId81" Type="http://schemas.openxmlformats.org/officeDocument/2006/relationships/footer" Target="footer45.xml"/><Relationship Id="rId82" Type="http://schemas.openxmlformats.org/officeDocument/2006/relationships/footer" Target="footer46.xml"/><Relationship Id="rId83" Type="http://schemas.openxmlformats.org/officeDocument/2006/relationships/header" Target="header22.xml"/><Relationship Id="rId84" Type="http://schemas.openxmlformats.org/officeDocument/2006/relationships/footer" Target="footer47.xml"/><Relationship Id="rId85" Type="http://schemas.openxmlformats.org/officeDocument/2006/relationships/footer" Target="footer48.xml"/><Relationship Id="rId86" Type="http://schemas.openxmlformats.org/officeDocument/2006/relationships/header" Target="header23.xml"/><Relationship Id="rId87" Type="http://schemas.openxmlformats.org/officeDocument/2006/relationships/footer" Target="footer49.xml"/><Relationship Id="rId88" Type="http://schemas.openxmlformats.org/officeDocument/2006/relationships/footer" Target="footer50.xml"/><Relationship Id="rId89" Type="http://schemas.openxmlformats.org/officeDocument/2006/relationships/footer" Target="footer51.xml"/><Relationship Id="rId90" Type="http://schemas.openxmlformats.org/officeDocument/2006/relationships/footer" Target="footer52.xml"/><Relationship Id="rId91" Type="http://schemas.openxmlformats.org/officeDocument/2006/relationships/footer" Target="footer53.xml"/><Relationship Id="rId92" Type="http://schemas.openxmlformats.org/officeDocument/2006/relationships/footer" Target="footer54.xml"/><Relationship Id="rId93" Type="http://schemas.openxmlformats.org/officeDocument/2006/relationships/footer" Target="footer55.xml"/><Relationship Id="rId94" Type="http://schemas.openxmlformats.org/officeDocument/2006/relationships/footer" Target="footer56.xml"/><Relationship Id="rId95" Type="http://schemas.openxmlformats.org/officeDocument/2006/relationships/header" Target="header24.xml"/><Relationship Id="rId96" Type="http://schemas.openxmlformats.org/officeDocument/2006/relationships/footer" Target="footer57.xml"/><Relationship Id="rId97" Type="http://schemas.openxmlformats.org/officeDocument/2006/relationships/footer" Target="footer58.xml"/><Relationship Id="rId98" Type="http://schemas.openxmlformats.org/officeDocument/2006/relationships/header" Target="header25.xml"/><Relationship Id="rId99" Type="http://schemas.openxmlformats.org/officeDocument/2006/relationships/footer" Target="footer59.xml"/><Relationship Id="rId100" Type="http://schemas.openxmlformats.org/officeDocument/2006/relationships/header" Target="header26.xml"/><Relationship Id="rId101" Type="http://schemas.openxmlformats.org/officeDocument/2006/relationships/footer" Target="footer6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2020-05-03T06:42:14Z</dcterms:created>
  <dcterms:modified xsi:type="dcterms:W3CDTF">2020-05-03T06:42:14Z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Office Word 2007</vt:lpwstr>
  </property>
  <property fmtid="{D5CDD505-2E9C-101B-9397-08002B2CF9AE}" pid="4" name="LastSaved">
    <vt:filetime>2020-05-02T00:00:00Z</vt:filetime>
  </property>
</Properties>
</file>