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Default Extension="png" ContentType="image/png"/>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3.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14.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15.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16.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header17.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18.xml" ContentType="application/vnd.openxmlformats-officedocument.wordprocessingml.header+xml"/>
  <Override PartName="/word/footer48.xml" ContentType="application/vnd.openxmlformats-officedocument.wordprocessingml.footer+xml"/>
  <Override PartName="/word/header19.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20.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21.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22.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pStyle w:val="BodyText"/>
        <w:tabs>
          <w:tab w:pos="6544" w:val="left" w:leader="none"/>
        </w:tabs>
        <w:spacing w:line="240" w:lineRule="auto"/>
        <w:ind w:left="349" w:right="125"/>
        <w:jc w:val="left"/>
      </w:pPr>
      <w:r>
        <w:rPr>
          <w:spacing w:val="-1"/>
        </w:rPr>
        <w:t>公司代码：</w:t>
      </w:r>
      <w:r>
        <w:rPr>
          <w:rFonts w:ascii="宋体" w:hAnsi="宋体" w:cs="宋体" w:eastAsia="宋体" w:hint="default"/>
          <w:spacing w:val="-1"/>
        </w:rPr>
        <w:t>603888</w:t>
        <w:tab/>
      </w:r>
      <w:r>
        <w:rPr>
          <w:spacing w:val="-1"/>
        </w:rPr>
        <w:t>公司简称：新华网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572" w:lineRule="exact" w:before="0"/>
        <w:ind w:left="2951" w:right="2543" w:hanging="384"/>
        <w:jc w:val="left"/>
        <w:rPr>
          <w:rFonts w:ascii="黑体" w:hAnsi="黑体" w:cs="黑体" w:eastAsia="黑体" w:hint="default"/>
          <w:sz w:val="44"/>
          <w:szCs w:val="44"/>
        </w:rPr>
      </w:pPr>
      <w:r>
        <w:rPr>
          <w:rFonts w:ascii="黑体" w:hAnsi="黑体" w:cs="黑体" w:eastAsia="黑体" w:hint="default"/>
          <w:b/>
          <w:bCs/>
          <w:color w:val="FF0000"/>
          <w:sz w:val="44"/>
          <w:szCs w:val="44"/>
        </w:rPr>
        <w:t>新华网股份有限公司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0"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before="0"/>
        <w:ind w:left="505" w:right="125"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2"/>
        <w:spacing w:line="240" w:lineRule="auto" w:before="0"/>
        <w:ind w:left="138" w:right="125"/>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5"/>
        <w:ind w:left="138" w:right="125"/>
        <w:jc w:val="left"/>
        <w:rPr>
          <w:b w:val="0"/>
          <w:bCs w:val="0"/>
        </w:rPr>
      </w:pPr>
      <w:r>
        <w:rPr/>
        <w:t>三、</w:t>
      </w:r>
      <w:r>
        <w:rPr>
          <w:spacing w:val="-14"/>
        </w:rPr>
        <w:t> </w:t>
      </w:r>
      <w:r>
        <w:rPr/>
        <w:t>瑞华会计师事务所（特殊普通合伙）为本公司出具了标准无保留意见的审计报告。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2"/>
        <w:spacing w:line="357" w:lineRule="auto" w:before="143"/>
        <w:ind w:left="505" w:right="125" w:hanging="368"/>
        <w:jc w:val="left"/>
        <w:rPr>
          <w:b w:val="0"/>
          <w:bCs w:val="0"/>
        </w:rPr>
      </w:pPr>
      <w:r>
        <w:rPr>
          <w:spacing w:val="-6"/>
          <w:w w:val="100"/>
        </w:rPr>
        <w:t>四、公司负责人田舒斌、主管会计工作负责人任劼及会计机构负责人（会计主管人员）张燕声明：</w:t>
      </w:r>
      <w:r>
        <w:rPr>
          <w:spacing w:val="-102"/>
          <w:w w:val="100"/>
        </w:rPr>
        <w:t> </w:t>
      </w:r>
      <w:r>
        <w:rPr>
          <w:spacing w:val="-102"/>
          <w:w w:val="100"/>
        </w:rPr>
      </w:r>
      <w:r>
        <w:rPr/>
        <w:t>保证年度报告中财务报告的真实、准确、完整。</w:t>
      </w:r>
      <w:r>
        <w:rPr>
          <w:b w:val="0"/>
          <w:bCs w:val="0"/>
        </w:rPr>
      </w:r>
    </w:p>
    <w:p>
      <w:pPr>
        <w:spacing w:line="480" w:lineRule="atLeast" w:before="96"/>
        <w:ind w:left="558" w:right="123"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6"/>
          <w:sz w:val="21"/>
          <w:szCs w:val="21"/>
        </w:rPr>
        <w:t>经瑞华会计师事务所（特殊普通合伙）审计，</w:t>
      </w:r>
      <w:r>
        <w:rPr>
          <w:rFonts w:ascii="宋体" w:hAnsi="宋体" w:cs="宋体" w:eastAsia="宋体" w:hint="default"/>
          <w:spacing w:val="-6"/>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年度合并报表中归属于上市公司股东的净</w:t>
      </w:r>
    </w:p>
    <w:p>
      <w:pPr>
        <w:pStyle w:val="BodyText"/>
        <w:spacing w:line="314" w:lineRule="auto" w:before="85"/>
        <w:ind w:left="138" w:right="130"/>
        <w:jc w:val="both"/>
      </w:pPr>
      <w:r>
        <w:rPr>
          <w:spacing w:val="15"/>
        </w:rPr>
        <w:t>利润为</w:t>
      </w:r>
      <w:r>
        <w:rPr>
          <w:spacing w:val="-74"/>
        </w:rPr>
        <w:t> </w:t>
      </w:r>
      <w:r>
        <w:rPr>
          <w:rFonts w:ascii="宋体" w:hAnsi="宋体" w:cs="宋体" w:eastAsia="宋体" w:hint="default"/>
        </w:rPr>
        <w:t>285,096,549.33</w:t>
      </w:r>
      <w:r>
        <w:rPr>
          <w:rFonts w:ascii="宋体" w:hAnsi="宋体" w:cs="宋体" w:eastAsia="宋体" w:hint="default"/>
          <w:spacing w:val="-73"/>
        </w:rPr>
        <w:t> </w:t>
      </w:r>
      <w:r>
        <w:rPr>
          <w:spacing w:val="10"/>
        </w:rPr>
        <w:t>元，</w:t>
      </w:r>
      <w:r>
        <w:rPr>
          <w:spacing w:val="-74"/>
        </w:rPr>
        <w:t> </w:t>
      </w:r>
      <w:r>
        <w:rPr>
          <w:spacing w:val="19"/>
        </w:rPr>
        <w:t>其中母公司实现净利润</w:t>
      </w:r>
      <w:r>
        <w:rPr>
          <w:spacing w:val="-70"/>
        </w:rPr>
        <w:t> </w:t>
      </w:r>
      <w:r>
        <w:rPr>
          <w:rFonts w:ascii="宋体" w:hAnsi="宋体" w:cs="宋体" w:eastAsia="宋体" w:hint="default"/>
        </w:rPr>
        <w:t>274,196,793.40</w:t>
      </w:r>
      <w:r>
        <w:rPr>
          <w:rFonts w:ascii="宋体" w:hAnsi="宋体" w:cs="宋体" w:eastAsia="宋体" w:hint="default"/>
          <w:spacing w:val="-77"/>
        </w:rPr>
        <w:t> </w:t>
      </w:r>
      <w:r>
        <w:rPr>
          <w:spacing w:val="11"/>
        </w:rPr>
        <w:t>元，</w:t>
      </w:r>
      <w:r>
        <w:rPr>
          <w:spacing w:val="-74"/>
        </w:rPr>
        <w:t> </w:t>
      </w:r>
      <w:r>
        <w:rPr>
          <w:spacing w:val="18"/>
        </w:rPr>
        <w:t>提取法定盈余公积</w:t>
      </w:r>
      <w:r>
        <w:rPr>
          <w:spacing w:val="-95"/>
        </w:rPr>
        <w:t> </w:t>
      </w:r>
      <w:r>
        <w:rPr>
          <w:spacing w:val="-95"/>
        </w:rPr>
      </w:r>
      <w:r>
        <w:rPr>
          <w:rFonts w:ascii="宋体" w:hAnsi="宋体" w:cs="宋体" w:eastAsia="宋体" w:hint="default"/>
        </w:rPr>
        <w:t>27,419,679.34</w:t>
      </w:r>
      <w:r>
        <w:rPr/>
        <w:t>元后，加年初未分配利润</w:t>
      </w:r>
      <w:r>
        <w:rPr>
          <w:rFonts w:ascii="宋体" w:hAnsi="宋体" w:cs="宋体" w:eastAsia="宋体" w:hint="default"/>
        </w:rPr>
        <w:t>495,397,118.80</w:t>
      </w:r>
      <w:r>
        <w:rPr/>
        <w:t>元，减当年已分配利润</w:t>
      </w:r>
      <w:r>
        <w:rPr>
          <w:rFonts w:ascii="宋体" w:hAnsi="宋体" w:cs="宋体" w:eastAsia="宋体" w:hint="default"/>
        </w:rPr>
        <w:t>103,805,872.00</w:t>
      </w:r>
      <w:r>
        <w:rPr>
          <w:rFonts w:ascii="宋体" w:hAnsi="宋体" w:cs="宋体" w:eastAsia="宋体" w:hint="default"/>
          <w:spacing w:val="-1"/>
        </w:rPr>
        <w:t> </w:t>
      </w:r>
      <w:r>
        <w:rPr>
          <w:rFonts w:ascii="宋体" w:hAnsi="宋体" w:cs="宋体" w:eastAsia="宋体" w:hint="default"/>
          <w:spacing w:val="-1"/>
        </w:rPr>
      </w:r>
      <w:r>
        <w:rPr/>
        <w:t>元，</w:t>
      </w:r>
      <w:r>
        <w:rPr>
          <w:rFonts w:ascii="宋体" w:hAnsi="宋体" w:cs="宋体" w:eastAsia="宋体" w:hint="default"/>
        </w:rPr>
        <w:t>2018</w:t>
      </w:r>
      <w:r>
        <w:rPr/>
        <w:t>年当年实际可供股东分配利润为</w:t>
      </w:r>
      <w:r>
        <w:rPr>
          <w:rFonts w:ascii="宋体" w:hAnsi="宋体" w:cs="宋体" w:eastAsia="宋体" w:hint="default"/>
        </w:rPr>
        <w:t>649,268,116.79</w:t>
      </w:r>
      <w:r>
        <w:rPr/>
        <w:t>元。</w:t>
      </w:r>
    </w:p>
    <w:p>
      <w:pPr>
        <w:pStyle w:val="BodyText"/>
        <w:spacing w:line="314" w:lineRule="auto" w:before="20"/>
        <w:ind w:left="138" w:right="137" w:firstLine="419"/>
        <w:jc w:val="both"/>
      </w:pPr>
      <w:r>
        <w:rPr>
          <w:spacing w:val="-2"/>
        </w:rPr>
        <w:t>公司以本次利润分配方案实施前的公司总股本为基数，向全体股东每</w:t>
      </w:r>
      <w:r>
        <w:rPr>
          <w:rFonts w:ascii="宋体" w:hAnsi="宋体" w:cs="宋体" w:eastAsia="宋体" w:hint="default"/>
          <w:spacing w:val="-2"/>
        </w:rPr>
        <w:t>10</w:t>
      </w:r>
      <w:r>
        <w:rPr>
          <w:spacing w:val="-2"/>
        </w:rPr>
        <w:t>股拟派发现金股利人</w:t>
      </w:r>
      <w:r>
        <w:rPr>
          <w:w w:val="100"/>
        </w:rPr>
        <w:t> </w:t>
      </w:r>
      <w:r>
        <w:rPr>
          <w:spacing w:val="-2"/>
        </w:rPr>
        <w:t>民币</w:t>
      </w:r>
      <w:r>
        <w:rPr>
          <w:rFonts w:ascii="宋体" w:hAnsi="宋体" w:cs="宋体" w:eastAsia="宋体" w:hint="default"/>
          <w:spacing w:val="-2"/>
        </w:rPr>
        <w:t>2.48</w:t>
      </w:r>
      <w:r>
        <w:rPr>
          <w:spacing w:val="-2"/>
        </w:rPr>
        <w:t>元（含税），共派发红利总额</w:t>
      </w:r>
      <w:r>
        <w:rPr>
          <w:rFonts w:ascii="宋体" w:hAnsi="宋体" w:cs="宋体" w:eastAsia="宋体" w:hint="default"/>
          <w:spacing w:val="-2"/>
        </w:rPr>
        <w:t>128,719,281.28</w:t>
      </w:r>
      <w:r>
        <w:rPr>
          <w:spacing w:val="-2"/>
        </w:rPr>
        <w:t>元（含税），剩余未分配利润将结转入下</w:t>
      </w:r>
      <w:r>
        <w:rPr>
          <w:spacing w:val="-15"/>
        </w:rPr>
        <w:t> </w:t>
      </w:r>
      <w:r>
        <w:rPr>
          <w:spacing w:val="-15"/>
        </w:rPr>
      </w:r>
      <w:r>
        <w:rPr/>
        <w:t>一年度。</w:t>
      </w:r>
    </w:p>
    <w:p>
      <w:pPr>
        <w:spacing w:line="240" w:lineRule="auto" w:before="2"/>
        <w:rPr>
          <w:rFonts w:ascii="宋体" w:hAnsi="宋体" w:cs="宋体" w:eastAsia="宋体" w:hint="default"/>
          <w:sz w:val="23"/>
          <w:szCs w:val="23"/>
        </w:rPr>
      </w:pPr>
    </w:p>
    <w:p>
      <w:pPr>
        <w:pStyle w:val="Heading2"/>
        <w:spacing w:line="240" w:lineRule="auto" w:before="0"/>
        <w:ind w:left="138" w:right="125"/>
        <w:jc w:val="left"/>
        <w:rPr>
          <w:b w:val="0"/>
          <w:bCs w:val="0"/>
        </w:rPr>
      </w:pPr>
      <w:r>
        <w:rPr/>
        <w:t>六、</w:t>
      </w:r>
      <w:r>
        <w:rPr>
          <w:spacing w:val="-24"/>
        </w:rPr>
        <w:t> </w:t>
      </w:r>
      <w:r>
        <w:rPr/>
        <w:t>前瞻性陈述的风险声明</w:t>
      </w:r>
      <w:r>
        <w:rPr>
          <w:b w:val="0"/>
          <w:bCs w:val="0"/>
        </w:rPr>
      </w:r>
    </w:p>
    <w:p>
      <w:pPr>
        <w:pStyle w:val="BodyText"/>
        <w:spacing w:line="304" w:lineRule="auto" w:before="135"/>
        <w:ind w:left="558" w:right="125" w:hanging="420"/>
        <w:jc w:val="left"/>
      </w:pPr>
      <w:r>
        <w:rPr/>
        <w:t>√适用</w:t>
      </w:r>
      <w:r>
        <w:rPr>
          <w:spacing w:val="-2"/>
        </w:rPr>
        <w:t> </w:t>
      </w:r>
      <w:r>
        <w:rPr/>
        <w:t>□不适用</w:t>
      </w:r>
      <w:r>
        <w:rPr>
          <w:w w:val="100"/>
        </w:rPr>
        <w:t> </w:t>
      </w:r>
      <w:r>
        <w:rPr>
          <w:spacing w:val="-2"/>
        </w:rPr>
        <w:t>本报告所涉及的公司发展战略及未来经营计划等前瞻性描述不构成公司对投资者的实质性承</w:t>
      </w:r>
    </w:p>
    <w:p>
      <w:pPr>
        <w:pStyle w:val="BodyText"/>
        <w:spacing w:line="240" w:lineRule="auto" w:before="28"/>
        <w:ind w:left="138" w:right="125"/>
        <w:jc w:val="left"/>
      </w:pPr>
      <w:r>
        <w:rPr/>
        <w:t>诺，敬请投资者注意投资风险。</w:t>
      </w:r>
    </w:p>
    <w:p>
      <w:pPr>
        <w:spacing w:line="240" w:lineRule="auto" w:before="2"/>
        <w:rPr>
          <w:rFonts w:ascii="宋体" w:hAnsi="宋体" w:cs="宋体" w:eastAsia="宋体" w:hint="default"/>
          <w:sz w:val="28"/>
          <w:szCs w:val="28"/>
        </w:rPr>
      </w:pPr>
    </w:p>
    <w:p>
      <w:pPr>
        <w:pStyle w:val="Heading2"/>
        <w:spacing w:line="424"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2"/>
        <w:tabs>
          <w:tab w:pos="781" w:val="left" w:leader="none"/>
        </w:tabs>
        <w:spacing w:line="357" w:lineRule="auto" w:before="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BodyText"/>
        <w:tabs>
          <w:tab w:pos="781" w:val="left" w:leader="none"/>
        </w:tabs>
        <w:spacing w:line="484" w:lineRule="exact" w:before="25"/>
        <w:ind w:left="558" w:right="137" w:hanging="420"/>
        <w:jc w:val="left"/>
      </w:pPr>
      <w:r>
        <w:rPr>
          <w:rFonts w:ascii="宋体" w:hAnsi="宋体" w:cs="宋体" w:eastAsia="宋体" w:hint="default"/>
          <w:b/>
          <w:bCs/>
        </w:rPr>
        <w:t>九、</w:t>
        <w:tab/>
        <w:t>重大风险提示</w:t>
      </w:r>
      <w:r>
        <w:rPr>
          <w:rFonts w:ascii="宋体" w:hAnsi="宋体" w:cs="宋体" w:eastAsia="宋体" w:hint="default"/>
          <w:b/>
          <w:bCs/>
          <w:spacing w:val="-104"/>
        </w:rPr>
        <w:t> </w:t>
      </w:r>
      <w:r>
        <w:rPr>
          <w:rFonts w:ascii="宋体" w:hAnsi="宋体" w:cs="宋体" w:eastAsia="宋体" w:hint="default"/>
          <w:b/>
          <w:bCs/>
          <w:spacing w:val="-104"/>
        </w:rPr>
      </w:r>
      <w:r>
        <w:rPr>
          <w:spacing w:val="-2"/>
        </w:rPr>
        <w:t>公司已在本报告中详细描述可能存在的相关风险，敬请查阅第四节“经营情况讨论与分析”</w:t>
      </w:r>
    </w:p>
    <w:p>
      <w:pPr>
        <w:pStyle w:val="BodyText"/>
        <w:spacing w:line="240" w:lineRule="auto" w:before="18"/>
        <w:ind w:left="138" w:right="125"/>
        <w:jc w:val="left"/>
      </w:pPr>
      <w:r>
        <w:rPr/>
        <w:t>中可能面对的风险等内容。</w:t>
      </w:r>
    </w:p>
    <w:p>
      <w:pPr>
        <w:spacing w:line="240" w:lineRule="auto" w:before="5"/>
        <w:rPr>
          <w:rFonts w:ascii="宋体" w:hAnsi="宋体" w:cs="宋体" w:eastAsia="宋体" w:hint="default"/>
          <w:sz w:val="21"/>
          <w:szCs w:val="21"/>
        </w:rPr>
      </w:pPr>
    </w:p>
    <w:p>
      <w:pPr>
        <w:pStyle w:val="Heading2"/>
        <w:spacing w:line="240" w:lineRule="auto" w:before="0"/>
        <w:ind w:left="138" w:right="125"/>
        <w:jc w:val="left"/>
        <w:rPr>
          <w:b w:val="0"/>
          <w:bCs w:val="0"/>
        </w:rPr>
      </w:pPr>
      <w:r>
        <w:rPr/>
        <w:t>十、</w:t>
      </w:r>
      <w:r>
        <w:rPr>
          <w:spacing w:val="60"/>
        </w:rPr>
        <w:t> </w:t>
      </w:r>
      <w:r>
        <w:rPr/>
        <w:t>其他</w:t>
      </w:r>
      <w:r>
        <w:rPr>
          <w:b w:val="0"/>
          <w:bCs w:val="0"/>
        </w:rPr>
      </w:r>
    </w:p>
    <w:p>
      <w:pPr>
        <w:pStyle w:val="BodyText"/>
        <w:spacing w:line="240" w:lineRule="auto" w:before="133"/>
        <w:ind w:left="138" w:right="125"/>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14"/>
        <w:ind w:left="2" w:right="0"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182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3319"/>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370"/>
        <w:gridCol w:w="850"/>
        <w:gridCol w:w="4830"/>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本公司、公司、发行人、新华网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新华网股份有限公司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控股股东、实际控制人、新华社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中经社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文产基金（有限合伙）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中国文化产业投资基金（有限合伙）</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新闻发展深圳公司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中国新闻发展深圳有限公司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南方报业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广东南方报业传媒集团有限公司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皖新传媒</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安徽新华传媒股份有限公司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新华网广东有限公司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新华网四川有限公司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新华网江苏有限公司</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宋体" w:hAnsi="宋体" w:cs="宋体" w:eastAsia="宋体" w:hint="default"/>
                <w:sz w:val="21"/>
                <w:szCs w:val="21"/>
              </w:rPr>
              <w:t>新华网欧洲公司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新华网股份有限公司欧洲公司（</w:t>
            </w:r>
            <w:r>
              <w:rPr>
                <w:rFonts w:ascii="宋体" w:hAnsi="宋体" w:cs="宋体" w:eastAsia="宋体" w:hint="default"/>
                <w:spacing w:val="-31"/>
                <w:sz w:val="21"/>
                <w:szCs w:val="21"/>
              </w:rPr>
              <w:t> </w:t>
            </w:r>
            <w:r>
              <w:rPr>
                <w:rFonts w:ascii="宋体" w:hAnsi="宋体" w:cs="宋体" w:eastAsia="宋体" w:hint="default"/>
                <w:spacing w:val="16"/>
                <w:sz w:val="21"/>
                <w:szCs w:val="21"/>
              </w:rPr>
              <w:t>英文名称为：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XINHUANETEUROPEB.V.</w:t>
            </w:r>
            <w:r>
              <w:rPr>
                <w:rFonts w:ascii="宋体" w:hAnsi="宋体" w:cs="宋体" w:eastAsia="宋体" w:hint="default"/>
                <w:sz w:val="21"/>
                <w:szCs w:val="21"/>
              </w:rPr>
              <w:t>）</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21"/>
                <w:szCs w:val="21"/>
              </w:rPr>
            </w:pPr>
            <w:r>
              <w:rPr>
                <w:rFonts w:ascii="宋体" w:hAnsi="宋体" w:cs="宋体" w:eastAsia="宋体" w:hint="default"/>
                <w:sz w:val="21"/>
                <w:szCs w:val="21"/>
              </w:rPr>
              <w:t>欧洲传播与运营中心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pacing w:val="28"/>
                <w:sz w:val="21"/>
                <w:szCs w:val="21"/>
              </w:rPr>
              <w:t>新华网欧洲传播与运营</w:t>
            </w:r>
            <w:r>
              <w:rPr>
                <w:rFonts w:ascii="宋体" w:hAnsi="宋体" w:cs="宋体" w:eastAsia="宋体" w:hint="default"/>
                <w:spacing w:val="-23"/>
                <w:sz w:val="21"/>
                <w:szCs w:val="21"/>
              </w:rPr>
              <w:t> </w:t>
            </w:r>
            <w:r>
              <w:rPr>
                <w:rFonts w:ascii="宋体" w:hAnsi="宋体" w:cs="宋体" w:eastAsia="宋体" w:hint="default"/>
                <w:spacing w:val="28"/>
                <w:sz w:val="21"/>
                <w:szCs w:val="21"/>
              </w:rPr>
              <w:t>中心（英文名称为：</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XINHUANET(EU)CENTER</w:t>
            </w:r>
            <w:r>
              <w:rPr>
                <w:rFonts w:ascii="宋体" w:hAnsi="宋体" w:cs="宋体" w:eastAsia="宋体" w:hint="default"/>
                <w:sz w:val="21"/>
                <w:szCs w:val="21"/>
              </w:rPr>
              <w:t>）</w:t>
            </w:r>
          </w:p>
        </w:tc>
      </w:tr>
      <w:tr>
        <w:trPr>
          <w:trHeight w:val="55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宋体" w:hAnsi="宋体" w:cs="宋体" w:eastAsia="宋体" w:hint="default"/>
                <w:sz w:val="21"/>
                <w:szCs w:val="21"/>
              </w:rPr>
            </w:pPr>
            <w:r>
              <w:rPr>
                <w:rFonts w:ascii="宋体" w:hAnsi="宋体" w:cs="宋体" w:eastAsia="宋体" w:hint="default"/>
                <w:sz w:val="21"/>
                <w:szCs w:val="21"/>
              </w:rPr>
              <w:t>北美子公司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新 华 网 北 美 公 司 （ 英 文 名 称 为  </w:t>
            </w:r>
            <w:r>
              <w:rPr>
                <w:rFonts w:ascii="宋体" w:hAnsi="宋体" w:cs="宋体" w:eastAsia="宋体" w:hint="default"/>
                <w:spacing w:val="85"/>
                <w:sz w:val="21"/>
                <w:szCs w:val="21"/>
              </w:rPr>
              <w:t> </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XINHUANETNORTHAMERICACORPORATION</w:t>
            </w:r>
            <w:r>
              <w:rPr>
                <w:rFonts w:ascii="宋体" w:hAnsi="宋体" w:cs="宋体" w:eastAsia="宋体" w:hint="default"/>
                <w:sz w:val="21"/>
                <w:szCs w:val="21"/>
              </w:rPr>
              <w:t>）</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1"/>
                <w:szCs w:val="21"/>
              </w:rPr>
            </w:pPr>
            <w:r>
              <w:rPr>
                <w:rFonts w:ascii="宋体" w:hAnsi="宋体" w:cs="宋体" w:eastAsia="宋体" w:hint="default"/>
                <w:sz w:val="21"/>
                <w:szCs w:val="21"/>
              </w:rPr>
              <w:t>亚太子公司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21"/>
                <w:sz w:val="21"/>
                <w:szCs w:val="21"/>
              </w:rPr>
              <w:t> </w:t>
            </w:r>
            <w:r>
              <w:rPr>
                <w:rFonts w:ascii="宋体" w:hAnsi="宋体" w:cs="宋体" w:eastAsia="宋体" w:hint="default"/>
                <w:sz w:val="21"/>
                <w:szCs w:val="21"/>
              </w:rPr>
              <w:t>华</w:t>
            </w:r>
            <w:r>
              <w:rPr>
                <w:rFonts w:ascii="宋体" w:hAnsi="宋体" w:cs="宋体" w:eastAsia="宋体" w:hint="default"/>
                <w:spacing w:val="-23"/>
                <w:sz w:val="21"/>
                <w:szCs w:val="21"/>
              </w:rPr>
              <w:t> </w:t>
            </w:r>
            <w:r>
              <w:rPr>
                <w:rFonts w:ascii="宋体" w:hAnsi="宋体" w:cs="宋体" w:eastAsia="宋体" w:hint="default"/>
                <w:sz w:val="21"/>
                <w:szCs w:val="21"/>
              </w:rPr>
              <w:t>网</w:t>
            </w:r>
            <w:r>
              <w:rPr>
                <w:rFonts w:ascii="宋体" w:hAnsi="宋体" w:cs="宋体" w:eastAsia="宋体" w:hint="default"/>
                <w:spacing w:val="-23"/>
                <w:sz w:val="21"/>
                <w:szCs w:val="21"/>
              </w:rPr>
              <w:t> </w:t>
            </w:r>
            <w:r>
              <w:rPr>
                <w:rFonts w:ascii="宋体" w:hAnsi="宋体" w:cs="宋体" w:eastAsia="宋体" w:hint="default"/>
                <w:sz w:val="21"/>
                <w:szCs w:val="21"/>
              </w:rPr>
              <w:t>亚</w:t>
            </w:r>
            <w:r>
              <w:rPr>
                <w:rFonts w:ascii="宋体" w:hAnsi="宋体" w:cs="宋体" w:eastAsia="宋体" w:hint="default"/>
                <w:spacing w:val="-21"/>
                <w:sz w:val="21"/>
                <w:szCs w:val="21"/>
              </w:rPr>
              <w:t> </w:t>
            </w:r>
            <w:r>
              <w:rPr>
                <w:rFonts w:ascii="宋体" w:hAnsi="宋体" w:cs="宋体" w:eastAsia="宋体" w:hint="default"/>
                <w:sz w:val="21"/>
                <w:szCs w:val="21"/>
              </w:rPr>
              <w:t>太</w:t>
            </w:r>
            <w:r>
              <w:rPr>
                <w:rFonts w:ascii="宋体" w:hAnsi="宋体" w:cs="宋体" w:eastAsia="宋体" w:hint="default"/>
                <w:spacing w:val="-23"/>
                <w:sz w:val="21"/>
                <w:szCs w:val="21"/>
              </w:rPr>
              <w:t> </w:t>
            </w:r>
            <w:r>
              <w:rPr>
                <w:rFonts w:ascii="宋体" w:hAnsi="宋体" w:cs="宋体" w:eastAsia="宋体" w:hint="default"/>
                <w:sz w:val="21"/>
                <w:szCs w:val="21"/>
              </w:rPr>
              <w:t>有</w:t>
            </w:r>
            <w:r>
              <w:rPr>
                <w:rFonts w:ascii="宋体" w:hAnsi="宋体" w:cs="宋体" w:eastAsia="宋体" w:hint="default"/>
                <w:spacing w:val="-23"/>
                <w:sz w:val="21"/>
                <w:szCs w:val="21"/>
              </w:rPr>
              <w:t> </w:t>
            </w:r>
            <w:r>
              <w:rPr>
                <w:rFonts w:ascii="宋体" w:hAnsi="宋体" w:cs="宋体" w:eastAsia="宋体" w:hint="default"/>
                <w:sz w:val="21"/>
                <w:szCs w:val="21"/>
              </w:rPr>
              <w:t>限</w:t>
            </w:r>
            <w:r>
              <w:rPr>
                <w:rFonts w:ascii="宋体" w:hAnsi="宋体" w:cs="宋体" w:eastAsia="宋体" w:hint="default"/>
                <w:spacing w:val="-21"/>
                <w:sz w:val="21"/>
                <w:szCs w:val="21"/>
              </w:rPr>
              <w:t> </w:t>
            </w:r>
            <w:r>
              <w:rPr>
                <w:rFonts w:ascii="宋体" w:hAnsi="宋体" w:cs="宋体" w:eastAsia="宋体" w:hint="default"/>
                <w:sz w:val="21"/>
                <w:szCs w:val="21"/>
              </w:rPr>
              <w:t>公</w:t>
            </w:r>
            <w:r>
              <w:rPr>
                <w:rFonts w:ascii="宋体" w:hAnsi="宋体" w:cs="宋体" w:eastAsia="宋体" w:hint="default"/>
                <w:spacing w:val="-23"/>
                <w:sz w:val="21"/>
                <w:szCs w:val="21"/>
              </w:rPr>
              <w:t> </w:t>
            </w:r>
            <w:r>
              <w:rPr>
                <w:rFonts w:ascii="宋体" w:hAnsi="宋体" w:cs="宋体" w:eastAsia="宋体" w:hint="default"/>
                <w:sz w:val="21"/>
                <w:szCs w:val="21"/>
              </w:rPr>
              <w:t>司</w:t>
            </w:r>
            <w:r>
              <w:rPr>
                <w:rFonts w:ascii="宋体" w:hAnsi="宋体" w:cs="宋体" w:eastAsia="宋体" w:hint="default"/>
                <w:spacing w:val="-21"/>
                <w:sz w:val="21"/>
                <w:szCs w:val="21"/>
              </w:rPr>
              <w:t> </w:t>
            </w:r>
            <w:r>
              <w:rPr>
                <w:rFonts w:ascii="宋体" w:hAnsi="宋体" w:cs="宋体" w:eastAsia="宋体" w:hint="default"/>
                <w:sz w:val="21"/>
                <w:szCs w:val="21"/>
              </w:rPr>
              <w:t>（</w:t>
            </w:r>
            <w:r>
              <w:rPr>
                <w:rFonts w:ascii="宋体" w:hAnsi="宋体" w:cs="宋体" w:eastAsia="宋体" w:hint="default"/>
                <w:spacing w:val="-23"/>
                <w:sz w:val="21"/>
                <w:szCs w:val="21"/>
              </w:rPr>
              <w:t> </w:t>
            </w:r>
            <w:r>
              <w:rPr>
                <w:rFonts w:ascii="宋体" w:hAnsi="宋体" w:cs="宋体" w:eastAsia="宋体" w:hint="default"/>
                <w:sz w:val="21"/>
                <w:szCs w:val="21"/>
              </w:rPr>
              <w:t>英</w:t>
            </w:r>
            <w:r>
              <w:rPr>
                <w:rFonts w:ascii="宋体" w:hAnsi="宋体" w:cs="宋体" w:eastAsia="宋体" w:hint="default"/>
                <w:spacing w:val="-23"/>
                <w:sz w:val="21"/>
                <w:szCs w:val="21"/>
              </w:rPr>
              <w:t> </w:t>
            </w:r>
            <w:r>
              <w:rPr>
                <w:rFonts w:ascii="宋体" w:hAnsi="宋体" w:cs="宋体" w:eastAsia="宋体" w:hint="default"/>
                <w:sz w:val="21"/>
                <w:szCs w:val="21"/>
              </w:rPr>
              <w:t>文</w:t>
            </w:r>
            <w:r>
              <w:rPr>
                <w:rFonts w:ascii="宋体" w:hAnsi="宋体" w:cs="宋体" w:eastAsia="宋体" w:hint="default"/>
                <w:spacing w:val="-21"/>
                <w:sz w:val="21"/>
                <w:szCs w:val="21"/>
              </w:rPr>
              <w:t> </w:t>
            </w:r>
            <w:r>
              <w:rPr>
                <w:rFonts w:ascii="宋体" w:hAnsi="宋体" w:cs="宋体" w:eastAsia="宋体" w:hint="default"/>
                <w:sz w:val="21"/>
                <w:szCs w:val="21"/>
              </w:rPr>
              <w:t>名</w:t>
            </w:r>
            <w:r>
              <w:rPr>
                <w:rFonts w:ascii="宋体" w:hAnsi="宋体" w:cs="宋体" w:eastAsia="宋体" w:hint="default"/>
                <w:spacing w:val="-23"/>
                <w:sz w:val="21"/>
                <w:szCs w:val="21"/>
              </w:rPr>
              <w:t> </w:t>
            </w:r>
            <w:r>
              <w:rPr>
                <w:rFonts w:ascii="宋体" w:hAnsi="宋体" w:cs="宋体" w:eastAsia="宋体" w:hint="default"/>
                <w:sz w:val="21"/>
                <w:szCs w:val="21"/>
              </w:rPr>
              <w:t>称</w:t>
            </w:r>
            <w:r>
              <w:rPr>
                <w:rFonts w:ascii="宋体" w:hAnsi="宋体" w:cs="宋体" w:eastAsia="宋体" w:hint="default"/>
                <w:spacing w:val="-23"/>
                <w:sz w:val="21"/>
                <w:szCs w:val="21"/>
              </w:rPr>
              <w:t> </w:t>
            </w:r>
            <w:r>
              <w:rPr>
                <w:rFonts w:ascii="宋体" w:hAnsi="宋体" w:cs="宋体" w:eastAsia="宋体" w:hint="default"/>
                <w:sz w:val="21"/>
                <w:szCs w:val="21"/>
              </w:rPr>
              <w:t>为</w:t>
            </w:r>
            <w:r>
              <w:rPr>
                <w:rFonts w:ascii="宋体" w:hAnsi="宋体" w:cs="宋体" w:eastAsia="宋体" w:hint="default"/>
                <w:spacing w:val="-21"/>
                <w:sz w:val="21"/>
                <w:szCs w:val="21"/>
              </w:rPr>
              <w:t> </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XINHUANETASIAPACIFICCOMPANYLIMITED</w:t>
            </w:r>
            <w:r>
              <w:rPr>
                <w:rFonts w:ascii="宋体" w:hAnsi="宋体" w:cs="宋体" w:eastAsia="宋体" w:hint="default"/>
                <w:sz w:val="21"/>
                <w:szCs w:val="21"/>
              </w:rPr>
              <w:t>）</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创业投资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新华网创业投资有限公司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亿连投资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新华网亿连投资管理（天津）有限公司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文创合伙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5"/>
              <w:jc w:val="left"/>
              <w:rPr>
                <w:rFonts w:ascii="宋体" w:hAnsi="宋体" w:cs="宋体" w:eastAsia="宋体" w:hint="default"/>
                <w:sz w:val="21"/>
                <w:szCs w:val="21"/>
              </w:rPr>
            </w:pPr>
            <w:r>
              <w:rPr>
                <w:rFonts w:ascii="宋体" w:hAnsi="宋体" w:cs="宋体" w:eastAsia="宋体" w:hint="default"/>
                <w:spacing w:val="-7"/>
                <w:sz w:val="21"/>
                <w:szCs w:val="21"/>
              </w:rPr>
              <w:t>新华网文投创新（天津）投资合伙企业（有限合伙）</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润鑫四号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深圳市润鑫四号投资合伙企业（有限合伙）</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炫彩公司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北京炫彩融通网络科技有限公司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中证金牛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中证金牛（北京）投资咨询有限公司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星程同创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北京星程同创信息咨询有限公司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朴银信息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上海朴银信息技术有限公司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新华康美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新华康美健康智库股份有限公司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新彩华章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北京新彩华章网络科技有限公司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华强方特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深圳华强方特文化科技集团股份有限公司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道有道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道有道（北京）科技股份有限公司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号百控股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号百控股股份有限公司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江苏瑞德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江苏瑞德信息产业有限公司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新华智云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新华智云科技有限公司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亿连科技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新华网亿连（北京）科技有限责任公司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新华网（北京）科技有限公司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新华炫闻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新华炫闻</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移动传媒科技有限公司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丝路惠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北京丝路惠科技有限公司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前海红莲</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深圳前海红莲基金管理有限公司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新搜文化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北京新搜文化传播有限责任公司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盘古文化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盘古文化传播有限公司</w:t>
            </w:r>
          </w:p>
        </w:tc>
      </w:tr>
    </w:tbl>
    <w:p>
      <w:pPr>
        <w:spacing w:after="0" w:line="229"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850"/>
        <w:gridCol w:w="4830"/>
      </w:tblGrid>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新媒文化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新华新媒文化传播有限公司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杭州阿里创业投资有限公司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数问云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杭州数问云投资合伙企业（有限合伙）</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海南亿连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海南亿连数据科技有限公司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睿至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北京睿至大数据有限公司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陶溪川公司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景德镇陶溪川产业运营有限公司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中国图片社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中国图片社有限责任公司</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《新华网股份有限公司章程》</w:t>
            </w:r>
          </w:p>
        </w:tc>
      </w:tr>
    </w:tbl>
    <w:p>
      <w:pPr>
        <w:pStyle w:val="Heading1"/>
        <w:tabs>
          <w:tab w:pos="3717" w:val="left" w:leader="none"/>
        </w:tabs>
        <w:spacing w:line="240" w:lineRule="auto" w:before="12"/>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7"/>
        <w:rPr>
          <w:rFonts w:ascii="黑体" w:hAnsi="黑体" w:cs="黑体" w:eastAsia="黑体" w:hint="default"/>
          <w:b/>
          <w:bCs/>
          <w:sz w:val="16"/>
          <w:szCs w:val="16"/>
        </w:rPr>
      </w:pPr>
    </w:p>
    <w:p>
      <w:pPr>
        <w:pStyle w:val="Heading2"/>
        <w:spacing w:line="240" w:lineRule="auto"/>
        <w:ind w:right="3319"/>
        <w:jc w:val="left"/>
        <w:rPr>
          <w:b w:val="0"/>
          <w:bCs w:val="0"/>
        </w:rPr>
      </w:pPr>
      <w:r>
        <w:rPr/>
        <w:t>一、</w:t>
      </w:r>
      <w:r>
        <w:rPr>
          <w:spacing w:val="40"/>
        </w:rPr>
        <w:t> </w:t>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103"/>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新华网股份有限公司</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新华网</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sz w:val="21"/>
              </w:rPr>
              <w:t>XINHUANET</w:t>
            </w:r>
            <w:r>
              <w:rPr>
                <w:rFonts w:ascii="宋体"/>
                <w:spacing w:val="1"/>
                <w:sz w:val="21"/>
              </w:rPr>
              <w:t> </w:t>
            </w:r>
            <w:r>
              <w:rPr>
                <w:rFonts w:ascii="宋体"/>
                <w:sz w:val="21"/>
              </w:rPr>
              <w:t>CO.,LTD</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sz w:val="21"/>
              </w:rPr>
              <w:t>XHW</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田舒斌</w:t>
            </w:r>
          </w:p>
        </w:tc>
      </w:tr>
    </w:tbl>
    <w:p>
      <w:pPr>
        <w:pStyle w:val="Heading2"/>
        <w:spacing w:line="240" w:lineRule="auto" w:before="26"/>
        <w:ind w:right="3319"/>
        <w:jc w:val="left"/>
        <w:rPr>
          <w:b w:val="0"/>
          <w:bCs w:val="0"/>
        </w:rPr>
      </w:pPr>
      <w:r>
        <w:rPr/>
        <w:t>二、</w:t>
      </w:r>
      <w:r>
        <w:rPr>
          <w:spacing w:val="41"/>
        </w:rPr>
        <w:t> </w:t>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1730"/>
        <w:gridCol w:w="3546"/>
        <w:gridCol w:w="3687"/>
      </w:tblGrid>
      <w:tr>
        <w:trPr>
          <w:trHeight w:val="283" w:hRule="exact"/>
        </w:trPr>
        <w:tc>
          <w:tcPr>
            <w:tcW w:w="1730" w:type="dxa"/>
            <w:tcBorders>
              <w:top w:val="single" w:sz="4" w:space="0" w:color="000000"/>
              <w:left w:val="single" w:sz="4" w:space="0" w:color="000000"/>
              <w:bottom w:val="single" w:sz="4" w:space="0" w:color="000000"/>
              <w:right w:val="single" w:sz="4" w:space="0" w:color="000000"/>
            </w:tcBorders>
          </w:tcPr>
          <w:p>
            <w:pP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杨庆兵</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宋波</w:t>
            </w:r>
          </w:p>
        </w:tc>
      </w:tr>
      <w:tr>
        <w:trPr>
          <w:trHeight w:val="555"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北京市西城区宣武门西大街</w:t>
            </w:r>
            <w:r>
              <w:rPr>
                <w:rFonts w:ascii="宋体" w:hAnsi="宋体" w:cs="宋体" w:eastAsia="宋体" w:hint="default"/>
                <w:sz w:val="21"/>
                <w:szCs w:val="21"/>
              </w:rPr>
              <w:t>129</w:t>
            </w:r>
            <w:r>
              <w:rPr>
                <w:rFonts w:ascii="宋体" w:hAnsi="宋体" w:cs="宋体" w:eastAsia="宋体" w:hint="default"/>
                <w:sz w:val="21"/>
                <w:szCs w:val="21"/>
              </w:rPr>
              <w:t>号金隅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大厦</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北京市西城区宣武门西大街</w:t>
            </w:r>
            <w:r>
              <w:rPr>
                <w:rFonts w:ascii="宋体" w:hAnsi="宋体" w:cs="宋体" w:eastAsia="宋体" w:hint="default"/>
                <w:sz w:val="21"/>
                <w:szCs w:val="21"/>
              </w:rPr>
              <w:t>129</w:t>
            </w:r>
            <w:r>
              <w:rPr>
                <w:rFonts w:ascii="宋体" w:hAnsi="宋体" w:cs="宋体" w:eastAsia="宋体" w:hint="default"/>
                <w:sz w:val="21"/>
                <w:szCs w:val="21"/>
              </w:rPr>
              <w:t>号金隅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大厦</w:t>
            </w:r>
          </w:p>
        </w:tc>
      </w:tr>
      <w:tr>
        <w:trPr>
          <w:trHeight w:val="28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010-88050888</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010-88050888</w:t>
            </w:r>
          </w:p>
        </w:tc>
      </w:tr>
      <w:tr>
        <w:trPr>
          <w:trHeight w:val="283"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010-88050888</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010-88050888</w:t>
            </w:r>
          </w:p>
        </w:tc>
      </w:tr>
      <w:tr>
        <w:trPr>
          <w:trHeight w:val="281"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xxpl@xinhuanet.com</w:t>
              </w:r>
            </w:hyperlink>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xxpl@xinhuanet.com</w:t>
              </w:r>
            </w:hyperlink>
          </w:p>
        </w:tc>
      </w:tr>
    </w:tbl>
    <w:p>
      <w:pPr>
        <w:pStyle w:val="Heading2"/>
        <w:spacing w:line="240" w:lineRule="auto" w:before="26"/>
        <w:ind w:right="3319"/>
        <w:jc w:val="left"/>
        <w:rPr>
          <w:b w:val="0"/>
          <w:bCs w:val="0"/>
        </w:rPr>
      </w:pPr>
      <w:r>
        <w:rPr/>
        <w:t>三、</w:t>
      </w:r>
      <w:r>
        <w:rPr>
          <w:spacing w:val="-29"/>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860"/>
        <w:gridCol w:w="5103"/>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北京市大兴区北兴路（东段）</w:t>
            </w:r>
            <w:r>
              <w:rPr>
                <w:rFonts w:ascii="宋体" w:hAnsi="宋体" w:cs="宋体" w:eastAsia="宋体" w:hint="default"/>
                <w:sz w:val="21"/>
                <w:szCs w:val="21"/>
              </w:rPr>
              <w:t>2</w:t>
            </w:r>
            <w:r>
              <w:rPr>
                <w:rFonts w:ascii="宋体" w:hAnsi="宋体" w:cs="宋体" w:eastAsia="宋体" w:hint="default"/>
                <w:sz w:val="21"/>
                <w:szCs w:val="21"/>
              </w:rPr>
              <w:t>号院</w:t>
            </w:r>
            <w:r>
              <w:rPr>
                <w:rFonts w:ascii="宋体" w:hAnsi="宋体" w:cs="宋体" w:eastAsia="宋体" w:hint="default"/>
                <w:sz w:val="21"/>
                <w:szCs w:val="21"/>
              </w:rPr>
              <w:t>12</w:t>
            </w:r>
            <w:r>
              <w:rPr>
                <w:rFonts w:ascii="宋体" w:hAnsi="宋体" w:cs="宋体" w:eastAsia="宋体" w:hint="default"/>
                <w:sz w:val="21"/>
                <w:szCs w:val="21"/>
              </w:rPr>
              <w:t>号楼</w:t>
            </w:r>
            <w:r>
              <w:rPr>
                <w:rFonts w:ascii="宋体" w:hAnsi="宋体" w:cs="宋体" w:eastAsia="宋体" w:hint="default"/>
                <w:sz w:val="21"/>
                <w:szCs w:val="21"/>
              </w:rPr>
              <w:t>1-5</w:t>
            </w:r>
            <w:r>
              <w:rPr>
                <w:rFonts w:ascii="宋体" w:hAnsi="宋体" w:cs="宋体" w:eastAsia="宋体" w:hint="default"/>
                <w:sz w:val="21"/>
                <w:szCs w:val="21"/>
              </w:rPr>
              <w:t>层</w:t>
            </w:r>
            <w:r>
              <w:rPr>
                <w:rFonts w:ascii="宋体" w:hAnsi="宋体" w:cs="宋体" w:eastAsia="宋体" w:hint="default"/>
                <w:sz w:val="21"/>
                <w:szCs w:val="21"/>
              </w:rPr>
              <w:t>101</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sz w:val="21"/>
              </w:rPr>
              <w:t>100162</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北京市西城区宣武门西大街</w:t>
            </w:r>
            <w:r>
              <w:rPr>
                <w:rFonts w:ascii="宋体" w:hAnsi="宋体" w:cs="宋体" w:eastAsia="宋体" w:hint="default"/>
                <w:sz w:val="21"/>
                <w:szCs w:val="21"/>
              </w:rPr>
              <w:t>129</w:t>
            </w:r>
            <w:r>
              <w:rPr>
                <w:rFonts w:ascii="宋体" w:hAnsi="宋体" w:cs="宋体" w:eastAsia="宋体" w:hint="default"/>
                <w:sz w:val="21"/>
                <w:szCs w:val="21"/>
              </w:rPr>
              <w:t>号金隅大厦</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sz w:val="21"/>
              </w:rPr>
              <w:t>100031</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hyperlink r:id="rId8">
              <w:r>
                <w:rPr>
                  <w:rFonts w:ascii="宋体" w:hAnsi="宋体" w:cs="宋体" w:eastAsia="宋体" w:hint="default"/>
                  <w:sz w:val="21"/>
                  <w:szCs w:val="21"/>
                </w:rPr>
                <w:t>www.xinhuanet.com</w:t>
              </w:r>
            </w:hyperlink>
            <w:r>
              <w:rPr>
                <w:rFonts w:ascii="宋体" w:hAnsi="宋体" w:cs="宋体" w:eastAsia="宋体" w:hint="default"/>
                <w:sz w:val="21"/>
                <w:szCs w:val="21"/>
              </w:rPr>
              <w:t>；</w:t>
            </w:r>
            <w:hyperlink r:id="rId9">
              <w:r>
                <w:rPr>
                  <w:rFonts w:ascii="宋体" w:hAnsi="宋体" w:cs="宋体" w:eastAsia="宋体" w:hint="default"/>
                  <w:sz w:val="21"/>
                  <w:szCs w:val="21"/>
                </w:rPr>
                <w:t>www.news.cn</w:t>
              </w:r>
            </w:hyperlink>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hyperlink r:id="rId7">
              <w:r>
                <w:rPr>
                  <w:rFonts w:ascii="宋体"/>
                  <w:sz w:val="21"/>
                </w:rPr>
                <w:t>xxpl@xinhuanet.com</w:t>
              </w:r>
            </w:hyperlink>
          </w:p>
        </w:tc>
      </w:tr>
    </w:tbl>
    <w:p>
      <w:pPr>
        <w:pStyle w:val="Heading2"/>
        <w:spacing w:line="240" w:lineRule="auto" w:before="26"/>
        <w:ind w:right="3319"/>
        <w:jc w:val="left"/>
        <w:rPr>
          <w:b w:val="0"/>
          <w:bCs w:val="0"/>
        </w:rPr>
      </w:pPr>
      <w:r>
        <w:rPr/>
        <w:t>四、</w:t>
      </w:r>
      <w:r>
        <w:rPr>
          <w:spacing w:val="-28"/>
        </w:rPr>
        <w:t> </w:t>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4143"/>
        <w:gridCol w:w="4820"/>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hyperlink r:id="rId10">
              <w:r>
                <w:rPr>
                  <w:rFonts w:ascii="宋体"/>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pStyle w:val="Heading2"/>
        <w:spacing w:line="240" w:lineRule="auto" w:before="26"/>
        <w:ind w:right="3319"/>
        <w:jc w:val="left"/>
        <w:rPr>
          <w:b w:val="0"/>
          <w:bCs w:val="0"/>
        </w:rPr>
      </w:pPr>
      <w:r>
        <w:rPr/>
        <w:t>五、</w:t>
      </w:r>
      <w:r>
        <w:rPr>
          <w:spacing w:val="41"/>
        </w:rPr>
        <w:t> </w:t>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新华网</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603888</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50" w:lineRule="exact"/>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4"/>
        <w:rPr>
          <w:rFonts w:ascii="宋体" w:hAnsi="宋体" w:cs="宋体" w:eastAsia="宋体" w:hint="default"/>
          <w:b/>
          <w:bCs/>
          <w:sz w:val="25"/>
          <w:szCs w:val="25"/>
        </w:rPr>
      </w:pPr>
    </w:p>
    <w:p>
      <w:pPr>
        <w:pStyle w:val="Heading2"/>
        <w:spacing w:line="240" w:lineRule="auto"/>
        <w:ind w:right="289"/>
        <w:jc w:val="left"/>
        <w:rPr>
          <w:b w:val="0"/>
          <w:bCs w:val="0"/>
        </w:rPr>
      </w:pPr>
      <w:r>
        <w:rPr/>
        <w:t>六、</w:t>
      </w:r>
      <w:r>
        <w:rPr>
          <w:spacing w:val="-29"/>
        </w:rPr>
        <w:t> </w:t>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804"/>
        <w:gridCol w:w="1841"/>
        <w:gridCol w:w="4405"/>
      </w:tblGrid>
      <w:tr>
        <w:trPr>
          <w:trHeight w:val="283" w:hRule="exact"/>
        </w:trPr>
        <w:tc>
          <w:tcPr>
            <w:tcW w:w="280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9"/>
                <w:szCs w:val="19"/>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z w:val="21"/>
                <w:szCs w:val="21"/>
              </w:rPr>
              <w:t>聘</w:t>
            </w:r>
            <w:r>
              <w:rPr>
                <w:rFonts w:ascii="宋体" w:hAnsi="宋体" w:cs="宋体" w:eastAsia="宋体" w:hint="default"/>
                <w:spacing w:val="-78"/>
                <w:sz w:val="21"/>
                <w:szCs w:val="21"/>
              </w:rPr>
              <w:t> </w:t>
            </w:r>
            <w:r>
              <w:rPr>
                <w:rFonts w:ascii="宋体" w:hAnsi="宋体" w:cs="宋体" w:eastAsia="宋体" w:hint="default"/>
                <w:sz w:val="21"/>
                <w:szCs w:val="21"/>
              </w:rPr>
              <w:t>请</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会</w:t>
            </w:r>
            <w:r>
              <w:rPr>
                <w:rFonts w:ascii="宋体" w:hAnsi="宋体" w:cs="宋体" w:eastAsia="宋体" w:hint="default"/>
                <w:spacing w:val="-78"/>
                <w:sz w:val="21"/>
                <w:szCs w:val="21"/>
              </w:rPr>
              <w:t> </w:t>
            </w:r>
            <w:r>
              <w:rPr>
                <w:rFonts w:ascii="宋体" w:hAnsi="宋体" w:cs="宋体" w:eastAsia="宋体" w:hint="default"/>
                <w:sz w:val="21"/>
                <w:szCs w:val="21"/>
              </w:rPr>
              <w:t>计</w:t>
            </w:r>
            <w:r>
              <w:rPr>
                <w:rFonts w:ascii="宋体" w:hAnsi="宋体" w:cs="宋体" w:eastAsia="宋体" w:hint="default"/>
                <w:spacing w:val="-78"/>
                <w:sz w:val="21"/>
                <w:szCs w:val="21"/>
              </w:rPr>
              <w:t> </w:t>
            </w:r>
            <w:r>
              <w:rPr>
                <w:rFonts w:ascii="宋体" w:hAnsi="宋体" w:cs="宋体" w:eastAsia="宋体" w:hint="default"/>
                <w:sz w:val="21"/>
                <w:szCs w:val="21"/>
              </w:rPr>
              <w:t>师</w:t>
            </w:r>
            <w:r>
              <w:rPr>
                <w:rFonts w:ascii="宋体" w:hAnsi="宋体" w:cs="宋体" w:eastAsia="宋体" w:hint="default"/>
                <w:spacing w:val="-78"/>
                <w:sz w:val="21"/>
                <w:szCs w:val="21"/>
              </w:rPr>
              <w:t> </w:t>
            </w:r>
            <w:r>
              <w:rPr>
                <w:rFonts w:ascii="宋体" w:hAnsi="宋体" w:cs="宋体" w:eastAsia="宋体" w:hint="default"/>
                <w:sz w:val="21"/>
                <w:szCs w:val="21"/>
              </w:rPr>
              <w:t>事</w:t>
            </w:r>
            <w:r>
              <w:rPr>
                <w:rFonts w:ascii="宋体" w:hAnsi="宋体" w:cs="宋体" w:eastAsia="宋体" w:hint="default"/>
                <w:spacing w:val="-78"/>
                <w:sz w:val="21"/>
                <w:szCs w:val="21"/>
              </w:rPr>
              <w:t> </w:t>
            </w:r>
            <w:r>
              <w:rPr>
                <w:rFonts w:ascii="宋体" w:hAnsi="宋体" w:cs="宋体" w:eastAsia="宋体" w:hint="default"/>
                <w:spacing w:val="11"/>
                <w:sz w:val="21"/>
                <w:szCs w:val="21"/>
              </w:rPr>
              <w:t>务所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554" w:hRule="exact"/>
        </w:trPr>
        <w:tc>
          <w:tcPr>
            <w:tcW w:w="2804"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北京市东城区永定门西滨河路</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号院</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号楼中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海地产广场西塔</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281" w:hRule="exact"/>
        </w:trPr>
        <w:tc>
          <w:tcPr>
            <w:tcW w:w="2804"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张冲良、潘守卫</w:t>
            </w:r>
          </w:p>
        </w:tc>
      </w:tr>
      <w:tr>
        <w:trPr>
          <w:trHeight w:val="283" w:hRule="exact"/>
        </w:trPr>
        <w:tc>
          <w:tcPr>
            <w:tcW w:w="28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的保荐机构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中国国际金融股份有限公司</w:t>
            </w:r>
          </w:p>
        </w:tc>
      </w:tr>
      <w:tr>
        <w:trPr>
          <w:trHeight w:val="554" w:hRule="exact"/>
        </w:trPr>
        <w:tc>
          <w:tcPr>
            <w:tcW w:w="2804"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号国贸大厦</w:t>
            </w:r>
            <w:r>
              <w:rPr>
                <w:rFonts w:ascii="宋体" w:hAnsi="宋体" w:cs="宋体" w:eastAsia="宋体" w:hint="default"/>
                <w:spacing w:val="-58"/>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层及</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层</w:t>
            </w:r>
          </w:p>
        </w:tc>
      </w:tr>
      <w:tr>
        <w:trPr>
          <w:trHeight w:val="554" w:hRule="exact"/>
        </w:trPr>
        <w:tc>
          <w:tcPr>
            <w:tcW w:w="2804"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签</w:t>
            </w:r>
            <w:r>
              <w:rPr>
                <w:rFonts w:ascii="宋体" w:hAnsi="宋体" w:cs="宋体" w:eastAsia="宋体" w:hint="default"/>
                <w:spacing w:val="-75"/>
                <w:sz w:val="21"/>
                <w:szCs w:val="21"/>
              </w:rPr>
              <w:t> </w:t>
            </w:r>
            <w:r>
              <w:rPr>
                <w:rFonts w:ascii="宋体" w:hAnsi="宋体" w:cs="宋体" w:eastAsia="宋体" w:hint="default"/>
                <w:spacing w:val="14"/>
                <w:sz w:val="21"/>
                <w:szCs w:val="21"/>
              </w:rPr>
              <w:t>字的保</w:t>
            </w:r>
            <w:r>
              <w:rPr>
                <w:rFonts w:ascii="宋体" w:hAnsi="宋体" w:cs="宋体" w:eastAsia="宋体" w:hint="default"/>
                <w:spacing w:val="-75"/>
                <w:sz w:val="21"/>
                <w:szCs w:val="21"/>
              </w:rPr>
              <w:t> </w:t>
            </w:r>
            <w:r>
              <w:rPr>
                <w:rFonts w:ascii="宋体" w:hAnsi="宋体" w:cs="宋体" w:eastAsia="宋体" w:hint="default"/>
                <w:spacing w:val="11"/>
                <w:sz w:val="21"/>
                <w:szCs w:val="21"/>
              </w:rPr>
              <w:t>荐代</w:t>
            </w:r>
            <w:r>
              <w:rPr>
                <w:rFonts w:ascii="宋体" w:hAnsi="宋体" w:cs="宋体" w:eastAsia="宋体" w:hint="default"/>
                <w:spacing w:val="-75"/>
                <w:sz w:val="21"/>
                <w:szCs w:val="21"/>
              </w:rPr>
              <w:t> </w:t>
            </w:r>
            <w:r>
              <w:rPr>
                <w:rFonts w:ascii="宋体" w:hAnsi="宋体" w:cs="宋体" w:eastAsia="宋体" w:hint="default"/>
                <w:sz w:val="21"/>
                <w:szCs w:val="21"/>
              </w:rPr>
              <w:t>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人姓名</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姚旭东、赵沛霖</w:t>
            </w:r>
          </w:p>
        </w:tc>
      </w:tr>
      <w:tr>
        <w:trPr>
          <w:trHeight w:val="283" w:hRule="exact"/>
        </w:trPr>
        <w:tc>
          <w:tcPr>
            <w:tcW w:w="2804"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920"/>
        </w:sectPr>
      </w:pPr>
    </w:p>
    <w:p>
      <w:pPr>
        <w:pStyle w:val="Heading2"/>
        <w:spacing w:line="240" w:lineRule="auto" w:before="26"/>
        <w:ind w:right="-18"/>
        <w:jc w:val="left"/>
        <w:rPr>
          <w:b w:val="0"/>
          <w:bCs w:val="0"/>
        </w:rPr>
      </w:pPr>
      <w:r>
        <w:rPr/>
        <w:t>七、</w:t>
      </w:r>
      <w:r>
        <w:rPr>
          <w:spacing w:val="-32"/>
        </w:rPr>
        <w:t> </w:t>
      </w:r>
      <w:r>
        <w:rPr/>
        <w:t>近三年主要会计数据和财务指标</w:t>
      </w:r>
      <w:r>
        <w:rPr>
          <w:b w:val="0"/>
          <w:bCs w:val="0"/>
        </w:rPr>
      </w:r>
    </w:p>
    <w:p>
      <w:pPr>
        <w:pStyle w:val="Heading2"/>
        <w:spacing w:line="240" w:lineRule="auto" w:before="56"/>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6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20"/>
          <w:cols w:num="2" w:equalWidth="0">
            <w:col w:w="3667" w:space="2854"/>
            <w:col w:w="2889"/>
          </w:cols>
        </w:sectPr>
      </w:pP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1951"/>
        <w:gridCol w:w="1985"/>
        <w:gridCol w:w="1985"/>
        <w:gridCol w:w="1275"/>
        <w:gridCol w:w="1985"/>
      </w:tblGrid>
      <w:tr>
        <w:trPr>
          <w:trHeight w:val="11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7"/>
              <w:ind w:left="105" w:right="104"/>
              <w:jc w:val="center"/>
              <w:rPr>
                <w:rFonts w:ascii="宋体" w:hAnsi="宋体" w:cs="宋体" w:eastAsia="宋体" w:hint="default"/>
                <w:sz w:val="21"/>
                <w:szCs w:val="21"/>
              </w:rPr>
            </w:pPr>
            <w:r>
              <w:rPr>
                <w:rFonts w:ascii="宋体" w:hAnsi="宋体" w:cs="宋体" w:eastAsia="宋体" w:hint="default"/>
                <w:sz w:val="21"/>
                <w:szCs w:val="21"/>
              </w:rPr>
              <w:t>本期比上年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1,569,315,656.18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1,501,729,289.87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sz w:val="21"/>
              </w:rPr>
              <w:t>4.50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1,361,356,934.31</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285,096,549.33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283,961,280.93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280,136,840.40</w:t>
            </w:r>
          </w:p>
        </w:tc>
      </w:tr>
      <w:tr>
        <w:trPr>
          <w:trHeight w:val="826"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东的扣除非经常性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损益的净利润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200,451,341.81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166,269,682.42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274,057,845.33</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226,240,861.62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213,138,551.46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6.15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306,479,308.67</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40" w:lineRule="auto"/>
              <w:ind w:left="263" w:right="104"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年末</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2,833,597,458.26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2,729,190,530.59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3.83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2,358,058,085.21</w:t>
            </w:r>
          </w:p>
        </w:tc>
      </w:tr>
      <w:tr>
        <w:trPr>
          <w:trHeight w:val="29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3,957,482,978.77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3,760,046,635.79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sz w:val="21"/>
              </w:rPr>
              <w:t>5.25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pacing w:val="-1"/>
                <w:sz w:val="21"/>
              </w:rPr>
              <w:t>3,282,871,188.53</w:t>
            </w:r>
          </w:p>
        </w:tc>
      </w:tr>
    </w:tbl>
    <w:p>
      <w:pPr>
        <w:pStyle w:val="Heading2"/>
        <w:tabs>
          <w:tab w:pos="1057" w:val="left" w:leader="none"/>
        </w:tabs>
        <w:spacing w:line="240" w:lineRule="auto" w:before="26"/>
        <w:ind w:right="28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1"/>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668"/>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4"/>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0.5493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0.5471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sz w:val="21"/>
              </w:rPr>
              <w:t>0.40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0.68</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0.5493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0.5471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sz w:val="21"/>
              </w:rPr>
              <w:t>0.40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0.68</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84"/>
              <w:jc w:val="right"/>
              <w:rPr>
                <w:rFonts w:ascii="宋体" w:hAnsi="宋体" w:cs="宋体" w:eastAsia="宋体" w:hint="default"/>
                <w:sz w:val="21"/>
                <w:szCs w:val="21"/>
              </w:rPr>
            </w:pPr>
            <w:r>
              <w:rPr>
                <w:rFonts w:ascii="宋体"/>
                <w:sz w:val="21"/>
              </w:rPr>
              <w:t>0.3862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0.3189</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1" w:right="0"/>
              <w:jc w:val="left"/>
              <w:rPr>
                <w:rFonts w:ascii="宋体" w:hAnsi="宋体" w:cs="宋体" w:eastAsia="宋体" w:hint="default"/>
                <w:sz w:val="21"/>
                <w:szCs w:val="21"/>
              </w:rPr>
            </w:pPr>
            <w:r>
              <w:rPr>
                <w:rFonts w:ascii="宋体"/>
                <w:sz w:val="21"/>
              </w:rPr>
              <w:t>21.10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0.67</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7"/>
              <w:jc w:val="right"/>
              <w:rPr>
                <w:rFonts w:ascii="宋体" w:hAnsi="宋体" w:cs="宋体" w:eastAsia="宋体" w:hint="default"/>
                <w:sz w:val="21"/>
                <w:szCs w:val="21"/>
              </w:rPr>
            </w:pPr>
            <w:r>
              <w:rPr>
                <w:rFonts w:ascii="宋体"/>
                <w:sz w:val="21"/>
              </w:rPr>
              <w:t>10.16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11.10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0.94</w:t>
            </w:r>
            <w:r>
              <w:rPr>
                <w:rFonts w:ascii="宋体" w:hAnsi="宋体" w:cs="宋体" w:eastAsia="宋体" w:hint="default"/>
                <w:sz w:val="21"/>
                <w:szCs w:val="21"/>
              </w:rPr>
              <w:t>个百</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分点</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19.78</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7.15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6.50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0.65</w:t>
            </w:r>
            <w:r>
              <w:rPr>
                <w:rFonts w:ascii="宋体" w:hAnsi="宋体" w:cs="宋体" w:eastAsia="宋体" w:hint="default"/>
                <w:sz w:val="21"/>
                <w:szCs w:val="21"/>
              </w:rPr>
              <w:t>个百</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分点</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19.45</w:t>
            </w:r>
          </w:p>
        </w:tc>
      </w:tr>
    </w:tbl>
    <w:p>
      <w:pPr>
        <w:pStyle w:val="BodyText"/>
        <w:spacing w:line="274" w:lineRule="exact" w:before="86"/>
        <w:ind w:right="289"/>
        <w:jc w:val="left"/>
      </w:pPr>
      <w:r>
        <w:rPr/>
        <w:t>报告期末公司前三年主要会计数据和财务指标的说明</w:t>
      </w:r>
    </w:p>
    <w:p>
      <w:pPr>
        <w:pStyle w:val="BodyText"/>
        <w:spacing w:line="274" w:lineRule="exact"/>
        <w:ind w:right="289"/>
        <w:jc w:val="left"/>
      </w:pPr>
      <w:r>
        <w:rPr/>
        <w:t>√适用</w:t>
      </w:r>
      <w:r>
        <w:rPr>
          <w:spacing w:val="-1"/>
        </w:rPr>
        <w:t> </w:t>
      </w:r>
      <w:r>
        <w:rPr/>
        <w:t>□不适用</w:t>
      </w:r>
    </w:p>
    <w:p>
      <w:pPr>
        <w:spacing w:after="0" w:line="274" w:lineRule="exact"/>
        <w:jc w:val="left"/>
        <w:sectPr>
          <w:type w:val="continuous"/>
          <w:pgSz w:w="11910" w:h="16840"/>
          <w:pgMar w:top="1120" w:bottom="1380" w:left="1580" w:right="920"/>
        </w:sectPr>
      </w:pPr>
    </w:p>
    <w:p>
      <w:pPr>
        <w:spacing w:line="240" w:lineRule="auto" w:before="4"/>
        <w:rPr>
          <w:rFonts w:ascii="宋体" w:hAnsi="宋体" w:cs="宋体" w:eastAsia="宋体" w:hint="default"/>
          <w:sz w:val="25"/>
          <w:szCs w:val="25"/>
        </w:rPr>
      </w:pPr>
    </w:p>
    <w:p>
      <w:pPr>
        <w:pStyle w:val="BodyText"/>
        <w:spacing w:line="357" w:lineRule="auto" w:before="36"/>
        <w:ind w:right="227" w:firstLine="419"/>
        <w:jc w:val="left"/>
      </w:pPr>
      <w:r>
        <w:rPr/>
        <w:t>归属于上市公司股东的扣除非经常性损益的净利润较上年同期增长</w:t>
      </w:r>
      <w:r>
        <w:rPr>
          <w:spacing w:val="-55"/>
        </w:rPr>
        <w:t> </w:t>
      </w:r>
      <w:r>
        <w:rPr>
          <w:rFonts w:ascii="宋体" w:hAnsi="宋体" w:cs="宋体" w:eastAsia="宋体" w:hint="default"/>
        </w:rPr>
        <w:t>20.56%</w:t>
      </w:r>
      <w:r>
        <w:rPr/>
        <w:t>，系公司在</w:t>
      </w:r>
      <w:r>
        <w:rPr>
          <w:spacing w:val="-55"/>
        </w:rPr>
        <w:t> </w:t>
      </w:r>
      <w:r>
        <w:rPr>
          <w:rFonts w:ascii="宋体" w:hAnsi="宋体" w:cs="宋体" w:eastAsia="宋体" w:hint="default"/>
        </w:rPr>
        <w:t>2017</w:t>
      </w:r>
      <w:r>
        <w:rPr>
          <w:rFonts w:ascii="宋体" w:hAnsi="宋体" w:cs="宋体" w:eastAsia="宋体" w:hint="default"/>
          <w:w w:val="100"/>
        </w:rPr>
        <w:t> </w:t>
      </w:r>
      <w:r>
        <w:rPr/>
        <w:t>年度推进经营模式升级基础上，</w:t>
      </w:r>
      <w:r>
        <w:rPr>
          <w:rFonts w:ascii="宋体" w:hAnsi="宋体" w:cs="宋体" w:eastAsia="宋体" w:hint="default"/>
        </w:rPr>
        <w:t>2018</w:t>
      </w:r>
      <w:r>
        <w:rPr>
          <w:rFonts w:ascii="宋体" w:hAnsi="宋体" w:cs="宋体" w:eastAsia="宋体" w:hint="default"/>
          <w:spacing w:val="-33"/>
        </w:rPr>
        <w:t> </w:t>
      </w:r>
      <w:r>
        <w:rPr>
          <w:spacing w:val="-3"/>
        </w:rPr>
        <w:t>年度盈利能力增强所致。另，本年非经常性损益对净利润产</w:t>
      </w:r>
      <w:r>
        <w:rPr>
          <w:spacing w:val="-96"/>
        </w:rPr>
        <w:t> </w:t>
      </w:r>
      <w:r>
        <w:rPr>
          <w:spacing w:val="-96"/>
        </w:rPr>
      </w:r>
      <w:r>
        <w:rPr/>
        <w:t>生的影响较上期略有下降。</w:t>
      </w:r>
    </w:p>
    <w:p>
      <w:pPr>
        <w:pStyle w:val="Heading2"/>
        <w:spacing w:line="240" w:lineRule="auto" w:before="90"/>
        <w:ind w:right="3319"/>
        <w:jc w:val="left"/>
        <w:rPr>
          <w:b w:val="0"/>
          <w:bCs w:val="0"/>
        </w:rPr>
      </w:pPr>
      <w:r>
        <w:rPr/>
        <w:t>八、</w:t>
      </w:r>
      <w:r>
        <w:rPr>
          <w:spacing w:val="-32"/>
        </w:rPr>
        <w:t> </w:t>
      </w:r>
      <w:r>
        <w:rPr/>
        <w:t>境内外会计准则下会计数据差异</w:t>
      </w:r>
      <w:r>
        <w:rPr>
          <w:b w:val="0"/>
          <w:bCs w:val="0"/>
        </w:rPr>
      </w:r>
    </w:p>
    <w:p>
      <w:pPr>
        <w:pStyle w:val="Heading2"/>
        <w:spacing w:line="272" w:lineRule="exact" w:before="86"/>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right="3319"/>
        <w:jc w:val="left"/>
      </w:pPr>
      <w:r>
        <w:rPr/>
        <w:t>□适用</w:t>
      </w:r>
      <w:r>
        <w:rPr>
          <w:spacing w:val="-1"/>
        </w:rPr>
        <w:t> </w:t>
      </w:r>
      <w:r>
        <w:rPr/>
        <w:t>√不适用</w:t>
      </w:r>
    </w:p>
    <w:p>
      <w:pPr>
        <w:pStyle w:val="Heading2"/>
        <w:spacing w:line="272" w:lineRule="exact" w:before="86"/>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right="3319"/>
        <w:jc w:val="left"/>
      </w:pPr>
      <w:r>
        <w:rPr/>
        <w:t>□适用</w:t>
      </w:r>
      <w:r>
        <w:rPr>
          <w:spacing w:val="-1"/>
        </w:rPr>
        <w:t> </w:t>
      </w:r>
      <w:r>
        <w:rPr/>
        <w:t>√不适用</w:t>
      </w:r>
    </w:p>
    <w:p>
      <w:pPr>
        <w:pStyle w:val="Heading2"/>
        <w:spacing w:line="240" w:lineRule="auto" w:before="56"/>
        <w:ind w:right="33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right="3319"/>
        <w:jc w:val="left"/>
      </w:pPr>
      <w:r>
        <w:rPr/>
        <w:t>□适用</w:t>
      </w:r>
      <w:r>
        <w:rPr>
          <w:spacing w:val="-1"/>
        </w:rPr>
        <w:t> </w:t>
      </w:r>
      <w:r>
        <w:rPr/>
        <w:t>√不适用</w:t>
      </w:r>
    </w:p>
    <w:p>
      <w:pPr>
        <w:pStyle w:val="Heading2"/>
        <w:spacing w:line="240" w:lineRule="auto" w:before="56"/>
        <w:ind w:right="3319"/>
        <w:jc w:val="left"/>
        <w:rPr>
          <w:b w:val="0"/>
          <w:bCs w:val="0"/>
        </w:rPr>
      </w:pPr>
      <w:r>
        <w:rPr/>
        <w:t>九、 </w:t>
      </w:r>
      <w:r>
        <w:rPr>
          <w:rFonts w:ascii="宋体" w:hAnsi="宋体" w:cs="宋体" w:eastAsia="宋体" w:hint="default"/>
        </w:rPr>
        <w:t>2018</w:t>
      </w:r>
      <w:r>
        <w:rPr>
          <w:rFonts w:ascii="宋体" w:hAnsi="宋体" w:cs="宋体" w:eastAsia="宋体" w:hint="default"/>
          <w:spacing w:val="-86"/>
        </w:rPr>
        <w:t> </w:t>
      </w:r>
      <w:r>
        <w:rPr/>
        <w:t>年分季度主要财务数据</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1702"/>
        <w:gridCol w:w="1844"/>
        <w:gridCol w:w="1844"/>
        <w:gridCol w:w="1709"/>
      </w:tblGrid>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245,171,777.14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347,046,368.59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373,948,564.42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603,148,946.03</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23,725,682.08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86,897,558.77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63,808,928.88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110,664,379.60</w:t>
            </w:r>
          </w:p>
        </w:tc>
      </w:tr>
      <w:tr>
        <w:trPr>
          <w:trHeight w:val="82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2" w:lineRule="exact" w:before="27"/>
              <w:ind w:left="103" w:right="153"/>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损益后的净利润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17,248,767.85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60,479,495.55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38,627,815.79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84,095,262.62</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-78,408,318.55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37,630,925.86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24,657,322.30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242,360,932.01</w:t>
            </w:r>
          </w:p>
        </w:tc>
      </w:tr>
    </w:tbl>
    <w:p>
      <w:pPr>
        <w:spacing w:after="0" w:line="240" w:lineRule="auto"/>
        <w:jc w:val="right"/>
        <w:rPr>
          <w:rFonts w:ascii="宋体" w:hAnsi="宋体" w:cs="宋体" w:eastAsia="宋体" w:hint="default"/>
          <w:sz w:val="21"/>
          <w:szCs w:val="21"/>
        </w:rPr>
        <w:sectPr>
          <w:pgSz w:w="11910" w:h="16840"/>
          <w:pgMar w:header="880" w:footer="1195" w:top="1120" w:bottom="1380" w:left="1580" w:right="1040"/>
        </w:sectPr>
      </w:pPr>
    </w:p>
    <w:p>
      <w:pPr>
        <w:pStyle w:val="BodyText"/>
        <w:spacing w:line="274" w:lineRule="exact" w:before="86"/>
        <w:ind w:right="0"/>
        <w:jc w:val="left"/>
      </w:pPr>
      <w:r>
        <w:rPr>
          <w:spacing w:val="-2"/>
        </w:rPr>
        <w:t>季度数据与已披露定期报告数据差异说明</w:t>
      </w:r>
    </w:p>
    <w:p>
      <w:pPr>
        <w:pStyle w:val="BodyText"/>
        <w:tabs>
          <w:tab w:pos="1060" w:val="left" w:leader="none"/>
        </w:tabs>
        <w:spacing w:line="274" w:lineRule="exact"/>
        <w:ind w:right="0"/>
        <w:jc w:val="left"/>
      </w:pPr>
      <w:r>
        <w:rPr>
          <w:spacing w:val="-1"/>
        </w:rPr>
        <w:t>□适用</w:t>
        <w:tab/>
      </w:r>
      <w:r>
        <w:rPr>
          <w:spacing w:val="-2"/>
        </w:rPr>
        <w:t>√不适用</w:t>
      </w:r>
    </w:p>
    <w:p>
      <w:pPr>
        <w:pStyle w:val="Heading2"/>
        <w:spacing w:line="240" w:lineRule="auto" w:before="56"/>
        <w:ind w:right="0"/>
        <w:jc w:val="left"/>
        <w:rPr>
          <w:b w:val="0"/>
          <w:bCs w:val="0"/>
        </w:rPr>
      </w:pPr>
      <w:r>
        <w:rPr/>
        <w:t>十、</w:t>
      </w:r>
      <w:r>
        <w:rPr>
          <w:spacing w:val="-31"/>
        </w:rPr>
        <w:t> </w:t>
      </w:r>
      <w:r>
        <w:rPr/>
        <w:t>非经常性损益项目和金额</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004" w:space="272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29"/>
        <w:gridCol w:w="1700"/>
        <w:gridCol w:w="958"/>
        <w:gridCol w:w="1688"/>
        <w:gridCol w:w="1476"/>
      </w:tblGrid>
      <w:tr>
        <w:trPr>
          <w:trHeight w:val="557"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67"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hanging="56"/>
              <w:jc w:val="left"/>
              <w:rPr>
                <w:rFonts w:ascii="宋体" w:hAnsi="宋体" w:cs="宋体" w:eastAsia="宋体" w:hint="default"/>
                <w:sz w:val="21"/>
                <w:szCs w:val="21"/>
              </w:rPr>
            </w:pPr>
            <w:r>
              <w:rPr>
                <w:rFonts w:ascii="宋体" w:hAnsi="宋体" w:cs="宋体" w:eastAsia="宋体" w:hint="default"/>
                <w:w w:val="100"/>
                <w:sz w:val="21"/>
                <w:szCs w:val="21"/>
              </w:rPr>
              <w:t>附</w:t>
            </w:r>
            <w:r>
              <w:rPr>
                <w:rFonts w:ascii="宋体" w:hAnsi="宋体" w:cs="宋体" w:eastAsia="宋体" w:hint="default"/>
                <w:spacing w:val="-101"/>
                <w:w w:val="100"/>
                <w:sz w:val="21"/>
                <w:szCs w:val="21"/>
              </w:rPr>
              <w:t>注</w:t>
            </w:r>
            <w:r>
              <w:rPr>
                <w:rFonts w:ascii="宋体" w:hAnsi="宋体" w:cs="宋体" w:eastAsia="宋体" w:hint="default"/>
                <w:w w:val="100"/>
                <w:sz w:val="21"/>
                <w:szCs w:val="21"/>
              </w:rPr>
              <w:t>（如</w:t>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sz w:val="21"/>
                <w:szCs w:val="21"/>
              </w:rPr>
              <w:t>适用）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年金额</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-253,133.52</w:t>
            </w: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42,177,325.52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34,912.91</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ind w:left="103" w:right="168"/>
              <w:jc w:val="both"/>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46,514,328.94</w:t>
            </w: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7" w:right="0"/>
              <w:jc w:val="center"/>
              <w:rPr>
                <w:rFonts w:ascii="宋体" w:hAnsi="宋体" w:cs="宋体" w:eastAsia="宋体" w:hint="default"/>
                <w:sz w:val="21"/>
                <w:szCs w:val="21"/>
              </w:rPr>
            </w:pPr>
            <w:r>
              <w:rPr>
                <w:rFonts w:ascii="宋体"/>
                <w:sz w:val="21"/>
              </w:rPr>
              <w:t>10,858,883.29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6,202,000.00</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w:t>
            </w:r>
          </w:p>
          <w:p>
            <w:pPr>
              <w:pStyle w:val="TableParagraph"/>
              <w:spacing w:line="237" w:lineRule="auto" w:before="2"/>
              <w:ind w:left="103" w:right="168"/>
              <w:jc w:val="both"/>
              <w:rPr>
                <w:rFonts w:ascii="宋体" w:hAnsi="宋体" w:cs="宋体" w:eastAsia="宋体" w:hint="default"/>
                <w:sz w:val="21"/>
                <w:szCs w:val="21"/>
              </w:rPr>
            </w:pPr>
            <w:r>
              <w:rPr>
                <w:rFonts w:ascii="宋体" w:hAnsi="宋体" w:cs="宋体" w:eastAsia="宋体" w:hint="default"/>
                <w:spacing w:val="-2"/>
                <w:sz w:val="21"/>
                <w:szCs w:val="21"/>
              </w:rPr>
              <w:t>营企业的投资成本小于取得投资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时应享有被投资单位可辨认净资</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产公允价值产生的收益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18,058,797.20</w:t>
            </w: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7" w:right="0"/>
              <w:jc w:val="center"/>
              <w:rPr>
                <w:rFonts w:ascii="宋体" w:hAnsi="宋体" w:cs="宋体" w:eastAsia="宋体" w:hint="default"/>
                <w:sz w:val="21"/>
                <w:szCs w:val="21"/>
              </w:rPr>
            </w:pPr>
            <w:r>
              <w:rPr>
                <w:rFonts w:ascii="宋体"/>
                <w:sz w:val="21"/>
              </w:rPr>
              <w:t>37,118,039.94</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29"/>
        <w:gridCol w:w="1700"/>
        <w:gridCol w:w="958"/>
        <w:gridCol w:w="1688"/>
        <w:gridCol w:w="1476"/>
      </w:tblGrid>
      <w:tr>
        <w:trPr>
          <w:trHeight w:val="28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害而计提的各项资产减值准备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91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168"/>
              <w:jc w:val="both"/>
              <w:rPr>
                <w:rFonts w:ascii="宋体" w:hAnsi="宋体" w:cs="宋体" w:eastAsia="宋体" w:hint="default"/>
                <w:sz w:val="21"/>
                <w:szCs w:val="21"/>
              </w:rPr>
            </w:pPr>
            <w:r>
              <w:rPr>
                <w:rFonts w:ascii="宋体" w:hAnsi="宋体" w:cs="宋体" w:eastAsia="宋体" w:hint="default"/>
                <w:spacing w:val="-2"/>
                <w:sz w:val="21"/>
                <w:szCs w:val="21"/>
              </w:rPr>
              <w:t>效套期保值业务外，持有交易性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金融资产、交易性金融负债产生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的公允价值变动损益，以及处置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交易性金融资产、交易性金融负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债和可供出售金融资产取得的投</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资收益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26,187,941.49</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40"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w:t>
            </w:r>
          </w:p>
          <w:p>
            <w:pPr>
              <w:pStyle w:val="TableParagraph"/>
              <w:spacing w:line="272" w:lineRule="exact" w:before="27"/>
              <w:ind w:left="103" w:right="168"/>
              <w:jc w:val="left"/>
              <w:rPr>
                <w:rFonts w:ascii="宋体" w:hAnsi="宋体" w:cs="宋体" w:eastAsia="宋体" w:hint="default"/>
                <w:sz w:val="21"/>
                <w:szCs w:val="21"/>
              </w:rPr>
            </w:pPr>
            <w:r>
              <w:rPr>
                <w:rFonts w:ascii="宋体" w:hAnsi="宋体" w:cs="宋体" w:eastAsia="宋体" w:hint="default"/>
                <w:spacing w:val="-2"/>
                <w:sz w:val="21"/>
                <w:szCs w:val="21"/>
              </w:rPr>
              <w:t>要求对当期损益进行一次性调整</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对当期损益的影响</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20,528,762.84</w:t>
            </w: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-143,199.42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-157,917.84</w:t>
            </w:r>
          </w:p>
        </w:tc>
      </w:tr>
      <w:tr>
        <w:trPr>
          <w:trHeight w:val="55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2,352,198.77</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16,452.06</w:t>
            </w: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-761,273.16</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-98,317.92</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84,645,207.52</w:t>
            </w:r>
          </w:p>
        </w:tc>
        <w:tc>
          <w:tcPr>
            <w:tcW w:w="95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117,691,598.51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6,078,995.07</w:t>
            </w:r>
          </w:p>
        </w:tc>
      </w:tr>
    </w:tbl>
    <w:p>
      <w:pPr>
        <w:spacing w:after="0" w:line="241" w:lineRule="exact"/>
        <w:jc w:val="center"/>
        <w:rPr>
          <w:rFonts w:ascii="宋体" w:hAnsi="宋体" w:cs="宋体" w:eastAsia="宋体" w:hint="default"/>
          <w:sz w:val="21"/>
          <w:szCs w:val="21"/>
        </w:rPr>
        <w:sectPr>
          <w:pgSz w:w="11910" w:h="16840"/>
          <w:pgMar w:header="880" w:footer="1195" w:top="1120" w:bottom="1380" w:left="1580" w:right="1040"/>
        </w:sectPr>
      </w:pPr>
    </w:p>
    <w:p>
      <w:pPr>
        <w:pStyle w:val="Heading2"/>
        <w:tabs>
          <w:tab w:pos="1057" w:val="left" w:leader="none"/>
        </w:tabs>
        <w:spacing w:line="240" w:lineRule="auto" w:before="26"/>
        <w:ind w:right="-7"/>
        <w:jc w:val="left"/>
        <w:rPr>
          <w:b w:val="0"/>
          <w:bCs w:val="0"/>
        </w:rPr>
      </w:pPr>
      <w:r>
        <w:rPr/>
        <w:t>十一、</w:t>
        <w:tab/>
      </w:r>
      <w:r>
        <w:rPr>
          <w:spacing w:val="-1"/>
        </w:rPr>
        <w:t>采用公允价值计量的项目</w:t>
      </w:r>
      <w:r>
        <w:rPr>
          <w:b w:val="0"/>
          <w:bCs w:val="0"/>
          <w:spacing w:val="-1"/>
        </w:rPr>
      </w:r>
    </w:p>
    <w:p>
      <w:pPr>
        <w:pStyle w:val="BodyText"/>
        <w:spacing w:line="240" w:lineRule="auto" w:before="56"/>
        <w:ind w:right="-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79" w:space="314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06"/>
        <w:gridCol w:w="1700"/>
        <w:gridCol w:w="1704"/>
        <w:gridCol w:w="1790"/>
        <w:gridCol w:w="1949"/>
      </w:tblGrid>
      <w:tr>
        <w:trPr>
          <w:trHeight w:val="554"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当期变动</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hAnsi="宋体" w:cs="宋体" w:eastAsia="宋体" w:hint="default"/>
                <w:sz w:val="21"/>
                <w:szCs w:val="21"/>
              </w:rPr>
              <w:t>对当期利润的影响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3"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193,020,296.14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82,772,571.24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-110,247,724.90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r>
        <w:trPr>
          <w:trHeight w:val="283" w:hRule="exact"/>
        </w:trPr>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sz w:val="21"/>
              </w:rPr>
              <w:t>193,020,296.14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82,772,571.24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-110,247,724.90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pStyle w:val="Heading2"/>
        <w:tabs>
          <w:tab w:pos="1057" w:val="left" w:leader="none"/>
        </w:tabs>
        <w:spacing w:line="240" w:lineRule="auto" w:before="26"/>
        <w:ind w:right="3319"/>
        <w:jc w:val="left"/>
        <w:rPr>
          <w:b w:val="0"/>
          <w:bCs w:val="0"/>
        </w:rPr>
      </w:pPr>
      <w:r>
        <w:rPr/>
        <w:t>十二、</w:t>
        <w:tab/>
        <w:t>其他</w:t>
      </w:r>
      <w:r>
        <w:rPr>
          <w:b w:val="0"/>
          <w:bCs w:val="0"/>
        </w:rPr>
      </w:r>
    </w:p>
    <w:p>
      <w:pPr>
        <w:pStyle w:val="BodyText"/>
        <w:spacing w:line="240" w:lineRule="auto" w:before="56"/>
        <w:ind w:right="3319"/>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1"/>
        <w:rPr>
          <w:rFonts w:ascii="宋体" w:hAnsi="宋体" w:cs="宋体" w:eastAsia="宋体" w:hint="default"/>
          <w:sz w:val="25"/>
          <w:szCs w:val="25"/>
        </w:rPr>
      </w:pPr>
    </w:p>
    <w:p>
      <w:pPr>
        <w:pStyle w:val="Heading1"/>
        <w:tabs>
          <w:tab w:pos="1262" w:val="left" w:leader="none"/>
        </w:tabs>
        <w:spacing w:line="240" w:lineRule="auto"/>
        <w:ind w:left="2" w:right="0"/>
        <w:jc w:val="center"/>
        <w:rPr>
          <w:b w:val="0"/>
          <w:bCs w:val="0"/>
        </w:rPr>
      </w:pPr>
      <w:bookmarkStart w:name="_TOC_250009" w:id="3"/>
      <w:r>
        <w:rPr>
          <w:w w:val="95"/>
        </w:rPr>
        <w:t>第三节</w:t>
        <w:tab/>
      </w:r>
      <w:r>
        <w:rPr/>
        <w:t>公司业务概要</w:t>
      </w:r>
      <w:bookmarkEnd w:id="3"/>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8" w:right="0"/>
        <w:jc w:val="both"/>
        <w:rPr>
          <w:b w:val="0"/>
          <w:bCs w:val="0"/>
        </w:rPr>
      </w:pPr>
      <w:r>
        <w:rPr/>
        <w:t>一、报告期内公司所从事的主要业务、经营模式及行业情况说明</w:t>
      </w:r>
      <w:r>
        <w:rPr>
          <w:b w:val="0"/>
          <w:bCs w:val="0"/>
        </w:rPr>
      </w:r>
    </w:p>
    <w:p>
      <w:pPr>
        <w:pStyle w:val="BodyText"/>
        <w:spacing w:line="314" w:lineRule="auto" w:before="135"/>
        <w:ind w:left="558" w:right="125"/>
        <w:jc w:val="left"/>
      </w:pPr>
      <w:r>
        <w:rPr/>
        <w:t>（一）公司主要业务及经营模式说明</w:t>
      </w:r>
      <w:r>
        <w:rPr>
          <w:w w:val="100"/>
        </w:rPr>
        <w:t> </w:t>
      </w:r>
      <w:r>
        <w:rPr>
          <w:spacing w:val="-2"/>
        </w:rPr>
        <w:t>公司是由新华社控股的传媒文化上市公司，是新华社构建“网上通讯社”的重要组成部分和</w:t>
      </w:r>
    </w:p>
    <w:p>
      <w:pPr>
        <w:pStyle w:val="BodyText"/>
        <w:spacing w:line="314" w:lineRule="auto" w:before="20"/>
        <w:ind w:left="138" w:right="128"/>
        <w:jc w:val="both"/>
      </w:pPr>
      <w:r>
        <w:rPr>
          <w:spacing w:val="-1"/>
        </w:rPr>
        <w:t>构建内外并重工作格局的重要实施单元，充分发挥网络平台优势，代表中国网络媒体在全球媒体</w:t>
      </w:r>
      <w:r>
        <w:rPr>
          <w:spacing w:val="-55"/>
        </w:rPr>
        <w:t> </w:t>
      </w:r>
      <w:r>
        <w:rPr>
          <w:spacing w:val="-55"/>
        </w:rPr>
      </w:r>
      <w:r>
        <w:rPr>
          <w:spacing w:val="-1"/>
        </w:rPr>
        <w:t>竞争中积极争夺国际话语权。依托新华社作为国家通讯社的权威地位和作为世界性通讯社的全球</w:t>
      </w:r>
      <w:r>
        <w:rPr>
          <w:spacing w:val="-55"/>
        </w:rPr>
        <w:t> </w:t>
      </w:r>
      <w:r>
        <w:rPr>
          <w:spacing w:val="-55"/>
        </w:rPr>
      </w:r>
      <w:r>
        <w:rPr>
          <w:spacing w:val="-6"/>
        </w:rPr>
        <w:t>信息网络，新华网拥有权威的内容资源、广泛的用户基础、优质的客户资源和强大的品牌影响力，</w:t>
      </w:r>
      <w:r>
        <w:rPr>
          <w:spacing w:val="-54"/>
        </w:rPr>
        <w:t> </w:t>
      </w:r>
      <w:r>
        <w:rPr>
          <w:spacing w:val="-54"/>
        </w:rPr>
      </w:r>
      <w:r>
        <w:rPr>
          <w:spacing w:val="-1"/>
        </w:rPr>
        <w:t>并以此为基础开展网络广告、信息服务、移动互联网、网络技术服务和数字内容等主营业务。报</w:t>
      </w:r>
      <w:r>
        <w:rPr>
          <w:spacing w:val="-55"/>
        </w:rPr>
        <w:t> </w:t>
      </w:r>
      <w:r>
        <w:rPr>
          <w:spacing w:val="-55"/>
        </w:rPr>
      </w:r>
      <w:r>
        <w:rPr/>
        <w:t>告期内，公司从事的主要业务及经营模式包括以下几类：</w:t>
      </w:r>
    </w:p>
    <w:p>
      <w:pPr>
        <w:pStyle w:val="BodyText"/>
        <w:spacing w:line="314" w:lineRule="auto" w:before="20"/>
        <w:ind w:left="138" w:right="127" w:firstLine="419"/>
        <w:jc w:val="both"/>
      </w:pPr>
      <w:r>
        <w:rPr>
          <w:rFonts w:ascii="宋体" w:hAnsi="宋体" w:cs="宋体" w:eastAsia="宋体" w:hint="default"/>
          <w:spacing w:val="-4"/>
        </w:rPr>
        <w:t>1</w:t>
      </w:r>
      <w:r>
        <w:rPr>
          <w:spacing w:val="-4"/>
        </w:rPr>
        <w:t>、网络广告业务：网络广告业务是本公司的重要收入来源，目前已形成全系列的广告发布形</w:t>
      </w:r>
      <w:r>
        <w:rPr>
          <w:w w:val="100"/>
        </w:rPr>
        <w:t> </w:t>
      </w:r>
      <w:r>
        <w:rPr>
          <w:spacing w:val="-5"/>
        </w:rPr>
        <w:t>态，覆盖新华网</w:t>
      </w:r>
      <w:r>
        <w:rPr>
          <w:spacing w:val="-25"/>
        </w:rPr>
        <w:t> </w:t>
      </w:r>
      <w:r>
        <w:rPr>
          <w:rFonts w:ascii="宋体" w:hAnsi="宋体" w:cs="宋体" w:eastAsia="宋体" w:hint="default"/>
        </w:rPr>
        <w:t>PC</w:t>
      </w:r>
      <w:r>
        <w:rPr>
          <w:rFonts w:ascii="宋体" w:hAnsi="宋体" w:cs="宋体" w:eastAsia="宋体" w:hint="default"/>
          <w:spacing w:val="-25"/>
        </w:rPr>
        <w:t> </w:t>
      </w:r>
      <w:r>
        <w:rPr>
          <w:spacing w:val="-4"/>
        </w:rPr>
        <w:t>端、客户端和手机新华网以及官方法人微信、微博，公司广告业务领域涉及快</w:t>
      </w:r>
      <w:r>
        <w:rPr>
          <w:spacing w:val="-93"/>
        </w:rPr>
        <w:t> </w:t>
      </w:r>
      <w:r>
        <w:rPr>
          <w:spacing w:val="-93"/>
        </w:rPr>
      </w:r>
      <w:r>
        <w:rPr>
          <w:spacing w:val="-1"/>
        </w:rPr>
        <w:t>消、金融、汽车、科技、能源、健康、旅游、时尚等主要行业，为客户提供全方位、全媒体的优</w:t>
      </w:r>
      <w:r>
        <w:rPr>
          <w:spacing w:val="-55"/>
        </w:rPr>
        <w:t> </w:t>
      </w:r>
      <w:r>
        <w:rPr>
          <w:spacing w:val="-55"/>
        </w:rPr>
      </w:r>
      <w:r>
        <w:rPr/>
        <w:t>质网络广告服务。</w:t>
      </w:r>
    </w:p>
    <w:p>
      <w:pPr>
        <w:pStyle w:val="BodyText"/>
        <w:spacing w:line="314" w:lineRule="auto" w:before="20"/>
        <w:ind w:left="138" w:right="128" w:firstLine="419"/>
        <w:jc w:val="both"/>
      </w:pPr>
      <w:r>
        <w:rPr>
          <w:rFonts w:ascii="宋体" w:hAnsi="宋体" w:cs="宋体" w:eastAsia="宋体" w:hint="default"/>
          <w:spacing w:val="-4"/>
        </w:rPr>
        <w:t>2</w:t>
      </w:r>
      <w:r>
        <w:rPr>
          <w:spacing w:val="-4"/>
        </w:rPr>
        <w:t>、信息服务业务：公司的信息服务包括多媒体信息服务、大数据智能分析服务，以及举办大</w:t>
      </w:r>
      <w:r>
        <w:rPr>
          <w:w w:val="100"/>
        </w:rPr>
        <w:t> </w:t>
      </w:r>
      <w:r>
        <w:rPr>
          <w:spacing w:val="-1"/>
        </w:rPr>
        <w:t>型论坛、会议活动等。公司经常性地为政府部门及企事业单位提供多媒体信息服务。作为国内最</w:t>
      </w:r>
      <w:r>
        <w:rPr>
          <w:spacing w:val="-55"/>
        </w:rPr>
        <w:t> </w:t>
      </w:r>
      <w:r>
        <w:rPr>
          <w:spacing w:val="-55"/>
        </w:rPr>
      </w:r>
      <w:r>
        <w:rPr>
          <w:spacing w:val="-1"/>
        </w:rPr>
        <w:t>早从事数据智能分析服务的专业机构之一，本公司推出在大数据智能分析基础上的系列服务和产</w:t>
      </w:r>
      <w:r>
        <w:rPr>
          <w:spacing w:val="-55"/>
        </w:rPr>
        <w:t> </w:t>
      </w:r>
      <w:r>
        <w:rPr>
          <w:spacing w:val="-55"/>
        </w:rPr>
      </w:r>
      <w:r>
        <w:rPr>
          <w:spacing w:val="-1"/>
        </w:rPr>
        <w:t>品，依托权威媒体平台、先进技术手段和阵容庞大的专家队伍，搭建开放平台、整合社会资源，</w:t>
      </w:r>
      <w:r>
        <w:rPr>
          <w:spacing w:val="-55"/>
        </w:rPr>
        <w:t> </w:t>
      </w:r>
      <w:r>
        <w:rPr>
          <w:spacing w:val="-55"/>
        </w:rPr>
      </w:r>
      <w:r>
        <w:rPr/>
        <w:t>以网络大数据采集、智能分析和研判为基础，为客户提供智库类高端产品和服务。</w:t>
      </w:r>
    </w:p>
    <w:p>
      <w:pPr>
        <w:pStyle w:val="BodyText"/>
        <w:spacing w:line="314" w:lineRule="auto" w:before="20"/>
        <w:ind w:left="138" w:right="128" w:firstLine="419"/>
        <w:jc w:val="both"/>
      </w:pPr>
      <w:r>
        <w:rPr>
          <w:rFonts w:ascii="宋体" w:hAnsi="宋体" w:cs="宋体" w:eastAsia="宋体" w:hint="default"/>
          <w:spacing w:val="-4"/>
        </w:rPr>
        <w:t>3</w:t>
      </w:r>
      <w:r>
        <w:rPr>
          <w:spacing w:val="-4"/>
        </w:rPr>
        <w:t>、移动互联网业务：公司拥有“新华网”客户端、手机新华网、新华网微博、微信和“新华</w:t>
      </w:r>
      <w:r>
        <w:rPr>
          <w:w w:val="100"/>
        </w:rPr>
        <w:t> </w:t>
      </w:r>
      <w:r>
        <w:rPr/>
        <w:t>视频”产品；拥有“4G</w:t>
      </w:r>
      <w:r>
        <w:rPr>
          <w:spacing w:val="-51"/>
        </w:rPr>
        <w:t> </w:t>
      </w:r>
      <w:r>
        <w:rPr/>
        <w:t>入口”/“5G</w:t>
      </w:r>
      <w:r>
        <w:rPr>
          <w:spacing w:val="-50"/>
        </w:rPr>
        <w:t> </w:t>
      </w:r>
      <w:r>
        <w:rPr/>
        <w:t>入口”、手机阅读、移动语音、手机视频、动漫游戏等移动</w:t>
      </w:r>
      <w:r>
        <w:rPr>
          <w:w w:val="100"/>
        </w:rPr>
        <w:t> </w:t>
      </w:r>
      <w:r>
        <w:rPr>
          <w:spacing w:val="-9"/>
        </w:rPr>
        <w:t>增值业务，拥有“互联网小镇”/“特色小镇”、“溯源中国”（含食品溯源、医保药品鉴证核查、</w:t>
      </w:r>
      <w:r>
        <w:rPr>
          <w:spacing w:val="-23"/>
        </w:rPr>
        <w:t> </w:t>
      </w:r>
      <w:r>
        <w:rPr>
          <w:spacing w:val="-23"/>
        </w:rPr>
      </w:r>
      <w:r>
        <w:rPr/>
        <w:t>工业物联网）等业务，同时，公司提供教育平台技术服务、在线教育服务和党建活动服务。</w:t>
      </w:r>
    </w:p>
    <w:p>
      <w:pPr>
        <w:pStyle w:val="BodyText"/>
        <w:spacing w:line="314" w:lineRule="auto" w:before="20"/>
        <w:ind w:left="138" w:right="128" w:firstLine="419"/>
        <w:jc w:val="both"/>
      </w:pPr>
      <w:r>
        <w:rPr>
          <w:rFonts w:ascii="宋体" w:hAnsi="宋体" w:cs="宋体" w:eastAsia="宋体" w:hint="default"/>
          <w:spacing w:val="-4"/>
        </w:rPr>
        <w:t>4</w:t>
      </w:r>
      <w:r>
        <w:rPr>
          <w:spacing w:val="-4"/>
        </w:rPr>
        <w:t>、网络技术服务业务：本公司凭借中央重点新闻网站的强大公信力、丰富的采编内容资源以</w:t>
      </w:r>
      <w:r>
        <w:rPr>
          <w:w w:val="100"/>
        </w:rPr>
        <w:t> </w:t>
      </w:r>
      <w:r>
        <w:rPr>
          <w:spacing w:val="-1"/>
        </w:rPr>
        <w:t>及先进的网站建设技术，为各级政府、企事业单位提供专业的网站建设、内容管理、运行维护、</w:t>
      </w:r>
      <w:r>
        <w:rPr>
          <w:spacing w:val="-55"/>
        </w:rPr>
        <w:t> </w:t>
      </w:r>
      <w:r>
        <w:rPr>
          <w:spacing w:val="-55"/>
        </w:rPr>
      </w:r>
      <w:r>
        <w:rPr>
          <w:spacing w:val="-1"/>
        </w:rPr>
        <w:t>技术保障等服务，建立起国内规模最大的政府网站集群之一。依托云计算基础设施，以视频云直</w:t>
      </w:r>
      <w:r>
        <w:rPr>
          <w:spacing w:val="-55"/>
        </w:rPr>
        <w:t> </w:t>
      </w:r>
      <w:r>
        <w:rPr>
          <w:spacing w:val="-55"/>
        </w:rPr>
      </w:r>
      <w:r>
        <w:rPr>
          <w:spacing w:val="-1"/>
        </w:rPr>
        <w:t>播、内容云安全、云注册报名系统等产品为核心，提供全线覆盖的云服务解决方案和融合媒体解</w:t>
      </w:r>
      <w:r>
        <w:rPr>
          <w:spacing w:val="-55"/>
        </w:rPr>
        <w:t> </w:t>
      </w:r>
      <w:r>
        <w:rPr>
          <w:spacing w:val="-55"/>
        </w:rPr>
      </w:r>
      <w:r>
        <w:rPr/>
        <w:t>决方案。</w:t>
      </w:r>
    </w:p>
    <w:p>
      <w:pPr>
        <w:pStyle w:val="BodyText"/>
        <w:spacing w:line="314" w:lineRule="auto" w:before="20"/>
        <w:ind w:left="138" w:right="128" w:firstLine="419"/>
        <w:jc w:val="both"/>
      </w:pPr>
      <w:r>
        <w:rPr>
          <w:rFonts w:ascii="宋体" w:hAnsi="宋体" w:cs="宋体" w:eastAsia="宋体" w:hint="default"/>
        </w:rPr>
        <w:t>5</w:t>
      </w:r>
      <w:r>
        <w:rPr/>
        <w:t>、数字内容业务：数字内容产业是信息技术与文化创意高度融合的创新产业形态，是</w:t>
      </w:r>
      <w:r>
        <w:rPr>
          <w:spacing w:val="-50"/>
        </w:rPr>
        <w:t> </w:t>
      </w:r>
      <w:r>
        <w:rPr>
          <w:rFonts w:ascii="宋体" w:hAnsi="宋体" w:cs="宋体" w:eastAsia="宋体" w:hint="default"/>
        </w:rPr>
        <w:t>5G</w:t>
      </w:r>
      <w:r>
        <w:rPr>
          <w:rFonts w:ascii="宋体" w:hAnsi="宋体" w:cs="宋体" w:eastAsia="宋体" w:hint="default"/>
          <w:spacing w:val="-50"/>
        </w:rPr>
        <w:t> </w:t>
      </w:r>
      <w:r>
        <w:rPr/>
        <w:t>时</w:t>
      </w:r>
      <w:r>
        <w:rPr>
          <w:w w:val="100"/>
        </w:rPr>
        <w:t> </w:t>
      </w:r>
      <w:r>
        <w:rPr>
          <w:spacing w:val="-1"/>
        </w:rPr>
        <w:t>代数字经济的核心支撑，公司依托专业的人才团队、先进的技术设施和丰富的内容生产经验，利</w:t>
      </w:r>
      <w:r>
        <w:rPr>
          <w:spacing w:val="-55"/>
        </w:rPr>
        <w:t> </w:t>
      </w:r>
      <w:r>
        <w:rPr>
          <w:spacing w:val="-55"/>
        </w:rPr>
      </w:r>
      <w:r>
        <w:rPr>
          <w:spacing w:val="-1"/>
        </w:rPr>
        <w:t>用人工智能、虚拟现实、增强现实、混合现实、创意数字影视、创意艺术视觉、无人机等现代数</w:t>
      </w:r>
      <w:r>
        <w:rPr>
          <w:spacing w:val="-55"/>
        </w:rPr>
        <w:t> </w:t>
      </w:r>
      <w:r>
        <w:rPr>
          <w:spacing w:val="-55"/>
        </w:rPr>
      </w:r>
      <w:r>
        <w:rPr>
          <w:spacing w:val="-6"/>
        </w:rPr>
        <w:t>字技术，瞄准视频化、移动化、知识化、智能化方向进行融合形态数字内容的创意、策划、设计、</w:t>
      </w:r>
      <w:r>
        <w:rPr>
          <w:spacing w:val="-52"/>
        </w:rPr>
        <w:t> </w:t>
      </w:r>
      <w:r>
        <w:rPr>
          <w:spacing w:val="-52"/>
        </w:rPr>
      </w:r>
      <w:r>
        <w:rPr/>
        <w:t>开发、制作和跨平台销售。</w:t>
      </w:r>
    </w:p>
    <w:p>
      <w:pPr>
        <w:pStyle w:val="BodyText"/>
        <w:spacing w:line="314" w:lineRule="auto" w:before="20"/>
        <w:ind w:left="558" w:right="137"/>
        <w:jc w:val="left"/>
      </w:pPr>
      <w:r>
        <w:rPr/>
        <w:t>（二）行业情况说明</w:t>
      </w:r>
      <w:r>
        <w:rPr>
          <w:w w:val="100"/>
        </w:rPr>
        <w:t> </w:t>
      </w:r>
      <w:r>
        <w:rPr>
          <w:spacing w:val="-2"/>
        </w:rPr>
        <w:t>随着我国经济的快速增长，我国互联网行业也呈现出高速发展的良好态势。</w:t>
      </w:r>
      <w:r>
        <w:rPr>
          <w:spacing w:val="-42"/>
        </w:rPr>
        <w:t> </w:t>
      </w:r>
      <w:r>
        <w:rPr>
          <w:spacing w:val="-42"/>
        </w:rPr>
      </w:r>
      <w:r>
        <w:rPr>
          <w:rFonts w:ascii="宋体" w:hAnsi="宋体" w:cs="宋体" w:eastAsia="宋体" w:hint="default"/>
        </w:rPr>
        <w:t>1</w:t>
      </w:r>
      <w:r>
        <w:rPr/>
        <w:t>、总体网民规模</w:t>
      </w:r>
    </w:p>
    <w:p>
      <w:pPr>
        <w:pStyle w:val="BodyText"/>
        <w:spacing w:line="240" w:lineRule="auto" w:before="20"/>
        <w:ind w:left="558" w:right="0"/>
        <w:jc w:val="left"/>
        <w:rPr>
          <w:rFonts w:ascii="宋体" w:hAnsi="宋体" w:cs="宋体" w:eastAsia="宋体" w:hint="default"/>
        </w:rPr>
      </w:pPr>
      <w:r>
        <w:rPr/>
        <w:t>根据</w:t>
      </w:r>
      <w:r>
        <w:rPr>
          <w:spacing w:val="-34"/>
        </w:rPr>
        <w:t> </w:t>
      </w:r>
      <w:r>
        <w:rPr>
          <w:rFonts w:ascii="宋体" w:hAnsi="宋体" w:cs="宋体" w:eastAsia="宋体" w:hint="default"/>
        </w:rPr>
        <w:t>CNNIC</w:t>
      </w:r>
      <w:r>
        <w:rPr>
          <w:rFonts w:ascii="宋体" w:hAnsi="宋体" w:cs="宋体" w:eastAsia="宋体" w:hint="default"/>
          <w:spacing w:val="-35"/>
        </w:rPr>
        <w:t> </w:t>
      </w:r>
      <w:r>
        <w:rPr/>
        <w:t>统计数据，截至</w:t>
      </w:r>
      <w:r>
        <w:rPr>
          <w:spacing w:val="-34"/>
        </w:rPr>
        <w:t> </w:t>
      </w:r>
      <w:r>
        <w:rPr>
          <w:rFonts w:ascii="宋体" w:hAnsi="宋体" w:cs="宋体" w:eastAsia="宋体" w:hint="default"/>
        </w:rPr>
        <w:t>2018</w:t>
      </w:r>
      <w:r>
        <w:rPr>
          <w:rFonts w:ascii="宋体" w:hAnsi="宋体" w:cs="宋体" w:eastAsia="宋体" w:hint="default"/>
          <w:spacing w:val="-37"/>
        </w:rPr>
        <w:t> </w:t>
      </w:r>
      <w:r>
        <w:rPr/>
        <w:t>年</w:t>
      </w:r>
      <w:r>
        <w:rPr>
          <w:spacing w:val="-34"/>
        </w:rPr>
        <w:t> </w:t>
      </w:r>
      <w:r>
        <w:rPr>
          <w:rFonts w:ascii="宋体" w:hAnsi="宋体" w:cs="宋体" w:eastAsia="宋体" w:hint="default"/>
        </w:rPr>
        <w:t>12</w:t>
      </w:r>
      <w:r>
        <w:rPr>
          <w:rFonts w:ascii="宋体" w:hAnsi="宋体" w:cs="宋体" w:eastAsia="宋体" w:hint="default"/>
          <w:spacing w:val="-37"/>
        </w:rPr>
        <w:t> </w:t>
      </w:r>
      <w:r>
        <w:rPr/>
        <w:t>月，我国网民规模为</w:t>
      </w:r>
      <w:r>
        <w:rPr>
          <w:spacing w:val="-34"/>
        </w:rPr>
        <w:t> </w:t>
      </w:r>
      <w:r>
        <w:rPr>
          <w:rFonts w:ascii="宋体" w:hAnsi="宋体" w:cs="宋体" w:eastAsia="宋体" w:hint="default"/>
        </w:rPr>
        <w:t>8.29</w:t>
      </w:r>
      <w:r>
        <w:rPr>
          <w:rFonts w:ascii="宋体" w:hAnsi="宋体" w:cs="宋体" w:eastAsia="宋体" w:hint="default"/>
          <w:spacing w:val="-37"/>
        </w:rPr>
        <w:t> </w:t>
      </w:r>
      <w:r>
        <w:rPr/>
        <w:t>亿，全年新增网民</w:t>
      </w:r>
      <w:r>
        <w:rPr>
          <w:spacing w:val="-34"/>
        </w:rPr>
        <w:t> </w:t>
      </w:r>
      <w:r>
        <w:rPr>
          <w:rFonts w:ascii="宋体" w:hAnsi="宋体" w:cs="宋体" w:eastAsia="宋体" w:hint="default"/>
        </w:rPr>
        <w:t>5,653</w:t>
      </w:r>
    </w:p>
    <w:p>
      <w:pPr>
        <w:pStyle w:val="BodyText"/>
        <w:spacing w:line="240" w:lineRule="auto" w:before="85"/>
        <w:ind w:left="138" w:right="0"/>
        <w:jc w:val="both"/>
      </w:pPr>
      <w:r>
        <w:rPr/>
        <w:t>万，互联网普及率达</w:t>
      </w:r>
      <w:r>
        <w:rPr>
          <w:spacing w:val="-53"/>
        </w:rPr>
        <w:t> </w:t>
      </w:r>
      <w:r>
        <w:rPr>
          <w:rFonts w:ascii="宋体" w:hAnsi="宋体" w:cs="宋体" w:eastAsia="宋体" w:hint="default"/>
        </w:rPr>
        <w:t>59.6%</w:t>
      </w:r>
      <w:r>
        <w:rPr/>
        <w:t>，较</w:t>
      </w:r>
      <w:r>
        <w:rPr>
          <w:spacing w:val="-55"/>
        </w:rPr>
        <w:t> </w:t>
      </w:r>
      <w:r>
        <w:rPr>
          <w:rFonts w:ascii="宋体" w:hAnsi="宋体" w:cs="宋体" w:eastAsia="宋体" w:hint="default"/>
        </w:rPr>
        <w:t>2017</w:t>
      </w:r>
      <w:r>
        <w:rPr>
          <w:rFonts w:ascii="宋体" w:hAnsi="宋体" w:cs="宋体" w:eastAsia="宋体" w:hint="default"/>
          <w:spacing w:val="-55"/>
        </w:rPr>
        <w:t> </w:t>
      </w:r>
      <w:r>
        <w:rPr/>
        <w:t>年底提升</w:t>
      </w:r>
      <w:r>
        <w:rPr>
          <w:spacing w:val="-53"/>
        </w:rPr>
        <w:t> </w:t>
      </w:r>
      <w:r>
        <w:rPr>
          <w:rFonts w:ascii="宋体" w:hAnsi="宋体" w:cs="宋体" w:eastAsia="宋体" w:hint="default"/>
        </w:rPr>
        <w:t>3.8</w:t>
      </w:r>
      <w:r>
        <w:rPr>
          <w:rFonts w:ascii="宋体" w:hAnsi="宋体" w:cs="宋体" w:eastAsia="宋体" w:hint="default"/>
          <w:spacing w:val="-55"/>
        </w:rPr>
        <w:t> </w:t>
      </w:r>
      <w:r>
        <w:rPr/>
        <w:t>个百分点。</w:t>
      </w:r>
    </w:p>
    <w:p>
      <w:pPr>
        <w:spacing w:after="0" w:line="240"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line="3427" w:lineRule="exact"/>
        <w:ind w:left="1420"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3552725" cy="21762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2" cstate="print"/>
                    <a:stretch>
                      <a:fillRect/>
                    </a:stretch>
                  </pic:blipFill>
                  <pic:spPr>
                    <a:xfrm>
                      <a:off x="0" y="0"/>
                      <a:ext cx="3552725" cy="2176272"/>
                    </a:xfrm>
                    <a:prstGeom prst="rect">
                      <a:avLst/>
                    </a:prstGeom>
                  </pic:spPr>
                </pic:pic>
              </a:graphicData>
            </a:graphic>
          </wp:inline>
        </w:drawing>
      </w:r>
      <w:r>
        <w:rPr>
          <w:rFonts w:ascii="宋体" w:hAnsi="宋体" w:cs="宋体" w:eastAsia="宋体" w:hint="default"/>
          <w:position w:val="-68"/>
          <w:sz w:val="20"/>
          <w:szCs w:val="20"/>
        </w:rPr>
      </w:r>
    </w:p>
    <w:p>
      <w:pPr>
        <w:pStyle w:val="BodyText"/>
        <w:spacing w:line="240" w:lineRule="auto" w:before="40"/>
        <w:ind w:left="558" w:right="125"/>
        <w:jc w:val="left"/>
      </w:pPr>
      <w:r>
        <w:rPr>
          <w:rFonts w:ascii="宋体" w:hAnsi="宋体" w:cs="宋体" w:eastAsia="宋体" w:hint="default"/>
        </w:rPr>
        <w:t>2</w:t>
      </w:r>
      <w:r>
        <w:rPr/>
        <w:t>、手机网民规模</w:t>
      </w:r>
    </w:p>
    <w:p>
      <w:pPr>
        <w:pStyle w:val="BodyText"/>
        <w:spacing w:line="240" w:lineRule="auto" w:before="85"/>
        <w:ind w:left="558" w:right="0"/>
        <w:jc w:val="left"/>
      </w:pPr>
      <w:r>
        <w:rPr/>
        <w:t>根据</w:t>
      </w:r>
      <w:r>
        <w:rPr>
          <w:spacing w:val="-47"/>
        </w:rPr>
        <w:t> </w:t>
      </w:r>
      <w:r>
        <w:rPr>
          <w:rFonts w:ascii="宋体" w:hAnsi="宋体" w:cs="宋体" w:eastAsia="宋体" w:hint="default"/>
        </w:rPr>
        <w:t>CNNIC</w:t>
      </w:r>
      <w:r>
        <w:rPr>
          <w:rFonts w:ascii="宋体" w:hAnsi="宋体" w:cs="宋体" w:eastAsia="宋体" w:hint="default"/>
          <w:spacing w:val="-49"/>
        </w:rPr>
        <w:t> </w:t>
      </w:r>
      <w:r>
        <w:rPr>
          <w:spacing w:val="-6"/>
        </w:rPr>
        <w:t>统计数据，截至</w:t>
      </w:r>
      <w:r>
        <w:rPr>
          <w:spacing w:val="-46"/>
        </w:rPr>
        <w:t> </w:t>
      </w:r>
      <w:r>
        <w:rPr>
          <w:rFonts w:ascii="宋体" w:hAnsi="宋体" w:cs="宋体" w:eastAsia="宋体" w:hint="default"/>
        </w:rPr>
        <w:t>2018</w:t>
      </w:r>
      <w:r>
        <w:rPr>
          <w:rFonts w:ascii="宋体" w:hAnsi="宋体" w:cs="宋体" w:eastAsia="宋体" w:hint="default"/>
          <w:spacing w:val="-47"/>
        </w:rPr>
        <w:t> </w:t>
      </w:r>
      <w:r>
        <w:rPr/>
        <w:t>年</w:t>
      </w:r>
      <w:r>
        <w:rPr>
          <w:spacing w:val="-49"/>
        </w:rPr>
        <w:t> </w:t>
      </w:r>
      <w:r>
        <w:rPr>
          <w:rFonts w:ascii="宋体" w:hAnsi="宋体" w:cs="宋体" w:eastAsia="宋体" w:hint="default"/>
        </w:rPr>
        <w:t>12</w:t>
      </w:r>
      <w:r>
        <w:rPr>
          <w:rFonts w:ascii="宋体" w:hAnsi="宋体" w:cs="宋体" w:eastAsia="宋体" w:hint="default"/>
          <w:spacing w:val="-47"/>
        </w:rPr>
        <w:t> </w:t>
      </w:r>
      <w:r>
        <w:rPr>
          <w:spacing w:val="-5"/>
        </w:rPr>
        <w:t>月，我国手机网民规模达</w:t>
      </w:r>
      <w:r>
        <w:rPr>
          <w:spacing w:val="-47"/>
        </w:rPr>
        <w:t> </w:t>
      </w:r>
      <w:r>
        <w:rPr>
          <w:rFonts w:ascii="宋体" w:hAnsi="宋体" w:cs="宋体" w:eastAsia="宋体" w:hint="default"/>
        </w:rPr>
        <w:t>8.17</w:t>
      </w:r>
      <w:r>
        <w:rPr>
          <w:rFonts w:ascii="宋体" w:hAnsi="宋体" w:cs="宋体" w:eastAsia="宋体" w:hint="default"/>
          <w:spacing w:val="-49"/>
        </w:rPr>
        <w:t> </w:t>
      </w:r>
      <w:r>
        <w:rPr>
          <w:spacing w:val="-5"/>
        </w:rPr>
        <w:t>亿，全年新增手机网民</w:t>
      </w:r>
    </w:p>
    <w:p>
      <w:pPr>
        <w:pStyle w:val="BodyText"/>
        <w:spacing w:line="240" w:lineRule="auto" w:before="85"/>
        <w:ind w:left="138" w:right="125"/>
        <w:jc w:val="left"/>
      </w:pPr>
      <w:r>
        <w:rPr>
          <w:rFonts w:ascii="宋体" w:hAnsi="宋体" w:cs="宋体" w:eastAsia="宋体" w:hint="default"/>
        </w:rPr>
        <w:t>6,433</w:t>
      </w:r>
      <w:r>
        <w:rPr>
          <w:rFonts w:ascii="宋体" w:hAnsi="宋体" w:cs="宋体" w:eastAsia="宋体" w:hint="default"/>
          <w:spacing w:val="-56"/>
        </w:rPr>
        <w:t> </w:t>
      </w:r>
      <w:r>
        <w:rPr/>
        <w:t>万；网民中使用手机上网的比例由</w:t>
      </w:r>
      <w:r>
        <w:rPr>
          <w:spacing w:val="-54"/>
        </w:rPr>
        <w:t> </w:t>
      </w:r>
      <w:r>
        <w:rPr>
          <w:rFonts w:ascii="宋体" w:hAnsi="宋体" w:cs="宋体" w:eastAsia="宋体" w:hint="default"/>
        </w:rPr>
        <w:t>2017</w:t>
      </w:r>
      <w:r>
        <w:rPr>
          <w:rFonts w:ascii="宋体" w:hAnsi="宋体" w:cs="宋体" w:eastAsia="宋体" w:hint="default"/>
          <w:spacing w:val="-54"/>
        </w:rPr>
        <w:t> </w:t>
      </w:r>
      <w:r>
        <w:rPr/>
        <w:t>年底的</w:t>
      </w:r>
      <w:r>
        <w:rPr>
          <w:spacing w:val="-54"/>
        </w:rPr>
        <w:t> </w:t>
      </w:r>
      <w:r>
        <w:rPr>
          <w:rFonts w:ascii="宋体" w:hAnsi="宋体" w:cs="宋体" w:eastAsia="宋体" w:hint="default"/>
        </w:rPr>
        <w:t>97.5%</w:t>
      </w:r>
      <w:r>
        <w:rPr/>
        <w:t>提升至</w:t>
      </w:r>
      <w:r>
        <w:rPr>
          <w:spacing w:val="-56"/>
        </w:rPr>
        <w:t> </w:t>
      </w:r>
      <w:r>
        <w:rPr>
          <w:rFonts w:ascii="宋体" w:hAnsi="宋体" w:cs="宋体" w:eastAsia="宋体" w:hint="default"/>
        </w:rPr>
        <w:t>2018</w:t>
      </w:r>
      <w:r>
        <w:rPr>
          <w:rFonts w:ascii="宋体" w:hAnsi="宋体" w:cs="宋体" w:eastAsia="宋体" w:hint="default"/>
          <w:spacing w:val="-54"/>
        </w:rPr>
        <w:t> </w:t>
      </w:r>
      <w:r>
        <w:rPr/>
        <w:t>年底的</w:t>
      </w:r>
      <w:r>
        <w:rPr>
          <w:spacing w:val="-54"/>
        </w:rPr>
        <w:t> </w:t>
      </w:r>
      <w:r>
        <w:rPr>
          <w:rFonts w:ascii="宋体" w:hAnsi="宋体" w:cs="宋体" w:eastAsia="宋体" w:hint="default"/>
        </w:rPr>
        <w:t>98.6%</w:t>
      </w:r>
      <w:r>
        <w:rPr/>
        <w:t>。</w:t>
      </w:r>
    </w:p>
    <w:p>
      <w:pPr>
        <w:spacing w:line="240" w:lineRule="auto" w:before="0"/>
        <w:rPr>
          <w:rFonts w:ascii="宋体" w:hAnsi="宋体" w:cs="宋体" w:eastAsia="宋体" w:hint="default"/>
          <w:sz w:val="25"/>
          <w:szCs w:val="25"/>
        </w:rPr>
      </w:pPr>
    </w:p>
    <w:p>
      <w:pPr>
        <w:spacing w:line="3102" w:lineRule="exact"/>
        <w:ind w:left="1330"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3628510" cy="196977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3628510" cy="1969770"/>
                    </a:xfrm>
                    <a:prstGeom prst="rect">
                      <a:avLst/>
                    </a:prstGeom>
                  </pic:spPr>
                </pic:pic>
              </a:graphicData>
            </a:graphic>
          </wp:inline>
        </w:drawing>
      </w:r>
      <w:r>
        <w:rPr>
          <w:rFonts w:ascii="宋体" w:hAnsi="宋体" w:cs="宋体" w:eastAsia="宋体" w:hint="default"/>
          <w:position w:val="-61"/>
          <w:sz w:val="20"/>
          <w:szCs w:val="20"/>
        </w:rPr>
      </w:r>
    </w:p>
    <w:p>
      <w:pPr>
        <w:spacing w:line="240" w:lineRule="auto" w:before="7"/>
        <w:rPr>
          <w:rFonts w:ascii="宋体" w:hAnsi="宋体" w:cs="宋体" w:eastAsia="宋体" w:hint="default"/>
          <w:sz w:val="19"/>
          <w:szCs w:val="19"/>
        </w:rPr>
      </w:pPr>
    </w:p>
    <w:p>
      <w:pPr>
        <w:pStyle w:val="BodyText"/>
        <w:spacing w:line="240" w:lineRule="auto"/>
        <w:ind w:left="558" w:right="125"/>
        <w:jc w:val="left"/>
      </w:pPr>
      <w:r>
        <w:rPr>
          <w:rFonts w:ascii="宋体" w:hAnsi="宋体" w:cs="宋体" w:eastAsia="宋体" w:hint="default"/>
        </w:rPr>
        <w:t>3</w:t>
      </w:r>
      <w:r>
        <w:rPr/>
        <w:t>、网络新闻</w:t>
      </w:r>
    </w:p>
    <w:p>
      <w:pPr>
        <w:pStyle w:val="BodyText"/>
        <w:spacing w:line="314" w:lineRule="auto" w:before="85"/>
        <w:ind w:left="138" w:right="125" w:firstLine="419"/>
        <w:jc w:val="left"/>
      </w:pPr>
      <w:r>
        <w:rPr/>
        <w:t>根据</w:t>
      </w:r>
      <w:r>
        <w:rPr>
          <w:spacing w:val="-53"/>
        </w:rPr>
        <w:t> </w:t>
      </w:r>
      <w:r>
        <w:rPr>
          <w:rFonts w:ascii="宋体" w:hAnsi="宋体" w:cs="宋体" w:eastAsia="宋体" w:hint="default"/>
        </w:rPr>
        <w:t>CNNIC</w:t>
      </w:r>
      <w:r>
        <w:rPr>
          <w:rFonts w:ascii="宋体" w:hAnsi="宋体" w:cs="宋体" w:eastAsia="宋体" w:hint="default"/>
          <w:spacing w:val="-55"/>
        </w:rPr>
        <w:t> </w:t>
      </w:r>
      <w:r>
        <w:rPr/>
        <w:t>统计数据，截至</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月，我国网络新闻用户规模达</w:t>
      </w:r>
      <w:r>
        <w:rPr>
          <w:spacing w:val="-53"/>
        </w:rPr>
        <w:t> </w:t>
      </w:r>
      <w:r>
        <w:rPr>
          <w:rFonts w:ascii="宋体" w:hAnsi="宋体" w:cs="宋体" w:eastAsia="宋体" w:hint="default"/>
        </w:rPr>
        <w:t>6.75</w:t>
      </w:r>
      <w:r>
        <w:rPr>
          <w:rFonts w:ascii="宋体" w:hAnsi="宋体" w:cs="宋体" w:eastAsia="宋体" w:hint="default"/>
          <w:spacing w:val="-55"/>
        </w:rPr>
        <w:t> </w:t>
      </w:r>
      <w:r>
        <w:rPr/>
        <w:t>亿，年增长率为</w:t>
      </w:r>
      <w:r>
        <w:rPr>
          <w:w w:val="100"/>
        </w:rPr>
        <w:t> </w:t>
      </w:r>
      <w:r>
        <w:rPr>
          <w:rFonts w:ascii="宋体" w:hAnsi="宋体" w:cs="宋体" w:eastAsia="宋体" w:hint="default"/>
        </w:rPr>
        <w:t>4.3%</w:t>
      </w:r>
      <w:r>
        <w:rPr/>
        <w:t>，网民使用比例为</w:t>
      </w:r>
      <w:r>
        <w:rPr>
          <w:spacing w:val="-56"/>
        </w:rPr>
        <w:t> </w:t>
      </w:r>
      <w:r>
        <w:rPr>
          <w:rFonts w:ascii="宋体" w:hAnsi="宋体" w:cs="宋体" w:eastAsia="宋体" w:hint="default"/>
        </w:rPr>
        <w:t>81.4%</w:t>
      </w:r>
      <w:r>
        <w:rPr/>
        <w:t>。手机网络新闻用户规模达</w:t>
      </w:r>
      <w:r>
        <w:rPr>
          <w:spacing w:val="-57"/>
        </w:rPr>
        <w:t> </w:t>
      </w:r>
      <w:r>
        <w:rPr>
          <w:rFonts w:ascii="宋体" w:hAnsi="宋体" w:cs="宋体" w:eastAsia="宋体" w:hint="default"/>
        </w:rPr>
        <w:t>6.53</w:t>
      </w:r>
      <w:r>
        <w:rPr>
          <w:rFonts w:ascii="宋体" w:hAnsi="宋体" w:cs="宋体" w:eastAsia="宋体" w:hint="default"/>
          <w:spacing w:val="-58"/>
        </w:rPr>
        <w:t> </w:t>
      </w:r>
      <w:r>
        <w:rPr/>
        <w:t>亿，占手机网民的</w:t>
      </w:r>
      <w:r>
        <w:rPr>
          <w:spacing w:val="-56"/>
        </w:rPr>
        <w:t> </w:t>
      </w:r>
      <w:r>
        <w:rPr>
          <w:rFonts w:ascii="宋体" w:hAnsi="宋体" w:cs="宋体" w:eastAsia="宋体" w:hint="default"/>
        </w:rPr>
        <w:t>79.9%</w:t>
      </w:r>
      <w:r>
        <w:rPr/>
        <w:t>，年增长</w:t>
      </w:r>
      <w:r>
        <w:rPr>
          <w:w w:val="100"/>
        </w:rPr>
        <w:t> </w:t>
      </w:r>
      <w:r>
        <w:rPr/>
        <w:t>率为</w:t>
      </w:r>
      <w:r>
        <w:rPr>
          <w:spacing w:val="-53"/>
        </w:rPr>
        <w:t> </w:t>
      </w:r>
      <w:r>
        <w:rPr>
          <w:rFonts w:ascii="宋体" w:hAnsi="宋体" w:cs="宋体" w:eastAsia="宋体" w:hint="default"/>
        </w:rPr>
        <w:t>5.4%</w:t>
      </w:r>
      <w:r>
        <w:rPr/>
        <w:t>。</w:t>
      </w:r>
    </w:p>
    <w:p>
      <w:pPr>
        <w:spacing w:line="240" w:lineRule="auto" w:before="4"/>
        <w:rPr>
          <w:rFonts w:ascii="宋体" w:hAnsi="宋体" w:cs="宋体" w:eastAsia="宋体" w:hint="default"/>
          <w:sz w:val="9"/>
          <w:szCs w:val="9"/>
        </w:rPr>
      </w:pPr>
    </w:p>
    <w:p>
      <w:pPr>
        <w:spacing w:line="3435" w:lineRule="exact"/>
        <w:ind w:left="1340"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3523687" cy="218160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3523687" cy="2181606"/>
                    </a:xfrm>
                    <a:prstGeom prst="rect">
                      <a:avLst/>
                    </a:prstGeom>
                  </pic:spPr>
                </pic:pic>
              </a:graphicData>
            </a:graphic>
          </wp:inline>
        </w:drawing>
      </w:r>
      <w:r>
        <w:rPr>
          <w:rFonts w:ascii="宋体" w:hAnsi="宋体" w:cs="宋体" w:eastAsia="宋体" w:hint="default"/>
          <w:position w:val="-68"/>
          <w:sz w:val="20"/>
          <w:szCs w:val="20"/>
        </w:rPr>
      </w:r>
    </w:p>
    <w:p>
      <w:pPr>
        <w:spacing w:after="0" w:line="3435" w:lineRule="exact"/>
        <w:rPr>
          <w:rFonts w:ascii="宋体" w:hAnsi="宋体" w:cs="宋体" w:eastAsia="宋体" w:hint="default"/>
          <w:sz w:val="20"/>
          <w:szCs w:val="20"/>
        </w:rPr>
        <w:sectPr>
          <w:footerReference w:type="default" r:id="rId11"/>
          <w:pgSz w:w="11910" w:h="16840"/>
          <w:pgMar w:footer="1195" w:header="880" w:top="1120" w:bottom="1380" w:left="1660" w:right="1140"/>
        </w:sectPr>
      </w:pPr>
    </w:p>
    <w:p>
      <w:pPr>
        <w:spacing w:line="240" w:lineRule="auto" w:before="4"/>
        <w:rPr>
          <w:rFonts w:ascii="宋体" w:hAnsi="宋体" w:cs="宋体" w:eastAsia="宋体" w:hint="default"/>
          <w:sz w:val="25"/>
          <w:szCs w:val="25"/>
        </w:rPr>
      </w:pPr>
    </w:p>
    <w:p>
      <w:pPr>
        <w:pStyle w:val="BodyText"/>
        <w:spacing w:line="240" w:lineRule="auto" w:before="36"/>
        <w:ind w:left="663" w:right="125"/>
        <w:jc w:val="left"/>
      </w:pPr>
      <w:r>
        <w:rPr>
          <w:rFonts w:ascii="宋体" w:hAnsi="宋体" w:cs="宋体" w:eastAsia="宋体" w:hint="default"/>
        </w:rPr>
        <w:t>4</w:t>
      </w:r>
      <w:r>
        <w:rPr/>
        <w:t>、</w:t>
      </w:r>
      <w:r>
        <w:rPr>
          <w:rFonts w:ascii="宋体" w:hAnsi="宋体" w:cs="宋体" w:eastAsia="宋体" w:hint="default"/>
        </w:rPr>
        <w:t>2017.12-2018.12</w:t>
      </w:r>
      <w:r>
        <w:rPr>
          <w:rFonts w:ascii="宋体" w:hAnsi="宋体" w:cs="宋体" w:eastAsia="宋体" w:hint="default"/>
          <w:spacing w:val="-56"/>
        </w:rPr>
        <w:t> </w:t>
      </w:r>
      <w:r>
        <w:rPr/>
        <w:t>网民各类互联网应用的使用率</w:t>
      </w:r>
    </w:p>
    <w:p>
      <w:pPr>
        <w:spacing w:line="240" w:lineRule="auto" w:before="3"/>
        <w:rPr>
          <w:rFonts w:ascii="宋体" w:hAnsi="宋体" w:cs="宋体" w:eastAsia="宋体" w:hint="default"/>
          <w:sz w:val="17"/>
          <w:szCs w:val="17"/>
        </w:rPr>
      </w:pPr>
    </w:p>
    <w:p>
      <w:pPr>
        <w:spacing w:line="7415" w:lineRule="exact"/>
        <w:ind w:left="630" w:right="0" w:firstLine="0"/>
        <w:rPr>
          <w:rFonts w:ascii="宋体" w:hAnsi="宋体" w:cs="宋体" w:eastAsia="宋体" w:hint="default"/>
          <w:sz w:val="20"/>
          <w:szCs w:val="20"/>
        </w:rPr>
      </w:pPr>
      <w:r>
        <w:rPr>
          <w:rFonts w:ascii="宋体" w:hAnsi="宋体" w:cs="宋体" w:eastAsia="宋体" w:hint="default"/>
          <w:position w:val="-147"/>
          <w:sz w:val="20"/>
          <w:szCs w:val="20"/>
        </w:rPr>
        <w:drawing>
          <wp:inline distT="0" distB="0" distL="0" distR="0">
            <wp:extent cx="4524450" cy="470858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6" cstate="print"/>
                    <a:stretch>
                      <a:fillRect/>
                    </a:stretch>
                  </pic:blipFill>
                  <pic:spPr>
                    <a:xfrm>
                      <a:off x="0" y="0"/>
                      <a:ext cx="4524450" cy="4708588"/>
                    </a:xfrm>
                    <a:prstGeom prst="rect">
                      <a:avLst/>
                    </a:prstGeom>
                  </pic:spPr>
                </pic:pic>
              </a:graphicData>
            </a:graphic>
          </wp:inline>
        </w:drawing>
      </w:r>
      <w:r>
        <w:rPr>
          <w:rFonts w:ascii="宋体" w:hAnsi="宋体" w:cs="宋体" w:eastAsia="宋体" w:hint="default"/>
          <w:position w:val="-147"/>
          <w:sz w:val="20"/>
          <w:szCs w:val="20"/>
        </w:rPr>
      </w:r>
    </w:p>
    <w:p>
      <w:pPr>
        <w:spacing w:line="240" w:lineRule="auto" w:before="2"/>
        <w:rPr>
          <w:rFonts w:ascii="宋体" w:hAnsi="宋体" w:cs="宋体" w:eastAsia="宋体" w:hint="default"/>
          <w:sz w:val="19"/>
          <w:szCs w:val="19"/>
        </w:rPr>
      </w:pPr>
    </w:p>
    <w:p>
      <w:pPr>
        <w:pStyle w:val="Heading2"/>
        <w:spacing w:line="240" w:lineRule="auto" w:before="0"/>
        <w:ind w:left="138" w:right="125"/>
        <w:jc w:val="left"/>
        <w:rPr>
          <w:b w:val="0"/>
          <w:bCs w:val="0"/>
        </w:rPr>
      </w:pPr>
      <w:r>
        <w:rPr/>
        <w:t>二、报告期内公司主要资产发生重大变化情况的说明</w:t>
      </w:r>
      <w:r>
        <w:rPr>
          <w:b w:val="0"/>
          <w:bCs w:val="0"/>
        </w:rPr>
      </w:r>
    </w:p>
    <w:p>
      <w:pPr>
        <w:pStyle w:val="BodyText"/>
        <w:spacing w:line="340" w:lineRule="auto" w:before="58"/>
        <w:ind w:left="558" w:right="1175" w:hanging="420"/>
        <w:jc w:val="left"/>
      </w:pPr>
      <w:r>
        <w:rPr/>
        <w:t>√适用</w:t>
      </w:r>
      <w:r>
        <w:rPr>
          <w:spacing w:val="-2"/>
        </w:rPr>
        <w:t> </w:t>
      </w:r>
      <w:r>
        <w:rPr/>
        <w:t>□不适用</w:t>
      </w:r>
      <w:r>
        <w:rPr>
          <w:w w:val="100"/>
        </w:rPr>
        <w:t> </w:t>
      </w:r>
      <w:r>
        <w:rPr>
          <w:spacing w:val="-2"/>
        </w:rPr>
        <w:t>详见本报告第四节“经营情况讨论与分析”二（三）资产、负债情况分析。</w:t>
      </w:r>
    </w:p>
    <w:p>
      <w:pPr>
        <w:pStyle w:val="BodyText"/>
        <w:tabs>
          <w:tab w:pos="4706" w:val="left" w:leader="none"/>
        </w:tabs>
        <w:spacing w:line="240" w:lineRule="auto" w:before="47"/>
        <w:ind w:left="558" w:right="125"/>
        <w:jc w:val="left"/>
      </w:pPr>
      <w:r>
        <w:rPr/>
        <w:t>其中：境外资产</w:t>
      </w:r>
      <w:r>
        <w:rPr>
          <w:spacing w:val="-58"/>
        </w:rPr>
        <w:t> </w:t>
      </w:r>
      <w:r>
        <w:rPr>
          <w:rFonts w:ascii="宋体" w:hAnsi="宋体" w:cs="宋体" w:eastAsia="宋体" w:hint="default"/>
        </w:rPr>
        <w:t>37,630,724.83</w:t>
      </w:r>
      <w:r>
        <w:rPr/>
        <w:t>（单位：元</w:t>
        <w:tab/>
        <w:t>币种：人民币），占总资产的比例为</w:t>
      </w:r>
      <w:r>
        <w:rPr>
          <w:spacing w:val="-57"/>
        </w:rPr>
        <w:t> </w:t>
      </w:r>
      <w:r>
        <w:rPr>
          <w:rFonts w:ascii="宋体" w:hAnsi="宋体" w:cs="宋体" w:eastAsia="宋体" w:hint="default"/>
        </w:rPr>
        <w:t>0.95%</w:t>
      </w:r>
      <w:r>
        <w:rPr/>
        <w:t>。</w:t>
      </w:r>
    </w:p>
    <w:p>
      <w:pPr>
        <w:spacing w:line="240" w:lineRule="auto" w:before="11"/>
        <w:rPr>
          <w:rFonts w:ascii="宋体" w:hAnsi="宋体" w:cs="宋体" w:eastAsia="宋体" w:hint="default"/>
          <w:sz w:val="14"/>
          <w:szCs w:val="14"/>
        </w:rPr>
      </w:pPr>
    </w:p>
    <w:p>
      <w:pPr>
        <w:pStyle w:val="Heading2"/>
        <w:spacing w:line="240" w:lineRule="auto" w:before="0"/>
        <w:ind w:left="138" w:right="125"/>
        <w:jc w:val="left"/>
        <w:rPr>
          <w:b w:val="0"/>
          <w:bCs w:val="0"/>
        </w:rPr>
      </w:pPr>
      <w:r>
        <w:rPr/>
        <w:t>三、报告期内核心竞争力分析</w:t>
      </w:r>
      <w:r>
        <w:rPr>
          <w:b w:val="0"/>
          <w:bCs w:val="0"/>
        </w:rPr>
      </w:r>
    </w:p>
    <w:p>
      <w:pPr>
        <w:pStyle w:val="BodyText"/>
        <w:spacing w:line="307" w:lineRule="auto" w:before="56"/>
        <w:ind w:left="558" w:right="7374" w:hanging="420"/>
        <w:jc w:val="left"/>
      </w:pPr>
      <w:r>
        <w:rPr/>
        <w:t>√适用</w:t>
      </w:r>
      <w:r>
        <w:rPr>
          <w:spacing w:val="-1"/>
        </w:rPr>
        <w:t> </w:t>
      </w:r>
      <w:r>
        <w:rPr/>
        <w:t>□不适用</w:t>
      </w:r>
      <w:r>
        <w:rPr>
          <w:w w:val="100"/>
        </w:rPr>
        <w:t> </w:t>
      </w:r>
      <w:r>
        <w:rPr>
          <w:rFonts w:ascii="宋体" w:hAnsi="宋体" w:cs="宋体" w:eastAsia="宋体" w:hint="default"/>
          <w:spacing w:val="-1"/>
        </w:rPr>
        <w:t>1</w:t>
      </w:r>
      <w:r>
        <w:rPr>
          <w:spacing w:val="-1"/>
        </w:rPr>
        <w:t>、品牌优势</w:t>
      </w:r>
    </w:p>
    <w:p>
      <w:pPr>
        <w:pStyle w:val="BodyText"/>
        <w:spacing w:line="314" w:lineRule="auto" w:before="26"/>
        <w:ind w:left="138" w:right="128" w:firstLine="419"/>
        <w:jc w:val="both"/>
      </w:pPr>
      <w:r>
        <w:rPr>
          <w:spacing w:val="-1"/>
        </w:rPr>
        <w:t>新华网是国家通讯社新华社主办的综合新闻信息服务门户网站，是中国最具影响力的网络媒</w:t>
      </w:r>
      <w:r>
        <w:rPr>
          <w:w w:val="100"/>
        </w:rPr>
        <w:t> </w:t>
      </w:r>
      <w:r>
        <w:rPr>
          <w:spacing w:val="-4"/>
        </w:rPr>
        <w:t>体之一，是具有全球影响力的中文网站。新华网拥有“学习进行时” </w:t>
      </w:r>
      <w:r>
        <w:rPr/>
        <w:t>“数据新闻”“思客”“新</w:t>
      </w:r>
      <w:r>
        <w:rPr>
          <w:spacing w:val="-82"/>
        </w:rPr>
        <w:t> </w:t>
      </w:r>
      <w:r>
        <w:rPr>
          <w:spacing w:val="-82"/>
        </w:rPr>
      </w:r>
      <w:r>
        <w:rPr>
          <w:spacing w:val="-1"/>
        </w:rPr>
        <w:t>华网评”“新华访谈”等品牌栏目，承建了中国政府网、中国文明网、中国雄安官网、中国互联</w:t>
      </w:r>
      <w:r>
        <w:rPr>
          <w:spacing w:val="-55"/>
        </w:rPr>
        <w:t> </w:t>
      </w:r>
      <w:r>
        <w:rPr>
          <w:spacing w:val="-55"/>
        </w:rPr>
      </w:r>
      <w:r>
        <w:rPr/>
        <w:t>网联合辟谣平台等政务网站，运营着中国最大规模的政务网站集群及政务微信公众号。在 </w:t>
      </w:r>
      <w:r>
        <w:rPr>
          <w:rFonts w:ascii="宋体" w:hAnsi="宋体" w:cs="宋体" w:eastAsia="宋体" w:hint="default"/>
        </w:rPr>
        <w:t>2018</w:t>
      </w:r>
      <w:r>
        <w:rPr>
          <w:rFonts w:ascii="宋体" w:hAnsi="宋体" w:cs="宋体" w:eastAsia="宋体" w:hint="default"/>
          <w:spacing w:val="-97"/>
        </w:rPr>
        <w:t> </w:t>
      </w:r>
      <w:r>
        <w:rPr>
          <w:rFonts w:ascii="宋体" w:hAnsi="宋体" w:cs="宋体" w:eastAsia="宋体" w:hint="default"/>
          <w:spacing w:val="-97"/>
        </w:rPr>
      </w:r>
      <w:r>
        <w:rPr/>
        <w:t>年中国新闻奖评选中，新华网参评的《新闻名专栏：国家相册》获一等奖，“新时代 新征程</w:t>
      </w:r>
      <w:r>
        <w:rPr>
          <w:spacing w:val="7"/>
        </w:rPr>
        <w:t> </w:t>
      </w:r>
      <w:r>
        <w:rPr/>
        <w:t>新</w:t>
      </w:r>
      <w:r>
        <w:rPr>
          <w:w w:val="100"/>
        </w:rPr>
        <w:t> </w:t>
      </w:r>
      <w:r>
        <w:rPr>
          <w:spacing w:val="-1"/>
        </w:rPr>
        <w:t>篇章”十九大大型融媒体专题等三项作品获三等奖，获奖总数继续保持中央重点新闻网站前茅。</w:t>
      </w:r>
      <w:r>
        <w:rPr>
          <w:spacing w:val="-56"/>
        </w:rPr>
        <w:t> </w:t>
      </w:r>
      <w:r>
        <w:rPr>
          <w:spacing w:val="-56"/>
        </w:rPr>
      </w:r>
      <w:r>
        <w:rPr>
          <w:spacing w:val="-5"/>
        </w:rPr>
        <w:t>同时，公司荣获中国上市公司协会颁发的 </w:t>
      </w:r>
      <w:r>
        <w:rPr>
          <w:rFonts w:ascii="宋体" w:hAnsi="宋体" w:cs="宋体" w:eastAsia="宋体" w:hint="default"/>
        </w:rPr>
        <w:t>2017</w:t>
      </w:r>
      <w:r>
        <w:rPr>
          <w:rFonts w:ascii="宋体" w:hAnsi="宋体" w:cs="宋体" w:eastAsia="宋体" w:hint="default"/>
          <w:spacing w:val="-28"/>
        </w:rPr>
        <w:t> </w:t>
      </w:r>
      <w:r>
        <w:rPr>
          <w:spacing w:val="-4"/>
        </w:rPr>
        <w:t>年度最受投资者尊重的上市公司百强奖。在中国互</w:t>
      </w:r>
    </w:p>
    <w:p>
      <w:pPr>
        <w:spacing w:after="0" w:line="314" w:lineRule="auto"/>
        <w:jc w:val="both"/>
        <w:sectPr>
          <w:footerReference w:type="default" r:id="rId15"/>
          <w:pgSz w:w="11910" w:h="16840"/>
          <w:pgMar w:footer="1195" w:header="880" w:top="1120" w:bottom="1380" w:left="1660" w:right="1140"/>
          <w:pgNumType w:start="1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138" w:right="0"/>
        <w:jc w:val="both"/>
      </w:pPr>
      <w:r>
        <w:rPr>
          <w:spacing w:val="-4"/>
        </w:rPr>
        <w:t>联网协会、工业和信息化部信息中心联合发布的</w:t>
      </w:r>
      <w:r>
        <w:rPr>
          <w:spacing w:val="-43"/>
        </w:rPr>
        <w:t> </w:t>
      </w:r>
      <w:r>
        <w:rPr>
          <w:rFonts w:ascii="宋体" w:hAnsi="宋体" w:cs="宋体" w:eastAsia="宋体" w:hint="default"/>
        </w:rPr>
        <w:t>2018</w:t>
      </w:r>
      <w:r>
        <w:rPr>
          <w:rFonts w:ascii="宋体" w:hAnsi="宋体" w:cs="宋体" w:eastAsia="宋体" w:hint="default"/>
          <w:spacing w:val="-42"/>
        </w:rPr>
        <w:t> </w:t>
      </w:r>
      <w:r>
        <w:rPr/>
        <w:t>年中国互联网企业</w:t>
      </w:r>
      <w:r>
        <w:rPr>
          <w:spacing w:val="-43"/>
        </w:rPr>
        <w:t> </w:t>
      </w:r>
      <w:r>
        <w:rPr>
          <w:rFonts w:ascii="宋体" w:hAnsi="宋体" w:cs="宋体" w:eastAsia="宋体" w:hint="default"/>
        </w:rPr>
        <w:t>100</w:t>
      </w:r>
      <w:r>
        <w:rPr>
          <w:rFonts w:ascii="宋体" w:hAnsi="宋体" w:cs="宋体" w:eastAsia="宋体" w:hint="default"/>
          <w:spacing w:val="-45"/>
        </w:rPr>
        <w:t> </w:t>
      </w:r>
      <w:r>
        <w:rPr>
          <w:spacing w:val="-7"/>
        </w:rPr>
        <w:t>强榜单中，新华网位</w:t>
      </w:r>
    </w:p>
    <w:p>
      <w:pPr>
        <w:pStyle w:val="BodyText"/>
        <w:spacing w:line="314" w:lineRule="auto" w:before="85"/>
        <w:ind w:left="558" w:right="5800" w:hanging="420"/>
        <w:jc w:val="left"/>
      </w:pPr>
      <w:r>
        <w:rPr/>
        <w:t>列</w:t>
      </w:r>
      <w:r>
        <w:rPr>
          <w:spacing w:val="-52"/>
        </w:rPr>
        <w:t> </w:t>
      </w:r>
      <w:r>
        <w:rPr>
          <w:rFonts w:ascii="宋体" w:hAnsi="宋体" w:cs="宋体" w:eastAsia="宋体" w:hint="default"/>
        </w:rPr>
        <w:t>18</w:t>
      </w:r>
      <w:r>
        <w:rPr>
          <w:rFonts w:ascii="宋体" w:hAnsi="宋体" w:cs="宋体" w:eastAsia="宋体" w:hint="default"/>
          <w:spacing w:val="-54"/>
        </w:rPr>
        <w:t> </w:t>
      </w:r>
      <w:r>
        <w:rPr/>
        <w:t>位，连续</w:t>
      </w:r>
      <w:r>
        <w:rPr>
          <w:spacing w:val="-54"/>
        </w:rPr>
        <w:t> </w:t>
      </w:r>
      <w:r>
        <w:rPr>
          <w:rFonts w:ascii="宋体" w:hAnsi="宋体" w:cs="宋体" w:eastAsia="宋体" w:hint="default"/>
        </w:rPr>
        <w:t>3</w:t>
      </w:r>
      <w:r>
        <w:rPr>
          <w:rFonts w:ascii="宋体" w:hAnsi="宋体" w:cs="宋体" w:eastAsia="宋体" w:hint="default"/>
          <w:spacing w:val="-52"/>
        </w:rPr>
        <w:t> </w:t>
      </w:r>
      <w:r>
        <w:rPr/>
        <w:t>年进入前</w:t>
      </w:r>
      <w:r>
        <w:rPr>
          <w:spacing w:val="-51"/>
        </w:rPr>
        <w:t> </w:t>
      </w:r>
      <w:r>
        <w:rPr>
          <w:rFonts w:ascii="宋体" w:hAnsi="宋体" w:cs="宋体" w:eastAsia="宋体" w:hint="default"/>
        </w:rPr>
        <w:t>20</w:t>
      </w:r>
      <w:r>
        <w:rPr>
          <w:rFonts w:ascii="宋体" w:hAnsi="宋体" w:cs="宋体" w:eastAsia="宋体" w:hint="default"/>
          <w:spacing w:val="-54"/>
        </w:rPr>
        <w:t> </w:t>
      </w:r>
      <w:r>
        <w:rPr/>
        <w:t>强。</w:t>
      </w:r>
      <w:r>
        <w:rPr>
          <w:w w:val="100"/>
        </w:rPr>
        <w:t> </w:t>
      </w:r>
      <w:r>
        <w:rPr>
          <w:rFonts w:ascii="宋体" w:hAnsi="宋体" w:cs="宋体" w:eastAsia="宋体" w:hint="default"/>
        </w:rPr>
        <w:t>2</w:t>
      </w:r>
      <w:r>
        <w:rPr/>
        <w:t>、传播优势</w:t>
      </w:r>
    </w:p>
    <w:p>
      <w:pPr>
        <w:pStyle w:val="BodyText"/>
        <w:spacing w:line="314" w:lineRule="auto" w:before="20"/>
        <w:ind w:left="138" w:right="122" w:firstLine="419"/>
        <w:jc w:val="left"/>
      </w:pPr>
      <w:r>
        <w:rPr>
          <w:spacing w:val="-2"/>
        </w:rPr>
        <w:t>作为国家重点新闻网站的主力军，新华网不断创新传播理念和发展模式，向全球网民提供最</w:t>
      </w:r>
      <w:r>
        <w:rPr>
          <w:w w:val="100"/>
        </w:rPr>
        <w:t> </w:t>
      </w:r>
      <w:r>
        <w:rPr>
          <w:spacing w:val="-4"/>
        </w:rPr>
        <w:t>权威最及时的新闻信息服务。目前拥有 </w:t>
      </w:r>
      <w:r>
        <w:rPr>
          <w:rFonts w:ascii="宋体" w:hAnsi="宋体" w:cs="宋体" w:eastAsia="宋体" w:hint="default"/>
        </w:rPr>
        <w:t>31</w:t>
      </w:r>
      <w:r>
        <w:rPr>
          <w:rFonts w:ascii="宋体" w:hAnsi="宋体" w:cs="宋体" w:eastAsia="宋体" w:hint="default"/>
          <w:spacing w:val="-17"/>
        </w:rPr>
        <w:t> </w:t>
      </w:r>
      <w:r>
        <w:rPr>
          <w:spacing w:val="-13"/>
        </w:rPr>
        <w:t>个地方频道以及英、法、西、俄、阿、日、韩、德、葡、</w:t>
      </w:r>
    </w:p>
    <w:p>
      <w:pPr>
        <w:pStyle w:val="BodyText"/>
        <w:spacing w:line="240" w:lineRule="auto" w:before="20"/>
        <w:ind w:left="138" w:right="0"/>
        <w:jc w:val="both"/>
      </w:pPr>
      <w:r>
        <w:rPr/>
        <w:t>藏、维、蒙等多种语言频道，日均多语种、多终端发稿达</w:t>
      </w:r>
      <w:r>
        <w:rPr>
          <w:spacing w:val="-52"/>
        </w:rPr>
        <w:t> </w:t>
      </w:r>
      <w:r>
        <w:rPr>
          <w:rFonts w:ascii="宋体" w:hAnsi="宋体" w:cs="宋体" w:eastAsia="宋体" w:hint="default"/>
        </w:rPr>
        <w:t>1.5</w:t>
      </w:r>
      <w:r>
        <w:rPr>
          <w:rFonts w:ascii="宋体" w:hAnsi="宋体" w:cs="宋体" w:eastAsia="宋体" w:hint="default"/>
          <w:spacing w:val="-52"/>
        </w:rPr>
        <w:t> </w:t>
      </w:r>
      <w:r>
        <w:rPr/>
        <w:t>万条。用户遍及</w:t>
      </w:r>
      <w:r>
        <w:rPr>
          <w:spacing w:val="-52"/>
        </w:rPr>
        <w:t> </w:t>
      </w:r>
      <w:r>
        <w:rPr>
          <w:rFonts w:ascii="宋体" w:hAnsi="宋体" w:cs="宋体" w:eastAsia="宋体" w:hint="default"/>
        </w:rPr>
        <w:t>200</w:t>
      </w:r>
      <w:r>
        <w:rPr>
          <w:rFonts w:ascii="宋体" w:hAnsi="宋体" w:cs="宋体" w:eastAsia="宋体" w:hint="default"/>
          <w:spacing w:val="-52"/>
        </w:rPr>
        <w:t> </w:t>
      </w:r>
      <w:r>
        <w:rPr/>
        <w:t>多个国家和地</w:t>
      </w:r>
    </w:p>
    <w:p>
      <w:pPr>
        <w:pStyle w:val="BodyText"/>
        <w:spacing w:line="314" w:lineRule="auto" w:before="85"/>
        <w:ind w:left="138" w:right="128"/>
        <w:jc w:val="both"/>
      </w:pPr>
      <w:r>
        <w:rPr/>
        <w:t>区，桌面端日均页面浏览量超过</w:t>
      </w:r>
      <w:r>
        <w:rPr>
          <w:spacing w:val="-42"/>
        </w:rPr>
        <w:t> </w:t>
      </w:r>
      <w:r>
        <w:rPr>
          <w:rFonts w:ascii="宋体" w:hAnsi="宋体" w:cs="宋体" w:eastAsia="宋体" w:hint="default"/>
        </w:rPr>
        <w:t>1.2</w:t>
      </w:r>
      <w:r>
        <w:rPr>
          <w:rFonts w:ascii="宋体" w:hAnsi="宋体" w:cs="宋体" w:eastAsia="宋体" w:hint="default"/>
          <w:spacing w:val="-42"/>
        </w:rPr>
        <w:t> </w:t>
      </w:r>
      <w:r>
        <w:rPr/>
        <w:t>亿，移动端日均覆盖人群超过</w:t>
      </w:r>
      <w:r>
        <w:rPr>
          <w:spacing w:val="-42"/>
        </w:rPr>
        <w:t> </w:t>
      </w:r>
      <w:r>
        <w:rPr>
          <w:rFonts w:ascii="宋体" w:hAnsi="宋体" w:cs="宋体" w:eastAsia="宋体" w:hint="default"/>
        </w:rPr>
        <w:t>3.7</w:t>
      </w:r>
      <w:r>
        <w:rPr>
          <w:rFonts w:ascii="宋体" w:hAnsi="宋体" w:cs="宋体" w:eastAsia="宋体" w:hint="default"/>
          <w:spacing w:val="-42"/>
        </w:rPr>
        <w:t> </w:t>
      </w:r>
      <w:r>
        <w:rPr/>
        <w:t>亿。</w:t>
      </w:r>
      <w:r>
        <w:rPr>
          <w:rFonts w:ascii="宋体" w:hAnsi="宋体" w:cs="宋体" w:eastAsia="宋体" w:hint="default"/>
        </w:rPr>
        <w:t>Alexa</w:t>
      </w:r>
      <w:r>
        <w:rPr>
          <w:rFonts w:ascii="宋体" w:hAnsi="宋体" w:cs="宋体" w:eastAsia="宋体" w:hint="default"/>
          <w:spacing w:val="-42"/>
        </w:rPr>
        <w:t> </w:t>
      </w:r>
      <w:r>
        <w:rPr/>
        <w:t>排名显示，新</w:t>
      </w:r>
      <w:r>
        <w:rPr>
          <w:w w:val="100"/>
        </w:rPr>
        <w:t> </w:t>
      </w:r>
      <w:r>
        <w:rPr/>
        <w:t>华网在全球</w:t>
      </w:r>
      <w:r>
        <w:rPr>
          <w:spacing w:val="-51"/>
        </w:rPr>
        <w:t> </w:t>
      </w:r>
      <w:r>
        <w:rPr>
          <w:rFonts w:ascii="宋体" w:hAnsi="宋体" w:cs="宋体" w:eastAsia="宋体" w:hint="default"/>
        </w:rPr>
        <w:t>7</w:t>
      </w:r>
      <w:r>
        <w:rPr>
          <w:rFonts w:ascii="宋体" w:hAnsi="宋体" w:cs="宋体" w:eastAsia="宋体" w:hint="default"/>
          <w:spacing w:val="-51"/>
        </w:rPr>
        <w:t> </w:t>
      </w:r>
      <w:r>
        <w:rPr/>
        <w:t>亿多个网站中综合排名稳居</w:t>
      </w:r>
      <w:r>
        <w:rPr>
          <w:spacing w:val="-51"/>
        </w:rPr>
        <w:t> </w:t>
      </w:r>
      <w:r>
        <w:rPr>
          <w:rFonts w:ascii="宋体" w:hAnsi="宋体" w:cs="宋体" w:eastAsia="宋体" w:hint="default"/>
        </w:rPr>
        <w:t>100</w:t>
      </w:r>
      <w:r>
        <w:rPr>
          <w:rFonts w:ascii="宋体" w:hAnsi="宋体" w:cs="宋体" w:eastAsia="宋体" w:hint="default"/>
          <w:spacing w:val="-53"/>
        </w:rPr>
        <w:t> </w:t>
      </w:r>
      <w:r>
        <w:rPr>
          <w:spacing w:val="-7"/>
        </w:rPr>
        <w:t>位左右，全面领先</w:t>
      </w:r>
      <w:r>
        <w:rPr>
          <w:spacing w:val="-50"/>
        </w:rPr>
        <w:t> </w:t>
      </w:r>
      <w:r>
        <w:rPr>
          <w:rFonts w:ascii="宋体" w:hAnsi="宋体" w:cs="宋体" w:eastAsia="宋体" w:hint="default"/>
          <w:spacing w:val="-8"/>
        </w:rPr>
        <w:t>BBC</w:t>
      </w:r>
      <w:r>
        <w:rPr>
          <w:spacing w:val="-8"/>
        </w:rPr>
        <w:t>、</w:t>
      </w:r>
      <w:r>
        <w:rPr>
          <w:rFonts w:ascii="宋体" w:hAnsi="宋体" w:cs="宋体" w:eastAsia="宋体" w:hint="default"/>
          <w:spacing w:val="-8"/>
        </w:rPr>
        <w:t>CNN</w:t>
      </w:r>
      <w:r>
        <w:rPr>
          <w:rFonts w:ascii="宋体" w:hAnsi="宋体" w:cs="宋体" w:eastAsia="宋体" w:hint="default"/>
          <w:spacing w:val="-51"/>
        </w:rPr>
        <w:t> </w:t>
      </w:r>
      <w:r>
        <w:rPr/>
        <w:t>及世界主要通讯社所办</w:t>
      </w:r>
      <w:r>
        <w:rPr>
          <w:w w:val="100"/>
        </w:rPr>
        <w:t> </w:t>
      </w:r>
      <w:r>
        <w:rPr/>
        <w:t>网站，位居国内新闻门户网站首位。</w:t>
      </w:r>
    </w:p>
    <w:p>
      <w:pPr>
        <w:pStyle w:val="BodyText"/>
        <w:spacing w:line="314" w:lineRule="auto" w:before="20"/>
        <w:ind w:left="558" w:right="125"/>
        <w:jc w:val="left"/>
      </w:pPr>
      <w:r>
        <w:rPr>
          <w:rFonts w:ascii="宋体" w:hAnsi="宋体" w:cs="宋体" w:eastAsia="宋体" w:hint="default"/>
        </w:rPr>
        <w:t>3</w:t>
      </w:r>
      <w:r>
        <w:rPr/>
        <w:t>、内容优势</w:t>
      </w:r>
      <w:r>
        <w:rPr>
          <w:w w:val="100"/>
        </w:rPr>
        <w:t> </w:t>
      </w:r>
      <w:r>
        <w:rPr>
          <w:spacing w:val="-2"/>
        </w:rPr>
        <w:t>新华网以“传播中国，报道世界”为己任，秉承“权威声音，亲切表达”的理念，打造覆盖</w:t>
      </w:r>
    </w:p>
    <w:p>
      <w:pPr>
        <w:pStyle w:val="BodyText"/>
        <w:spacing w:line="314" w:lineRule="auto" w:before="20"/>
        <w:ind w:left="138" w:right="127"/>
        <w:jc w:val="both"/>
      </w:pPr>
      <w:r>
        <w:rPr>
          <w:spacing w:val="-3"/>
        </w:rPr>
        <w:t>全媒体产品链的综合性传播平台。</w:t>
      </w:r>
      <w:r>
        <w:rPr>
          <w:rFonts w:ascii="宋体" w:hAnsi="宋体" w:cs="宋体" w:eastAsia="宋体" w:hint="default"/>
          <w:spacing w:val="-3"/>
        </w:rPr>
        <w:t>2018 </w:t>
      </w:r>
      <w:r>
        <w:rPr>
          <w:spacing w:val="-3"/>
        </w:rPr>
        <w:t>年，新华网以习近平新时代中国特色社会主义思想网上宣</w:t>
      </w:r>
      <w:r>
        <w:rPr>
          <w:spacing w:val="-72"/>
        </w:rPr>
        <w:t> </w:t>
      </w:r>
      <w:r>
        <w:rPr>
          <w:spacing w:val="-72"/>
        </w:rPr>
      </w:r>
      <w:r>
        <w:rPr>
          <w:spacing w:val="-1"/>
        </w:rPr>
        <w:t>传为主线，全力做好各项重大报道和主题宣传，积极引导社会热点，传播力引导力影响力公信力</w:t>
      </w:r>
      <w:r>
        <w:rPr>
          <w:spacing w:val="-55"/>
        </w:rPr>
        <w:t> </w:t>
      </w:r>
      <w:r>
        <w:rPr>
          <w:spacing w:val="-55"/>
        </w:rPr>
      </w:r>
      <w:r>
        <w:rPr>
          <w:spacing w:val="-3"/>
        </w:rPr>
        <w:t>全面提升。圆满完成改革开放</w:t>
      </w:r>
      <w:r>
        <w:rPr>
          <w:spacing w:val="-20"/>
        </w:rPr>
        <w:t> </w:t>
      </w:r>
      <w:r>
        <w:rPr>
          <w:rFonts w:ascii="宋体" w:hAnsi="宋体" w:cs="宋体" w:eastAsia="宋体" w:hint="default"/>
        </w:rPr>
        <w:t>40</w:t>
      </w:r>
      <w:r>
        <w:rPr>
          <w:rFonts w:ascii="宋体" w:hAnsi="宋体" w:cs="宋体" w:eastAsia="宋体" w:hint="default"/>
          <w:spacing w:val="-20"/>
        </w:rPr>
        <w:t> </w:t>
      </w:r>
      <w:r>
        <w:rPr>
          <w:spacing w:val="-5"/>
        </w:rPr>
        <w:t>周年、全国两会、博鳌亚洲论坛、上海合作组织峰会、中非合作</w:t>
      </w:r>
      <w:r>
        <w:rPr>
          <w:spacing w:val="-92"/>
        </w:rPr>
        <w:t> </w:t>
      </w:r>
      <w:r>
        <w:rPr>
          <w:spacing w:val="-92"/>
        </w:rPr>
      </w:r>
      <w:r>
        <w:rPr>
          <w:spacing w:val="-1"/>
        </w:rPr>
        <w:t>论坛、首届中国国际进口博览会等重大主题报道，推出大型融媒体专题近百个，全年重大主题系</w:t>
      </w:r>
      <w:r>
        <w:rPr>
          <w:spacing w:val="-55"/>
        </w:rPr>
        <w:t> </w:t>
      </w:r>
      <w:r>
        <w:rPr>
          <w:spacing w:val="-55"/>
        </w:rPr>
      </w:r>
      <w:r>
        <w:rPr/>
        <w:t>列短视频总访问量超过</w:t>
      </w:r>
      <w:r>
        <w:rPr>
          <w:spacing w:val="-47"/>
        </w:rPr>
        <w:t> </w:t>
      </w:r>
      <w:r>
        <w:rPr>
          <w:rFonts w:ascii="宋体" w:hAnsi="宋体" w:cs="宋体" w:eastAsia="宋体" w:hint="default"/>
        </w:rPr>
        <w:t>8</w:t>
      </w:r>
      <w:r>
        <w:rPr>
          <w:rFonts w:ascii="宋体" w:hAnsi="宋体" w:cs="宋体" w:eastAsia="宋体" w:hint="default"/>
          <w:spacing w:val="-50"/>
        </w:rPr>
        <w:t> </w:t>
      </w:r>
      <w:r>
        <w:rPr>
          <w:spacing w:val="-7"/>
        </w:rPr>
        <w:t>亿。围绕社会热点难点问题，全年累计推出</w:t>
      </w:r>
      <w:r>
        <w:rPr>
          <w:spacing w:val="-48"/>
        </w:rPr>
        <w:t> </w:t>
      </w:r>
      <w:r>
        <w:rPr>
          <w:rFonts w:ascii="宋体" w:hAnsi="宋体" w:cs="宋体" w:eastAsia="宋体" w:hint="default"/>
        </w:rPr>
        <w:t>50</w:t>
      </w:r>
      <w:r>
        <w:rPr>
          <w:rFonts w:ascii="宋体" w:hAnsi="宋体" w:cs="宋体" w:eastAsia="宋体" w:hint="default"/>
          <w:spacing w:val="-48"/>
        </w:rPr>
        <w:t> </w:t>
      </w:r>
      <w:r>
        <w:rPr/>
        <w:t>余个系列</w:t>
      </w:r>
      <w:r>
        <w:rPr>
          <w:spacing w:val="-47"/>
        </w:rPr>
        <w:t> </w:t>
      </w:r>
      <w:r>
        <w:rPr>
          <w:rFonts w:ascii="宋体" w:hAnsi="宋体" w:cs="宋体" w:eastAsia="宋体" w:hint="default"/>
        </w:rPr>
        <w:t>900</w:t>
      </w:r>
      <w:r>
        <w:rPr>
          <w:rFonts w:ascii="宋体" w:hAnsi="宋体" w:cs="宋体" w:eastAsia="宋体" w:hint="default"/>
          <w:spacing w:val="-48"/>
        </w:rPr>
        <w:t> </w:t>
      </w:r>
      <w:r>
        <w:rPr/>
        <w:t>余篇原创评</w:t>
      </w:r>
      <w:r>
        <w:rPr>
          <w:spacing w:val="-103"/>
        </w:rPr>
        <w:t> </w:t>
      </w:r>
      <w:r>
        <w:rPr>
          <w:spacing w:val="-103"/>
        </w:rPr>
      </w:r>
      <w:r>
        <w:rPr>
          <w:spacing w:val="-7"/>
        </w:rPr>
        <w:t>论报道，有效回应网民关切。移动端原创内容生产能力大幅提升，创新语态样态，微信公众号“一</w:t>
      </w:r>
      <w:r>
        <w:rPr>
          <w:spacing w:val="-15"/>
        </w:rPr>
        <w:t> </w:t>
      </w:r>
      <w:r>
        <w:rPr>
          <w:spacing w:val="-15"/>
        </w:rPr>
      </w:r>
      <w:r>
        <w:rPr/>
        <w:t>字标题”“这就是”系列报道成为品牌，被业界纷纷效仿。</w:t>
      </w:r>
    </w:p>
    <w:p>
      <w:pPr>
        <w:pStyle w:val="BodyText"/>
        <w:spacing w:line="314" w:lineRule="auto" w:before="20"/>
        <w:ind w:left="558" w:right="125"/>
        <w:jc w:val="left"/>
      </w:pPr>
      <w:r>
        <w:rPr>
          <w:rFonts w:ascii="宋体" w:hAnsi="宋体" w:cs="宋体" w:eastAsia="宋体" w:hint="default"/>
        </w:rPr>
        <w:t>4</w:t>
      </w:r>
      <w:r>
        <w:rPr/>
        <w:t>、用户受众及客户资源优势</w:t>
      </w:r>
      <w:r>
        <w:rPr>
          <w:w w:val="100"/>
        </w:rPr>
        <w:t> </w:t>
      </w:r>
      <w:r>
        <w:rPr>
          <w:spacing w:val="-2"/>
        </w:rPr>
        <w:t>在受众方面，新华网用户规模大、粘性强，用户多为各层级社会管理人群及专业技术人士，</w:t>
      </w:r>
    </w:p>
    <w:p>
      <w:pPr>
        <w:pStyle w:val="BodyText"/>
        <w:spacing w:line="314" w:lineRule="auto" w:before="20"/>
        <w:ind w:left="138" w:right="128"/>
        <w:jc w:val="both"/>
      </w:pPr>
      <w:r>
        <w:rPr>
          <w:spacing w:val="-1"/>
        </w:rPr>
        <w:t>特点突出表现为社会影响力大、分布范围广、消费能力强、营销潜力大。在客户资源方面，新华</w:t>
      </w:r>
      <w:r>
        <w:rPr>
          <w:spacing w:val="-55"/>
        </w:rPr>
        <w:t> </w:t>
      </w:r>
      <w:r>
        <w:rPr>
          <w:spacing w:val="-55"/>
        </w:rPr>
      </w:r>
      <w:r>
        <w:rPr>
          <w:spacing w:val="-2"/>
          <w:w w:val="100"/>
        </w:rPr>
        <w:t>网与数十家世界</w:t>
      </w:r>
      <w:r>
        <w:rPr>
          <w:spacing w:val="-49"/>
          <w:w w:val="100"/>
        </w:rPr>
        <w:t> </w:t>
      </w:r>
      <w:r>
        <w:rPr>
          <w:rFonts w:ascii="宋体" w:hAnsi="宋体" w:cs="宋体" w:eastAsia="宋体" w:hint="default"/>
          <w:w w:val="100"/>
        </w:rPr>
        <w:t>500</w:t>
      </w:r>
      <w:r>
        <w:rPr>
          <w:rFonts w:ascii="宋体" w:hAnsi="宋体" w:cs="宋体" w:eastAsia="宋体" w:hint="default"/>
          <w:spacing w:val="-51"/>
          <w:w w:val="100"/>
        </w:rPr>
        <w:t> </w:t>
      </w:r>
      <w:r>
        <w:rPr>
          <w:spacing w:val="-7"/>
          <w:w w:val="100"/>
        </w:rPr>
        <w:t>强企业建立了广告业务合作关系，与多家</w:t>
      </w:r>
      <w:r>
        <w:rPr>
          <w:spacing w:val="-47"/>
          <w:w w:val="100"/>
        </w:rPr>
        <w:t> </w:t>
      </w:r>
      <w:r>
        <w:rPr>
          <w:rFonts w:ascii="宋体" w:hAnsi="宋体" w:cs="宋体" w:eastAsia="宋体" w:hint="default"/>
          <w:spacing w:val="-2"/>
          <w:w w:val="100"/>
        </w:rPr>
        <w:t>4A</w:t>
      </w:r>
      <w:r>
        <w:rPr>
          <w:rFonts w:ascii="宋体" w:hAnsi="宋体" w:cs="宋体" w:eastAsia="宋体" w:hint="default"/>
          <w:spacing w:val="-49"/>
          <w:w w:val="100"/>
        </w:rPr>
        <w:t> </w:t>
      </w:r>
      <w:r>
        <w:rPr>
          <w:spacing w:val="-2"/>
          <w:w w:val="100"/>
        </w:rPr>
        <w:t>级广告代理公司及众多本土广告</w:t>
      </w:r>
      <w:r>
        <w:rPr>
          <w:spacing w:val="-104"/>
          <w:w w:val="100"/>
        </w:rPr>
        <w:t> </w:t>
      </w:r>
      <w:r>
        <w:rPr>
          <w:spacing w:val="-104"/>
          <w:w w:val="100"/>
        </w:rPr>
      </w:r>
      <w:r>
        <w:rPr>
          <w:spacing w:val="-1"/>
        </w:rPr>
        <w:t>公司建立了长期合作关系，并且拥有大批党政机关、国有大型企事业单位等高端客户资源，这些</w:t>
      </w:r>
      <w:r>
        <w:rPr>
          <w:spacing w:val="-54"/>
        </w:rPr>
        <w:t> </w:t>
      </w:r>
      <w:r>
        <w:rPr>
          <w:spacing w:val="-54"/>
        </w:rPr>
      </w:r>
      <w:r>
        <w:rPr>
          <w:spacing w:val="-1"/>
        </w:rPr>
        <w:t>客户资源既为公司带来了稳定的经营收入和高端的品牌形象，也为未来持续健康发展奠定了坚实</w:t>
      </w:r>
      <w:r>
        <w:rPr>
          <w:spacing w:val="-55"/>
        </w:rPr>
        <w:t> </w:t>
      </w:r>
      <w:r>
        <w:rPr>
          <w:spacing w:val="-55"/>
        </w:rPr>
      </w:r>
      <w:r>
        <w:rPr/>
        <w:t>的基础。</w:t>
      </w:r>
    </w:p>
    <w:p>
      <w:pPr>
        <w:pStyle w:val="BodyText"/>
        <w:spacing w:line="314" w:lineRule="auto" w:before="20"/>
        <w:ind w:left="558" w:right="125"/>
        <w:jc w:val="left"/>
      </w:pPr>
      <w:r>
        <w:rPr>
          <w:rFonts w:ascii="宋体" w:hAnsi="宋体" w:cs="宋体" w:eastAsia="宋体" w:hint="default"/>
        </w:rPr>
        <w:t>5</w:t>
      </w:r>
      <w:r>
        <w:rPr/>
        <w:t>、创新优势</w:t>
      </w:r>
      <w:r>
        <w:rPr>
          <w:w w:val="100"/>
        </w:rPr>
        <w:t> </w:t>
      </w:r>
      <w:r>
        <w:rPr>
          <w:spacing w:val="-2"/>
        </w:rPr>
        <w:t>新华网始终坚持优质内容与先进技术相融合、网民需求和创新导向相结合，持续推进内容建</w:t>
      </w:r>
    </w:p>
    <w:p>
      <w:pPr>
        <w:pStyle w:val="BodyText"/>
        <w:spacing w:line="314" w:lineRule="auto" w:before="20"/>
        <w:ind w:left="138" w:right="127"/>
        <w:jc w:val="both"/>
      </w:pPr>
      <w:r>
        <w:rPr>
          <w:spacing w:val="-1"/>
        </w:rPr>
        <w:t>设移动化、视频化、智能化、知识化转型，紧密追踪大数据、人工智能等前沿技术，引领传播形</w:t>
      </w:r>
      <w:r>
        <w:rPr>
          <w:spacing w:val="-55"/>
        </w:rPr>
        <w:t> </w:t>
      </w:r>
      <w:r>
        <w:rPr>
          <w:spacing w:val="-55"/>
        </w:rPr>
      </w:r>
      <w:r>
        <w:rPr>
          <w:spacing w:val="-1"/>
        </w:rPr>
        <w:t>态变革。大力推进移动化转型，完成新华网客户端改版升级，构建新一代移动传播平台，微信公</w:t>
      </w:r>
      <w:r>
        <w:rPr>
          <w:spacing w:val="-55"/>
        </w:rPr>
        <w:t> </w:t>
      </w:r>
      <w:r>
        <w:rPr>
          <w:spacing w:val="-55"/>
        </w:rPr>
      </w:r>
      <w:r>
        <w:rPr/>
        <w:t>众号订阅用户数突破</w:t>
      </w:r>
      <w:r>
        <w:rPr>
          <w:spacing w:val="-52"/>
        </w:rPr>
        <w:t> </w:t>
      </w:r>
      <w:r>
        <w:rPr>
          <w:rFonts w:ascii="宋体" w:hAnsi="宋体" w:cs="宋体" w:eastAsia="宋体" w:hint="default"/>
        </w:rPr>
        <w:t>1,100</w:t>
      </w:r>
      <w:r>
        <w:rPr>
          <w:rFonts w:ascii="宋体" w:hAnsi="宋体" w:cs="宋体" w:eastAsia="宋体" w:hint="default"/>
          <w:spacing w:val="-51"/>
        </w:rPr>
        <w:t> </w:t>
      </w:r>
      <w:r>
        <w:rPr/>
        <w:t>万，法人微博粉丝数突破</w:t>
      </w:r>
      <w:r>
        <w:rPr>
          <w:spacing w:val="-51"/>
        </w:rPr>
        <w:t> </w:t>
      </w:r>
      <w:r>
        <w:rPr>
          <w:rFonts w:ascii="宋体" w:hAnsi="宋体" w:cs="宋体" w:eastAsia="宋体" w:hint="default"/>
        </w:rPr>
        <w:t>5,400</w:t>
      </w:r>
      <w:r>
        <w:rPr>
          <w:rFonts w:ascii="宋体" w:hAnsi="宋体" w:cs="宋体" w:eastAsia="宋体" w:hint="default"/>
          <w:spacing w:val="-54"/>
        </w:rPr>
        <w:t> </w:t>
      </w:r>
      <w:r>
        <w:rPr/>
        <w:t>万，移动端矩阵效应进一步凸显。加</w:t>
      </w:r>
      <w:r>
        <w:rPr>
          <w:w w:val="100"/>
        </w:rPr>
        <w:t> </w:t>
      </w:r>
      <w:r>
        <w:rPr>
          <w:spacing w:val="-6"/>
          <w:w w:val="100"/>
        </w:rPr>
        <w:t>快实施视频化战略，建成并启用国内首个“媒体创意工场”，上线运行“新华云视频”服务平台，</w:t>
      </w:r>
      <w:r>
        <w:rPr>
          <w:w w:val="100"/>
        </w:rPr>
        <w:t> </w:t>
      </w:r>
      <w:r>
        <w:rPr>
          <w:spacing w:val="-4"/>
        </w:rPr>
        <w:t>为主流媒体打造优质内容产品提供强大技术支撑。创新媒体型智库服务，思客“媒体</w:t>
      </w:r>
      <w:r>
        <w:rPr>
          <w:rFonts w:ascii="宋体" w:hAnsi="宋体" w:cs="宋体" w:eastAsia="宋体" w:hint="default"/>
          <w:spacing w:val="-4"/>
        </w:rPr>
        <w:t>+</w:t>
      </w:r>
      <w:r>
        <w:rPr>
          <w:spacing w:val="-4"/>
        </w:rPr>
        <w:t>智库”布局</w:t>
      </w:r>
      <w:r>
        <w:rPr>
          <w:spacing w:val="-39"/>
        </w:rPr>
        <w:t> </w:t>
      </w:r>
      <w:r>
        <w:rPr>
          <w:spacing w:val="-39"/>
        </w:rPr>
      </w:r>
      <w:r>
        <w:rPr>
          <w:spacing w:val="-10"/>
          <w:w w:val="100"/>
        </w:rPr>
        <w:t>成效显现，已建立起拥有</w:t>
      </w:r>
      <w:r>
        <w:rPr>
          <w:spacing w:val="-48"/>
          <w:w w:val="100"/>
        </w:rPr>
        <w:t> </w:t>
      </w:r>
      <w:r>
        <w:rPr>
          <w:rFonts w:ascii="宋体" w:hAnsi="宋体" w:cs="宋体" w:eastAsia="宋体" w:hint="default"/>
          <w:spacing w:val="-1"/>
          <w:w w:val="100"/>
        </w:rPr>
        <w:t>1,500</w:t>
      </w:r>
      <w:r>
        <w:rPr>
          <w:rFonts w:ascii="宋体" w:hAnsi="宋体" w:cs="宋体" w:eastAsia="宋体" w:hint="default"/>
          <w:spacing w:val="-52"/>
          <w:w w:val="100"/>
        </w:rPr>
        <w:t> </w:t>
      </w:r>
      <w:r>
        <w:rPr>
          <w:spacing w:val="-2"/>
          <w:w w:val="100"/>
        </w:rPr>
        <w:t>余名专家学者和行业领袖的专家库</w:t>
      </w:r>
      <w:r>
        <w:rPr>
          <w:rFonts w:ascii="宋体" w:hAnsi="宋体" w:cs="宋体" w:eastAsia="宋体" w:hint="default"/>
          <w:spacing w:val="-2"/>
          <w:w w:val="100"/>
        </w:rPr>
        <w:t>,</w:t>
      </w:r>
      <w:r>
        <w:rPr>
          <w:spacing w:val="-2"/>
          <w:w w:val="100"/>
        </w:rPr>
        <w:t>含有</w:t>
      </w:r>
      <w:r>
        <w:rPr>
          <w:spacing w:val="-52"/>
          <w:w w:val="100"/>
        </w:rPr>
        <w:t> </w:t>
      </w:r>
      <w:r>
        <w:rPr>
          <w:rFonts w:ascii="宋体" w:hAnsi="宋体" w:cs="宋体" w:eastAsia="宋体" w:hint="default"/>
          <w:w w:val="100"/>
        </w:rPr>
        <w:t>3</w:t>
      </w:r>
      <w:r>
        <w:rPr>
          <w:rFonts w:ascii="宋体" w:hAnsi="宋体" w:cs="宋体" w:eastAsia="宋体" w:hint="default"/>
          <w:spacing w:val="-50"/>
          <w:w w:val="100"/>
        </w:rPr>
        <w:t> </w:t>
      </w:r>
      <w:r>
        <w:rPr>
          <w:spacing w:val="-2"/>
          <w:w w:val="100"/>
        </w:rPr>
        <w:t>万多篇舆情分析报告的</w:t>
      </w:r>
      <w:r>
        <w:rPr>
          <w:spacing w:val="-104"/>
          <w:w w:val="100"/>
        </w:rPr>
        <w:t> </w:t>
      </w:r>
      <w:r>
        <w:rPr>
          <w:spacing w:val="-104"/>
          <w:w w:val="100"/>
        </w:rPr>
      </w:r>
      <w:r>
        <w:rPr>
          <w:spacing w:val="-1"/>
        </w:rPr>
        <w:t>舆情样本库，平台规模与影响力稳居新型智库行业前列。发布新华睿思数据云图分析平台，每日</w:t>
      </w:r>
      <w:r>
        <w:rPr>
          <w:spacing w:val="-55"/>
        </w:rPr>
        <w:t> </w:t>
      </w:r>
      <w:r>
        <w:rPr>
          <w:spacing w:val="-55"/>
        </w:rPr>
      </w:r>
      <w:r>
        <w:rPr/>
        <w:t>新增数据约</w:t>
      </w:r>
      <w:r>
        <w:rPr>
          <w:spacing w:val="-51"/>
        </w:rPr>
        <w:t> </w:t>
      </w:r>
      <w:r>
        <w:rPr>
          <w:rFonts w:ascii="宋体" w:hAnsi="宋体" w:cs="宋体" w:eastAsia="宋体" w:hint="default"/>
        </w:rPr>
        <w:t>1</w:t>
      </w:r>
      <w:r>
        <w:rPr>
          <w:rFonts w:ascii="宋体" w:hAnsi="宋体" w:cs="宋体" w:eastAsia="宋体" w:hint="default"/>
          <w:spacing w:val="-54"/>
        </w:rPr>
        <w:t> </w:t>
      </w:r>
      <w:r>
        <w:rPr/>
        <w:t>亿条，累计集聚大数据资源</w:t>
      </w:r>
      <w:r>
        <w:rPr>
          <w:spacing w:val="-51"/>
        </w:rPr>
        <w:t> </w:t>
      </w:r>
      <w:r>
        <w:rPr>
          <w:rFonts w:ascii="宋体" w:hAnsi="宋体" w:cs="宋体" w:eastAsia="宋体" w:hint="default"/>
        </w:rPr>
        <w:t>350</w:t>
      </w:r>
      <w:r>
        <w:rPr>
          <w:rFonts w:ascii="宋体" w:hAnsi="宋体" w:cs="宋体" w:eastAsia="宋体" w:hint="default"/>
          <w:spacing w:val="-51"/>
        </w:rPr>
        <w:t> </w:t>
      </w:r>
      <w:r>
        <w:rPr/>
        <w:t>亿条，为政府部门提升网络空间治理能力和政务服</w:t>
      </w:r>
      <w:r>
        <w:rPr>
          <w:w w:val="100"/>
        </w:rPr>
        <w:t> </w:t>
      </w:r>
      <w:r>
        <w:rPr>
          <w:spacing w:val="-1"/>
        </w:rPr>
        <w:t>务能力有效发挥专业支撑作用。生物传感技术成功拓展媒体、教育、交通、健康等应用场景，进</w:t>
      </w:r>
      <w:r>
        <w:rPr>
          <w:spacing w:val="-55"/>
        </w:rPr>
        <w:t> </w:t>
      </w:r>
      <w:r>
        <w:rPr>
          <w:spacing w:val="-55"/>
        </w:rPr>
      </w:r>
      <w:r>
        <w:rPr/>
        <w:t>入市场开发阶段。新华智云科技有限公司研发推出媒体大脑</w:t>
      </w:r>
      <w:r>
        <w:rPr>
          <w:spacing w:val="-50"/>
        </w:rPr>
        <w:t> </w:t>
      </w:r>
      <w:r>
        <w:rPr>
          <w:rFonts w:ascii="宋体" w:hAnsi="宋体" w:cs="宋体" w:eastAsia="宋体" w:hint="default"/>
        </w:rPr>
        <w:t>MAGIC</w:t>
      </w:r>
      <w:r>
        <w:rPr>
          <w:rFonts w:ascii="宋体" w:hAnsi="宋体" w:cs="宋体" w:eastAsia="宋体" w:hint="default"/>
          <w:spacing w:val="-50"/>
        </w:rPr>
        <w:t> </w:t>
      </w:r>
      <w:r>
        <w:rPr/>
        <w:t>短视频智能生产平台，成功将</w:t>
      </w:r>
      <w:r>
        <w:rPr>
          <w:w w:val="100"/>
        </w:rPr>
        <w:t> </w:t>
      </w:r>
      <w:r>
        <w:rPr/>
        <w:t>新闻智能生成流水线引入内容领域。</w:t>
      </w:r>
    </w:p>
    <w:p>
      <w:pPr>
        <w:spacing w:after="0" w:line="314"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918" w:val="left" w:leader="none"/>
        </w:tabs>
        <w:spacing w:line="240" w:lineRule="auto" w:before="162"/>
        <w:ind w:left="2658" w:right="125"/>
        <w:jc w:val="left"/>
        <w:rPr>
          <w:b w:val="0"/>
          <w:bCs w:val="0"/>
        </w:rPr>
      </w:pPr>
      <w:bookmarkStart w:name="_TOC_250008" w:id="4"/>
      <w:r>
        <w:rPr>
          <w:w w:val="95"/>
        </w:rPr>
        <w:t>第四节</w:t>
        <w:tab/>
      </w:r>
      <w:r>
        <w:rPr/>
        <w:t>经营情况讨论与分析</w:t>
      </w:r>
      <w:bookmarkEnd w:id="4"/>
      <w:r>
        <w:rPr>
          <w:b w:val="0"/>
          <w:bCs w:val="0"/>
        </w:rPr>
      </w:r>
    </w:p>
    <w:p>
      <w:pPr>
        <w:spacing w:line="240" w:lineRule="auto" w:before="7"/>
        <w:rPr>
          <w:rFonts w:ascii="黑体" w:hAnsi="黑体" w:cs="黑体" w:eastAsia="黑体" w:hint="default"/>
          <w:b/>
          <w:bCs/>
          <w:sz w:val="16"/>
          <w:szCs w:val="16"/>
        </w:rPr>
      </w:pPr>
    </w:p>
    <w:p>
      <w:pPr>
        <w:pStyle w:val="Heading2"/>
        <w:spacing w:line="240" w:lineRule="auto"/>
        <w:ind w:left="138" w:right="0"/>
        <w:jc w:val="both"/>
        <w:rPr>
          <w:b w:val="0"/>
          <w:bCs w:val="0"/>
        </w:rPr>
      </w:pPr>
      <w:r>
        <w:rPr/>
        <w:t>一、经营情况讨论与分析</w:t>
      </w:r>
      <w:r>
        <w:rPr>
          <w:b w:val="0"/>
          <w:bCs w:val="0"/>
        </w:rPr>
      </w:r>
    </w:p>
    <w:p>
      <w:pPr>
        <w:pStyle w:val="BodyText"/>
        <w:spacing w:line="350" w:lineRule="auto" w:before="164"/>
        <w:ind w:left="138" w:right="128" w:firstLine="419"/>
        <w:jc w:val="both"/>
      </w:pPr>
      <w:r>
        <w:rPr>
          <w:rFonts w:ascii="宋体" w:hAnsi="宋体" w:cs="宋体" w:eastAsia="宋体" w:hint="default"/>
        </w:rPr>
        <w:t>2018</w:t>
      </w:r>
      <w:r>
        <w:rPr>
          <w:rFonts w:ascii="宋体" w:hAnsi="宋体" w:cs="宋体" w:eastAsia="宋体" w:hint="default"/>
          <w:spacing w:val="-6"/>
        </w:rPr>
        <w:t> </w:t>
      </w:r>
      <w:r>
        <w:rPr>
          <w:spacing w:val="-3"/>
        </w:rPr>
        <w:t>年是全面贯彻落实党的十九大精神的开局之年，公司以习近平新时代中国特色社会主义</w:t>
      </w:r>
      <w:r>
        <w:rPr>
          <w:w w:val="100"/>
        </w:rPr>
        <w:t> </w:t>
      </w:r>
      <w:r>
        <w:rPr>
          <w:spacing w:val="-2"/>
        </w:rPr>
        <w:t>思想为指导，深入学习贯彻中央领导同志对新华网工作的重要批示精神，传播力引导力影响力公</w:t>
      </w:r>
      <w:r>
        <w:rPr>
          <w:spacing w:val="-25"/>
        </w:rPr>
        <w:t> </w:t>
      </w:r>
      <w:r>
        <w:rPr>
          <w:spacing w:val="-25"/>
        </w:rPr>
      </w:r>
      <w:r>
        <w:rPr/>
        <w:t>信力全面提升，进一步巩固了网络宣传主力军主渠道主阵地地位。</w:t>
      </w:r>
    </w:p>
    <w:p>
      <w:pPr>
        <w:pStyle w:val="BodyText"/>
        <w:spacing w:line="350" w:lineRule="auto" w:before="27"/>
        <w:ind w:left="138" w:right="137" w:firstLine="419"/>
        <w:jc w:val="both"/>
      </w:pPr>
      <w:r>
        <w:rPr>
          <w:spacing w:val="-2"/>
        </w:rPr>
        <w:t>报告期内，公司继续保持稳健的发展势头，新闻报道亮点频出，经营效益稳步提升，技术创</w:t>
      </w:r>
      <w:r>
        <w:rPr>
          <w:w w:val="100"/>
        </w:rPr>
        <w:t> </w:t>
      </w:r>
      <w:r>
        <w:rPr>
          <w:spacing w:val="-2"/>
        </w:rPr>
        <w:t>新能力和公司治理水平持续增强，严格按照《公司法》《公司章程》以及中国证监会对规范运作</w:t>
      </w:r>
      <w:r>
        <w:rPr>
          <w:spacing w:val="-25"/>
        </w:rPr>
        <w:t> </w:t>
      </w:r>
      <w:r>
        <w:rPr>
          <w:spacing w:val="-25"/>
        </w:rPr>
      </w:r>
      <w:r>
        <w:rPr/>
        <w:t>的相关规定，勤勉、高效地完成了各项工作。</w:t>
      </w:r>
    </w:p>
    <w:p>
      <w:pPr>
        <w:pStyle w:val="BodyText"/>
        <w:spacing w:line="350" w:lineRule="auto" w:before="27"/>
        <w:ind w:left="138" w:right="128" w:firstLine="419"/>
        <w:jc w:val="both"/>
      </w:pPr>
      <w:r>
        <w:rPr>
          <w:spacing w:val="-7"/>
        </w:rPr>
        <w:t>在新闻报道方面，公司切实履行职责使命，网上宣传和舆论引导“龙头压阵”作用充分彰显。</w:t>
      </w:r>
      <w:r>
        <w:rPr>
          <w:w w:val="100"/>
        </w:rPr>
        <w:t> </w:t>
      </w:r>
      <w:r>
        <w:rPr>
          <w:spacing w:val="-2"/>
        </w:rPr>
        <w:t>把宣传习近平新时代中国特色社会主义思想和十九大精神作为新闻报道的中心任务，以“学习进</w:t>
      </w:r>
      <w:r>
        <w:rPr>
          <w:spacing w:val="-26"/>
        </w:rPr>
        <w:t> </w:t>
      </w:r>
      <w:r>
        <w:rPr>
          <w:spacing w:val="-26"/>
        </w:rPr>
      </w:r>
      <w:r>
        <w:rPr/>
        <w:t>行时”专栏为主体，全年累计推出各类原创报道上千件，最高转载量达</w:t>
      </w:r>
      <w:r>
        <w:rPr>
          <w:spacing w:val="-57"/>
        </w:rPr>
        <w:t> </w:t>
      </w:r>
      <w:r>
        <w:rPr>
          <w:rFonts w:ascii="宋体" w:hAnsi="宋体" w:cs="宋体" w:eastAsia="宋体" w:hint="default"/>
        </w:rPr>
        <w:t>1,490</w:t>
      </w:r>
      <w:r>
        <w:rPr>
          <w:rFonts w:ascii="宋体" w:hAnsi="宋体" w:cs="宋体" w:eastAsia="宋体" w:hint="default"/>
          <w:spacing w:val="-56"/>
        </w:rPr>
        <w:t> </w:t>
      </w:r>
      <w:r>
        <w:rPr/>
        <w:t>家。圆满完成改革</w:t>
      </w:r>
    </w:p>
    <w:p>
      <w:pPr>
        <w:pStyle w:val="BodyText"/>
        <w:spacing w:line="240" w:lineRule="auto" w:before="27"/>
        <w:ind w:left="138" w:right="0"/>
        <w:jc w:val="both"/>
      </w:pPr>
      <w:r>
        <w:rPr/>
        <w:t>开放 </w:t>
      </w:r>
      <w:r>
        <w:rPr>
          <w:rFonts w:ascii="宋体" w:hAnsi="宋体" w:cs="宋体" w:eastAsia="宋体" w:hint="default"/>
        </w:rPr>
        <w:t>40</w:t>
      </w:r>
      <w:r>
        <w:rPr>
          <w:rFonts w:ascii="宋体" w:hAnsi="宋体" w:cs="宋体" w:eastAsia="宋体" w:hint="default"/>
          <w:spacing w:val="-51"/>
        </w:rPr>
        <w:t> </w:t>
      </w:r>
      <w:r>
        <w:rPr>
          <w:spacing w:val="-4"/>
        </w:rPr>
        <w:t>周年、全国两会、博鳌亚洲论坛、上海合作组织峰会、中非合作论坛、首届中国国际进口</w:t>
      </w:r>
    </w:p>
    <w:p>
      <w:pPr>
        <w:pStyle w:val="BodyText"/>
        <w:spacing w:line="240" w:lineRule="auto" w:before="126"/>
        <w:ind w:left="138" w:right="0"/>
        <w:jc w:val="both"/>
      </w:pPr>
      <w:r>
        <w:rPr/>
        <w:t>博览会等一系列重大主题报道，推出大型融媒体专题近百个，组织直播访谈</w:t>
      </w:r>
      <w:r>
        <w:rPr>
          <w:spacing w:val="-56"/>
        </w:rPr>
        <w:t> </w:t>
      </w:r>
      <w:r>
        <w:rPr>
          <w:rFonts w:ascii="宋体" w:hAnsi="宋体" w:cs="宋体" w:eastAsia="宋体" w:hint="default"/>
        </w:rPr>
        <w:t>1,300</w:t>
      </w:r>
      <w:r>
        <w:rPr>
          <w:rFonts w:ascii="宋体" w:hAnsi="宋体" w:cs="宋体" w:eastAsia="宋体" w:hint="default"/>
          <w:spacing w:val="-56"/>
        </w:rPr>
        <w:t> </w:t>
      </w:r>
      <w:r>
        <w:rPr/>
        <w:t>多场。及时有</w:t>
      </w:r>
    </w:p>
    <w:p>
      <w:pPr>
        <w:pStyle w:val="BodyText"/>
        <w:spacing w:line="240" w:lineRule="auto" w:before="126"/>
        <w:ind w:left="138" w:right="0"/>
        <w:jc w:val="both"/>
      </w:pPr>
      <w:r>
        <w:rPr>
          <w:spacing w:val="-5"/>
        </w:rPr>
        <w:t>效引导网上热点，推出</w:t>
      </w:r>
      <w:r>
        <w:rPr>
          <w:spacing w:val="-40"/>
        </w:rPr>
        <w:t> </w:t>
      </w:r>
      <w:r>
        <w:rPr>
          <w:rFonts w:ascii="宋体" w:hAnsi="宋体" w:cs="宋体" w:eastAsia="宋体" w:hint="default"/>
        </w:rPr>
        <w:t>50</w:t>
      </w:r>
      <w:r>
        <w:rPr>
          <w:rFonts w:ascii="宋体" w:hAnsi="宋体" w:cs="宋体" w:eastAsia="宋体" w:hint="default"/>
          <w:spacing w:val="-43"/>
        </w:rPr>
        <w:t> </w:t>
      </w:r>
      <w:r>
        <w:rPr/>
        <w:t>余个系列</w:t>
      </w:r>
      <w:r>
        <w:rPr>
          <w:spacing w:val="-41"/>
        </w:rPr>
        <w:t> </w:t>
      </w:r>
      <w:r>
        <w:rPr>
          <w:rFonts w:ascii="宋体" w:hAnsi="宋体" w:cs="宋体" w:eastAsia="宋体" w:hint="default"/>
        </w:rPr>
        <w:t>900</w:t>
      </w:r>
      <w:r>
        <w:rPr>
          <w:rFonts w:ascii="宋体" w:hAnsi="宋体" w:cs="宋体" w:eastAsia="宋体" w:hint="default"/>
          <w:spacing w:val="-41"/>
        </w:rPr>
        <w:t> </w:t>
      </w:r>
      <w:r>
        <w:rPr>
          <w:spacing w:val="-4"/>
        </w:rPr>
        <w:t>余篇原创评论报道，有力引领网上舆论，一批融视频产品</w:t>
      </w:r>
    </w:p>
    <w:p>
      <w:pPr>
        <w:pStyle w:val="BodyText"/>
        <w:spacing w:line="240" w:lineRule="auto" w:before="123"/>
        <w:ind w:left="138" w:right="0"/>
        <w:jc w:val="both"/>
      </w:pPr>
      <w:r>
        <w:rPr>
          <w:spacing w:val="-5"/>
        </w:rPr>
        <w:t>持续产生“刷屏效应”，总访问量超过 </w:t>
      </w:r>
      <w:r>
        <w:rPr>
          <w:rFonts w:ascii="宋体" w:hAnsi="宋体" w:cs="宋体" w:eastAsia="宋体" w:hint="default"/>
        </w:rPr>
        <w:t>10</w:t>
      </w:r>
      <w:r>
        <w:rPr>
          <w:rFonts w:ascii="宋体" w:hAnsi="宋体" w:cs="宋体" w:eastAsia="宋体" w:hint="default"/>
          <w:spacing w:val="-24"/>
        </w:rPr>
        <w:t> </w:t>
      </w:r>
      <w:r>
        <w:rPr>
          <w:spacing w:val="-4"/>
        </w:rPr>
        <w:t>亿人次。发挥外文网站集群效应，对外合作传播进一步</w:t>
      </w:r>
      <w:r>
        <w:rPr/>
      </w:r>
    </w:p>
    <w:p>
      <w:pPr>
        <w:pStyle w:val="BodyText"/>
        <w:spacing w:line="350" w:lineRule="auto" w:before="126"/>
        <w:ind w:left="558" w:right="125" w:hanging="420"/>
        <w:jc w:val="left"/>
      </w:pPr>
      <w:r>
        <w:rPr/>
        <w:t>深化，实现对外重点报道在全球</w:t>
      </w:r>
      <w:r>
        <w:rPr>
          <w:spacing w:val="-53"/>
        </w:rPr>
        <w:t> </w:t>
      </w:r>
      <w:r>
        <w:rPr>
          <w:rFonts w:ascii="宋体" w:hAnsi="宋体" w:cs="宋体" w:eastAsia="宋体" w:hint="default"/>
        </w:rPr>
        <w:t>270</w:t>
      </w:r>
      <w:r>
        <w:rPr>
          <w:rFonts w:ascii="宋体" w:hAnsi="宋体" w:cs="宋体" w:eastAsia="宋体" w:hint="default"/>
          <w:spacing w:val="-55"/>
        </w:rPr>
        <w:t> </w:t>
      </w:r>
      <w:r>
        <w:rPr/>
        <w:t>余家主流媒体网站终端落地。</w:t>
      </w:r>
      <w:r>
        <w:rPr>
          <w:w w:val="100"/>
        </w:rPr>
        <w:t> </w:t>
      </w:r>
      <w:r>
        <w:rPr>
          <w:spacing w:val="-2"/>
        </w:rPr>
        <w:t>在融合发展方面，公司大力推进转型升级，移动传播能力和视频业务水平获得全方位提升。</w:t>
      </w:r>
    </w:p>
    <w:p>
      <w:pPr>
        <w:pStyle w:val="BodyText"/>
        <w:spacing w:line="350" w:lineRule="auto" w:before="27"/>
        <w:ind w:left="138" w:right="127"/>
        <w:jc w:val="both"/>
      </w:pPr>
      <w:r>
        <w:rPr>
          <w:spacing w:val="-2"/>
        </w:rPr>
        <w:t>深入实施“两端并举、移动优先”战略，完成新华网客户端改版升级，加大“两微”原创内容生</w:t>
      </w:r>
      <w:r>
        <w:rPr>
          <w:spacing w:val="-25"/>
        </w:rPr>
        <w:t> </w:t>
      </w:r>
      <w:r>
        <w:rPr>
          <w:spacing w:val="-25"/>
        </w:rPr>
      </w:r>
      <w:r>
        <w:rPr>
          <w:spacing w:val="-2"/>
        </w:rPr>
        <w:t>产，“两微一端”传播力和影响力进一步增强，移动端矩阵效应进一步凸显。加快实施视频化战</w:t>
      </w:r>
      <w:r>
        <w:rPr>
          <w:spacing w:val="-25"/>
        </w:rPr>
        <w:t> </w:t>
      </w:r>
      <w:r>
        <w:rPr>
          <w:spacing w:val="-25"/>
        </w:rPr>
      </w:r>
      <w:r>
        <w:rPr>
          <w:spacing w:val="-7"/>
        </w:rPr>
        <w:t>略，建成国内首个“媒体创意工场”，推出《我梦想，我奋斗，我奔向》等“现象级”传播产品，</w:t>
      </w:r>
      <w:r>
        <w:rPr>
          <w:spacing w:val="-14"/>
        </w:rPr>
        <w:t> </w:t>
      </w:r>
      <w:r>
        <w:rPr>
          <w:spacing w:val="-14"/>
        </w:rPr>
      </w:r>
      <w:r>
        <w:rPr>
          <w:spacing w:val="-2"/>
        </w:rPr>
        <w:t>打造《直播联合国》等知识化短视频栏目，视频产品线进一步丰富。推动大数据、人工智能等前</w:t>
      </w:r>
      <w:r>
        <w:rPr>
          <w:spacing w:val="-25"/>
        </w:rPr>
        <w:t> </w:t>
      </w:r>
      <w:r>
        <w:rPr>
          <w:spacing w:val="-25"/>
        </w:rPr>
      </w:r>
      <w:r>
        <w:rPr>
          <w:spacing w:val="-7"/>
          <w:w w:val="100"/>
        </w:rPr>
        <w:t>沿技术与业务深度融合，完成超级编辑部</w:t>
      </w:r>
      <w:r>
        <w:rPr>
          <w:spacing w:val="-50"/>
          <w:w w:val="100"/>
        </w:rPr>
        <w:t> </w:t>
      </w:r>
      <w:r>
        <w:rPr>
          <w:rFonts w:ascii="宋体" w:hAnsi="宋体" w:cs="宋体" w:eastAsia="宋体" w:hint="default"/>
          <w:spacing w:val="-1"/>
          <w:w w:val="100"/>
        </w:rPr>
        <w:t>4.0</w:t>
      </w:r>
      <w:r>
        <w:rPr>
          <w:rFonts w:ascii="宋体" w:hAnsi="宋体" w:cs="宋体" w:eastAsia="宋体" w:hint="default"/>
          <w:spacing w:val="-50"/>
          <w:w w:val="100"/>
        </w:rPr>
        <w:t> </w:t>
      </w:r>
      <w:r>
        <w:rPr>
          <w:spacing w:val="-6"/>
          <w:w w:val="100"/>
        </w:rPr>
        <w:t>一期重点工程建设，上线“新华云视频”服务平台，</w:t>
      </w:r>
      <w:r>
        <w:rPr>
          <w:w w:val="100"/>
        </w:rPr>
        <w:t> </w:t>
      </w:r>
      <w:r>
        <w:rPr/>
        <w:t>引入</w:t>
      </w:r>
      <w:r>
        <w:rPr>
          <w:spacing w:val="-54"/>
        </w:rPr>
        <w:t> </w:t>
      </w:r>
      <w:r>
        <w:rPr>
          <w:rFonts w:ascii="宋体" w:hAnsi="宋体" w:cs="宋体" w:eastAsia="宋体" w:hint="default"/>
        </w:rPr>
        <w:t>MOCO</w:t>
      </w:r>
      <w:r>
        <w:rPr>
          <w:rFonts w:ascii="宋体" w:hAnsi="宋体" w:cs="宋体" w:eastAsia="宋体" w:hint="default"/>
          <w:spacing w:val="-56"/>
        </w:rPr>
        <w:t> </w:t>
      </w:r>
      <w:r>
        <w:rPr/>
        <w:t>交互式智能视频摄制系统，启用</w:t>
      </w:r>
      <w:r>
        <w:rPr>
          <w:spacing w:val="-54"/>
        </w:rPr>
        <w:t> </w:t>
      </w:r>
      <w:r>
        <w:rPr>
          <w:rFonts w:ascii="宋体" w:hAnsi="宋体" w:cs="宋体" w:eastAsia="宋体" w:hint="default"/>
        </w:rPr>
        <w:t>MR</w:t>
      </w:r>
      <w:r>
        <w:rPr>
          <w:rFonts w:ascii="宋体" w:hAnsi="宋体" w:cs="宋体" w:eastAsia="宋体" w:hint="default"/>
          <w:spacing w:val="-56"/>
        </w:rPr>
        <w:t> </w:t>
      </w:r>
      <w:r>
        <w:rPr/>
        <w:t>智能演播厅，升级新华睿思数据云图分析平台，拓</w:t>
      </w:r>
      <w:r>
        <w:rPr>
          <w:w w:val="100"/>
        </w:rPr>
        <w:t> </w:t>
      </w:r>
      <w:r>
        <w:rPr/>
        <w:t>展生物传感技术应用场景，技术支撑引领作用进一步增强。</w:t>
      </w:r>
    </w:p>
    <w:p>
      <w:pPr>
        <w:pStyle w:val="BodyText"/>
        <w:spacing w:line="348" w:lineRule="auto" w:before="29"/>
        <w:ind w:left="138" w:right="137" w:firstLine="419"/>
        <w:jc w:val="both"/>
      </w:pPr>
      <w:r>
        <w:rPr>
          <w:spacing w:val="-2"/>
        </w:rPr>
        <w:t>在经营发展方面，公司积极推动机制创新，经营工作呈现稳步发展态势。加快业务创新，聚</w:t>
      </w:r>
      <w:r>
        <w:rPr>
          <w:w w:val="100"/>
        </w:rPr>
        <w:t> </w:t>
      </w:r>
      <w:r>
        <w:rPr>
          <w:spacing w:val="-2"/>
        </w:rPr>
        <w:t>焦模式升级，整合优质资源，移动互联网业务和数字内容业务实现快速成长，为经营工作提供了</w:t>
      </w:r>
      <w:r>
        <w:rPr>
          <w:spacing w:val="-25"/>
        </w:rPr>
        <w:t> </w:t>
      </w:r>
      <w:r>
        <w:rPr>
          <w:spacing w:val="-25"/>
        </w:rPr>
      </w:r>
      <w:r>
        <w:rPr>
          <w:spacing w:val="-2"/>
        </w:rPr>
        <w:t>新的增长动力。升级“前店后厂”模式，推动总网事业部加强业务研发和产品优化，地方分公司</w:t>
      </w:r>
      <w:r>
        <w:rPr>
          <w:spacing w:val="-25"/>
        </w:rPr>
        <w:t> </w:t>
      </w:r>
      <w:r>
        <w:rPr>
          <w:spacing w:val="-25"/>
        </w:rPr>
      </w:r>
      <w:r>
        <w:rPr>
          <w:spacing w:val="-2"/>
        </w:rPr>
        <w:t>加强区域业务拓展和客户服务，协作机制成效显著。创新运营机制，培育专业化子公司，设立新</w:t>
      </w:r>
      <w:r>
        <w:rPr>
          <w:spacing w:val="-26"/>
        </w:rPr>
        <w:t> </w:t>
      </w:r>
      <w:r>
        <w:rPr>
          <w:spacing w:val="-26"/>
        </w:rPr>
      </w:r>
      <w:r>
        <w:rPr>
          <w:spacing w:val="-2"/>
        </w:rPr>
        <w:t>华网科技有限公司和新华炫闻（北京）移动传媒科技有限公司，积极拓展技术服务和移动传播等</w:t>
      </w:r>
      <w:r>
        <w:rPr>
          <w:spacing w:val="-25"/>
        </w:rPr>
        <w:t> </w:t>
      </w:r>
      <w:r>
        <w:rPr>
          <w:spacing w:val="-25"/>
        </w:rPr>
      </w:r>
      <w:r>
        <w:rPr/>
        <w:t>创新型业务，集团化经营模式更为成熟。</w:t>
      </w:r>
    </w:p>
    <w:p>
      <w:pPr>
        <w:pStyle w:val="Heading2"/>
        <w:spacing w:line="258" w:lineRule="exact" w:before="0"/>
        <w:ind w:left="138" w:right="0"/>
        <w:jc w:val="both"/>
        <w:rPr>
          <w:b w:val="0"/>
          <w:bCs w:val="0"/>
        </w:rPr>
      </w:pPr>
      <w:r>
        <w:rPr/>
        <w:t>二、报告期内主要经营情况</w:t>
      </w:r>
      <w:r>
        <w:rPr>
          <w:b w:val="0"/>
          <w:bCs w:val="0"/>
        </w:rPr>
      </w:r>
    </w:p>
    <w:p>
      <w:pPr>
        <w:pStyle w:val="BodyText"/>
        <w:spacing w:line="357" w:lineRule="auto" w:before="56"/>
        <w:ind w:left="138" w:right="128" w:firstLine="419"/>
        <w:jc w:val="both"/>
      </w:pPr>
      <w:r>
        <w:rPr/>
        <w:t>截止</w:t>
      </w:r>
      <w:r>
        <w:rPr>
          <w:spacing w:val="-47"/>
        </w:rPr>
        <w:t> </w:t>
      </w:r>
      <w:r>
        <w:rPr>
          <w:rFonts w:ascii="宋体" w:hAnsi="宋体" w:cs="宋体" w:eastAsia="宋体" w:hint="default"/>
        </w:rPr>
        <w:t>2018</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spacing w:val="-4"/>
        </w:rPr>
        <w:t>日，公司总资产</w:t>
      </w:r>
      <w:r>
        <w:rPr>
          <w:spacing w:val="-47"/>
        </w:rPr>
        <w:t> </w:t>
      </w:r>
      <w:r>
        <w:rPr>
          <w:rFonts w:ascii="宋体" w:hAnsi="宋体" w:cs="宋体" w:eastAsia="宋体" w:hint="default"/>
        </w:rPr>
        <w:t>39.57</w:t>
      </w:r>
      <w:r>
        <w:rPr>
          <w:rFonts w:ascii="宋体" w:hAnsi="宋体" w:cs="宋体" w:eastAsia="宋体" w:hint="default"/>
          <w:spacing w:val="-47"/>
        </w:rPr>
        <w:t> </w:t>
      </w:r>
      <w:r>
        <w:rPr>
          <w:spacing w:val="-4"/>
        </w:rPr>
        <w:t>亿元，同比增长</w:t>
      </w:r>
      <w:r>
        <w:rPr>
          <w:spacing w:val="-47"/>
        </w:rPr>
        <w:t> </w:t>
      </w:r>
      <w:r>
        <w:rPr>
          <w:rFonts w:ascii="宋体" w:hAnsi="宋体" w:cs="宋体" w:eastAsia="宋体" w:hint="default"/>
          <w:spacing w:val="-3"/>
        </w:rPr>
        <w:t>5.52%</w:t>
      </w:r>
      <w:r>
        <w:rPr>
          <w:spacing w:val="-3"/>
        </w:rPr>
        <w:t>；归属于上市公司股东的</w:t>
      </w:r>
      <w:r>
        <w:rPr>
          <w:w w:val="100"/>
        </w:rPr>
        <w:t> </w:t>
      </w:r>
      <w:r>
        <w:rPr/>
        <w:t>净资产</w:t>
      </w:r>
      <w:r>
        <w:rPr>
          <w:spacing w:val="-45"/>
        </w:rPr>
        <w:t> </w:t>
      </w:r>
      <w:r>
        <w:rPr>
          <w:rFonts w:ascii="宋体" w:hAnsi="宋体" w:cs="宋体" w:eastAsia="宋体" w:hint="default"/>
        </w:rPr>
        <w:t>28.34</w:t>
      </w:r>
      <w:r>
        <w:rPr>
          <w:rFonts w:ascii="宋体" w:hAnsi="宋体" w:cs="宋体" w:eastAsia="宋体" w:hint="default"/>
          <w:spacing w:val="-45"/>
        </w:rPr>
        <w:t> </w:t>
      </w:r>
      <w:r>
        <w:rPr>
          <w:spacing w:val="-7"/>
        </w:rPr>
        <w:t>亿元，同比增长</w:t>
      </w:r>
      <w:r>
        <w:rPr>
          <w:spacing w:val="-44"/>
        </w:rPr>
        <w:t> </w:t>
      </w:r>
      <w:r>
        <w:rPr>
          <w:rFonts w:ascii="宋体" w:hAnsi="宋体" w:cs="宋体" w:eastAsia="宋体" w:hint="default"/>
          <w:spacing w:val="-5"/>
        </w:rPr>
        <w:t>3.83%</w:t>
      </w:r>
      <w:r>
        <w:rPr>
          <w:spacing w:val="-5"/>
        </w:rPr>
        <w:t>。</w:t>
      </w:r>
      <w:r>
        <w:rPr>
          <w:rFonts w:ascii="宋体" w:hAnsi="宋体" w:cs="宋体" w:eastAsia="宋体" w:hint="default"/>
          <w:spacing w:val="-5"/>
        </w:rPr>
        <w:t>2018</w:t>
      </w:r>
      <w:r>
        <w:rPr>
          <w:rFonts w:ascii="宋体" w:hAnsi="宋体" w:cs="宋体" w:eastAsia="宋体" w:hint="default"/>
          <w:spacing w:val="-45"/>
        </w:rPr>
        <w:t> </w:t>
      </w:r>
      <w:r>
        <w:rPr>
          <w:spacing w:val="-6"/>
        </w:rPr>
        <w:t>年，公司实现营业收入</w:t>
      </w:r>
      <w:r>
        <w:rPr>
          <w:spacing w:val="-45"/>
        </w:rPr>
        <w:t> </w:t>
      </w:r>
      <w:r>
        <w:rPr>
          <w:rFonts w:ascii="宋体" w:hAnsi="宋体" w:cs="宋体" w:eastAsia="宋体" w:hint="default"/>
        </w:rPr>
        <w:t>15.69</w:t>
      </w:r>
      <w:r>
        <w:rPr>
          <w:rFonts w:ascii="宋体" w:hAnsi="宋体" w:cs="宋体" w:eastAsia="宋体" w:hint="default"/>
          <w:spacing w:val="-48"/>
        </w:rPr>
        <w:t> </w:t>
      </w:r>
      <w:r>
        <w:rPr>
          <w:spacing w:val="-7"/>
        </w:rPr>
        <w:t>亿元，同比增长</w:t>
      </w:r>
      <w:r>
        <w:rPr>
          <w:spacing w:val="-44"/>
        </w:rPr>
        <w:t> </w:t>
      </w:r>
      <w:r>
        <w:rPr>
          <w:rFonts w:ascii="宋体" w:hAnsi="宋体" w:cs="宋体" w:eastAsia="宋体" w:hint="default"/>
        </w:rPr>
        <w:t>4.50%</w:t>
      </w:r>
      <w:r>
        <w:rPr/>
        <w:t>；</w:t>
      </w:r>
    </w:p>
    <w:p>
      <w:pPr>
        <w:spacing w:after="0" w:line="357" w:lineRule="auto"/>
        <w:jc w:val="both"/>
        <w:sectPr>
          <w:footerReference w:type="default" r:id="rId17"/>
          <w:pgSz w:w="11910" w:h="16840"/>
          <w:pgMar w:footer="1195" w:header="880" w:top="1120" w:bottom="1380" w:left="1660" w:right="1140"/>
          <w:pgNumType w:start="13"/>
        </w:sectPr>
      </w:pPr>
    </w:p>
    <w:p>
      <w:pPr>
        <w:spacing w:line="240" w:lineRule="auto" w:before="4"/>
        <w:rPr>
          <w:rFonts w:ascii="宋体" w:hAnsi="宋体" w:cs="宋体" w:eastAsia="宋体" w:hint="default"/>
          <w:sz w:val="25"/>
          <w:szCs w:val="25"/>
        </w:rPr>
      </w:pPr>
    </w:p>
    <w:p>
      <w:pPr>
        <w:pStyle w:val="BodyText"/>
        <w:spacing w:line="357" w:lineRule="auto" w:before="36"/>
        <w:ind w:left="498" w:right="508"/>
        <w:jc w:val="both"/>
      </w:pPr>
      <w:r>
        <w:rPr/>
        <w:t>归属于上市公司股东的净利润</w:t>
      </w:r>
      <w:r>
        <w:rPr>
          <w:spacing w:val="-36"/>
        </w:rPr>
        <w:t> </w:t>
      </w:r>
      <w:r>
        <w:rPr>
          <w:rFonts w:ascii="宋体" w:hAnsi="宋体" w:cs="宋体" w:eastAsia="宋体" w:hint="default"/>
        </w:rPr>
        <w:t>2.85</w:t>
      </w:r>
      <w:r>
        <w:rPr>
          <w:rFonts w:ascii="宋体" w:hAnsi="宋体" w:cs="宋体" w:eastAsia="宋体" w:hint="default"/>
          <w:spacing w:val="-39"/>
        </w:rPr>
        <w:t> </w:t>
      </w:r>
      <w:r>
        <w:rPr>
          <w:spacing w:val="-5"/>
        </w:rPr>
        <w:t>亿元，同比增长</w:t>
      </w:r>
      <w:r>
        <w:rPr>
          <w:spacing w:val="-39"/>
        </w:rPr>
        <w:t> </w:t>
      </w:r>
      <w:r>
        <w:rPr>
          <w:rFonts w:ascii="宋体" w:hAnsi="宋体" w:cs="宋体" w:eastAsia="宋体" w:hint="default"/>
          <w:spacing w:val="-3"/>
        </w:rPr>
        <w:t>0.40%</w:t>
      </w:r>
      <w:r>
        <w:rPr>
          <w:spacing w:val="-3"/>
        </w:rPr>
        <w:t>；归属于上市公司股东的扣除非经常性</w:t>
      </w:r>
      <w:r>
        <w:rPr>
          <w:spacing w:val="-99"/>
        </w:rPr>
        <w:t> </w:t>
      </w:r>
      <w:r>
        <w:rPr>
          <w:spacing w:val="-99"/>
        </w:rPr>
      </w:r>
      <w:r>
        <w:rPr/>
        <w:t>损益的净利润</w:t>
      </w:r>
      <w:r>
        <w:rPr>
          <w:spacing w:val="-54"/>
        </w:rPr>
        <w:t> </w:t>
      </w:r>
      <w:r>
        <w:rPr>
          <w:rFonts w:ascii="宋体" w:hAnsi="宋体" w:cs="宋体" w:eastAsia="宋体" w:hint="default"/>
        </w:rPr>
        <w:t>2.00</w:t>
      </w:r>
      <w:r>
        <w:rPr>
          <w:rFonts w:ascii="宋体" w:hAnsi="宋体" w:cs="宋体" w:eastAsia="宋体" w:hint="default"/>
          <w:spacing w:val="-56"/>
        </w:rPr>
        <w:t> </w:t>
      </w:r>
      <w:r>
        <w:rPr>
          <w:spacing w:val="-3"/>
        </w:rPr>
        <w:t>亿元，同比增长</w:t>
      </w:r>
      <w:r>
        <w:rPr>
          <w:spacing w:val="-53"/>
        </w:rPr>
        <w:t> </w:t>
      </w:r>
      <w:r>
        <w:rPr>
          <w:rFonts w:ascii="宋体" w:hAnsi="宋体" w:cs="宋体" w:eastAsia="宋体" w:hint="default"/>
        </w:rPr>
        <w:t>20.56%</w:t>
      </w:r>
      <w:r>
        <w:rPr/>
        <w:t>；经营活动产生的现金流量净额</w:t>
      </w:r>
      <w:r>
        <w:rPr>
          <w:spacing w:val="-54"/>
        </w:rPr>
        <w:t> </w:t>
      </w:r>
      <w:r>
        <w:rPr>
          <w:rFonts w:ascii="宋体" w:hAnsi="宋体" w:cs="宋体" w:eastAsia="宋体" w:hint="default"/>
        </w:rPr>
        <w:t>2.26</w:t>
      </w:r>
      <w:r>
        <w:rPr>
          <w:rFonts w:ascii="宋体" w:hAnsi="宋体" w:cs="宋体" w:eastAsia="宋体" w:hint="default"/>
          <w:spacing w:val="-53"/>
        </w:rPr>
        <w:t> </w:t>
      </w:r>
      <w:r>
        <w:rPr>
          <w:spacing w:val="-4"/>
        </w:rPr>
        <w:t>亿元，同比增长</w:t>
      </w:r>
      <w:r>
        <w:rPr>
          <w:w w:val="100"/>
        </w:rPr>
        <w:t> </w:t>
      </w:r>
      <w:r>
        <w:rPr>
          <w:rFonts w:ascii="宋体" w:hAnsi="宋体" w:cs="宋体" w:eastAsia="宋体" w:hint="default"/>
        </w:rPr>
        <w:t>6.15%</w: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300" w:right="760"/>
        </w:sectPr>
      </w:pPr>
    </w:p>
    <w:p>
      <w:pPr>
        <w:pStyle w:val="Heading2"/>
        <w:tabs>
          <w:tab w:pos="1337" w:val="left" w:leader="none"/>
        </w:tabs>
        <w:spacing w:line="240" w:lineRule="auto"/>
        <w:ind w:left="498" w:right="0"/>
        <w:jc w:val="left"/>
        <w:rPr>
          <w:b w:val="0"/>
          <w:bCs w:val="0"/>
        </w:rPr>
      </w:pPr>
      <w:r>
        <w:rPr>
          <w:rFonts w:ascii="宋体" w:hAnsi="宋体" w:cs="宋体" w:eastAsia="宋体" w:hint="default"/>
          <w:spacing w:val="-1"/>
        </w:rPr>
        <w:t>(</w:t>
      </w:r>
      <w:r>
        <w:rPr>
          <w:spacing w:val="-1"/>
        </w:rPr>
        <w:t>一</w:t>
      </w:r>
      <w:r>
        <w:rPr>
          <w:rFonts w:ascii="宋体" w:hAnsi="宋体" w:cs="宋体" w:eastAsia="宋体" w:hint="default"/>
          <w:spacing w:val="-1"/>
        </w:rPr>
        <w:t>)</w:t>
        <w:tab/>
      </w:r>
      <w:r>
        <w:rPr/>
        <w:t>主营业务分析</w:t>
      </w:r>
      <w:r>
        <w:rPr>
          <w:b w:val="0"/>
          <w:bCs w:val="0"/>
        </w:rPr>
      </w:r>
    </w:p>
    <w:p>
      <w:pPr>
        <w:pStyle w:val="Heading2"/>
        <w:tabs>
          <w:tab w:pos="917" w:val="left" w:leader="none"/>
        </w:tabs>
        <w:spacing w:line="240" w:lineRule="auto" w:before="58"/>
        <w:ind w:left="498" w:right="0"/>
        <w:jc w:val="left"/>
        <w:rPr>
          <w:b w:val="0"/>
          <w:bCs w:val="0"/>
        </w:rPr>
      </w:pPr>
      <w:r>
        <w:rPr>
          <w:rFonts w:ascii="宋体" w:hAnsi="宋体" w:cs="宋体" w:eastAsia="宋体" w:hint="default"/>
          <w:w w:val="95"/>
        </w:rPr>
        <w:t>1.</w:t>
        <w:tab/>
      </w: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44" w:val="left" w:leader="none"/>
        </w:tabs>
        <w:spacing w:line="240" w:lineRule="auto" w:before="177"/>
        <w:ind w:left="49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300" w:right="760"/>
          <w:cols w:num="2" w:equalWidth="0">
            <w:col w:w="4715" w:space="2017"/>
            <w:col w:w="3118"/>
          </w:cols>
        </w:sectPr>
      </w:pPr>
    </w:p>
    <w:p>
      <w:pPr>
        <w:spacing w:line="240" w:lineRule="auto" w:before="7"/>
        <w:rPr>
          <w:rFonts w:ascii="宋体" w:hAnsi="宋体" w:cs="宋体" w:eastAsia="宋体" w:hint="default"/>
          <w:sz w:val="2"/>
          <w:szCs w:val="2"/>
        </w:rPr>
      </w:pPr>
    </w:p>
    <w:tbl>
      <w:tblPr>
        <w:tblW w:w="0" w:type="auto"/>
        <w:jc w:val="left"/>
        <w:tblInd w:w="385" w:type="dxa"/>
        <w:tblLayout w:type="fixed"/>
        <w:tblCellMar>
          <w:top w:w="0" w:type="dxa"/>
          <w:left w:w="0" w:type="dxa"/>
          <w:bottom w:w="0" w:type="dxa"/>
          <w:right w:w="0" w:type="dxa"/>
        </w:tblCellMar>
        <w:tblLook w:val="01E0"/>
      </w:tblPr>
      <w:tblGrid>
        <w:gridCol w:w="3358"/>
        <w:gridCol w:w="1896"/>
        <w:gridCol w:w="1898"/>
        <w:gridCol w:w="1897"/>
      </w:tblGrid>
      <w:tr>
        <w:trPr>
          <w:trHeight w:val="29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24"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95"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1,569,315,656.18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pacing w:val="-1"/>
                <w:sz w:val="21"/>
              </w:rPr>
              <w:t>1,501,729,289.87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4.50</w:t>
            </w:r>
          </w:p>
        </w:tc>
      </w:tr>
      <w:tr>
        <w:trPr>
          <w:trHeight w:val="29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860,761,091.34</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821,938,241.05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4.72</w:t>
            </w:r>
          </w:p>
        </w:tc>
      </w:tr>
      <w:tr>
        <w:trPr>
          <w:trHeight w:val="295"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277,459,386.58</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299,346,940.33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-7.31</w:t>
            </w:r>
          </w:p>
        </w:tc>
      </w:tr>
      <w:tr>
        <w:trPr>
          <w:trHeight w:val="29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87,538,845.55</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76,742,104.07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14.07</w:t>
            </w:r>
          </w:p>
        </w:tc>
      </w:tr>
      <w:tr>
        <w:trPr>
          <w:trHeight w:val="295"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56,587,848.49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51,868,736.85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9.10</w:t>
            </w:r>
          </w:p>
        </w:tc>
      </w:tr>
      <w:tr>
        <w:trPr>
          <w:trHeight w:val="29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-24,976,494.99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-15,965,213.11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-56.44</w:t>
            </w:r>
          </w:p>
        </w:tc>
      </w:tr>
      <w:tr>
        <w:trPr>
          <w:trHeight w:val="295"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226,240,861.62</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213,138,551.46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sz w:val="21"/>
              </w:rPr>
              <w:t>6.15</w:t>
            </w:r>
          </w:p>
        </w:tc>
      </w:tr>
      <w:tr>
        <w:trPr>
          <w:trHeight w:val="293"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334,018,260.89</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159,683,886.98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109.17</w:t>
            </w:r>
          </w:p>
        </w:tc>
      </w:tr>
      <w:tr>
        <w:trPr>
          <w:trHeight w:val="295"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-26,612,872.00</w:t>
            </w:r>
          </w:p>
        </w:tc>
        <w:tc>
          <w:tcPr>
            <w:tcW w:w="189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115,006,500.00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sz w:val="21"/>
              </w:rPr>
              <w:t>-123.14</w:t>
            </w:r>
          </w:p>
        </w:tc>
      </w:tr>
    </w:tbl>
    <w:p>
      <w:pPr>
        <w:spacing w:line="240" w:lineRule="auto" w:before="6"/>
        <w:rPr>
          <w:rFonts w:ascii="宋体" w:hAnsi="宋体" w:cs="宋体" w:eastAsia="宋体" w:hint="default"/>
          <w:sz w:val="5"/>
          <w:szCs w:val="5"/>
        </w:rPr>
      </w:pPr>
    </w:p>
    <w:p>
      <w:pPr>
        <w:pStyle w:val="BodyText"/>
        <w:spacing w:line="384" w:lineRule="auto" w:before="36"/>
        <w:ind w:left="498" w:right="0" w:firstLine="419"/>
        <w:jc w:val="left"/>
      </w:pPr>
      <w:r>
        <w:rPr>
          <w:spacing w:val="-2"/>
        </w:rPr>
        <w:t>财务费用变动原因说明：主要系报告期内公司理财及定期存款利息增加从而财务费用同比下</w:t>
      </w:r>
      <w:r>
        <w:rPr>
          <w:w w:val="100"/>
        </w:rPr>
        <w:t> </w:t>
      </w:r>
      <w:r>
        <w:rPr/>
        <w:t>降所致。</w:t>
      </w:r>
    </w:p>
    <w:p>
      <w:pPr>
        <w:pStyle w:val="BodyText"/>
        <w:spacing w:line="384" w:lineRule="auto" w:before="41"/>
        <w:ind w:left="498" w:right="0" w:firstLine="419"/>
        <w:jc w:val="left"/>
      </w:pPr>
      <w:r>
        <w:rPr>
          <w:spacing w:val="-2"/>
        </w:rPr>
        <w:t>投资活动产生的现金流量净额变动原因说明：主要系报告期内收到处置道有道、星程同创股</w:t>
      </w:r>
      <w:r>
        <w:rPr>
          <w:w w:val="100"/>
        </w:rPr>
        <w:t> </w:t>
      </w:r>
      <w:r>
        <w:rPr/>
        <w:t>权款及赎回部分银行理财产品所致。</w:t>
      </w:r>
    </w:p>
    <w:p>
      <w:pPr>
        <w:pStyle w:val="BodyText"/>
        <w:spacing w:line="240" w:lineRule="auto" w:before="38"/>
        <w:ind w:left="918" w:right="0"/>
        <w:jc w:val="left"/>
      </w:pPr>
      <w:r>
        <w:rPr/>
        <w:t>筹资活动产生的现金流量净额变动原因说明：主要系公司报告期内分配现金股利所致。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300" w:right="760"/>
        </w:sectPr>
      </w:pPr>
    </w:p>
    <w:p>
      <w:pPr>
        <w:pStyle w:val="Heading2"/>
        <w:tabs>
          <w:tab w:pos="917" w:val="left" w:leader="none"/>
        </w:tabs>
        <w:spacing w:line="240" w:lineRule="auto"/>
        <w:ind w:left="498" w:right="-18"/>
        <w:jc w:val="left"/>
        <w:rPr>
          <w:b w:val="0"/>
          <w:bCs w:val="0"/>
        </w:rPr>
      </w:pPr>
      <w:r>
        <w:rPr>
          <w:rFonts w:ascii="宋体" w:hAnsi="宋体" w:cs="宋体" w:eastAsia="宋体" w:hint="default"/>
          <w:w w:val="95"/>
        </w:rPr>
        <w:t>2.</w:t>
        <w:tab/>
      </w:r>
      <w:r>
        <w:rPr/>
        <w:t>收入和成本分析</w:t>
      </w:r>
      <w:r>
        <w:rPr>
          <w:b w:val="0"/>
          <w:bCs w:val="0"/>
        </w:rPr>
      </w:r>
    </w:p>
    <w:p>
      <w:pPr>
        <w:pStyle w:val="BodyText"/>
        <w:spacing w:line="240" w:lineRule="auto" w:before="56"/>
        <w:ind w:left="498" w:right="2558"/>
        <w:jc w:val="left"/>
      </w:pPr>
      <w:r>
        <w:rPr/>
        <w:t>√适用</w:t>
      </w:r>
      <w:r>
        <w:rPr>
          <w:spacing w:val="-1"/>
        </w:rPr>
        <w:t> </w:t>
      </w:r>
      <w:r>
        <w:rPr/>
        <w:t>□不适用</w:t>
      </w:r>
      <w:r>
        <w:rPr>
          <w:w w:val="100"/>
        </w:rPr>
        <w:t> </w:t>
      </w:r>
      <w:r>
        <w:rPr/>
        <w:t>详见下述说明。</w:t>
      </w:r>
    </w:p>
    <w:p>
      <w:pPr>
        <w:pStyle w:val="Heading2"/>
        <w:spacing w:line="240" w:lineRule="auto" w:before="56"/>
        <w:ind w:left="498" w:right="-18"/>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tabs>
          <w:tab w:pos="1444" w:val="left" w:leader="none"/>
        </w:tabs>
        <w:spacing w:line="240" w:lineRule="auto"/>
        <w:ind w:left="49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300" w:right="760"/>
          <w:cols w:num="2" w:equalWidth="0">
            <w:col w:w="4651" w:space="2082"/>
            <w:col w:w="3117"/>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517"/>
        <w:gridCol w:w="1897"/>
        <w:gridCol w:w="1688"/>
        <w:gridCol w:w="1092"/>
        <w:gridCol w:w="1094"/>
        <w:gridCol w:w="1097"/>
        <w:gridCol w:w="1219"/>
      </w:tblGrid>
      <w:tr>
        <w:trPr>
          <w:trHeight w:val="351" w:hRule="exact"/>
        </w:trPr>
        <w:tc>
          <w:tcPr>
            <w:tcW w:w="960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2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7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75" w:right="11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75" w:right="120" w:hanging="54"/>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互联网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1,318,751,349.86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654,564,239.99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6"/>
              <w:jc w:val="right"/>
              <w:rPr>
                <w:rFonts w:ascii="宋体" w:hAnsi="宋体" w:cs="宋体" w:eastAsia="宋体" w:hint="default"/>
                <w:sz w:val="21"/>
                <w:szCs w:val="21"/>
              </w:rPr>
            </w:pPr>
            <w:r>
              <w:rPr>
                <w:rFonts w:ascii="宋体"/>
                <w:sz w:val="21"/>
              </w:rPr>
              <w:t>50.36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4.69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6.47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0.01</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移动互联网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277,652,490.67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232,773,264.09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6"/>
              <w:jc w:val="right"/>
              <w:rPr>
                <w:rFonts w:ascii="宋体" w:hAnsi="宋体" w:cs="宋体" w:eastAsia="宋体" w:hint="default"/>
                <w:sz w:val="21"/>
                <w:szCs w:val="21"/>
              </w:rPr>
            </w:pPr>
            <w:r>
              <w:rPr>
                <w:rFonts w:ascii="宋体"/>
                <w:sz w:val="21"/>
              </w:rPr>
              <w:t>16.16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10.35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8.33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hanging="27"/>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1.56</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1,596,403,840.53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887,337,504.08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6"/>
              <w:jc w:val="right"/>
              <w:rPr>
                <w:rFonts w:ascii="宋体" w:hAnsi="宋体" w:cs="宋体" w:eastAsia="宋体" w:hint="default"/>
                <w:sz w:val="21"/>
                <w:szCs w:val="21"/>
              </w:rPr>
            </w:pPr>
            <w:r>
              <w:rPr>
                <w:rFonts w:ascii="宋体"/>
                <w:sz w:val="21"/>
              </w:rPr>
              <w:t>44.42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5.64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6.95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0.68</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50"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减：内部抵消</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-27,088,184.35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-26,576,412.74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36" w:right="0"/>
              <w:jc w:val="left"/>
              <w:rPr>
                <w:rFonts w:ascii="宋体" w:hAnsi="宋体" w:cs="宋体" w:eastAsia="宋体" w:hint="default"/>
                <w:sz w:val="21"/>
                <w:szCs w:val="21"/>
              </w:rPr>
            </w:pPr>
            <w:r>
              <w:rPr>
                <w:rFonts w:ascii="宋体" w:hAnsi="宋体" w:cs="宋体" w:eastAsia="宋体" w:hint="default"/>
                <w:sz w:val="21"/>
                <w:szCs w:val="21"/>
              </w:rPr>
              <w:t>合并数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1,569,315,656.18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sz w:val="21"/>
              </w:rPr>
              <w:t>860,761,091.34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6"/>
              <w:jc w:val="right"/>
              <w:rPr>
                <w:rFonts w:ascii="宋体" w:hAnsi="宋体" w:cs="宋体" w:eastAsia="宋体" w:hint="default"/>
                <w:sz w:val="21"/>
                <w:szCs w:val="21"/>
              </w:rPr>
            </w:pPr>
            <w:r>
              <w:rPr>
                <w:rFonts w:ascii="宋体"/>
                <w:sz w:val="21"/>
              </w:rPr>
              <w:t>45.15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4.45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sz w:val="21"/>
              </w:rPr>
              <w:t>4.72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0.14</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spacing w:after="0" w:line="274" w:lineRule="exact"/>
        <w:jc w:val="left"/>
        <w:rPr>
          <w:rFonts w:ascii="宋体" w:hAnsi="宋体" w:cs="宋体" w:eastAsia="宋体" w:hint="default"/>
          <w:sz w:val="21"/>
          <w:szCs w:val="21"/>
        </w:rPr>
        <w:sectPr>
          <w:type w:val="continuous"/>
          <w:pgSz w:w="11910" w:h="16840"/>
          <w:pgMar w:top="1120" w:bottom="1380" w:left="1300" w:right="7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1517"/>
        <w:gridCol w:w="1897"/>
        <w:gridCol w:w="1688"/>
        <w:gridCol w:w="1092"/>
        <w:gridCol w:w="1094"/>
        <w:gridCol w:w="1097"/>
        <w:gridCol w:w="1219"/>
      </w:tblGrid>
      <w:tr>
        <w:trPr>
          <w:trHeight w:val="351" w:hRule="exact"/>
        </w:trPr>
        <w:tc>
          <w:tcPr>
            <w:tcW w:w="960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8"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2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75" w:right="11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75" w:right="120" w:hanging="54"/>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网络广告</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650,610,749.70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271,980,366.44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58.20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9"/>
              <w:jc w:val="right"/>
              <w:rPr>
                <w:rFonts w:ascii="宋体" w:hAnsi="宋体" w:cs="宋体" w:eastAsia="宋体" w:hint="default"/>
                <w:sz w:val="21"/>
                <w:szCs w:val="21"/>
              </w:rPr>
            </w:pPr>
            <w:r>
              <w:rPr>
                <w:rFonts w:ascii="宋体"/>
                <w:sz w:val="21"/>
              </w:rPr>
              <w:t>9.01</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sz w:val="21"/>
              </w:rPr>
              <w:t>4.78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hanging="27"/>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1.69</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376,661,318.17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174,867,038.02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53.57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3"/>
              <w:jc w:val="right"/>
              <w:rPr>
                <w:rFonts w:ascii="宋体" w:hAnsi="宋体" w:cs="宋体" w:eastAsia="宋体" w:hint="default"/>
                <w:sz w:val="21"/>
                <w:szCs w:val="21"/>
              </w:rPr>
            </w:pPr>
            <w:r>
              <w:rPr>
                <w:rFonts w:ascii="宋体"/>
                <w:sz w:val="21"/>
              </w:rPr>
              <w:t>-17.85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6" w:right="0"/>
              <w:jc w:val="left"/>
              <w:rPr>
                <w:rFonts w:ascii="宋体" w:hAnsi="宋体" w:cs="宋体" w:eastAsia="宋体" w:hint="default"/>
                <w:sz w:val="21"/>
                <w:szCs w:val="21"/>
              </w:rPr>
            </w:pPr>
            <w:r>
              <w:rPr>
                <w:rFonts w:ascii="宋体"/>
                <w:sz w:val="21"/>
              </w:rPr>
              <w:t>-15.05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1.53</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移动互联网</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277,652,490.67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232,773,264.09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16.16</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6"/>
              <w:jc w:val="right"/>
              <w:rPr>
                <w:rFonts w:ascii="宋体" w:hAnsi="宋体" w:cs="宋体" w:eastAsia="宋体" w:hint="default"/>
                <w:sz w:val="21"/>
                <w:szCs w:val="21"/>
              </w:rPr>
            </w:pPr>
            <w:r>
              <w:rPr>
                <w:rFonts w:ascii="宋体"/>
                <w:sz w:val="21"/>
              </w:rPr>
              <w:t>10.35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sz w:val="21"/>
              </w:rPr>
              <w:t>8.33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hanging="27"/>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1.56</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5"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网络技术服务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159,190,809.78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119,047,009.60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25.22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6"/>
              <w:jc w:val="right"/>
              <w:rPr>
                <w:rFonts w:ascii="宋体" w:hAnsi="宋体" w:cs="宋体" w:eastAsia="宋体" w:hint="default"/>
                <w:sz w:val="21"/>
                <w:szCs w:val="21"/>
              </w:rPr>
            </w:pPr>
            <w:r>
              <w:rPr>
                <w:rFonts w:ascii="宋体"/>
                <w:sz w:val="21"/>
              </w:rPr>
              <w:t>31.97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sz w:val="21"/>
              </w:rPr>
              <w:t>30.54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hanging="27"/>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0.82</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数字内容</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132,288,472.21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88,669,825.94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32.97</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6"/>
              <w:jc w:val="right"/>
              <w:rPr>
                <w:rFonts w:ascii="宋体" w:hAnsi="宋体" w:cs="宋体" w:eastAsia="宋体" w:hint="default"/>
                <w:sz w:val="21"/>
                <w:szCs w:val="21"/>
              </w:rPr>
            </w:pPr>
            <w:r>
              <w:rPr>
                <w:rFonts w:ascii="宋体"/>
                <w:sz w:val="21"/>
              </w:rPr>
              <w:t>58.09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sz w:val="21"/>
              </w:rPr>
              <w:t>52.34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hanging="27"/>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2.53</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7"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1,596,403,840.53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887,337,504.08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44.42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9"/>
              <w:jc w:val="right"/>
              <w:rPr>
                <w:rFonts w:ascii="宋体" w:hAnsi="宋体" w:cs="宋体" w:eastAsia="宋体" w:hint="default"/>
                <w:sz w:val="21"/>
                <w:szCs w:val="21"/>
              </w:rPr>
            </w:pPr>
            <w:r>
              <w:rPr>
                <w:rFonts w:ascii="宋体"/>
                <w:sz w:val="21"/>
              </w:rPr>
              <w:t>5.64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sz w:val="21"/>
              </w:rPr>
              <w:t>6.95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0.68</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48"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减：内部抵消</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-27,088,184.35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-26,576,412.74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合并数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1,569,315,656.18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860,761,091.34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45.15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9"/>
              <w:jc w:val="right"/>
              <w:rPr>
                <w:rFonts w:ascii="宋体" w:hAnsi="宋体" w:cs="宋体" w:eastAsia="宋体" w:hint="default"/>
                <w:sz w:val="21"/>
                <w:szCs w:val="21"/>
              </w:rPr>
            </w:pPr>
            <w:r>
              <w:rPr>
                <w:rFonts w:ascii="宋体"/>
                <w:sz w:val="21"/>
              </w:rPr>
              <w:t>4.45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sz w:val="21"/>
              </w:rPr>
              <w:t>4.72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0.14</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48" w:hRule="exact"/>
        </w:trPr>
        <w:tc>
          <w:tcPr>
            <w:tcW w:w="9604" w:type="dxa"/>
            <w:gridSpan w:val="7"/>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8"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23"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175" w:right="11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175" w:right="120" w:hanging="54"/>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5"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1,582,068,667.13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877,845,163.24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44.51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29"/>
              <w:jc w:val="right"/>
              <w:rPr>
                <w:rFonts w:ascii="宋体" w:hAnsi="宋体" w:cs="宋体" w:eastAsia="宋体" w:hint="default"/>
                <w:sz w:val="21"/>
                <w:szCs w:val="21"/>
              </w:rPr>
            </w:pPr>
            <w:r>
              <w:rPr>
                <w:rFonts w:ascii="宋体"/>
                <w:sz w:val="21"/>
              </w:rPr>
              <w:t>5.39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31" w:right="0"/>
              <w:jc w:val="left"/>
              <w:rPr>
                <w:rFonts w:ascii="宋体" w:hAnsi="宋体" w:cs="宋体" w:eastAsia="宋体" w:hint="default"/>
                <w:sz w:val="21"/>
                <w:szCs w:val="21"/>
              </w:rPr>
            </w:pPr>
            <w:r>
              <w:rPr>
                <w:rFonts w:ascii="宋体"/>
                <w:sz w:val="21"/>
              </w:rPr>
              <w:t>6.53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0.59</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14,335,173.40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9,492,340.84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33.78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6"/>
              <w:jc w:val="right"/>
              <w:rPr>
                <w:rFonts w:ascii="宋体" w:hAnsi="宋体" w:cs="宋体" w:eastAsia="宋体" w:hint="default"/>
                <w:sz w:val="21"/>
                <w:szCs w:val="21"/>
              </w:rPr>
            </w:pPr>
            <w:r>
              <w:rPr>
                <w:rFonts w:ascii="宋体"/>
                <w:sz w:val="21"/>
              </w:rPr>
              <w:t>42.89</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sz w:val="21"/>
              </w:rPr>
              <w:t>68.31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10.00</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554"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1,596,403,840.53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887,337,504.08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44.42</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9"/>
              <w:jc w:val="right"/>
              <w:rPr>
                <w:rFonts w:ascii="宋体" w:hAnsi="宋体" w:cs="宋体" w:eastAsia="宋体" w:hint="default"/>
                <w:sz w:val="21"/>
                <w:szCs w:val="21"/>
              </w:rPr>
            </w:pPr>
            <w:r>
              <w:rPr>
                <w:rFonts w:ascii="宋体"/>
                <w:sz w:val="21"/>
              </w:rPr>
              <w:t>5.64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sz w:val="21"/>
              </w:rPr>
              <w:t>6.95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0.68</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350"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减：内部抵消</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-27,088,184.35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-26,576,412.74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1.89</w:t>
            </w:r>
          </w:p>
        </w:tc>
        <w:tc>
          <w:tcPr>
            <w:tcW w:w="109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合并数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1,569,315,656.18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860,761,091.34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45.15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9"/>
              <w:jc w:val="right"/>
              <w:rPr>
                <w:rFonts w:ascii="宋体" w:hAnsi="宋体" w:cs="宋体" w:eastAsia="宋体" w:hint="default"/>
                <w:sz w:val="21"/>
                <w:szCs w:val="21"/>
              </w:rPr>
            </w:pPr>
            <w:r>
              <w:rPr>
                <w:rFonts w:ascii="宋体"/>
                <w:sz w:val="21"/>
              </w:rPr>
              <w:t>4.45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sz w:val="21"/>
              </w:rPr>
              <w:t>4.72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hanging="27"/>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0.14</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个百分点</w:t>
            </w:r>
          </w:p>
        </w:tc>
      </w:tr>
    </w:tbl>
    <w:p>
      <w:pPr>
        <w:pStyle w:val="BodyText"/>
        <w:spacing w:line="274" w:lineRule="exact" w:before="86"/>
        <w:ind w:left="498" w:right="0"/>
        <w:jc w:val="both"/>
      </w:pPr>
      <w:r>
        <w:rPr/>
        <w:t>主营业务分行业、分产品、分地区情况的说明</w:t>
      </w:r>
    </w:p>
    <w:p>
      <w:pPr>
        <w:pStyle w:val="BodyText"/>
        <w:spacing w:line="343" w:lineRule="auto"/>
        <w:ind w:left="918" w:right="0" w:hanging="420"/>
        <w:jc w:val="left"/>
      </w:pPr>
      <w:r>
        <w:rPr/>
        <w:t>√适用</w:t>
      </w:r>
      <w:r>
        <w:rPr>
          <w:spacing w:val="-2"/>
        </w:rPr>
        <w:t> </w:t>
      </w:r>
      <w:r>
        <w:rPr/>
        <w:t>□不适用</w:t>
      </w:r>
      <w:r>
        <w:rPr>
          <w:w w:val="100"/>
        </w:rPr>
        <w:t> </w:t>
      </w:r>
      <w:r>
        <w:rPr>
          <w:spacing w:val="-2"/>
        </w:rPr>
        <w:t>报告期内，本公司收入类型为网络广告业务、信息服务业务、移动互联网、网络技术服务业</w:t>
      </w:r>
    </w:p>
    <w:p>
      <w:pPr>
        <w:pStyle w:val="BodyText"/>
        <w:spacing w:line="240" w:lineRule="auto" w:before="45"/>
        <w:ind w:left="498" w:right="0"/>
        <w:jc w:val="both"/>
      </w:pPr>
      <w:r>
        <w:rPr/>
        <w:t>务和数字内容业务。</w:t>
      </w:r>
    </w:p>
    <w:p>
      <w:pPr>
        <w:pStyle w:val="BodyText"/>
        <w:spacing w:line="355" w:lineRule="auto" w:before="133"/>
        <w:ind w:left="918" w:right="0"/>
        <w:jc w:val="left"/>
      </w:pPr>
      <w:r>
        <w:rPr/>
        <w:t>（</w:t>
      </w:r>
      <w:r>
        <w:rPr>
          <w:rFonts w:ascii="宋体" w:hAnsi="宋体" w:cs="宋体" w:eastAsia="宋体" w:hint="default"/>
        </w:rPr>
        <w:t>1</w:t>
      </w:r>
      <w:r>
        <w:rPr/>
        <w:t>）网络广告业务</w:t>
      </w:r>
      <w:r>
        <w:rPr>
          <w:w w:val="100"/>
        </w:rPr>
        <w:t> </w:t>
      </w:r>
      <w:r>
        <w:rPr>
          <w:spacing w:val="-2"/>
        </w:rPr>
        <w:t>网络广告业务是本公司重要基础型业务，以平台思维推进营销策略升级。进一步由传统营销</w:t>
      </w:r>
    </w:p>
    <w:p>
      <w:pPr>
        <w:pStyle w:val="BodyText"/>
        <w:spacing w:line="357" w:lineRule="auto" w:before="32"/>
        <w:ind w:left="498" w:right="517"/>
        <w:jc w:val="both"/>
      </w:pPr>
      <w:r>
        <w:rPr>
          <w:spacing w:val="-2"/>
        </w:rPr>
        <w:t>向精准营销模式转变，两微一端广告业务量明显攀升，实现广告资源价值提升和系统优化，推进</w:t>
      </w:r>
      <w:r>
        <w:rPr>
          <w:spacing w:val="-25"/>
        </w:rPr>
        <w:t> </w:t>
      </w:r>
      <w:r>
        <w:rPr>
          <w:spacing w:val="-25"/>
        </w:rPr>
      </w:r>
      <w:r>
        <w:rPr>
          <w:spacing w:val="-2"/>
        </w:rPr>
        <w:t>构建多元现代网络广告产业链。创新垂直行业广告产品与合作形态，整合营销做好大客户服务。</w:t>
      </w:r>
      <w:r>
        <w:rPr>
          <w:spacing w:val="-25"/>
        </w:rPr>
        <w:t> </w:t>
      </w:r>
      <w:r>
        <w:rPr>
          <w:spacing w:val="-25"/>
        </w:rPr>
      </w:r>
      <w:r>
        <w:rPr>
          <w:rFonts w:ascii="宋体" w:hAnsi="宋体" w:cs="宋体" w:eastAsia="宋体" w:hint="default"/>
        </w:rPr>
        <w:t>2018</w:t>
      </w:r>
      <w:r>
        <w:rPr>
          <w:rFonts w:ascii="宋体" w:hAnsi="宋体" w:cs="宋体" w:eastAsia="宋体" w:hint="default"/>
          <w:spacing w:val="-56"/>
        </w:rPr>
        <w:t> </w:t>
      </w:r>
      <w:r>
        <w:rPr/>
        <w:t>年网络广告收入较</w:t>
      </w:r>
      <w:r>
        <w:rPr>
          <w:spacing w:val="-53"/>
        </w:rPr>
        <w:t> </w:t>
      </w:r>
      <w:r>
        <w:rPr>
          <w:rFonts w:ascii="宋体" w:hAnsi="宋体" w:cs="宋体" w:eastAsia="宋体" w:hint="default"/>
        </w:rPr>
        <w:t>2017</w:t>
      </w:r>
      <w:r>
        <w:rPr>
          <w:rFonts w:ascii="宋体" w:hAnsi="宋体" w:cs="宋体" w:eastAsia="宋体" w:hint="default"/>
          <w:spacing w:val="-54"/>
        </w:rPr>
        <w:t> </w:t>
      </w:r>
      <w:r>
        <w:rPr/>
        <w:t>年增长</w:t>
      </w:r>
      <w:r>
        <w:rPr>
          <w:spacing w:val="-54"/>
        </w:rPr>
        <w:t> </w:t>
      </w:r>
      <w:r>
        <w:rPr>
          <w:rFonts w:ascii="宋体" w:hAnsi="宋体" w:cs="宋体" w:eastAsia="宋体" w:hint="default"/>
        </w:rPr>
        <w:t>9.01%</w:t>
      </w:r>
      <w:r>
        <w:rPr/>
        <w:t>。</w:t>
      </w:r>
    </w:p>
    <w:p>
      <w:pPr>
        <w:pStyle w:val="BodyText"/>
        <w:spacing w:line="240" w:lineRule="auto" w:before="30"/>
        <w:ind w:left="918" w:right="0"/>
        <w:jc w:val="left"/>
      </w:pPr>
      <w:r>
        <w:rPr/>
        <w:t>（</w:t>
      </w:r>
      <w:r>
        <w:rPr>
          <w:rFonts w:ascii="宋体" w:hAnsi="宋体" w:cs="宋体" w:eastAsia="宋体" w:hint="default"/>
        </w:rPr>
        <w:t>2</w:t>
      </w:r>
      <w:r>
        <w:rPr/>
        <w:t>）信息服务业务</w:t>
      </w:r>
    </w:p>
    <w:p>
      <w:pPr>
        <w:spacing w:after="0" w:line="240" w:lineRule="auto"/>
        <w:jc w:val="left"/>
        <w:sectPr>
          <w:pgSz w:w="11910" w:h="16840"/>
          <w:pgMar w:header="880" w:footer="1195" w:top="1120" w:bottom="1380" w:left="1300" w:right="760"/>
        </w:sectPr>
      </w:pPr>
    </w:p>
    <w:p>
      <w:pPr>
        <w:spacing w:line="240" w:lineRule="auto" w:before="4"/>
        <w:rPr>
          <w:rFonts w:ascii="宋体" w:hAnsi="宋体" w:cs="宋体" w:eastAsia="宋体" w:hint="default"/>
          <w:sz w:val="25"/>
          <w:szCs w:val="25"/>
        </w:rPr>
      </w:pPr>
    </w:p>
    <w:p>
      <w:pPr>
        <w:pStyle w:val="BodyText"/>
        <w:spacing w:line="357" w:lineRule="auto" w:before="36"/>
        <w:ind w:left="798" w:right="788" w:firstLine="419"/>
        <w:jc w:val="both"/>
      </w:pPr>
      <w:r>
        <w:rPr>
          <w:spacing w:val="-2"/>
        </w:rPr>
        <w:t>公司拥有《互联网新闻信息服务许可证》等信息服务类经营资质，为客户提供多媒体信息服</w:t>
      </w:r>
      <w:r>
        <w:rPr>
          <w:w w:val="100"/>
        </w:rPr>
        <w:t> </w:t>
      </w:r>
      <w:r>
        <w:rPr>
          <w:spacing w:val="-6"/>
        </w:rPr>
        <w:t>务、大数据智能分析服务及举办大型论坛、会议活动等。公司发挥网络平台优势，探索定制生产、</w:t>
      </w:r>
      <w:r>
        <w:rPr>
          <w:spacing w:val="-53"/>
        </w:rPr>
        <w:t> </w:t>
      </w:r>
      <w:r>
        <w:rPr>
          <w:spacing w:val="-53"/>
        </w:rPr>
      </w:r>
      <w:r>
        <w:rPr>
          <w:spacing w:val="-2"/>
        </w:rPr>
        <w:t>渠道分成等产业盈利模式。推进科技与传媒深度融合，大数据业务取得新突破。受宏观经济形势</w:t>
      </w:r>
      <w:r>
        <w:rPr>
          <w:spacing w:val="-25"/>
        </w:rPr>
        <w:t> </w:t>
      </w:r>
      <w:r>
        <w:rPr>
          <w:spacing w:val="-25"/>
        </w:rPr>
      </w:r>
      <w:r>
        <w:rPr/>
        <w:t>影响，行业客户持续缩减线上线下活动预算，</w:t>
      </w:r>
      <w:r>
        <w:rPr>
          <w:rFonts w:ascii="宋体" w:hAnsi="宋体" w:cs="宋体" w:eastAsia="宋体" w:hint="default"/>
        </w:rPr>
        <w:t>2018</w:t>
      </w:r>
      <w:r>
        <w:rPr>
          <w:rFonts w:ascii="宋体" w:hAnsi="宋体" w:cs="宋体" w:eastAsia="宋体" w:hint="default"/>
          <w:spacing w:val="-58"/>
        </w:rPr>
        <w:t> </w:t>
      </w:r>
      <w:r>
        <w:rPr/>
        <w:t>年信息服务业务收入较</w:t>
      </w:r>
      <w:r>
        <w:rPr>
          <w:spacing w:val="-56"/>
        </w:rPr>
        <w:t> </w:t>
      </w:r>
      <w:r>
        <w:rPr>
          <w:rFonts w:ascii="宋体" w:hAnsi="宋体" w:cs="宋体" w:eastAsia="宋体" w:hint="default"/>
        </w:rPr>
        <w:t>2017</w:t>
      </w:r>
      <w:r>
        <w:rPr>
          <w:rFonts w:ascii="宋体" w:hAnsi="宋体" w:cs="宋体" w:eastAsia="宋体" w:hint="default"/>
          <w:spacing w:val="-55"/>
        </w:rPr>
        <w:t> </w:t>
      </w:r>
      <w:r>
        <w:rPr/>
        <w:t>年下降</w:t>
      </w:r>
      <w:r>
        <w:rPr>
          <w:spacing w:val="-56"/>
        </w:rPr>
        <w:t> </w:t>
      </w:r>
      <w:r>
        <w:rPr>
          <w:rFonts w:ascii="宋体" w:hAnsi="宋体" w:cs="宋体" w:eastAsia="宋体" w:hint="default"/>
        </w:rPr>
        <w:t>17.85%</w:t>
      </w:r>
      <w:r>
        <w:rPr/>
        <w:t>。</w:t>
      </w:r>
    </w:p>
    <w:p>
      <w:pPr>
        <w:pStyle w:val="BodyText"/>
        <w:spacing w:line="355" w:lineRule="auto" w:before="30"/>
        <w:ind w:left="1218" w:right="635"/>
        <w:jc w:val="left"/>
      </w:pPr>
      <w:r>
        <w:rPr/>
        <w:t>（</w:t>
      </w:r>
      <w:r>
        <w:rPr>
          <w:rFonts w:ascii="宋体" w:hAnsi="宋体" w:cs="宋体" w:eastAsia="宋体" w:hint="default"/>
        </w:rPr>
        <w:t>3</w:t>
      </w:r>
      <w:r>
        <w:rPr/>
        <w:t>）移动互联网业务</w:t>
      </w:r>
      <w:r>
        <w:rPr>
          <w:w w:val="100"/>
        </w:rPr>
        <w:t> </w:t>
      </w:r>
      <w:r>
        <w:rPr>
          <w:spacing w:val="-2"/>
        </w:rPr>
        <w:t>公司紧紧把握移动互联网市场机遇，聚焦产品和服务模式升级。打造知识化短视频栏目，视</w:t>
      </w:r>
    </w:p>
    <w:p>
      <w:pPr>
        <w:pStyle w:val="BodyText"/>
        <w:spacing w:line="355" w:lineRule="auto" w:before="34"/>
        <w:ind w:left="798" w:right="850"/>
        <w:jc w:val="both"/>
      </w:pPr>
      <w:r>
        <w:rPr>
          <w:spacing w:val="-1"/>
        </w:rPr>
        <w:t>频产品线进一步丰富。形成“</w:t>
      </w:r>
      <w:r>
        <w:rPr>
          <w:rFonts w:ascii="宋体" w:hAnsi="宋体" w:cs="宋体" w:eastAsia="宋体" w:hint="default"/>
          <w:spacing w:val="-1"/>
        </w:rPr>
        <w:t>4G/5G</w:t>
      </w:r>
      <w:r>
        <w:rPr>
          <w:rFonts w:ascii="宋体" w:hAnsi="宋体" w:cs="宋体" w:eastAsia="宋体" w:hint="default"/>
        </w:rPr>
        <w:t> </w:t>
      </w:r>
      <w:r>
        <w:rPr>
          <w:spacing w:val="-2"/>
        </w:rPr>
        <w:t>入口”引领的移动增值产品，“溯源中国”为代表的物联网</w:t>
      </w:r>
      <w:r>
        <w:rPr>
          <w:spacing w:val="-91"/>
        </w:rPr>
        <w:t> </w:t>
      </w:r>
      <w:r>
        <w:rPr>
          <w:spacing w:val="-91"/>
        </w:rPr>
      </w:r>
      <w:r>
        <w:rPr/>
        <w:t>产品，在线教育等产品均实现稳步成长。移动互联网业务收入较</w:t>
      </w:r>
      <w:r>
        <w:rPr>
          <w:spacing w:val="-55"/>
        </w:rPr>
        <w:t> </w:t>
      </w:r>
      <w:r>
        <w:rPr>
          <w:rFonts w:ascii="宋体" w:hAnsi="宋体" w:cs="宋体" w:eastAsia="宋体" w:hint="default"/>
        </w:rPr>
        <w:t>2017</w:t>
      </w:r>
      <w:r>
        <w:rPr>
          <w:rFonts w:ascii="宋体" w:hAnsi="宋体" w:cs="宋体" w:eastAsia="宋体" w:hint="default"/>
          <w:spacing w:val="-57"/>
        </w:rPr>
        <w:t> </w:t>
      </w:r>
      <w:r>
        <w:rPr/>
        <w:t>年增长</w:t>
      </w:r>
      <w:r>
        <w:rPr>
          <w:spacing w:val="-54"/>
        </w:rPr>
        <w:t> </w:t>
      </w:r>
      <w:r>
        <w:rPr>
          <w:rFonts w:ascii="宋体" w:hAnsi="宋体" w:cs="宋体" w:eastAsia="宋体" w:hint="default"/>
        </w:rPr>
        <w:t>10.35%</w:t>
      </w:r>
      <w:r>
        <w:rPr/>
        <w:t>。</w:t>
      </w:r>
    </w:p>
    <w:p>
      <w:pPr>
        <w:pStyle w:val="BodyText"/>
        <w:spacing w:line="355" w:lineRule="auto" w:before="33"/>
        <w:ind w:left="1218" w:right="635"/>
        <w:jc w:val="left"/>
      </w:pPr>
      <w:r>
        <w:rPr/>
        <w:t>（</w:t>
      </w:r>
      <w:r>
        <w:rPr>
          <w:rFonts w:ascii="宋体" w:hAnsi="宋体" w:cs="宋体" w:eastAsia="宋体" w:hint="default"/>
        </w:rPr>
        <w:t>4</w:t>
      </w:r>
      <w:r>
        <w:rPr/>
        <w:t>）网络技术服务业务</w:t>
      </w:r>
      <w:r>
        <w:rPr>
          <w:w w:val="100"/>
        </w:rPr>
        <w:t> </w:t>
      </w:r>
      <w:r>
        <w:rPr>
          <w:spacing w:val="-2"/>
        </w:rPr>
        <w:t>凭借中央重点新闻网站的强大公信力、丰富的采编内容资源以及先进的网站建设技术，建立</w:t>
      </w:r>
    </w:p>
    <w:p>
      <w:pPr>
        <w:pStyle w:val="BodyText"/>
        <w:spacing w:line="355" w:lineRule="auto" w:before="34"/>
        <w:ind w:left="798" w:right="788"/>
        <w:jc w:val="both"/>
      </w:pPr>
      <w:r>
        <w:rPr>
          <w:spacing w:val="-2"/>
        </w:rPr>
        <w:t>起国内规模最大的政务网站集群，承建承办与运维的重点政府网站包括：中国政府网、中国文明</w:t>
      </w:r>
      <w:r>
        <w:rPr>
          <w:spacing w:val="-25"/>
        </w:rPr>
        <w:t> </w:t>
      </w:r>
      <w:r>
        <w:rPr>
          <w:spacing w:val="-25"/>
        </w:rPr>
      </w:r>
      <w:r>
        <w:rPr>
          <w:spacing w:val="-2"/>
        </w:rPr>
        <w:t>网、中国雄安官网等；目前已形成新华云视频互动直播服务、新华云智能融媒服务等多套解决方</w:t>
      </w:r>
      <w:r>
        <w:rPr>
          <w:spacing w:val="-25"/>
        </w:rPr>
        <w:t> </w:t>
      </w:r>
      <w:r>
        <w:rPr>
          <w:spacing w:val="-25"/>
        </w:rPr>
      </w:r>
      <w:r>
        <w:rPr>
          <w:spacing w:val="-6"/>
        </w:rPr>
        <w:t>案和云服务产品，逐步开展实质化运作。公司通过提高技术研发投入，技术创富能力进一步增强，</w:t>
      </w:r>
      <w:r>
        <w:rPr>
          <w:spacing w:val="-54"/>
        </w:rPr>
        <w:t> </w:t>
      </w:r>
      <w:r>
        <w:rPr>
          <w:spacing w:val="-54"/>
        </w:rPr>
      </w:r>
      <w:r>
        <w:rPr/>
        <w:t>网络技术服务业务收入较</w:t>
      </w:r>
      <w:r>
        <w:rPr>
          <w:spacing w:val="-55"/>
        </w:rPr>
        <w:t> </w:t>
      </w:r>
      <w:r>
        <w:rPr>
          <w:rFonts w:ascii="宋体" w:hAnsi="宋体" w:cs="宋体" w:eastAsia="宋体" w:hint="default"/>
        </w:rPr>
        <w:t>2017</w:t>
      </w:r>
      <w:r>
        <w:rPr>
          <w:rFonts w:ascii="宋体" w:hAnsi="宋体" w:cs="宋体" w:eastAsia="宋体" w:hint="default"/>
          <w:spacing w:val="-55"/>
        </w:rPr>
        <w:t> </w:t>
      </w:r>
      <w:r>
        <w:rPr/>
        <w:t>年增长</w:t>
      </w:r>
      <w:r>
        <w:rPr>
          <w:spacing w:val="-53"/>
        </w:rPr>
        <w:t> </w:t>
      </w:r>
      <w:r>
        <w:rPr>
          <w:rFonts w:ascii="宋体" w:hAnsi="宋体" w:cs="宋体" w:eastAsia="宋体" w:hint="default"/>
        </w:rPr>
        <w:t>31.97%</w:t>
      </w:r>
      <w:r>
        <w:rPr/>
        <w:t>。</w:t>
      </w:r>
    </w:p>
    <w:p>
      <w:pPr>
        <w:pStyle w:val="BodyText"/>
        <w:spacing w:line="240" w:lineRule="auto" w:before="32"/>
        <w:ind w:left="1218" w:right="635"/>
        <w:jc w:val="left"/>
      </w:pPr>
      <w:r>
        <w:rPr/>
        <w:t>（</w:t>
      </w:r>
      <w:r>
        <w:rPr>
          <w:rFonts w:ascii="宋体" w:hAnsi="宋体" w:cs="宋体" w:eastAsia="宋体" w:hint="default"/>
        </w:rPr>
        <w:t>5</w:t>
      </w:r>
      <w:r>
        <w:rPr/>
        <w:t>）数字内容业务</w:t>
      </w:r>
    </w:p>
    <w:p>
      <w:pPr>
        <w:pStyle w:val="BodyText"/>
        <w:spacing w:line="357" w:lineRule="auto" w:before="135"/>
        <w:ind w:left="798" w:right="791" w:firstLine="419"/>
        <w:jc w:val="both"/>
      </w:pPr>
      <w:r>
        <w:rPr/>
        <w:t>为了适应 </w:t>
      </w:r>
      <w:r>
        <w:rPr>
          <w:rFonts w:ascii="宋体" w:hAnsi="宋体" w:cs="宋体" w:eastAsia="宋体" w:hint="default"/>
        </w:rPr>
        <w:t>5G</w:t>
      </w:r>
      <w:r>
        <w:rPr>
          <w:rFonts w:ascii="宋体" w:hAnsi="宋体" w:cs="宋体" w:eastAsia="宋体" w:hint="default"/>
          <w:spacing w:val="-48"/>
        </w:rPr>
        <w:t> </w:t>
      </w:r>
      <w:r>
        <w:rPr>
          <w:spacing w:val="-5"/>
        </w:rPr>
        <w:t>时代数字内容产业创新形态，公司建成并启用国内首个“媒体创意工场”，引入</w:t>
      </w:r>
      <w:r>
        <w:rPr>
          <w:w w:val="100"/>
        </w:rPr>
        <w:t> </w:t>
      </w:r>
      <w:r>
        <w:rPr/>
        <w:t>全球顶级的</w:t>
      </w:r>
      <w:r>
        <w:rPr>
          <w:spacing w:val="-55"/>
        </w:rPr>
        <w:t> </w:t>
      </w:r>
      <w:r>
        <w:rPr>
          <w:rFonts w:ascii="宋体" w:hAnsi="宋体" w:cs="宋体" w:eastAsia="宋体" w:hint="default"/>
        </w:rPr>
        <w:t>MoCo</w:t>
      </w:r>
      <w:r>
        <w:rPr>
          <w:rFonts w:ascii="宋体" w:hAnsi="宋体" w:cs="宋体" w:eastAsia="宋体" w:hint="default"/>
          <w:spacing w:val="-55"/>
        </w:rPr>
        <w:t> </w:t>
      </w:r>
      <w:r>
        <w:rPr/>
        <w:t>设备，搭建</w:t>
      </w:r>
      <w:r>
        <w:rPr>
          <w:spacing w:val="-55"/>
        </w:rPr>
        <w:t> </w:t>
      </w:r>
      <w:r>
        <w:rPr>
          <w:rFonts w:ascii="宋体" w:hAnsi="宋体" w:cs="宋体" w:eastAsia="宋体" w:hint="default"/>
        </w:rPr>
        <w:t>MR</w:t>
      </w:r>
      <w:r>
        <w:rPr>
          <w:rFonts w:ascii="宋体" w:hAnsi="宋体" w:cs="宋体" w:eastAsia="宋体" w:hint="default"/>
          <w:spacing w:val="-57"/>
        </w:rPr>
        <w:t> </w:t>
      </w:r>
      <w:r>
        <w:rPr/>
        <w:t>混合现实智能演播厅，推出一系列现象级的数字内容创意产品，</w:t>
      </w:r>
      <w:r>
        <w:rPr>
          <w:w w:val="100"/>
        </w:rPr>
        <w:t> </w:t>
      </w:r>
      <w:r>
        <w:rPr>
          <w:spacing w:val="-2"/>
        </w:rPr>
        <w:t>营收能力进一步加强，使其成为公司重点打造的创新型业务之一。经过三年多孵化和培育，已进</w:t>
      </w:r>
      <w:r>
        <w:rPr>
          <w:spacing w:val="-25"/>
        </w:rPr>
        <w:t> </w:t>
      </w:r>
      <w:r>
        <w:rPr>
          <w:spacing w:val="-25"/>
        </w:rPr>
      </w:r>
      <w:r>
        <w:rPr/>
        <w:t>入增长快车道，业务收入较</w:t>
      </w:r>
      <w:r>
        <w:rPr>
          <w:spacing w:val="-53"/>
        </w:rPr>
        <w:t> </w:t>
      </w:r>
      <w:r>
        <w:rPr>
          <w:rFonts w:ascii="宋体" w:hAnsi="宋体" w:cs="宋体" w:eastAsia="宋体" w:hint="default"/>
        </w:rPr>
        <w:t>2017</w:t>
      </w:r>
      <w:r>
        <w:rPr>
          <w:rFonts w:ascii="宋体" w:hAnsi="宋体" w:cs="宋体" w:eastAsia="宋体" w:hint="default"/>
          <w:spacing w:val="-53"/>
        </w:rPr>
        <w:t> </w:t>
      </w:r>
      <w:r>
        <w:rPr/>
        <w:t>年增长</w:t>
      </w:r>
      <w:r>
        <w:rPr>
          <w:spacing w:val="-55"/>
        </w:rPr>
        <w:t> </w:t>
      </w:r>
      <w:r>
        <w:rPr>
          <w:rFonts w:ascii="宋体" w:hAnsi="宋体" w:cs="宋体" w:eastAsia="宋体" w:hint="default"/>
        </w:rPr>
        <w:t>58.09%</w:t>
      </w:r>
      <w:r>
        <w:rPr/>
        <w:t>。</w:t>
      </w:r>
    </w:p>
    <w:p>
      <w:pPr>
        <w:pStyle w:val="BodyText"/>
        <w:spacing w:line="240" w:lineRule="auto" w:before="30"/>
        <w:ind w:left="1218" w:right="635"/>
        <w:jc w:val="left"/>
      </w:pPr>
      <w:r>
        <w:rPr/>
        <w:t>（</w:t>
      </w:r>
      <w:r>
        <w:rPr>
          <w:rFonts w:ascii="宋体" w:hAnsi="宋体" w:cs="宋体" w:eastAsia="宋体" w:hint="default"/>
        </w:rPr>
        <w:t>6</w:t>
      </w:r>
      <w:r>
        <w:rPr/>
        <w:t>）国外业务</w:t>
      </w:r>
    </w:p>
    <w:p>
      <w:pPr>
        <w:pStyle w:val="BodyText"/>
        <w:spacing w:line="355" w:lineRule="auto" w:before="135"/>
        <w:ind w:left="798" w:right="790" w:firstLine="419"/>
        <w:jc w:val="both"/>
      </w:pPr>
      <w:r>
        <w:rPr/>
        <w:t>国外业务收入较上期同比增长 </w:t>
      </w:r>
      <w:r>
        <w:rPr>
          <w:rFonts w:ascii="宋体" w:hAnsi="宋体" w:cs="宋体" w:eastAsia="宋体" w:hint="default"/>
          <w:spacing w:val="-4"/>
        </w:rPr>
        <w:t>42.89%</w:t>
      </w:r>
      <w:r>
        <w:rPr>
          <w:spacing w:val="-4"/>
        </w:rPr>
        <w:t>，成本较上期同比增长</w:t>
      </w:r>
      <w:r>
        <w:rPr>
          <w:spacing w:val="-54"/>
        </w:rPr>
        <w:t> </w:t>
      </w:r>
      <w:r>
        <w:rPr>
          <w:rFonts w:ascii="宋体" w:hAnsi="宋体" w:cs="宋体" w:eastAsia="宋体" w:hint="default"/>
          <w:spacing w:val="-6"/>
        </w:rPr>
        <w:t>68.31%</w:t>
      </w:r>
      <w:r>
        <w:rPr>
          <w:spacing w:val="-6"/>
        </w:rPr>
        <w:t>，主要由于亚太、北美公</w:t>
      </w:r>
      <w:r>
        <w:rPr>
          <w:spacing w:val="-3"/>
          <w:w w:val="100"/>
        </w:rPr>
        <w:t> </w:t>
      </w:r>
      <w:r>
        <w:rPr/>
        <w:t>司拓展海外业务所致。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0" w:footer="1195" w:top="1120" w:bottom="1380" w:left="1000" w:right="480"/>
        </w:sectPr>
      </w:pPr>
    </w:p>
    <w:p>
      <w:pPr>
        <w:pStyle w:val="Heading2"/>
        <w:spacing w:line="240" w:lineRule="auto"/>
        <w:ind w:left="798" w:right="-2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spacing w:line="290" w:lineRule="auto" w:before="59"/>
        <w:ind w:left="798" w:right="61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39"/>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798" w:right="0"/>
        <w:jc w:val="left"/>
      </w:pPr>
      <w:r>
        <w:rPr/>
        <w:t>单位：元</w:t>
      </w:r>
    </w:p>
    <w:p>
      <w:pPr>
        <w:spacing w:after="0" w:line="240" w:lineRule="auto"/>
        <w:jc w:val="left"/>
        <w:sectPr>
          <w:type w:val="continuous"/>
          <w:pgSz w:w="11910" w:h="16840"/>
          <w:pgMar w:top="1120" w:bottom="1380" w:left="1000" w:right="480"/>
          <w:cols w:num="2" w:equalWidth="0">
            <w:col w:w="3055" w:space="4939"/>
            <w:col w:w="2436"/>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275"/>
        <w:gridCol w:w="1873"/>
        <w:gridCol w:w="1687"/>
        <w:gridCol w:w="999"/>
        <w:gridCol w:w="1687"/>
        <w:gridCol w:w="826"/>
        <w:gridCol w:w="1123"/>
        <w:gridCol w:w="725"/>
      </w:tblGrid>
      <w:tr>
        <w:trPr>
          <w:trHeight w:val="283" w:hRule="exact"/>
        </w:trPr>
        <w:tc>
          <w:tcPr>
            <w:tcW w:w="1019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644"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24" w:right="125" w:firstLine="52"/>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both"/>
              <w:rPr>
                <w:rFonts w:ascii="宋体" w:hAnsi="宋体" w:cs="宋体" w:eastAsia="宋体" w:hint="default"/>
                <w:sz w:val="21"/>
                <w:szCs w:val="21"/>
              </w:rPr>
            </w:pPr>
            <w:r>
              <w:rPr>
                <w:rFonts w:ascii="宋体" w:hAnsi="宋体" w:cs="宋体" w:eastAsia="宋体" w:hint="default"/>
                <w:sz w:val="21"/>
                <w:szCs w:val="21"/>
              </w:rPr>
              <w:t>上年</w:t>
            </w:r>
          </w:p>
          <w:p>
            <w:pPr>
              <w:pStyle w:val="TableParagraph"/>
              <w:spacing w:line="237" w:lineRule="auto" w:before="2"/>
              <w:ind w:left="196" w:right="195"/>
              <w:jc w:val="both"/>
              <w:rPr>
                <w:rFonts w:ascii="宋体" w:hAnsi="宋体" w:cs="宋体" w:eastAsia="宋体" w:hint="default"/>
                <w:sz w:val="21"/>
                <w:szCs w:val="21"/>
              </w:rPr>
            </w:pPr>
            <w:r>
              <w:rPr>
                <w:rFonts w:ascii="宋体" w:hAnsi="宋体" w:cs="宋体" w:eastAsia="宋体" w:hint="default"/>
                <w:sz w:val="21"/>
                <w:szCs w:val="21"/>
              </w:rPr>
              <w:t>同期</w:t>
            </w:r>
            <w:r>
              <w:rPr>
                <w:rFonts w:ascii="宋体" w:hAnsi="宋体" w:cs="宋体" w:eastAsia="宋体" w:hint="default"/>
                <w:spacing w:val="-103"/>
                <w:sz w:val="21"/>
                <w:szCs w:val="21"/>
              </w:rPr>
              <w:t> </w:t>
            </w:r>
            <w:r>
              <w:rPr>
                <w:rFonts w:ascii="宋体" w:hAnsi="宋体" w:cs="宋体" w:eastAsia="宋体" w:hint="default"/>
                <w:sz w:val="21"/>
                <w:szCs w:val="21"/>
              </w:rPr>
              <w:t>占总</w:t>
            </w:r>
            <w:r>
              <w:rPr>
                <w:rFonts w:ascii="宋体" w:hAnsi="宋体" w:cs="宋体" w:eastAsia="宋体" w:hint="default"/>
                <w:spacing w:val="-103"/>
                <w:sz w:val="21"/>
                <w:szCs w:val="21"/>
              </w:rPr>
              <w:t> </w:t>
            </w:r>
            <w:r>
              <w:rPr>
                <w:rFonts w:ascii="宋体" w:hAnsi="宋体" w:cs="宋体" w:eastAsia="宋体" w:hint="default"/>
                <w:sz w:val="21"/>
                <w:szCs w:val="21"/>
              </w:rPr>
              <w:t>成本</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132"/>
              <w:jc w:val="center"/>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w w:val="100"/>
                <w:sz w:val="21"/>
                <w:szCs w:val="21"/>
              </w:rPr>
              <w:t> </w:t>
            </w:r>
            <w:r>
              <w:rPr>
                <w:rFonts w:ascii="宋体" w:hAnsi="宋体" w:cs="宋体" w:eastAsia="宋体" w:hint="default"/>
                <w:sz w:val="21"/>
                <w:szCs w:val="21"/>
              </w:rPr>
              <w:t>较上年同</w:t>
            </w:r>
            <w:r>
              <w:rPr>
                <w:rFonts w:ascii="宋体" w:hAnsi="宋体" w:cs="宋体" w:eastAsia="宋体" w:hint="default"/>
                <w:w w:val="100"/>
                <w:sz w:val="21"/>
                <w:szCs w:val="21"/>
              </w:rPr>
              <w:t> </w:t>
            </w:r>
            <w:r>
              <w:rPr>
                <w:rFonts w:ascii="宋体" w:hAnsi="宋体" w:cs="宋体" w:eastAsia="宋体" w:hint="default"/>
                <w:sz w:val="21"/>
                <w:szCs w:val="21"/>
              </w:rPr>
              <w:t>期变动比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6" w:right="14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110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互联网</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72"/>
                <w:sz w:val="21"/>
                <w:szCs w:val="21"/>
              </w:rPr>
              <w:t> </w:t>
            </w:r>
            <w:r>
              <w:rPr>
                <w:rFonts w:ascii="宋体" w:hAnsi="宋体" w:cs="宋体" w:eastAsia="宋体" w:hint="default"/>
                <w:sz w:val="21"/>
                <w:szCs w:val="21"/>
              </w:rPr>
              <w:t>力</w:t>
            </w:r>
            <w:r>
              <w:rPr>
                <w:rFonts w:ascii="宋体" w:hAnsi="宋体" w:cs="宋体" w:eastAsia="宋体" w:hint="default"/>
                <w:spacing w:val="-76"/>
                <w:sz w:val="21"/>
                <w:szCs w:val="21"/>
              </w:rPr>
              <w:t> </w:t>
            </w:r>
            <w:r>
              <w:rPr>
                <w:rFonts w:ascii="宋体" w:hAnsi="宋体" w:cs="宋体" w:eastAsia="宋体" w:hint="default"/>
                <w:sz w:val="21"/>
                <w:szCs w:val="21"/>
              </w:rPr>
              <w:t>成</w:t>
            </w:r>
            <w:r>
              <w:rPr>
                <w:rFonts w:ascii="宋体" w:hAnsi="宋体" w:cs="宋体" w:eastAsia="宋体" w:hint="default"/>
                <w:spacing w:val="-76"/>
                <w:sz w:val="21"/>
                <w:szCs w:val="21"/>
              </w:rPr>
              <w:t> </w:t>
            </w:r>
            <w:r>
              <w:rPr>
                <w:rFonts w:ascii="宋体" w:hAnsi="宋体" w:cs="宋体" w:eastAsia="宋体" w:hint="default"/>
                <w:sz w:val="21"/>
                <w:szCs w:val="21"/>
              </w:rPr>
              <w:t>本</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pacing w:val="15"/>
                <w:sz w:val="21"/>
                <w:szCs w:val="21"/>
              </w:rPr>
              <w:t>制作</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5"/>
                <w:sz w:val="21"/>
                <w:szCs w:val="21"/>
              </w:rPr>
              <w:t>费、代理费、内容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费、房租、折旧及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摊销、代理费等</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654,564,239.99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0" w:right="0"/>
              <w:jc w:val="left"/>
              <w:rPr>
                <w:rFonts w:ascii="宋体" w:hAnsi="宋体" w:cs="宋体" w:eastAsia="宋体" w:hint="default"/>
                <w:sz w:val="21"/>
                <w:szCs w:val="21"/>
              </w:rPr>
            </w:pPr>
            <w:r>
              <w:rPr>
                <w:rFonts w:ascii="宋体"/>
                <w:sz w:val="21"/>
              </w:rPr>
              <w:t>73.77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614,808,290.05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3" w:right="0"/>
              <w:jc w:val="left"/>
              <w:rPr>
                <w:rFonts w:ascii="宋体" w:hAnsi="宋体" w:cs="宋体" w:eastAsia="宋体" w:hint="default"/>
                <w:sz w:val="21"/>
                <w:szCs w:val="21"/>
              </w:rPr>
            </w:pPr>
            <w:r>
              <w:rPr>
                <w:rFonts w:ascii="宋体"/>
                <w:sz w:val="21"/>
              </w:rPr>
              <w:t>74.10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45" w:right="0"/>
              <w:jc w:val="left"/>
              <w:rPr>
                <w:rFonts w:ascii="宋体" w:hAnsi="宋体" w:cs="宋体" w:eastAsia="宋体" w:hint="default"/>
                <w:sz w:val="21"/>
                <w:szCs w:val="21"/>
              </w:rPr>
            </w:pPr>
            <w:r>
              <w:rPr>
                <w:rFonts w:ascii="宋体"/>
                <w:sz w:val="21"/>
              </w:rPr>
              <w:t>6.47</w:t>
            </w:r>
          </w:p>
        </w:tc>
        <w:tc>
          <w:tcPr>
            <w:tcW w:w="72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00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1275"/>
        <w:gridCol w:w="1873"/>
        <w:gridCol w:w="1687"/>
        <w:gridCol w:w="999"/>
        <w:gridCol w:w="1687"/>
        <w:gridCol w:w="826"/>
        <w:gridCol w:w="149"/>
        <w:gridCol w:w="974"/>
        <w:gridCol w:w="725"/>
      </w:tblGrid>
      <w:tr>
        <w:trPr>
          <w:trHeight w:val="82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移动互联网</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5"/>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73"/>
                <w:sz w:val="21"/>
                <w:szCs w:val="21"/>
              </w:rPr>
              <w:t> </w:t>
            </w:r>
            <w:r>
              <w:rPr>
                <w:rFonts w:ascii="宋体" w:hAnsi="宋体" w:cs="宋体" w:eastAsia="宋体" w:hint="default"/>
                <w:sz w:val="21"/>
                <w:szCs w:val="21"/>
              </w:rPr>
              <w:t>力</w:t>
            </w:r>
            <w:r>
              <w:rPr>
                <w:rFonts w:ascii="宋体" w:hAnsi="宋体" w:cs="宋体" w:eastAsia="宋体" w:hint="default"/>
                <w:spacing w:val="-76"/>
                <w:sz w:val="21"/>
                <w:szCs w:val="21"/>
              </w:rPr>
              <w:t> </w:t>
            </w:r>
            <w:r>
              <w:rPr>
                <w:rFonts w:ascii="宋体" w:hAnsi="宋体" w:cs="宋体" w:eastAsia="宋体" w:hint="default"/>
                <w:sz w:val="21"/>
                <w:szCs w:val="21"/>
              </w:rPr>
              <w:t>成</w:t>
            </w:r>
            <w:r>
              <w:rPr>
                <w:rFonts w:ascii="宋体" w:hAnsi="宋体" w:cs="宋体" w:eastAsia="宋体" w:hint="default"/>
                <w:spacing w:val="-76"/>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3"/>
                <w:sz w:val="21"/>
                <w:szCs w:val="21"/>
              </w:rPr>
              <w:t> </w:t>
            </w:r>
            <w:r>
              <w:rPr>
                <w:rFonts w:ascii="宋体" w:hAnsi="宋体" w:cs="宋体" w:eastAsia="宋体" w:hint="default"/>
                <w:sz w:val="21"/>
                <w:szCs w:val="21"/>
              </w:rPr>
              <w:t>容</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16"/>
                <w:sz w:val="21"/>
                <w:szCs w:val="21"/>
              </w:rPr>
              <w:t>费、制作费、房租、</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折旧及摊销等</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232,773,264.09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8"/>
              <w:jc w:val="right"/>
              <w:rPr>
                <w:rFonts w:ascii="宋体" w:hAnsi="宋体" w:cs="宋体" w:eastAsia="宋体" w:hint="default"/>
                <w:sz w:val="21"/>
                <w:szCs w:val="21"/>
              </w:rPr>
            </w:pPr>
            <w:r>
              <w:rPr>
                <w:rFonts w:ascii="宋体"/>
                <w:sz w:val="21"/>
              </w:rPr>
              <w:t>26.23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214,877,451.63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3" w:right="0"/>
              <w:jc w:val="left"/>
              <w:rPr>
                <w:rFonts w:ascii="宋体" w:hAnsi="宋体" w:cs="宋体" w:eastAsia="宋体" w:hint="default"/>
                <w:sz w:val="21"/>
                <w:szCs w:val="21"/>
              </w:rPr>
            </w:pPr>
            <w:r>
              <w:rPr>
                <w:rFonts w:ascii="宋体"/>
                <w:sz w:val="21"/>
              </w:rPr>
              <w:t>25.90</w:t>
            </w:r>
          </w:p>
        </w:tc>
        <w:tc>
          <w:tcPr>
            <w:tcW w:w="11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21"/>
                <w:szCs w:val="21"/>
              </w:rPr>
            </w:pPr>
            <w:r>
              <w:rPr>
                <w:rFonts w:ascii="宋体"/>
                <w:sz w:val="21"/>
              </w:rPr>
              <w:t>8.33</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19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成本构成项目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24" w:right="125" w:firstLine="52"/>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5" w:right="164"/>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65" w:right="163"/>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6" w:right="144"/>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82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网络广告</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73"/>
                <w:sz w:val="21"/>
                <w:szCs w:val="21"/>
              </w:rPr>
              <w:t> </w:t>
            </w:r>
            <w:r>
              <w:rPr>
                <w:rFonts w:ascii="宋体" w:hAnsi="宋体" w:cs="宋体" w:eastAsia="宋体" w:hint="default"/>
                <w:sz w:val="21"/>
                <w:szCs w:val="21"/>
              </w:rPr>
              <w:t>力</w:t>
            </w:r>
            <w:r>
              <w:rPr>
                <w:rFonts w:ascii="宋体" w:hAnsi="宋体" w:cs="宋体" w:eastAsia="宋体" w:hint="default"/>
                <w:spacing w:val="-76"/>
                <w:sz w:val="21"/>
                <w:szCs w:val="21"/>
              </w:rPr>
              <w:t> </w:t>
            </w:r>
            <w:r>
              <w:rPr>
                <w:rFonts w:ascii="宋体" w:hAnsi="宋体" w:cs="宋体" w:eastAsia="宋体" w:hint="default"/>
                <w:sz w:val="21"/>
                <w:szCs w:val="21"/>
              </w:rPr>
              <w:t>成</w:t>
            </w:r>
            <w:r>
              <w:rPr>
                <w:rFonts w:ascii="宋体" w:hAnsi="宋体" w:cs="宋体" w:eastAsia="宋体" w:hint="default"/>
                <w:spacing w:val="-76"/>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服</w:t>
            </w:r>
            <w:r>
              <w:rPr>
                <w:rFonts w:ascii="宋体" w:hAnsi="宋体" w:cs="宋体" w:eastAsia="宋体" w:hint="default"/>
                <w:spacing w:val="-73"/>
                <w:sz w:val="21"/>
                <w:szCs w:val="21"/>
              </w:rPr>
              <w:t> </w:t>
            </w:r>
            <w:r>
              <w:rPr>
                <w:rFonts w:ascii="宋体" w:hAnsi="宋体" w:cs="宋体" w:eastAsia="宋体" w:hint="default"/>
                <w:sz w:val="21"/>
                <w:szCs w:val="21"/>
              </w:rPr>
              <w:t>务</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16"/>
                <w:sz w:val="21"/>
                <w:szCs w:val="21"/>
              </w:rPr>
              <w:t>费、制作费、房租、</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折旧及摊销等</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271,980,366.44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8"/>
              <w:jc w:val="right"/>
              <w:rPr>
                <w:rFonts w:ascii="宋体" w:hAnsi="宋体" w:cs="宋体" w:eastAsia="宋体" w:hint="default"/>
                <w:sz w:val="21"/>
                <w:szCs w:val="21"/>
              </w:rPr>
            </w:pPr>
            <w:r>
              <w:rPr>
                <w:rFonts w:ascii="宋体"/>
                <w:sz w:val="21"/>
              </w:rPr>
              <w:t>30.65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259,562,257.52</w:t>
            </w:r>
          </w:p>
        </w:tc>
        <w:tc>
          <w:tcPr>
            <w:tcW w:w="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21"/>
                <w:szCs w:val="21"/>
              </w:rPr>
            </w:pPr>
            <w:r>
              <w:rPr>
                <w:rFonts w:ascii="宋体"/>
                <w:sz w:val="21"/>
              </w:rPr>
              <w:t>31.28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4.78</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信息服务</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73"/>
                <w:sz w:val="21"/>
                <w:szCs w:val="21"/>
              </w:rPr>
              <w:t> </w:t>
            </w:r>
            <w:r>
              <w:rPr>
                <w:rFonts w:ascii="宋体" w:hAnsi="宋体" w:cs="宋体" w:eastAsia="宋体" w:hint="default"/>
                <w:sz w:val="21"/>
                <w:szCs w:val="21"/>
              </w:rPr>
              <w:t>力</w:t>
            </w:r>
            <w:r>
              <w:rPr>
                <w:rFonts w:ascii="宋体" w:hAnsi="宋体" w:cs="宋体" w:eastAsia="宋体" w:hint="default"/>
                <w:spacing w:val="-76"/>
                <w:sz w:val="21"/>
                <w:szCs w:val="21"/>
              </w:rPr>
              <w:t> </w:t>
            </w:r>
            <w:r>
              <w:rPr>
                <w:rFonts w:ascii="宋体" w:hAnsi="宋体" w:cs="宋体" w:eastAsia="宋体" w:hint="default"/>
                <w:sz w:val="21"/>
                <w:szCs w:val="21"/>
              </w:rPr>
              <w:t>成</w:t>
            </w:r>
            <w:r>
              <w:rPr>
                <w:rFonts w:ascii="宋体" w:hAnsi="宋体" w:cs="宋体" w:eastAsia="宋体" w:hint="default"/>
                <w:spacing w:val="-76"/>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服</w:t>
            </w:r>
            <w:r>
              <w:rPr>
                <w:rFonts w:ascii="宋体" w:hAnsi="宋体" w:cs="宋体" w:eastAsia="宋体" w:hint="default"/>
                <w:spacing w:val="-73"/>
                <w:sz w:val="21"/>
                <w:szCs w:val="21"/>
              </w:rPr>
              <w:t> </w:t>
            </w:r>
            <w:r>
              <w:rPr>
                <w:rFonts w:ascii="宋体" w:hAnsi="宋体" w:cs="宋体" w:eastAsia="宋体" w:hint="default"/>
                <w:sz w:val="21"/>
                <w:szCs w:val="21"/>
              </w:rPr>
              <w:t>务</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5"/>
                <w:sz w:val="21"/>
                <w:szCs w:val="21"/>
              </w:rPr>
              <w:t>费、制作费、内容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费、房租、累计折</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旧及摊销等</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174,867,038.02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8"/>
              <w:jc w:val="right"/>
              <w:rPr>
                <w:rFonts w:ascii="宋体" w:hAnsi="宋体" w:cs="宋体" w:eastAsia="宋体" w:hint="default"/>
                <w:sz w:val="21"/>
                <w:szCs w:val="21"/>
              </w:rPr>
            </w:pPr>
            <w:r>
              <w:rPr>
                <w:rFonts w:ascii="宋体"/>
                <w:sz w:val="21"/>
              </w:rPr>
              <w:t>19.71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205,842,686.84</w:t>
            </w:r>
          </w:p>
        </w:tc>
        <w:tc>
          <w:tcPr>
            <w:tcW w:w="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8" w:right="0"/>
              <w:jc w:val="left"/>
              <w:rPr>
                <w:rFonts w:ascii="宋体" w:hAnsi="宋体" w:cs="宋体" w:eastAsia="宋体" w:hint="default"/>
                <w:sz w:val="21"/>
                <w:szCs w:val="21"/>
              </w:rPr>
            </w:pPr>
            <w:r>
              <w:rPr>
                <w:rFonts w:ascii="宋体"/>
                <w:sz w:val="21"/>
              </w:rPr>
              <w:t>24.81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-15.05</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移动互联网</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73"/>
                <w:sz w:val="21"/>
                <w:szCs w:val="21"/>
              </w:rPr>
              <w:t> </w:t>
            </w:r>
            <w:r>
              <w:rPr>
                <w:rFonts w:ascii="宋体" w:hAnsi="宋体" w:cs="宋体" w:eastAsia="宋体" w:hint="default"/>
                <w:sz w:val="21"/>
                <w:szCs w:val="21"/>
              </w:rPr>
              <w:t>力</w:t>
            </w:r>
            <w:r>
              <w:rPr>
                <w:rFonts w:ascii="宋体" w:hAnsi="宋体" w:cs="宋体" w:eastAsia="宋体" w:hint="default"/>
                <w:spacing w:val="-76"/>
                <w:sz w:val="21"/>
                <w:szCs w:val="21"/>
              </w:rPr>
              <w:t> </w:t>
            </w:r>
            <w:r>
              <w:rPr>
                <w:rFonts w:ascii="宋体" w:hAnsi="宋体" w:cs="宋体" w:eastAsia="宋体" w:hint="default"/>
                <w:sz w:val="21"/>
                <w:szCs w:val="21"/>
              </w:rPr>
              <w:t>成</w:t>
            </w:r>
            <w:r>
              <w:rPr>
                <w:rFonts w:ascii="宋体" w:hAnsi="宋体" w:cs="宋体" w:eastAsia="宋体" w:hint="default"/>
                <w:spacing w:val="-76"/>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3"/>
                <w:sz w:val="21"/>
                <w:szCs w:val="21"/>
              </w:rPr>
              <w:t> </w:t>
            </w:r>
            <w:r>
              <w:rPr>
                <w:rFonts w:ascii="宋体" w:hAnsi="宋体" w:cs="宋体" w:eastAsia="宋体" w:hint="default"/>
                <w:sz w:val="21"/>
                <w:szCs w:val="21"/>
              </w:rPr>
              <w:t>容</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16"/>
                <w:sz w:val="21"/>
                <w:szCs w:val="21"/>
              </w:rPr>
              <w:t>费、制作费、房租、</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折旧及摊销等</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232,773,264.09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8"/>
              <w:jc w:val="right"/>
              <w:rPr>
                <w:rFonts w:ascii="宋体" w:hAnsi="宋体" w:cs="宋体" w:eastAsia="宋体" w:hint="default"/>
                <w:sz w:val="21"/>
                <w:szCs w:val="21"/>
              </w:rPr>
            </w:pPr>
            <w:r>
              <w:rPr>
                <w:rFonts w:ascii="宋体"/>
                <w:sz w:val="21"/>
              </w:rPr>
              <w:t>26.23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214,877,451.63</w:t>
            </w:r>
          </w:p>
        </w:tc>
        <w:tc>
          <w:tcPr>
            <w:tcW w:w="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21"/>
                <w:szCs w:val="21"/>
              </w:rPr>
            </w:pPr>
            <w:r>
              <w:rPr>
                <w:rFonts w:ascii="宋体"/>
                <w:sz w:val="21"/>
              </w:rPr>
              <w:t>25.90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8.33</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0" w:right="99"/>
              <w:jc w:val="left"/>
              <w:rPr>
                <w:rFonts w:ascii="宋体" w:hAnsi="宋体" w:cs="宋体" w:eastAsia="宋体" w:hint="default"/>
                <w:sz w:val="21"/>
                <w:szCs w:val="21"/>
              </w:rPr>
            </w:pPr>
            <w:r>
              <w:rPr>
                <w:rFonts w:ascii="宋体" w:hAnsi="宋体" w:cs="宋体" w:eastAsia="宋体" w:hint="default"/>
                <w:sz w:val="21"/>
                <w:szCs w:val="21"/>
              </w:rPr>
              <w:t>网络技术服</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务</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73"/>
                <w:sz w:val="21"/>
                <w:szCs w:val="21"/>
              </w:rPr>
              <w:t> </w:t>
            </w:r>
            <w:r>
              <w:rPr>
                <w:rFonts w:ascii="宋体" w:hAnsi="宋体" w:cs="宋体" w:eastAsia="宋体" w:hint="default"/>
                <w:sz w:val="21"/>
                <w:szCs w:val="21"/>
              </w:rPr>
              <w:t>力</w:t>
            </w:r>
            <w:r>
              <w:rPr>
                <w:rFonts w:ascii="宋体" w:hAnsi="宋体" w:cs="宋体" w:eastAsia="宋体" w:hint="default"/>
                <w:spacing w:val="-76"/>
                <w:sz w:val="21"/>
                <w:szCs w:val="21"/>
              </w:rPr>
              <w:t> </w:t>
            </w:r>
            <w:r>
              <w:rPr>
                <w:rFonts w:ascii="宋体" w:hAnsi="宋体" w:cs="宋体" w:eastAsia="宋体" w:hint="default"/>
                <w:sz w:val="21"/>
                <w:szCs w:val="21"/>
              </w:rPr>
              <w:t>成</w:t>
            </w:r>
            <w:r>
              <w:rPr>
                <w:rFonts w:ascii="宋体" w:hAnsi="宋体" w:cs="宋体" w:eastAsia="宋体" w:hint="default"/>
                <w:spacing w:val="-76"/>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服</w:t>
            </w:r>
            <w:r>
              <w:rPr>
                <w:rFonts w:ascii="宋体" w:hAnsi="宋体" w:cs="宋体" w:eastAsia="宋体" w:hint="default"/>
                <w:spacing w:val="-73"/>
                <w:sz w:val="21"/>
                <w:szCs w:val="21"/>
              </w:rPr>
              <w:t> </w:t>
            </w:r>
            <w:r>
              <w:rPr>
                <w:rFonts w:ascii="宋体" w:hAnsi="宋体" w:cs="宋体" w:eastAsia="宋体" w:hint="default"/>
                <w:sz w:val="21"/>
                <w:szCs w:val="21"/>
              </w:rPr>
              <w:t>务</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16"/>
                <w:sz w:val="21"/>
                <w:szCs w:val="21"/>
              </w:rPr>
              <w:t>费、房租、制作费、</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网络线租及</w:t>
            </w:r>
            <w:r>
              <w:rPr>
                <w:rFonts w:ascii="宋体" w:hAnsi="宋体" w:cs="宋体" w:eastAsia="宋体" w:hint="default"/>
                <w:spacing w:val="-65"/>
                <w:sz w:val="21"/>
                <w:szCs w:val="21"/>
              </w:rPr>
              <w:t> </w:t>
            </w:r>
            <w:r>
              <w:rPr>
                <w:rFonts w:ascii="宋体" w:hAnsi="宋体" w:cs="宋体" w:eastAsia="宋体" w:hint="default"/>
                <w:sz w:val="21"/>
                <w:szCs w:val="21"/>
              </w:rPr>
              <w:t>CDN</w:t>
            </w:r>
            <w:r>
              <w:rPr>
                <w:rFonts w:ascii="宋体" w:hAnsi="宋体" w:cs="宋体" w:eastAsia="宋体" w:hint="default"/>
                <w:spacing w:val="-64"/>
                <w:sz w:val="21"/>
                <w:szCs w:val="21"/>
              </w:rPr>
              <w:t> </w:t>
            </w:r>
            <w:r>
              <w:rPr>
                <w:rFonts w:ascii="宋体" w:hAnsi="宋体" w:cs="宋体" w:eastAsia="宋体" w:hint="default"/>
                <w:sz w:val="21"/>
                <w:szCs w:val="21"/>
              </w:rPr>
              <w:t>服</w:t>
            </w:r>
            <w:r>
              <w:rPr>
                <w:rFonts w:ascii="宋体" w:hAnsi="宋体" w:cs="宋体" w:eastAsia="宋体" w:hint="default"/>
                <w:w w:val="100"/>
                <w:sz w:val="21"/>
                <w:szCs w:val="21"/>
              </w:rPr>
              <w:t> </w:t>
            </w:r>
            <w:r>
              <w:rPr>
                <w:rFonts w:ascii="宋体" w:hAnsi="宋体" w:cs="宋体" w:eastAsia="宋体" w:hint="default"/>
                <w:spacing w:val="-5"/>
                <w:sz w:val="21"/>
                <w:szCs w:val="21"/>
              </w:rPr>
              <w:t>务费、折旧及摊销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等</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119,047,009.60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8"/>
              <w:jc w:val="right"/>
              <w:rPr>
                <w:rFonts w:ascii="宋体" w:hAnsi="宋体" w:cs="宋体" w:eastAsia="宋体" w:hint="default"/>
                <w:sz w:val="21"/>
                <w:szCs w:val="21"/>
              </w:rPr>
            </w:pPr>
            <w:r>
              <w:rPr>
                <w:rFonts w:ascii="宋体"/>
                <w:sz w:val="21"/>
              </w:rPr>
              <w:t>13.42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91,197,364.63</w:t>
            </w:r>
          </w:p>
        </w:tc>
        <w:tc>
          <w:tcPr>
            <w:tcW w:w="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21"/>
                <w:szCs w:val="21"/>
              </w:rPr>
            </w:pPr>
            <w:r>
              <w:rPr>
                <w:rFonts w:ascii="宋体"/>
                <w:sz w:val="21"/>
              </w:rPr>
              <w:t>10.99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30.54</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数字内容</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73"/>
                <w:sz w:val="21"/>
                <w:szCs w:val="21"/>
              </w:rPr>
              <w:t> </w:t>
            </w:r>
            <w:r>
              <w:rPr>
                <w:rFonts w:ascii="宋体" w:hAnsi="宋体" w:cs="宋体" w:eastAsia="宋体" w:hint="default"/>
                <w:sz w:val="21"/>
                <w:szCs w:val="21"/>
              </w:rPr>
              <w:t>力</w:t>
            </w:r>
            <w:r>
              <w:rPr>
                <w:rFonts w:ascii="宋体" w:hAnsi="宋体" w:cs="宋体" w:eastAsia="宋体" w:hint="default"/>
                <w:spacing w:val="-76"/>
                <w:sz w:val="21"/>
                <w:szCs w:val="21"/>
              </w:rPr>
              <w:t> </w:t>
            </w:r>
            <w:r>
              <w:rPr>
                <w:rFonts w:ascii="宋体" w:hAnsi="宋体" w:cs="宋体" w:eastAsia="宋体" w:hint="default"/>
                <w:sz w:val="21"/>
                <w:szCs w:val="21"/>
              </w:rPr>
              <w:t>成</w:t>
            </w:r>
            <w:r>
              <w:rPr>
                <w:rFonts w:ascii="宋体" w:hAnsi="宋体" w:cs="宋体" w:eastAsia="宋体" w:hint="default"/>
                <w:spacing w:val="-76"/>
                <w:sz w:val="21"/>
                <w:szCs w:val="21"/>
              </w:rPr>
              <w:t> </w:t>
            </w: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3"/>
                <w:sz w:val="21"/>
                <w:szCs w:val="21"/>
              </w:rPr>
              <w:t> </w:t>
            </w:r>
            <w:r>
              <w:rPr>
                <w:rFonts w:ascii="宋体" w:hAnsi="宋体" w:cs="宋体" w:eastAsia="宋体" w:hint="default"/>
                <w:sz w:val="21"/>
                <w:szCs w:val="21"/>
              </w:rPr>
              <w:t>容</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16"/>
                <w:sz w:val="21"/>
                <w:szCs w:val="21"/>
              </w:rPr>
              <w:t>费、制作费、房租、</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折旧及摊销等</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88,669,825.94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1"/>
              <w:jc w:val="right"/>
              <w:rPr>
                <w:rFonts w:ascii="宋体" w:hAnsi="宋体" w:cs="宋体" w:eastAsia="宋体" w:hint="default"/>
                <w:sz w:val="21"/>
                <w:szCs w:val="21"/>
              </w:rPr>
            </w:pPr>
            <w:r>
              <w:rPr>
                <w:rFonts w:ascii="宋体"/>
                <w:sz w:val="21"/>
              </w:rPr>
              <w:t>9.99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58,205,981.06</w:t>
            </w:r>
          </w:p>
        </w:tc>
        <w:tc>
          <w:tcPr>
            <w:tcW w:w="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21"/>
                <w:szCs w:val="21"/>
              </w:rPr>
            </w:pPr>
            <w:r>
              <w:rPr>
                <w:rFonts w:ascii="宋体"/>
                <w:sz w:val="21"/>
              </w:rPr>
              <w:t>7.02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52.34</w:t>
            </w:r>
          </w:p>
        </w:tc>
        <w:tc>
          <w:tcPr>
            <w:tcW w:w="7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798" w:right="635"/>
        <w:jc w:val="left"/>
      </w:pPr>
      <w:r>
        <w:rPr/>
        <w:t>成本分析其他情况说明</w:t>
      </w:r>
    </w:p>
    <w:p>
      <w:pPr>
        <w:pStyle w:val="BodyText"/>
        <w:spacing w:line="273" w:lineRule="exact"/>
        <w:ind w:left="798" w:right="635"/>
        <w:jc w:val="left"/>
      </w:pPr>
      <w:r>
        <w:rPr/>
        <w:t>√适用</w:t>
      </w:r>
      <w:r>
        <w:rPr>
          <w:spacing w:val="-1"/>
        </w:rPr>
        <w:t> </w:t>
      </w:r>
      <w:r>
        <w:rPr/>
        <w:t>□不适用</w:t>
      </w:r>
    </w:p>
    <w:p>
      <w:pPr>
        <w:pStyle w:val="BodyText"/>
        <w:spacing w:line="355" w:lineRule="auto" w:before="118"/>
        <w:ind w:left="798" w:right="635" w:firstLine="419"/>
        <w:jc w:val="left"/>
      </w:pPr>
      <w:r>
        <w:rPr>
          <w:rFonts w:ascii="宋体" w:hAnsi="宋体" w:cs="宋体" w:eastAsia="宋体" w:hint="default"/>
          <w:w w:val="100"/>
        </w:rPr>
        <w:t>2018</w:t>
      </w:r>
      <w:r>
        <w:rPr>
          <w:rFonts w:ascii="宋体" w:hAnsi="宋体" w:cs="宋体" w:eastAsia="宋体" w:hint="default"/>
          <w:spacing w:val="-53"/>
          <w:w w:val="100"/>
        </w:rPr>
        <w:t> </w:t>
      </w:r>
      <w:r>
        <w:rPr>
          <w:spacing w:val="-2"/>
          <w:w w:val="100"/>
        </w:rPr>
        <w:t>年公司网络广告业务营业成本较</w:t>
      </w:r>
      <w:r>
        <w:rPr>
          <w:spacing w:val="-51"/>
          <w:w w:val="100"/>
        </w:rPr>
        <w:t> </w:t>
      </w:r>
      <w:r>
        <w:rPr>
          <w:rFonts w:ascii="宋体" w:hAnsi="宋体" w:cs="宋体" w:eastAsia="宋体" w:hint="default"/>
          <w:spacing w:val="-1"/>
          <w:w w:val="100"/>
        </w:rPr>
        <w:t>2017</w:t>
      </w:r>
      <w:r>
        <w:rPr>
          <w:rFonts w:ascii="宋体" w:hAnsi="宋体" w:cs="宋体" w:eastAsia="宋体" w:hint="default"/>
          <w:spacing w:val="-51"/>
          <w:w w:val="100"/>
        </w:rPr>
        <w:t> </w:t>
      </w:r>
      <w:r>
        <w:rPr>
          <w:spacing w:val="-1"/>
          <w:w w:val="100"/>
        </w:rPr>
        <w:t>年增长</w:t>
      </w:r>
      <w:r>
        <w:rPr>
          <w:spacing w:val="-53"/>
          <w:w w:val="100"/>
        </w:rPr>
        <w:t> </w:t>
      </w:r>
      <w:r>
        <w:rPr>
          <w:rFonts w:ascii="宋体" w:hAnsi="宋体" w:cs="宋体" w:eastAsia="宋体" w:hint="default"/>
          <w:spacing w:val="-6"/>
          <w:w w:val="100"/>
        </w:rPr>
        <w:t>4.78%</w:t>
      </w:r>
      <w:r>
        <w:rPr>
          <w:spacing w:val="-6"/>
          <w:w w:val="100"/>
        </w:rPr>
        <w:t>，主要由于相关人工成本以及办公场</w:t>
      </w:r>
      <w:r>
        <w:rPr>
          <w:w w:val="100"/>
        </w:rPr>
        <w:t> </w:t>
      </w:r>
      <w:r>
        <w:rPr/>
        <w:t>所房租物业成本增长所致。</w:t>
      </w:r>
    </w:p>
    <w:p>
      <w:pPr>
        <w:pStyle w:val="BodyText"/>
        <w:spacing w:line="355" w:lineRule="auto" w:before="32"/>
        <w:ind w:left="798" w:right="803" w:firstLine="419"/>
        <w:jc w:val="left"/>
      </w:pPr>
      <w:r>
        <w:rPr>
          <w:rFonts w:ascii="宋体" w:hAnsi="宋体" w:cs="宋体" w:eastAsia="宋体" w:hint="default"/>
        </w:rPr>
        <w:t>2018</w:t>
      </w:r>
      <w:r>
        <w:rPr>
          <w:rFonts w:ascii="宋体" w:hAnsi="宋体" w:cs="宋体" w:eastAsia="宋体" w:hint="default"/>
          <w:spacing w:val="-57"/>
        </w:rPr>
        <w:t> </w:t>
      </w:r>
      <w:r>
        <w:rPr/>
        <w:t>年公司信息服务业务营业成本较</w:t>
      </w:r>
      <w:r>
        <w:rPr>
          <w:spacing w:val="-55"/>
        </w:rPr>
        <w:t> </w:t>
      </w:r>
      <w:r>
        <w:rPr>
          <w:rFonts w:ascii="宋体" w:hAnsi="宋体" w:cs="宋体" w:eastAsia="宋体" w:hint="default"/>
        </w:rPr>
        <w:t>2017</w:t>
      </w:r>
      <w:r>
        <w:rPr>
          <w:rFonts w:ascii="宋体" w:hAnsi="宋体" w:cs="宋体" w:eastAsia="宋体" w:hint="default"/>
          <w:spacing w:val="-55"/>
        </w:rPr>
        <w:t> </w:t>
      </w:r>
      <w:r>
        <w:rPr/>
        <w:t>年下降</w:t>
      </w:r>
      <w:r>
        <w:rPr>
          <w:spacing w:val="-57"/>
        </w:rPr>
        <w:t> </w:t>
      </w:r>
      <w:r>
        <w:rPr>
          <w:rFonts w:ascii="宋体" w:hAnsi="宋体" w:cs="宋体" w:eastAsia="宋体" w:hint="default"/>
        </w:rPr>
        <w:t>15.05%</w:t>
      </w:r>
      <w:r>
        <w:rPr/>
        <w:t>，主要由于相关业务收入同比下降</w:t>
      </w:r>
      <w:r>
        <w:rPr>
          <w:w w:val="100"/>
        </w:rPr>
        <w:t> </w:t>
      </w:r>
      <w:r>
        <w:rPr/>
        <w:t>所致。</w:t>
      </w:r>
    </w:p>
    <w:p>
      <w:pPr>
        <w:pStyle w:val="BodyText"/>
        <w:spacing w:line="240" w:lineRule="auto" w:before="35"/>
        <w:ind w:left="1218" w:right="635"/>
        <w:jc w:val="left"/>
      </w:pPr>
      <w:r>
        <w:rPr>
          <w:rFonts w:ascii="宋体" w:hAnsi="宋体" w:cs="宋体" w:eastAsia="宋体" w:hint="default"/>
        </w:rPr>
        <w:t>2018</w:t>
      </w:r>
      <w:r>
        <w:rPr>
          <w:rFonts w:ascii="宋体" w:hAnsi="宋体" w:cs="宋体" w:eastAsia="宋体" w:hint="default"/>
          <w:spacing w:val="-57"/>
        </w:rPr>
        <w:t> </w:t>
      </w:r>
      <w:r>
        <w:rPr/>
        <w:t>年移动互联网业务营业成本较</w:t>
      </w:r>
      <w:r>
        <w:rPr>
          <w:spacing w:val="-55"/>
        </w:rPr>
        <w:t> </w:t>
      </w:r>
      <w:r>
        <w:rPr>
          <w:rFonts w:ascii="宋体" w:hAnsi="宋体" w:cs="宋体" w:eastAsia="宋体" w:hint="default"/>
        </w:rPr>
        <w:t>2017</w:t>
      </w:r>
      <w:r>
        <w:rPr>
          <w:rFonts w:ascii="宋体" w:hAnsi="宋体" w:cs="宋体" w:eastAsia="宋体" w:hint="default"/>
          <w:spacing w:val="-57"/>
        </w:rPr>
        <w:t> </w:t>
      </w:r>
      <w:r>
        <w:rPr/>
        <w:t>年增长</w:t>
      </w:r>
      <w:r>
        <w:rPr>
          <w:spacing w:val="-54"/>
        </w:rPr>
        <w:t> </w:t>
      </w:r>
      <w:r>
        <w:rPr>
          <w:rFonts w:ascii="宋体" w:hAnsi="宋体" w:cs="宋体" w:eastAsia="宋体" w:hint="default"/>
        </w:rPr>
        <w:t>8.33%</w:t>
      </w:r>
      <w:r>
        <w:rPr/>
        <w:t>，主要由于业务规模增长所致。</w:t>
      </w:r>
    </w:p>
    <w:p>
      <w:pPr>
        <w:pStyle w:val="BodyText"/>
        <w:spacing w:line="355" w:lineRule="auto" w:before="133"/>
        <w:ind w:left="798" w:right="635" w:firstLine="419"/>
        <w:jc w:val="left"/>
      </w:pPr>
      <w:r>
        <w:rPr>
          <w:rFonts w:ascii="宋体" w:hAnsi="宋体" w:cs="宋体" w:eastAsia="宋体" w:hint="default"/>
        </w:rPr>
        <w:t>2018</w:t>
      </w:r>
      <w:r>
        <w:rPr>
          <w:rFonts w:ascii="宋体" w:hAnsi="宋体" w:cs="宋体" w:eastAsia="宋体" w:hint="default"/>
          <w:spacing w:val="-58"/>
        </w:rPr>
        <w:t> </w:t>
      </w:r>
      <w:r>
        <w:rPr/>
        <w:t>年公司网络技术服务业务营业成本较</w:t>
      </w:r>
      <w:r>
        <w:rPr>
          <w:spacing w:val="-56"/>
        </w:rPr>
        <w:t> </w:t>
      </w:r>
      <w:r>
        <w:rPr>
          <w:rFonts w:ascii="宋体" w:hAnsi="宋体" w:cs="宋体" w:eastAsia="宋体" w:hint="default"/>
        </w:rPr>
        <w:t>2017</w:t>
      </w:r>
      <w:r>
        <w:rPr>
          <w:rFonts w:ascii="宋体" w:hAnsi="宋体" w:cs="宋体" w:eastAsia="宋体" w:hint="default"/>
          <w:spacing w:val="-55"/>
        </w:rPr>
        <w:t> </w:t>
      </w:r>
      <w:r>
        <w:rPr/>
        <w:t>年增长</w:t>
      </w:r>
      <w:r>
        <w:rPr>
          <w:spacing w:val="-56"/>
        </w:rPr>
        <w:t> </w:t>
      </w:r>
      <w:r>
        <w:rPr>
          <w:rFonts w:ascii="宋体" w:hAnsi="宋体" w:cs="宋体" w:eastAsia="宋体" w:hint="default"/>
        </w:rPr>
        <w:t>30.54%</w:t>
      </w:r>
      <w:r>
        <w:rPr/>
        <w:t>，主要由于公司承接雄安官网</w:t>
      </w:r>
      <w:r>
        <w:rPr>
          <w:w w:val="100"/>
        </w:rPr>
        <w:t> </w:t>
      </w:r>
      <w:r>
        <w:rPr/>
        <w:t>等政府网站建设项目后，所发生采编报导、技术运维等成本增加所致。</w:t>
      </w:r>
    </w:p>
    <w:p>
      <w:pPr>
        <w:pStyle w:val="BodyText"/>
        <w:spacing w:line="355" w:lineRule="auto" w:before="32"/>
        <w:ind w:left="798" w:right="803" w:firstLine="419"/>
        <w:jc w:val="left"/>
      </w:pPr>
      <w:r>
        <w:rPr>
          <w:rFonts w:ascii="宋体" w:hAnsi="宋体" w:cs="宋体" w:eastAsia="宋体" w:hint="default"/>
        </w:rPr>
        <w:t>2018</w:t>
      </w:r>
      <w:r>
        <w:rPr>
          <w:rFonts w:ascii="宋体" w:hAnsi="宋体" w:cs="宋体" w:eastAsia="宋体" w:hint="default"/>
          <w:spacing w:val="-57"/>
        </w:rPr>
        <w:t> </w:t>
      </w:r>
      <w:r>
        <w:rPr/>
        <w:t>年公司数字内容业务营业成本较</w:t>
      </w:r>
      <w:r>
        <w:rPr>
          <w:spacing w:val="-55"/>
        </w:rPr>
        <w:t> </w:t>
      </w:r>
      <w:r>
        <w:rPr>
          <w:rFonts w:ascii="宋体" w:hAnsi="宋体" w:cs="宋体" w:eastAsia="宋体" w:hint="default"/>
        </w:rPr>
        <w:t>2017</w:t>
      </w:r>
      <w:r>
        <w:rPr>
          <w:rFonts w:ascii="宋体" w:hAnsi="宋体" w:cs="宋体" w:eastAsia="宋体" w:hint="default"/>
          <w:spacing w:val="-55"/>
        </w:rPr>
        <w:t> </w:t>
      </w:r>
      <w:r>
        <w:rPr/>
        <w:t>年增长</w:t>
      </w:r>
      <w:r>
        <w:rPr>
          <w:spacing w:val="-57"/>
        </w:rPr>
        <w:t> </w:t>
      </w:r>
      <w:r>
        <w:rPr>
          <w:rFonts w:ascii="宋体" w:hAnsi="宋体" w:cs="宋体" w:eastAsia="宋体" w:hint="default"/>
        </w:rPr>
        <w:t>52.34%</w:t>
      </w:r>
      <w:r>
        <w:rPr/>
        <w:t>，主要由于融媒体产品和数字内容</w:t>
      </w:r>
      <w:r>
        <w:rPr>
          <w:w w:val="100"/>
        </w:rPr>
        <w:t> </w:t>
      </w:r>
      <w:r>
        <w:rPr/>
        <w:t>制作业务大幅增加所致。</w:t>
      </w:r>
    </w:p>
    <w:p>
      <w:pPr>
        <w:pStyle w:val="Heading2"/>
        <w:spacing w:line="240" w:lineRule="auto" w:before="154"/>
        <w:ind w:left="798" w:right="635"/>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56"/>
        <w:ind w:left="798" w:right="635"/>
        <w:jc w:val="left"/>
      </w:pPr>
      <w:r>
        <w:rPr/>
        <w:t>√适用</w:t>
      </w:r>
      <w:r>
        <w:rPr>
          <w:spacing w:val="-1"/>
        </w:rPr>
        <w:t> </w:t>
      </w:r>
      <w:r>
        <w:rPr/>
        <w:t>□不适用</w:t>
      </w:r>
    </w:p>
    <w:p>
      <w:pPr>
        <w:pStyle w:val="BodyText"/>
        <w:spacing w:line="357" w:lineRule="auto" w:before="118"/>
        <w:ind w:left="798" w:right="635" w:firstLine="419"/>
        <w:jc w:val="left"/>
      </w:pPr>
      <w:r>
        <w:rPr/>
        <w:t>前五名客户销售额</w:t>
      </w:r>
      <w:r>
        <w:rPr>
          <w:spacing w:val="-39"/>
        </w:rPr>
        <w:t> </w:t>
      </w:r>
      <w:r>
        <w:rPr>
          <w:rFonts w:ascii="宋体" w:hAnsi="宋体" w:cs="宋体" w:eastAsia="宋体" w:hint="default"/>
        </w:rPr>
        <w:t>41,793.27</w:t>
      </w:r>
      <w:r>
        <w:rPr>
          <w:rFonts w:ascii="宋体" w:hAnsi="宋体" w:cs="宋体" w:eastAsia="宋体" w:hint="default"/>
          <w:spacing w:val="-40"/>
        </w:rPr>
        <w:t> </w:t>
      </w:r>
      <w:r>
        <w:rPr>
          <w:spacing w:val="-4"/>
        </w:rPr>
        <w:t>万元，占年度销售总额</w:t>
      </w:r>
      <w:r>
        <w:rPr>
          <w:spacing w:val="-40"/>
        </w:rPr>
        <w:t> </w:t>
      </w:r>
      <w:r>
        <w:rPr>
          <w:rFonts w:ascii="宋体" w:hAnsi="宋体" w:cs="宋体" w:eastAsia="宋体" w:hint="default"/>
          <w:spacing w:val="-3"/>
        </w:rPr>
        <w:t>26.51%</w:t>
      </w:r>
      <w:r>
        <w:rPr>
          <w:spacing w:val="-3"/>
        </w:rPr>
        <w:t>；其中前五名客户销售额中关联</w:t>
      </w:r>
      <w:r>
        <w:rPr>
          <w:w w:val="100"/>
        </w:rPr>
        <w:t> </w:t>
      </w:r>
      <w:r>
        <w:rPr/>
        <w:t>方销售额</w:t>
      </w:r>
      <w:r>
        <w:rPr>
          <w:spacing w:val="-53"/>
        </w:rPr>
        <w:t> </w:t>
      </w:r>
      <w:r>
        <w:rPr>
          <w:rFonts w:ascii="宋体" w:hAnsi="宋体" w:cs="宋体" w:eastAsia="宋体" w:hint="default"/>
        </w:rPr>
        <w:t>30,697.37</w:t>
      </w:r>
      <w:r>
        <w:rPr>
          <w:rFonts w:ascii="宋体" w:hAnsi="宋体" w:cs="宋体" w:eastAsia="宋体" w:hint="default"/>
          <w:spacing w:val="-55"/>
        </w:rPr>
        <w:t> </w:t>
      </w:r>
      <w:r>
        <w:rPr/>
        <w:t>万元，占年度销售总额</w:t>
      </w:r>
      <w:r>
        <w:rPr>
          <w:spacing w:val="-53"/>
        </w:rPr>
        <w:t> </w:t>
      </w:r>
      <w:r>
        <w:rPr>
          <w:rFonts w:ascii="宋体" w:hAnsi="宋体" w:cs="宋体" w:eastAsia="宋体" w:hint="default"/>
        </w:rPr>
        <w:t>19.47</w:t>
      </w:r>
      <w:r>
        <w:rPr>
          <w:rFonts w:ascii="宋体" w:hAnsi="宋体" w:cs="宋体" w:eastAsia="宋体" w:hint="default"/>
          <w:spacing w:val="-3"/>
        </w:rPr>
        <w:t> </w:t>
      </w:r>
      <w:r>
        <w:rPr>
          <w:rFonts w:ascii="宋体" w:hAnsi="宋体" w:cs="宋体" w:eastAsia="宋体" w:hint="default"/>
        </w:rPr>
        <w:t>%</w:t>
      </w:r>
      <w:r>
        <w:rPr/>
        <w:t>。</w:t>
      </w:r>
    </w:p>
    <w:p>
      <w:pPr>
        <w:spacing w:after="0" w:line="357" w:lineRule="auto"/>
        <w:jc w:val="left"/>
        <w:sectPr>
          <w:pgSz w:w="11910" w:h="16840"/>
          <w:pgMar w:header="880" w:footer="1195" w:top="1120" w:bottom="1380" w:left="1000" w:right="480"/>
        </w:sectPr>
      </w:pPr>
    </w:p>
    <w:p>
      <w:pPr>
        <w:spacing w:line="240" w:lineRule="auto" w:before="4"/>
        <w:rPr>
          <w:rFonts w:ascii="宋体" w:hAnsi="宋体" w:cs="宋体" w:eastAsia="宋体" w:hint="default"/>
          <w:sz w:val="25"/>
          <w:szCs w:val="25"/>
        </w:rPr>
      </w:pPr>
    </w:p>
    <w:p>
      <w:pPr>
        <w:pStyle w:val="BodyText"/>
        <w:spacing w:line="357" w:lineRule="auto" w:before="36"/>
        <w:ind w:right="227" w:firstLine="419"/>
        <w:jc w:val="left"/>
      </w:pPr>
      <w:r>
        <w:rPr/>
        <w:t>前五名供应商采购额</w:t>
      </w:r>
      <w:r>
        <w:rPr>
          <w:spacing w:val="-38"/>
        </w:rPr>
        <w:t> </w:t>
      </w:r>
      <w:r>
        <w:rPr>
          <w:rFonts w:ascii="宋体" w:hAnsi="宋体" w:cs="宋体" w:eastAsia="宋体" w:hint="default"/>
        </w:rPr>
        <w:t>14,895.29</w:t>
      </w:r>
      <w:r>
        <w:rPr>
          <w:rFonts w:ascii="宋体" w:hAnsi="宋体" w:cs="宋体" w:eastAsia="宋体" w:hint="default"/>
          <w:spacing w:val="-42"/>
        </w:rPr>
        <w:t> </w:t>
      </w:r>
      <w:r>
        <w:rPr>
          <w:spacing w:val="-4"/>
        </w:rPr>
        <w:t>万元，占年度采购总额</w:t>
      </w:r>
      <w:r>
        <w:rPr>
          <w:spacing w:val="-40"/>
        </w:rPr>
        <w:t> </w:t>
      </w:r>
      <w:r>
        <w:rPr>
          <w:rFonts w:ascii="宋体" w:hAnsi="宋体" w:cs="宋体" w:eastAsia="宋体" w:hint="default"/>
          <w:spacing w:val="-3"/>
        </w:rPr>
        <w:t>11.62%</w:t>
      </w:r>
      <w:r>
        <w:rPr>
          <w:spacing w:val="-3"/>
        </w:rPr>
        <w:t>；其中前五名供应商采购额中</w:t>
      </w:r>
      <w:r>
        <w:rPr>
          <w:w w:val="100"/>
        </w:rPr>
        <w:t> </w:t>
      </w:r>
      <w:r>
        <w:rPr/>
        <w:t>关联方采购额</w:t>
      </w:r>
      <w:r>
        <w:rPr>
          <w:spacing w:val="-54"/>
        </w:rPr>
        <w:t> </w:t>
      </w:r>
      <w:r>
        <w:rPr>
          <w:rFonts w:ascii="宋体" w:hAnsi="宋体" w:cs="宋体" w:eastAsia="宋体" w:hint="default"/>
        </w:rPr>
        <w:t>0.00</w:t>
      </w:r>
      <w:r>
        <w:rPr>
          <w:rFonts w:ascii="宋体" w:hAnsi="宋体" w:cs="宋体" w:eastAsia="宋体" w:hint="default"/>
          <w:spacing w:val="-56"/>
        </w:rPr>
        <w:t> </w:t>
      </w:r>
      <w:r>
        <w:rPr/>
        <w:t>万元，占年度采购总额</w:t>
      </w:r>
      <w:r>
        <w:rPr>
          <w:spacing w:val="-54"/>
        </w:rPr>
        <w:t> </w:t>
      </w:r>
      <w:r>
        <w:rPr>
          <w:rFonts w:ascii="宋体" w:hAnsi="宋体" w:cs="宋体" w:eastAsia="宋体" w:hint="default"/>
        </w:rPr>
        <w:t>0.00%</w:t>
      </w:r>
      <w:r>
        <w:rPr/>
        <w:t>。</w:t>
      </w:r>
    </w:p>
    <w:p>
      <w:pPr>
        <w:pStyle w:val="BodyText"/>
        <w:spacing w:line="272" w:lineRule="exact" w:before="58"/>
        <w:ind w:right="8208"/>
        <w:jc w:val="left"/>
      </w:pPr>
      <w:r>
        <w:rPr/>
        <w:t>其他说明</w:t>
      </w:r>
      <w:r>
        <w:rPr>
          <w:w w:val="100"/>
        </w:rPr>
        <w:t> </w:t>
      </w:r>
      <w:r>
        <w:rPr/>
        <w:t>无</w:t>
      </w:r>
    </w:p>
    <w:p>
      <w:pPr>
        <w:pStyle w:val="Heading2"/>
        <w:tabs>
          <w:tab w:pos="637" w:val="left" w:leader="none"/>
        </w:tabs>
        <w:spacing w:line="240" w:lineRule="auto" w:before="34"/>
        <w:ind w:right="3319"/>
        <w:jc w:val="left"/>
        <w:rPr>
          <w:b w:val="0"/>
          <w:bCs w:val="0"/>
        </w:rPr>
      </w:pPr>
      <w:r>
        <w:rPr>
          <w:rFonts w:ascii="宋体" w:hAnsi="宋体" w:cs="宋体" w:eastAsia="宋体" w:hint="default"/>
          <w:w w:val="95"/>
        </w:rPr>
        <w:t>3.</w:t>
        <w:tab/>
      </w:r>
      <w:r>
        <w:rPr/>
        <w:t>费用</w:t>
      </w:r>
      <w:r>
        <w:rPr>
          <w:b w:val="0"/>
          <w:bCs w:val="0"/>
        </w:rPr>
      </w:r>
    </w:p>
    <w:p>
      <w:pPr>
        <w:pStyle w:val="BodyText"/>
        <w:spacing w:line="240" w:lineRule="auto" w:before="56"/>
        <w:ind w:right="3319"/>
        <w:jc w:val="left"/>
      </w:pPr>
      <w:r>
        <w:rPr/>
        <w:t>√适用</w:t>
      </w:r>
      <w:r>
        <w:rPr>
          <w:spacing w:val="-1"/>
        </w:rPr>
        <w:t> </w:t>
      </w:r>
      <w:r>
        <w:rPr/>
        <w:t>□不适用</w:t>
      </w:r>
    </w:p>
    <w:p>
      <w:pPr>
        <w:pStyle w:val="BodyText"/>
        <w:spacing w:line="274" w:lineRule="exact"/>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381"/>
        <w:gridCol w:w="214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277,459,386.58</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299,346,940.33</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-7.31</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87,538,845.55</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76,742,104.07</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14.07</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56,587,848.49</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51,868,736.85</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9.10</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-24,976,494.99</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-15,965,213.11</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-56.44</w:t>
            </w:r>
          </w:p>
        </w:tc>
      </w:tr>
    </w:tbl>
    <w:p>
      <w:pPr>
        <w:pStyle w:val="BodyText"/>
        <w:spacing w:line="240" w:lineRule="auto" w:before="86"/>
        <w:ind w:left="638" w:right="227"/>
        <w:jc w:val="left"/>
      </w:pPr>
      <w:r>
        <w:rPr>
          <w:spacing w:val="-2"/>
        </w:rPr>
        <w:t>报告期公司财务费用同比下降</w:t>
      </w:r>
      <w:r>
        <w:rPr>
          <w:spacing w:val="24"/>
        </w:rPr>
        <w:t> </w:t>
      </w:r>
      <w:r>
        <w:rPr>
          <w:rFonts w:ascii="宋体" w:hAnsi="宋体" w:cs="宋体" w:eastAsia="宋体" w:hint="default"/>
          <w:spacing w:val="-2"/>
        </w:rPr>
        <w:t>56.44%</w:t>
      </w:r>
      <w:r>
        <w:rPr>
          <w:spacing w:val="-2"/>
        </w:rPr>
        <w:t>，主要系公司报告期内定期存款利息收入增加所致。</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0" w:footer="1195" w:top="1120" w:bottom="1380" w:left="1580" w:right="1040"/>
        </w:sectPr>
      </w:pPr>
    </w:p>
    <w:p>
      <w:pPr>
        <w:pStyle w:val="Heading2"/>
        <w:tabs>
          <w:tab w:pos="637" w:val="left" w:leader="none"/>
        </w:tabs>
        <w:spacing w:line="290" w:lineRule="auto"/>
        <w:ind w:right="202"/>
        <w:jc w:val="left"/>
        <w:rPr>
          <w:b w:val="0"/>
          <w:bCs w:val="0"/>
        </w:rPr>
      </w:pPr>
      <w:r>
        <w:rPr>
          <w:rFonts w:ascii="宋体" w:hAnsi="宋体" w:cs="宋体" w:eastAsia="宋体" w:hint="default"/>
          <w:w w:val="95"/>
        </w:rPr>
        <w:t>4.</w:t>
        <w:tab/>
      </w:r>
      <w:r>
        <w:rPr/>
        <w:t>研发投入</w:t>
      </w:r>
      <w:r>
        <w:rPr>
          <w:w w:val="100"/>
        </w:rPr>
        <w:t> </w:t>
      </w:r>
      <w:r>
        <w:rPr/>
        <w:t>研发投入情况表</w:t>
      </w:r>
      <w:r>
        <w:rPr>
          <w:b w:val="0"/>
          <w:bCs w:val="0"/>
        </w:rPr>
      </w:r>
    </w:p>
    <w:p>
      <w:pPr>
        <w:pStyle w:val="BodyText"/>
        <w:tabs>
          <w:tab w:pos="1060" w:val="left" w:leader="none"/>
        </w:tabs>
        <w:spacing w:line="240" w:lineRule="auto" w:before="14"/>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901" w:space="6093"/>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9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56,587,848.49</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8,220,309.76</w:t>
            </w:r>
          </w:p>
        </w:tc>
      </w:tr>
      <w:tr>
        <w:trPr>
          <w:trHeight w:val="29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64,808,158.25</w:t>
            </w:r>
          </w:p>
        </w:tc>
      </w:tr>
      <w:tr>
        <w:trPr>
          <w:trHeight w:val="29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4.13</w:t>
            </w:r>
          </w:p>
        </w:tc>
      </w:tr>
      <w:tr>
        <w:trPr>
          <w:trHeight w:val="29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112</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5.85</w:t>
            </w:r>
          </w:p>
        </w:tc>
      </w:tr>
      <w:tr>
        <w:trPr>
          <w:trHeight w:val="29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12.68</w:t>
            </w:r>
          </w:p>
        </w:tc>
      </w:tr>
    </w:tbl>
    <w:p>
      <w:pPr>
        <w:spacing w:after="0" w:line="246" w:lineRule="exact"/>
        <w:jc w:val="right"/>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before="26"/>
        <w:ind w:right="0"/>
        <w:jc w:val="left"/>
        <w:rPr>
          <w:b w:val="0"/>
          <w:bCs w:val="0"/>
        </w:rPr>
      </w:pPr>
      <w:r>
        <w:rPr/>
        <w:t>情况说明</w:t>
      </w:r>
      <w:r>
        <w:rPr>
          <w:b w:val="0"/>
          <w:bCs w:val="0"/>
        </w:rPr>
      </w:r>
    </w:p>
    <w:p>
      <w:pPr>
        <w:tabs>
          <w:tab w:pos="637" w:val="left" w:leader="none"/>
        </w:tabs>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5.</w:t>
        <w:tab/>
      </w:r>
      <w:r>
        <w:rPr>
          <w:rFonts w:ascii="宋体" w:hAnsi="宋体" w:cs="宋体" w:eastAsia="宋体" w:hint="default"/>
          <w:b/>
          <w:bCs/>
          <w:sz w:val="21"/>
          <w:szCs w:val="21"/>
        </w:rPr>
        <w:t>现金流</w:t>
      </w:r>
      <w:r>
        <w:rPr>
          <w:rFonts w:ascii="宋体" w:hAnsi="宋体" w:cs="宋体" w:eastAsia="宋体" w:hint="default"/>
          <w:sz w:val="21"/>
          <w:szCs w:val="21"/>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1795" w:space="6198"/>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5"/>
        <w:gridCol w:w="1932"/>
        <w:gridCol w:w="1930"/>
        <w:gridCol w:w="1812"/>
      </w:tblGrid>
      <w:tr>
        <w:trPr>
          <w:trHeight w:val="29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3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8"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95"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226,240,861.62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213,138,551.46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z w:val="21"/>
              </w:rPr>
              <w:t>6.15</w:t>
            </w:r>
          </w:p>
        </w:tc>
      </w:tr>
      <w:tr>
        <w:trPr>
          <w:trHeight w:val="29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334,018,260.89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159,683,886.98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z w:val="21"/>
              </w:rPr>
              <w:t>109.17</w:t>
            </w:r>
          </w:p>
        </w:tc>
      </w:tr>
      <w:tr>
        <w:trPr>
          <w:trHeight w:val="295"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pacing w:val="-1"/>
                <w:sz w:val="21"/>
              </w:rPr>
              <w:t>-26,612,872.00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115,006,500.00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-123.14</w:t>
            </w:r>
          </w:p>
        </w:tc>
      </w:tr>
    </w:tbl>
    <w:p>
      <w:pPr>
        <w:pStyle w:val="BodyText"/>
        <w:spacing w:line="355" w:lineRule="auto" w:before="86"/>
        <w:ind w:right="230" w:firstLine="419"/>
        <w:jc w:val="right"/>
      </w:pPr>
      <w:r>
        <w:rPr>
          <w:spacing w:val="-2"/>
        </w:rPr>
        <w:t>投资活动产生的现金流量净额变动原因说明：报告期公司投资活动产生的现金流量净额同比</w:t>
      </w:r>
      <w:r>
        <w:rPr>
          <w:w w:val="100"/>
        </w:rPr>
        <w:t> </w:t>
      </w:r>
      <w:r>
        <w:rPr>
          <w:spacing w:val="-7"/>
          <w:w w:val="100"/>
        </w:rPr>
        <w:t>显著增加，主要系公司报告期内收到处置道有道、星程同创股权款及赎回部分银行理财产品所致。</w:t>
      </w:r>
      <w:r>
        <w:rPr>
          <w:spacing w:val="-87"/>
          <w:w w:val="100"/>
        </w:rPr>
        <w:t> </w:t>
      </w:r>
      <w:r>
        <w:rPr>
          <w:spacing w:val="-87"/>
          <w:w w:val="100"/>
        </w:rPr>
      </w:r>
      <w:r>
        <w:rPr>
          <w:spacing w:val="-2"/>
        </w:rPr>
        <w:t>筹资活动产生的现金流量净额变动原因说明：报告期公司筹资活动产生的现金流量净额同比</w:t>
      </w:r>
    </w:p>
    <w:p>
      <w:pPr>
        <w:pStyle w:val="BodyText"/>
        <w:spacing w:line="240" w:lineRule="auto" w:before="34"/>
        <w:ind w:right="3319"/>
        <w:jc w:val="left"/>
      </w:pPr>
      <w:r>
        <w:rPr/>
        <w:t>显著下降，主要系公司报告期内分配现金股利所致。</w:t>
      </w:r>
    </w:p>
    <w:p>
      <w:pPr>
        <w:spacing w:line="240" w:lineRule="auto" w:before="10"/>
        <w:rPr>
          <w:rFonts w:ascii="宋体" w:hAnsi="宋体" w:cs="宋体" w:eastAsia="宋体" w:hint="default"/>
          <w:sz w:val="14"/>
          <w:szCs w:val="14"/>
        </w:rPr>
      </w:pPr>
    </w:p>
    <w:p>
      <w:pPr>
        <w:pStyle w:val="Heading2"/>
        <w:tabs>
          <w:tab w:pos="1057" w:val="left" w:leader="none"/>
        </w:tabs>
        <w:spacing w:line="240" w:lineRule="auto" w:before="0"/>
        <w:ind w:right="331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40" w:lineRule="auto" w:before="56"/>
        <w:ind w:right="3319"/>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before="20"/>
        <w:ind w:left="6575" w:right="659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8"/>
          <w:footerReference w:type="default" r:id="rId19"/>
          <w:pgSz w:w="16840" w:h="11910" w:orient="landscape"/>
          <w:pgMar w:header="0" w:footer="0" w:top="800" w:bottom="280" w:left="1120" w:right="1200"/>
        </w:sectPr>
      </w:pPr>
    </w:p>
    <w:p>
      <w:pPr>
        <w:pStyle w:val="Heading2"/>
        <w:tabs>
          <w:tab w:pos="1160" w:val="left" w:leader="none"/>
        </w:tabs>
        <w:spacing w:line="240" w:lineRule="auto"/>
        <w:ind w:left="320"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tabs>
          <w:tab w:pos="1162" w:val="left" w:leader="none"/>
        </w:tabs>
        <w:spacing w:line="240" w:lineRule="auto" w:before="56"/>
        <w:ind w:left="320" w:right="-17"/>
        <w:jc w:val="left"/>
      </w:pPr>
      <w:r>
        <w:rPr/>
        <w:t>√适用</w:t>
        <w:tab/>
        <w:t>□不适用</w:t>
      </w:r>
    </w:p>
    <w:p>
      <w:pPr>
        <w:pStyle w:val="Heading2"/>
        <w:tabs>
          <w:tab w:pos="745" w:val="left" w:leader="none"/>
        </w:tabs>
        <w:spacing w:line="240" w:lineRule="auto" w:before="58"/>
        <w:ind w:left="320" w:right="-17"/>
        <w:jc w:val="left"/>
        <w:rPr>
          <w:b w:val="0"/>
          <w:bCs w:val="0"/>
        </w:rPr>
      </w:pPr>
      <w:r>
        <w:rPr>
          <w:rFonts w:ascii="宋体" w:hAnsi="宋体" w:cs="宋体" w:eastAsia="宋体" w:hint="default"/>
          <w:w w:val="95"/>
        </w:rPr>
        <w:t>1.</w:t>
        <w:tab/>
      </w: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320" w:right="0"/>
        <w:jc w:val="left"/>
      </w:pPr>
      <w:r>
        <w:rPr/>
        <w:t>单位：元</w:t>
      </w:r>
    </w:p>
    <w:p>
      <w:pPr>
        <w:spacing w:after="0" w:line="240" w:lineRule="auto"/>
        <w:jc w:val="left"/>
        <w:sectPr>
          <w:type w:val="continuous"/>
          <w:pgSz w:w="16840" w:h="11910" w:orient="landscape"/>
          <w:pgMar w:top="1120" w:bottom="1380" w:left="1120" w:right="1200"/>
          <w:cols w:num="2" w:equalWidth="0">
            <w:col w:w="3062" w:space="9972"/>
            <w:col w:w="148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045"/>
        <w:gridCol w:w="1685"/>
        <w:gridCol w:w="1438"/>
        <w:gridCol w:w="1699"/>
        <w:gridCol w:w="1416"/>
        <w:gridCol w:w="1510"/>
        <w:gridCol w:w="4489"/>
      </w:tblGrid>
      <w:tr>
        <w:trPr>
          <w:trHeight w:val="826"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本期期末数</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hAnsi="宋体" w:cs="宋体" w:eastAsia="宋体" w:hint="default"/>
                <w:sz w:val="21"/>
                <w:szCs w:val="21"/>
              </w:rPr>
              <w:t>本期期末数</w:t>
            </w:r>
          </w:p>
          <w:p>
            <w:pPr>
              <w:pStyle w:val="TableParagraph"/>
              <w:spacing w:line="240" w:lineRule="auto"/>
              <w:ind w:left="239" w:right="185" w:hanging="53"/>
              <w:jc w:val="left"/>
              <w:rPr>
                <w:rFonts w:ascii="宋体" w:hAnsi="宋体" w:cs="宋体" w:eastAsia="宋体" w:hint="default"/>
                <w:sz w:val="21"/>
                <w:szCs w:val="21"/>
              </w:rPr>
            </w:pP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hAnsi="宋体" w:cs="宋体" w:eastAsia="宋体" w:hint="default"/>
                <w:sz w:val="21"/>
                <w:szCs w:val="21"/>
              </w:rPr>
              <w:t>上期期末数</w:t>
            </w:r>
          </w:p>
          <w:p>
            <w:pPr>
              <w:pStyle w:val="TableParagraph"/>
              <w:spacing w:line="240" w:lineRule="auto"/>
              <w:ind w:left="230" w:right="173" w:hanging="53"/>
              <w:jc w:val="left"/>
              <w:rPr>
                <w:rFonts w:ascii="宋体" w:hAnsi="宋体" w:cs="宋体" w:eastAsia="宋体" w:hint="default"/>
                <w:sz w:val="21"/>
                <w:szCs w:val="21"/>
              </w:rPr>
            </w:pPr>
            <w:r>
              <w:rPr>
                <w:rFonts w:ascii="宋体" w:hAnsi="宋体" w:cs="宋体" w:eastAsia="宋体" w:hint="default"/>
                <w:sz w:val="21"/>
                <w:szCs w:val="21"/>
              </w:rPr>
              <w:t>占总资产的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本期期末金额</w:t>
            </w:r>
          </w:p>
          <w:p>
            <w:pPr>
              <w:pStyle w:val="TableParagraph"/>
              <w:spacing w:line="240" w:lineRule="auto"/>
              <w:ind w:left="170" w:right="117" w:hanging="53"/>
              <w:jc w:val="left"/>
              <w:rPr>
                <w:rFonts w:ascii="宋体" w:hAnsi="宋体" w:cs="宋体" w:eastAsia="宋体" w:hint="default"/>
                <w:sz w:val="21"/>
                <w:szCs w:val="21"/>
              </w:rPr>
            </w:pPr>
            <w:r>
              <w:rPr>
                <w:rFonts w:ascii="宋体" w:hAnsi="宋体" w:cs="宋体" w:eastAsia="宋体" w:hint="default"/>
                <w:sz w:val="21"/>
                <w:szCs w:val="21"/>
              </w:rPr>
              <w:t>较上期期末变</w:t>
            </w:r>
            <w:r>
              <w:rPr>
                <w:rFonts w:ascii="宋体" w:hAnsi="宋体" w:cs="宋体" w:eastAsia="宋体" w:hint="default"/>
                <w:w w:val="100"/>
                <w:sz w:val="21"/>
                <w:szCs w:val="21"/>
              </w:rPr>
              <w:t> </w:t>
            </w:r>
            <w:r>
              <w:rPr>
                <w:rFonts w:ascii="宋体" w:hAnsi="宋体" w:cs="宋体" w:eastAsia="宋体" w:hint="default"/>
                <w:sz w:val="21"/>
                <w:szCs w:val="21"/>
              </w:rPr>
              <w:t>动比例（</w:t>
            </w:r>
            <w:r>
              <w:rPr>
                <w:rFonts w:ascii="宋体" w:hAnsi="宋体" w:cs="宋体" w:eastAsia="宋体" w:hint="default"/>
                <w:sz w:val="21"/>
                <w:szCs w:val="21"/>
              </w:rPr>
              <w:t>%</w:t>
            </w:r>
            <w:r>
              <w:rPr>
                <w:rFonts w:ascii="宋体" w:hAnsi="宋体" w:cs="宋体" w:eastAsia="宋体" w:hint="default"/>
                <w:sz w:val="21"/>
                <w:szCs w:val="21"/>
              </w:rPr>
              <w:t>）</w:t>
            </w:r>
          </w:p>
        </w:tc>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283"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72,293,390.56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1.83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51,764,394.13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1"/>
              <w:jc w:val="right"/>
              <w:rPr>
                <w:rFonts w:ascii="宋体" w:hAnsi="宋体" w:cs="宋体" w:eastAsia="宋体" w:hint="default"/>
                <w:sz w:val="21"/>
                <w:szCs w:val="21"/>
              </w:rPr>
            </w:pPr>
            <w:r>
              <w:rPr>
                <w:rFonts w:ascii="宋体"/>
                <w:sz w:val="21"/>
              </w:rPr>
              <w:t>1.38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5"/>
              <w:jc w:val="right"/>
              <w:rPr>
                <w:rFonts w:ascii="宋体" w:hAnsi="宋体" w:cs="宋体" w:eastAsia="宋体" w:hint="default"/>
                <w:sz w:val="21"/>
                <w:szCs w:val="21"/>
              </w:rPr>
            </w:pPr>
            <w:r>
              <w:rPr>
                <w:rFonts w:ascii="宋体"/>
                <w:sz w:val="21"/>
              </w:rPr>
              <w:t>39.66</w:t>
            </w:r>
          </w:p>
        </w:tc>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主要系公司部分业务需预付款项所致</w:t>
            </w:r>
          </w:p>
        </w:tc>
      </w:tr>
      <w:tr>
        <w:trPr>
          <w:trHeight w:val="283"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21,979,414.85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0.56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53,749,740.44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1"/>
              <w:jc w:val="right"/>
              <w:rPr>
                <w:rFonts w:ascii="宋体" w:hAnsi="宋体" w:cs="宋体" w:eastAsia="宋体" w:hint="default"/>
                <w:sz w:val="21"/>
                <w:szCs w:val="21"/>
              </w:rPr>
            </w:pPr>
            <w:r>
              <w:rPr>
                <w:rFonts w:ascii="宋体"/>
                <w:sz w:val="21"/>
              </w:rPr>
              <w:t>1.43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2"/>
              <w:jc w:val="right"/>
              <w:rPr>
                <w:rFonts w:ascii="宋体" w:hAnsi="宋体" w:cs="宋体" w:eastAsia="宋体" w:hint="default"/>
                <w:sz w:val="21"/>
                <w:szCs w:val="21"/>
              </w:rPr>
            </w:pPr>
            <w:r>
              <w:rPr>
                <w:rFonts w:ascii="宋体"/>
                <w:sz w:val="21"/>
              </w:rPr>
              <w:t>-59.11</w:t>
            </w:r>
          </w:p>
        </w:tc>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主要系公司收回星程同创股权转让款所致</w:t>
            </w:r>
          </w:p>
        </w:tc>
      </w:tr>
      <w:tr>
        <w:trPr>
          <w:trHeight w:val="281"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89,817,371.24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2.27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194,340,296.14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1"/>
              <w:jc w:val="right"/>
              <w:rPr>
                <w:rFonts w:ascii="宋体" w:hAnsi="宋体" w:cs="宋体" w:eastAsia="宋体" w:hint="default"/>
                <w:sz w:val="21"/>
                <w:szCs w:val="21"/>
              </w:rPr>
            </w:pPr>
            <w:r>
              <w:rPr>
                <w:rFonts w:ascii="宋体"/>
                <w:sz w:val="21"/>
              </w:rPr>
              <w:t>5.17</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2"/>
              <w:jc w:val="right"/>
              <w:rPr>
                <w:rFonts w:ascii="宋体" w:hAnsi="宋体" w:cs="宋体" w:eastAsia="宋体" w:hint="default"/>
                <w:sz w:val="21"/>
                <w:szCs w:val="21"/>
              </w:rPr>
            </w:pPr>
            <w:r>
              <w:rPr>
                <w:rFonts w:ascii="宋体"/>
                <w:sz w:val="21"/>
              </w:rPr>
              <w:t>-53.78</w:t>
            </w:r>
          </w:p>
        </w:tc>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主要系公司报告期内处置道有道股权所致</w:t>
            </w:r>
          </w:p>
        </w:tc>
      </w:tr>
      <w:tr>
        <w:trPr>
          <w:trHeight w:val="828"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299,703,035.40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7.57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184,494,818.09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91"/>
              <w:jc w:val="right"/>
              <w:rPr>
                <w:rFonts w:ascii="宋体" w:hAnsi="宋体" w:cs="宋体" w:eastAsia="宋体" w:hint="default"/>
                <w:sz w:val="21"/>
                <w:szCs w:val="21"/>
              </w:rPr>
            </w:pPr>
            <w:r>
              <w:rPr>
                <w:rFonts w:ascii="宋体"/>
                <w:sz w:val="21"/>
              </w:rPr>
              <w:t>4.91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85"/>
              <w:jc w:val="right"/>
              <w:rPr>
                <w:rFonts w:ascii="宋体" w:hAnsi="宋体" w:cs="宋体" w:eastAsia="宋体" w:hint="default"/>
                <w:sz w:val="21"/>
                <w:szCs w:val="21"/>
              </w:rPr>
            </w:pPr>
            <w:r>
              <w:rPr>
                <w:rFonts w:ascii="宋体"/>
                <w:sz w:val="21"/>
              </w:rPr>
              <w:t>62.45</w:t>
            </w:r>
          </w:p>
        </w:tc>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主要系公司报告期内加大技术投入与研发力</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pacing w:val="2"/>
                <w:sz w:val="21"/>
                <w:szCs w:val="21"/>
              </w:rPr>
              <w:t>度，增加设备投入以及在建工程结项转固定资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产所致</w:t>
            </w:r>
          </w:p>
        </w:tc>
      </w:tr>
      <w:tr>
        <w:trPr>
          <w:trHeight w:val="826"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9" w:right="0"/>
              <w:jc w:val="center"/>
              <w:rPr>
                <w:rFonts w:ascii="宋体" w:hAnsi="宋体" w:cs="宋体" w:eastAsia="宋体" w:hint="default"/>
                <w:sz w:val="21"/>
                <w:szCs w:val="21"/>
              </w:rPr>
            </w:pPr>
            <w:r>
              <w:rPr>
                <w:rFonts w:ascii="宋体"/>
                <w:sz w:val="21"/>
              </w:rPr>
              <w:t>12,413,821.06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0.31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7,460,793.66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91"/>
              <w:jc w:val="right"/>
              <w:rPr>
                <w:rFonts w:ascii="宋体" w:hAnsi="宋体" w:cs="宋体" w:eastAsia="宋体" w:hint="default"/>
                <w:sz w:val="21"/>
                <w:szCs w:val="21"/>
              </w:rPr>
            </w:pPr>
            <w:r>
              <w:rPr>
                <w:rFonts w:ascii="宋体"/>
                <w:sz w:val="21"/>
              </w:rPr>
              <w:t>0.20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85"/>
              <w:jc w:val="right"/>
              <w:rPr>
                <w:rFonts w:ascii="宋体" w:hAnsi="宋体" w:cs="宋体" w:eastAsia="宋体" w:hint="default"/>
                <w:sz w:val="21"/>
                <w:szCs w:val="21"/>
              </w:rPr>
            </w:pPr>
            <w:r>
              <w:rPr>
                <w:rFonts w:ascii="宋体"/>
                <w:sz w:val="21"/>
              </w:rPr>
              <w:t>66.39</w:t>
            </w:r>
          </w:p>
        </w:tc>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主要系公司报告期内自主研发的产品预期功能</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2"/>
                <w:sz w:val="21"/>
                <w:szCs w:val="21"/>
              </w:rPr>
              <w:t>得以实现且在公司业务中得到实际应用，开发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支出资本化，形成无形资产所致</w:t>
            </w:r>
          </w:p>
        </w:tc>
      </w:tr>
      <w:tr>
        <w:trPr>
          <w:trHeight w:val="554"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9" w:right="0"/>
              <w:jc w:val="center"/>
              <w:rPr>
                <w:rFonts w:ascii="宋体" w:hAnsi="宋体" w:cs="宋体" w:eastAsia="宋体" w:hint="default"/>
                <w:sz w:val="21"/>
                <w:szCs w:val="21"/>
              </w:rPr>
            </w:pPr>
            <w:r>
              <w:rPr>
                <w:rFonts w:ascii="宋体"/>
                <w:sz w:val="21"/>
              </w:rPr>
              <w:t>41,405,870.83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7,323,226.68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1"/>
              <w:jc w:val="right"/>
              <w:rPr>
                <w:rFonts w:ascii="宋体" w:hAnsi="宋体" w:cs="宋体" w:eastAsia="宋体" w:hint="default"/>
                <w:sz w:val="21"/>
                <w:szCs w:val="21"/>
              </w:rPr>
            </w:pPr>
            <w:r>
              <w:rPr>
                <w:rFonts w:ascii="宋体"/>
                <w:sz w:val="21"/>
              </w:rPr>
              <w:t>0.19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2"/>
              <w:jc w:val="right"/>
              <w:rPr>
                <w:rFonts w:ascii="宋体" w:hAnsi="宋体" w:cs="宋体" w:eastAsia="宋体" w:hint="default"/>
                <w:sz w:val="21"/>
                <w:szCs w:val="21"/>
              </w:rPr>
            </w:pPr>
            <w:r>
              <w:rPr>
                <w:rFonts w:ascii="宋体"/>
                <w:sz w:val="21"/>
              </w:rPr>
              <w:t>465.40</w:t>
            </w:r>
          </w:p>
        </w:tc>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主要系公司预付亿连科技少数股东部分股权转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让款所致</w:t>
            </w:r>
          </w:p>
        </w:tc>
      </w:tr>
      <w:tr>
        <w:trPr>
          <w:trHeight w:val="557"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应付票据及应付账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178,007,402.89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4.50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123,362,934.80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1"/>
              <w:jc w:val="right"/>
              <w:rPr>
                <w:rFonts w:ascii="宋体" w:hAnsi="宋体" w:cs="宋体" w:eastAsia="宋体" w:hint="default"/>
                <w:sz w:val="21"/>
                <w:szCs w:val="21"/>
              </w:rPr>
            </w:pPr>
            <w:r>
              <w:rPr>
                <w:rFonts w:ascii="宋体"/>
                <w:sz w:val="21"/>
              </w:rPr>
              <w:t>3.28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85"/>
              <w:jc w:val="right"/>
              <w:rPr>
                <w:rFonts w:ascii="宋体" w:hAnsi="宋体" w:cs="宋体" w:eastAsia="宋体" w:hint="default"/>
                <w:sz w:val="21"/>
                <w:szCs w:val="21"/>
              </w:rPr>
            </w:pPr>
            <w:r>
              <w:rPr>
                <w:rFonts w:ascii="宋体"/>
                <w:sz w:val="21"/>
              </w:rPr>
              <w:t>44.30</w:t>
            </w:r>
          </w:p>
        </w:tc>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主要系公司报告期末应付代理费及业务成本增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加所致</w:t>
            </w:r>
          </w:p>
        </w:tc>
      </w:tr>
      <w:tr>
        <w:trPr>
          <w:trHeight w:val="281"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20,914,405.38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0.53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15,378,562.28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1"/>
              <w:jc w:val="right"/>
              <w:rPr>
                <w:rFonts w:ascii="宋体" w:hAnsi="宋体" w:cs="宋体" w:eastAsia="宋体" w:hint="default"/>
                <w:sz w:val="21"/>
                <w:szCs w:val="21"/>
              </w:rPr>
            </w:pPr>
            <w:r>
              <w:rPr>
                <w:rFonts w:ascii="宋体"/>
                <w:sz w:val="21"/>
              </w:rPr>
              <w:t>0.41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5"/>
              <w:jc w:val="right"/>
              <w:rPr>
                <w:rFonts w:ascii="宋体" w:hAnsi="宋体" w:cs="宋体" w:eastAsia="宋体" w:hint="default"/>
                <w:sz w:val="21"/>
                <w:szCs w:val="21"/>
              </w:rPr>
            </w:pPr>
            <w:r>
              <w:rPr>
                <w:rFonts w:ascii="宋体"/>
                <w:sz w:val="21"/>
              </w:rPr>
              <w:t>36.00</w:t>
            </w:r>
          </w:p>
        </w:tc>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主要系公司应付专项经费增加所致</w:t>
            </w:r>
          </w:p>
        </w:tc>
      </w:tr>
      <w:tr>
        <w:trPr>
          <w:trHeight w:val="283" w:hRule="exac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236,526,395.99</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5.98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147,093,824.18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1"/>
              <w:jc w:val="right"/>
              <w:rPr>
                <w:rFonts w:ascii="宋体" w:hAnsi="宋体" w:cs="宋体" w:eastAsia="宋体" w:hint="default"/>
                <w:sz w:val="21"/>
                <w:szCs w:val="21"/>
              </w:rPr>
            </w:pPr>
            <w:r>
              <w:rPr>
                <w:rFonts w:ascii="宋体"/>
                <w:sz w:val="21"/>
              </w:rPr>
              <w:t>3.91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5"/>
              <w:jc w:val="right"/>
              <w:rPr>
                <w:rFonts w:ascii="宋体" w:hAnsi="宋体" w:cs="宋体" w:eastAsia="宋体" w:hint="default"/>
                <w:sz w:val="21"/>
                <w:szCs w:val="21"/>
              </w:rPr>
            </w:pPr>
            <w:r>
              <w:rPr>
                <w:rFonts w:ascii="宋体"/>
                <w:sz w:val="21"/>
              </w:rPr>
              <w:t>60.80</w:t>
            </w:r>
          </w:p>
        </w:tc>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主要系公司报告期新增政府补助款所致</w:t>
            </w:r>
          </w:p>
        </w:tc>
      </w:tr>
    </w:tbl>
    <w:p>
      <w:pPr>
        <w:spacing w:line="240" w:lineRule="auto" w:before="7"/>
        <w:rPr>
          <w:rFonts w:ascii="宋体" w:hAnsi="宋体" w:cs="宋体" w:eastAsia="宋体" w:hint="default"/>
          <w:sz w:val="15"/>
          <w:szCs w:val="15"/>
        </w:rPr>
      </w:pPr>
    </w:p>
    <w:p>
      <w:pPr>
        <w:pStyle w:val="BodyText"/>
        <w:spacing w:line="272" w:lineRule="exact" w:before="64"/>
        <w:ind w:left="320" w:right="13338"/>
        <w:jc w:val="left"/>
      </w:pPr>
      <w:r>
        <w:rPr/>
        <w:t>其他说明</w:t>
      </w:r>
      <w:r>
        <w:rPr>
          <w:w w:val="100"/>
        </w:rPr>
        <w:t> </w:t>
      </w: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63"/>
        <w:ind w:left="6575" w:right="6579" w:firstLine="0"/>
        <w:jc w:val="center"/>
        <w:rPr>
          <w:rFonts w:ascii="Calibri" w:hAnsi="Calibri" w:cs="Calibri" w:eastAsia="Calibri" w:hint="default"/>
          <w:sz w:val="18"/>
          <w:szCs w:val="18"/>
        </w:rPr>
      </w:pPr>
      <w:r>
        <w:rPr>
          <w:rFonts w:ascii="Calibri"/>
          <w:b/>
          <w:sz w:val="18"/>
        </w:rPr>
        <w:t>19 </w:t>
      </w:r>
      <w:r>
        <w:rPr>
          <w:rFonts w:ascii="Calibri"/>
          <w:sz w:val="18"/>
        </w:rPr>
        <w:t>/</w:t>
      </w:r>
      <w:r>
        <w:rPr>
          <w:rFonts w:ascii="Calibri"/>
          <w:spacing w:val="-4"/>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120" w:right="120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2"/>
        <w:tabs>
          <w:tab w:pos="562" w:val="left" w:leader="none"/>
        </w:tabs>
        <w:spacing w:line="240" w:lineRule="auto" w:before="0"/>
        <w:ind w:left="138" w:right="212"/>
        <w:jc w:val="left"/>
        <w:rPr>
          <w:b w:val="0"/>
          <w:bCs w:val="0"/>
        </w:rPr>
      </w:pPr>
      <w:r>
        <w:rPr>
          <w:rFonts w:ascii="宋体" w:hAnsi="宋体" w:cs="宋体" w:eastAsia="宋体" w:hint="default"/>
          <w:w w:val="95"/>
        </w:rPr>
        <w:t>2.</w:t>
        <w:tab/>
      </w:r>
      <w:r>
        <w:rPr/>
        <w:t>截至报告期末主要资产受限情况</w:t>
      </w:r>
      <w:r>
        <w:rPr>
          <w:b w:val="0"/>
          <w:bCs w:val="0"/>
        </w:rPr>
      </w:r>
    </w:p>
    <w:p>
      <w:pPr>
        <w:pStyle w:val="BodyText"/>
        <w:tabs>
          <w:tab w:pos="980" w:val="left" w:leader="none"/>
        </w:tabs>
        <w:spacing w:line="240" w:lineRule="auto" w:before="58"/>
        <w:ind w:left="138" w:right="212"/>
        <w:jc w:val="left"/>
      </w:pPr>
      <w:r>
        <w:rPr>
          <w:spacing w:val="-1"/>
        </w:rPr>
        <w:t>√适用</w:t>
        <w:tab/>
      </w:r>
      <w:r>
        <w:rPr>
          <w:spacing w:val="-2"/>
        </w:rPr>
        <w:t>□不适用</w:t>
      </w:r>
    </w:p>
    <w:p>
      <w:pPr>
        <w:pStyle w:val="BodyText"/>
        <w:spacing w:line="240" w:lineRule="auto" w:before="116"/>
        <w:ind w:left="558" w:right="212"/>
        <w:jc w:val="left"/>
      </w:pPr>
      <w:r>
        <w:rPr/>
        <w:t>具有明确持有至到期意图的定期存款</w:t>
      </w:r>
      <w:r>
        <w:rPr>
          <w:spacing w:val="-55"/>
        </w:rPr>
        <w:t> </w:t>
      </w:r>
      <w:r>
        <w:rPr>
          <w:rFonts w:ascii="宋体" w:hAnsi="宋体" w:cs="宋体" w:eastAsia="宋体" w:hint="default"/>
        </w:rPr>
        <w:t>290,154,000.00</w:t>
      </w:r>
      <w:r>
        <w:rPr>
          <w:rFonts w:ascii="宋体" w:hAnsi="宋体" w:cs="宋体" w:eastAsia="宋体" w:hint="default"/>
          <w:spacing w:val="-55"/>
        </w:rPr>
        <w:t> </w:t>
      </w:r>
      <w:r>
        <w:rPr>
          <w:spacing w:val="-3"/>
        </w:rPr>
        <w:t>元。</w:t>
      </w:r>
      <w:r>
        <w:rPr/>
      </w:r>
    </w:p>
    <w:p>
      <w:pPr>
        <w:spacing w:line="240" w:lineRule="auto" w:before="12"/>
        <w:rPr>
          <w:rFonts w:ascii="宋体" w:hAnsi="宋体" w:cs="宋体" w:eastAsia="宋体" w:hint="default"/>
          <w:sz w:val="14"/>
          <w:szCs w:val="14"/>
        </w:rPr>
      </w:pPr>
    </w:p>
    <w:p>
      <w:pPr>
        <w:pStyle w:val="Heading2"/>
        <w:tabs>
          <w:tab w:pos="562" w:val="left" w:leader="none"/>
        </w:tabs>
        <w:spacing w:line="240" w:lineRule="auto" w:before="0"/>
        <w:ind w:left="138" w:right="212"/>
        <w:jc w:val="left"/>
        <w:rPr>
          <w:b w:val="0"/>
          <w:bCs w:val="0"/>
        </w:rPr>
      </w:pPr>
      <w:r>
        <w:rPr>
          <w:rFonts w:ascii="宋体" w:hAnsi="宋体" w:cs="宋体" w:eastAsia="宋体" w:hint="default"/>
          <w:w w:val="95"/>
        </w:rPr>
        <w:t>3.</w:t>
        <w:tab/>
      </w:r>
      <w:r>
        <w:rPr/>
        <w:t>其他说明</w:t>
      </w:r>
      <w:r>
        <w:rPr>
          <w:b w:val="0"/>
          <w:bCs w:val="0"/>
        </w:rPr>
      </w:r>
    </w:p>
    <w:p>
      <w:pPr>
        <w:pStyle w:val="BodyText"/>
        <w:tabs>
          <w:tab w:pos="980" w:val="left" w:leader="none"/>
        </w:tabs>
        <w:spacing w:line="240" w:lineRule="auto" w:before="56"/>
        <w:ind w:left="138" w:right="212"/>
        <w:jc w:val="left"/>
      </w:pPr>
      <w:r>
        <w:rPr>
          <w:spacing w:val="-1"/>
        </w:rPr>
        <w:t>□适用</w:t>
        <w:tab/>
      </w:r>
      <w:r>
        <w:rPr>
          <w:spacing w:val="-2"/>
        </w:rPr>
        <w:t>√不适用</w:t>
      </w:r>
    </w:p>
    <w:p>
      <w:pPr>
        <w:pStyle w:val="Heading2"/>
        <w:tabs>
          <w:tab w:pos="977" w:val="left" w:leader="none"/>
        </w:tabs>
        <w:spacing w:line="240" w:lineRule="auto" w:before="58"/>
        <w:ind w:left="138" w:right="212"/>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pStyle w:val="BodyText"/>
        <w:tabs>
          <w:tab w:pos="980" w:val="left" w:leader="none"/>
        </w:tabs>
        <w:spacing w:line="340" w:lineRule="auto" w:before="56"/>
        <w:ind w:left="558" w:right="212" w:hanging="420"/>
        <w:jc w:val="left"/>
      </w:pPr>
      <w:r>
        <w:rPr>
          <w:spacing w:val="-1"/>
        </w:rPr>
        <w:t>√适用</w:t>
        <w:tab/>
      </w:r>
      <w:r>
        <w:rPr>
          <w:spacing w:val="-2"/>
        </w:rPr>
        <w:t>□不适用</w:t>
      </w:r>
      <w:r>
        <w:rPr>
          <w:spacing w:val="-99"/>
        </w:rPr>
        <w:t> </w:t>
      </w:r>
      <w:r>
        <w:rPr>
          <w:spacing w:val="-99"/>
        </w:rPr>
      </w:r>
      <w:r>
        <w:rPr>
          <w:spacing w:val="-2"/>
        </w:rPr>
        <w:t>根据证监会上市公司行业分类结果，公司属于信息传输、软件和信息技术服务业下的互联网</w:t>
      </w:r>
    </w:p>
    <w:p>
      <w:pPr>
        <w:pStyle w:val="BodyText"/>
        <w:spacing w:line="357" w:lineRule="auto" w:before="47"/>
        <w:ind w:left="138" w:right="104"/>
        <w:jc w:val="left"/>
      </w:pPr>
      <w:r>
        <w:rPr>
          <w:spacing w:val="-5"/>
        </w:rPr>
        <w:t>和相关服务大类（</w:t>
      </w:r>
      <w:r>
        <w:rPr>
          <w:rFonts w:ascii="宋体" w:hAnsi="宋体" w:cs="宋体" w:eastAsia="宋体" w:hint="default"/>
          <w:spacing w:val="-5"/>
        </w:rPr>
        <w:t>I64</w:t>
      </w:r>
      <w:r>
        <w:rPr>
          <w:spacing w:val="-5"/>
        </w:rPr>
        <w:t>）。具体行业经营性分析详见报告“第三节</w:t>
      </w:r>
      <w:r>
        <w:rPr>
          <w:spacing w:val="22"/>
        </w:rPr>
        <w:t> </w:t>
      </w:r>
      <w:r>
        <w:rPr/>
        <w:t>公司业务概要”及“第四节</w:t>
      </w:r>
      <w:r>
        <w:rPr>
          <w:spacing w:val="22"/>
        </w:rPr>
        <w:t> </w:t>
      </w:r>
      <w:r>
        <w:rPr/>
        <w:t>经</w:t>
      </w:r>
      <w:r>
        <w:rPr>
          <w:spacing w:val="-101"/>
        </w:rPr>
        <w:t> </w:t>
      </w:r>
      <w:r>
        <w:rPr>
          <w:spacing w:val="-101"/>
        </w:rPr>
      </w:r>
      <w:r>
        <w:rPr/>
        <w:t>营情况讨论与分析”中相关描述。</w:t>
      </w:r>
    </w:p>
    <w:p>
      <w:pPr>
        <w:pStyle w:val="Heading2"/>
        <w:tabs>
          <w:tab w:pos="977" w:val="left" w:leader="none"/>
        </w:tabs>
        <w:spacing w:line="240" w:lineRule="auto" w:before="90"/>
        <w:ind w:left="138" w:right="212"/>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before="58"/>
        <w:ind w:left="138" w:right="212"/>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343" w:lineRule="auto" w:before="56"/>
        <w:ind w:left="558" w:right="212" w:hanging="420"/>
        <w:jc w:val="left"/>
      </w:pPr>
      <w:r>
        <w:rPr/>
        <w:t>√适用</w:t>
      </w:r>
      <w:r>
        <w:rPr>
          <w:spacing w:val="-2"/>
        </w:rPr>
        <w:t> </w:t>
      </w:r>
      <w:r>
        <w:rPr/>
        <w:t>□不适用</w:t>
      </w:r>
      <w:r>
        <w:rPr>
          <w:w w:val="100"/>
        </w:rPr>
        <w:t> </w:t>
      </w:r>
      <w:r>
        <w:rPr>
          <w:spacing w:val="-2"/>
        </w:rPr>
        <w:t>关于本公司报告期内对外股权投资情况，请参见本报告“第十一节、财务报告之长期股权投</w:t>
      </w:r>
    </w:p>
    <w:p>
      <w:pPr>
        <w:pStyle w:val="BodyText"/>
        <w:spacing w:line="240" w:lineRule="auto" w:before="43"/>
        <w:ind w:left="138" w:right="212"/>
        <w:jc w:val="left"/>
      </w:pPr>
      <w:r>
        <w:rPr/>
        <w:t>资”。</w:t>
      </w:r>
    </w:p>
    <w:p>
      <w:pPr>
        <w:spacing w:line="240" w:lineRule="auto" w:before="10"/>
        <w:rPr>
          <w:rFonts w:ascii="宋体" w:hAnsi="宋体" w:cs="宋体" w:eastAsia="宋体" w:hint="default"/>
          <w:sz w:val="14"/>
          <w:szCs w:val="14"/>
        </w:rPr>
      </w:pPr>
    </w:p>
    <w:p>
      <w:pPr>
        <w:pStyle w:val="Heading2"/>
        <w:spacing w:line="240" w:lineRule="auto" w:before="0"/>
        <w:ind w:left="138" w:right="212"/>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980" w:val="left" w:leader="none"/>
        </w:tabs>
        <w:spacing w:line="274" w:lineRule="exact" w:before="56"/>
        <w:ind w:left="138" w:right="212"/>
        <w:jc w:val="left"/>
      </w:pPr>
      <w:r>
        <w:rPr>
          <w:spacing w:val="-1"/>
        </w:rPr>
        <w:t>√适用</w:t>
        <w:tab/>
      </w:r>
      <w:r>
        <w:rPr>
          <w:spacing w:val="-2"/>
        </w:rPr>
        <w:t>□不适用</w:t>
      </w:r>
    </w:p>
    <w:p>
      <w:pPr>
        <w:pStyle w:val="BodyText"/>
        <w:spacing w:line="274" w:lineRule="exact"/>
        <w:ind w:left="558" w:right="104"/>
        <w:jc w:val="left"/>
      </w:pPr>
      <w:r>
        <w:rPr/>
        <w:t>公司于</w:t>
      </w:r>
      <w:r>
        <w:rPr>
          <w:spacing w:val="-47"/>
        </w:rPr>
        <w:t> </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4</w:t>
      </w:r>
      <w:r>
        <w:rPr>
          <w:rFonts w:ascii="宋体" w:hAnsi="宋体" w:cs="宋体" w:eastAsia="宋体" w:hint="default"/>
          <w:spacing w:val="-46"/>
        </w:rPr>
        <w:t> </w:t>
      </w:r>
      <w:r>
        <w:rPr/>
        <w:t>月</w:t>
      </w:r>
      <w:r>
        <w:rPr>
          <w:spacing w:val="-47"/>
        </w:rPr>
        <w:t> </w:t>
      </w:r>
      <w:r>
        <w:rPr>
          <w:rFonts w:ascii="宋体" w:hAnsi="宋体" w:cs="宋体" w:eastAsia="宋体" w:hint="default"/>
        </w:rPr>
        <w:t>11</w:t>
      </w:r>
      <w:r>
        <w:rPr>
          <w:rFonts w:ascii="宋体" w:hAnsi="宋体" w:cs="宋体" w:eastAsia="宋体" w:hint="default"/>
          <w:spacing w:val="-49"/>
        </w:rPr>
        <w:t> </w:t>
      </w:r>
      <w:r>
        <w:rPr/>
        <w:t>日、</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5</w:t>
      </w:r>
      <w:r>
        <w:rPr>
          <w:rFonts w:ascii="宋体" w:hAnsi="宋体" w:cs="宋体" w:eastAsia="宋体" w:hint="default"/>
          <w:spacing w:val="-47"/>
        </w:rPr>
        <w:t> </w:t>
      </w:r>
      <w:r>
        <w:rPr/>
        <w:t>月</w:t>
      </w:r>
      <w:r>
        <w:rPr>
          <w:spacing w:val="-49"/>
        </w:rPr>
        <w:t> </w:t>
      </w:r>
      <w:r>
        <w:rPr>
          <w:rFonts w:ascii="宋体" w:hAnsi="宋体" w:cs="宋体" w:eastAsia="宋体" w:hint="default"/>
        </w:rPr>
        <w:t>11</w:t>
      </w:r>
      <w:r>
        <w:rPr>
          <w:rFonts w:ascii="宋体" w:hAnsi="宋体" w:cs="宋体" w:eastAsia="宋体" w:hint="default"/>
          <w:spacing w:val="-47"/>
        </w:rPr>
        <w:t> </w:t>
      </w:r>
      <w:r>
        <w:rPr/>
        <w:t>日召开的第二届董事会第十九次（临时）会议以</w:t>
      </w:r>
    </w:p>
    <w:p>
      <w:pPr>
        <w:pStyle w:val="BodyText"/>
        <w:spacing w:line="355" w:lineRule="auto" w:before="133"/>
        <w:ind w:left="558" w:right="104" w:hanging="420"/>
        <w:jc w:val="left"/>
      </w:pPr>
      <w:r>
        <w:rPr/>
        <w:t>及</w:t>
      </w:r>
      <w:r>
        <w:rPr>
          <w:spacing w:val="-53"/>
        </w:rPr>
        <w:t> </w:t>
      </w:r>
      <w:r>
        <w:rPr>
          <w:rFonts w:ascii="宋体" w:hAnsi="宋体" w:cs="宋体" w:eastAsia="宋体" w:hint="default"/>
        </w:rPr>
        <w:t>2016</w:t>
      </w:r>
      <w:r>
        <w:rPr>
          <w:rFonts w:ascii="宋体" w:hAnsi="宋体" w:cs="宋体" w:eastAsia="宋体" w:hint="default"/>
          <w:spacing w:val="-53"/>
        </w:rPr>
        <w:t> </w:t>
      </w:r>
      <w:r>
        <w:rPr/>
        <w:t>年年度股东大会审议通过了《关于公司对外投资参股设立合资公司暨关联交易的议案》。</w:t>
      </w:r>
      <w:r>
        <w:rPr>
          <w:w w:val="100"/>
        </w:rPr>
        <w:t> </w:t>
      </w:r>
      <w:r>
        <w:rPr/>
        <w:t>新华网、新媒文化、中经社、阿里以及数问云共同设立新华智云科技有限公司，新华智云科</w:t>
      </w:r>
    </w:p>
    <w:p>
      <w:pPr>
        <w:pStyle w:val="BodyText"/>
        <w:spacing w:line="240" w:lineRule="auto" w:before="34"/>
        <w:ind w:left="138" w:right="104"/>
        <w:jc w:val="left"/>
      </w:pPr>
      <w:r>
        <w:rPr/>
        <w:t>技有限公司的注册资本为人民币</w:t>
      </w:r>
      <w:r>
        <w:rPr>
          <w:spacing w:val="-46"/>
        </w:rPr>
        <w:t> </w:t>
      </w:r>
      <w:r>
        <w:rPr>
          <w:rFonts w:ascii="宋体" w:hAnsi="宋体" w:cs="宋体" w:eastAsia="宋体" w:hint="default"/>
        </w:rPr>
        <w:t>49,019.6079</w:t>
      </w:r>
      <w:r>
        <w:rPr>
          <w:rFonts w:ascii="宋体" w:hAnsi="宋体" w:cs="宋体" w:eastAsia="宋体" w:hint="default"/>
          <w:spacing w:val="-48"/>
        </w:rPr>
        <w:t> </w:t>
      </w:r>
      <w:r>
        <w:rPr>
          <w:spacing w:val="-5"/>
        </w:rPr>
        <w:t>万元，其中新华网认缴出资人民币</w:t>
      </w:r>
      <w:r>
        <w:rPr>
          <w:spacing w:val="-45"/>
        </w:rPr>
        <w:t> </w:t>
      </w:r>
      <w:r>
        <w:rPr>
          <w:rFonts w:ascii="宋体" w:hAnsi="宋体" w:cs="宋体" w:eastAsia="宋体" w:hint="default"/>
        </w:rPr>
        <w:t>20,000</w:t>
      </w:r>
      <w:r>
        <w:rPr>
          <w:rFonts w:ascii="宋体" w:hAnsi="宋体" w:cs="宋体" w:eastAsia="宋体" w:hint="default"/>
          <w:spacing w:val="-46"/>
        </w:rPr>
        <w:t> </w:t>
      </w:r>
      <w:r>
        <w:rPr>
          <w:spacing w:val="-13"/>
        </w:rPr>
        <w:t>万元，持</w:t>
      </w:r>
    </w:p>
    <w:p>
      <w:pPr>
        <w:pStyle w:val="BodyText"/>
        <w:spacing w:line="240" w:lineRule="auto" w:before="133"/>
        <w:ind w:left="138" w:right="104"/>
        <w:jc w:val="left"/>
      </w:pPr>
      <w:r>
        <w:rPr/>
        <w:t>股比例为</w:t>
      </w:r>
      <w:r>
        <w:rPr>
          <w:spacing w:val="-49"/>
        </w:rPr>
        <w:t> </w:t>
      </w:r>
      <w:r>
        <w:rPr>
          <w:rFonts w:ascii="宋体" w:hAnsi="宋体" w:cs="宋体" w:eastAsia="宋体" w:hint="default"/>
          <w:spacing w:val="-6"/>
        </w:rPr>
        <w:t>40.8%</w:t>
      </w:r>
      <w:r>
        <w:rPr>
          <w:spacing w:val="-6"/>
        </w:rPr>
        <w:t>。报告期内，新华网已实缴出资人民币</w:t>
      </w:r>
      <w:r>
        <w:rPr>
          <w:spacing w:val="-48"/>
        </w:rPr>
        <w:t> </w:t>
      </w:r>
      <w:r>
        <w:rPr>
          <w:rFonts w:ascii="宋体" w:hAnsi="宋体" w:cs="宋体" w:eastAsia="宋体" w:hint="default"/>
        </w:rPr>
        <w:t>3,000.00</w:t>
      </w:r>
      <w:r>
        <w:rPr>
          <w:rFonts w:ascii="宋体" w:hAnsi="宋体" w:cs="宋体" w:eastAsia="宋体" w:hint="default"/>
          <w:spacing w:val="-49"/>
        </w:rPr>
        <w:t> </w:t>
      </w:r>
      <w:r>
        <w:rPr>
          <w:spacing w:val="-11"/>
        </w:rPr>
        <w:t>万元，截至</w:t>
      </w:r>
      <w:r>
        <w:rPr>
          <w:spacing w:val="-51"/>
        </w:rPr>
        <w:t> </w:t>
      </w:r>
      <w:r>
        <w:rPr>
          <w:rFonts w:ascii="宋体" w:hAnsi="宋体" w:cs="宋体" w:eastAsia="宋体" w:hint="default"/>
        </w:rPr>
        <w:t>2018</w:t>
      </w:r>
      <w:r>
        <w:rPr>
          <w:rFonts w:ascii="宋体" w:hAnsi="宋体" w:cs="宋体" w:eastAsia="宋体" w:hint="default"/>
          <w:spacing w:val="-48"/>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w:t>
      </w:r>
    </w:p>
    <w:p>
      <w:pPr>
        <w:pStyle w:val="BodyText"/>
        <w:spacing w:line="240" w:lineRule="auto" w:before="133"/>
        <w:ind w:left="138" w:right="104"/>
        <w:jc w:val="left"/>
      </w:pPr>
      <w:r>
        <w:rPr/>
        <w:t>新华网累计已实缴出资人民币</w:t>
      </w:r>
      <w:r>
        <w:rPr>
          <w:spacing w:val="-48"/>
        </w:rPr>
        <w:t> </w:t>
      </w:r>
      <w:r>
        <w:rPr>
          <w:rFonts w:ascii="宋体" w:hAnsi="宋体" w:cs="宋体" w:eastAsia="宋体" w:hint="default"/>
        </w:rPr>
        <w:t>1.60</w:t>
      </w:r>
      <w:r>
        <w:rPr>
          <w:rFonts w:ascii="宋体" w:hAnsi="宋体" w:cs="宋体" w:eastAsia="宋体" w:hint="default"/>
          <w:spacing w:val="-50"/>
        </w:rPr>
        <w:t> </w:t>
      </w:r>
      <w:r>
        <w:rPr/>
        <w:t>亿元。具体内容详见公司于</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12</w:t>
      </w:r>
      <w:r>
        <w:rPr>
          <w:rFonts w:ascii="宋体" w:hAnsi="宋体" w:cs="宋体" w:eastAsia="宋体" w:hint="default"/>
          <w:spacing w:val="-47"/>
        </w:rPr>
        <w:t> </w:t>
      </w:r>
      <w:r>
        <w:rPr/>
        <w:t>日、</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6</w:t>
      </w:r>
      <w:r>
        <w:rPr>
          <w:rFonts w:ascii="宋体" w:hAnsi="宋体" w:cs="宋体" w:eastAsia="宋体" w:hint="default"/>
          <w:spacing w:val="-48"/>
        </w:rPr>
        <w:t> </w:t>
      </w:r>
      <w:r>
        <w:rPr/>
        <w:t>月</w:t>
      </w:r>
    </w:p>
    <w:p>
      <w:pPr>
        <w:pStyle w:val="BodyText"/>
        <w:spacing w:line="357" w:lineRule="auto" w:before="133"/>
        <w:ind w:left="138" w:right="209"/>
        <w:jc w:val="both"/>
      </w:pPr>
      <w:r>
        <w:rPr>
          <w:rFonts w:ascii="宋体" w:hAnsi="宋体" w:cs="宋体" w:eastAsia="宋体" w:hint="default"/>
        </w:rPr>
        <w:t>14 </w:t>
      </w:r>
      <w:r>
        <w:rPr>
          <w:spacing w:val="-3"/>
        </w:rPr>
        <w:t>日刊登在上海证券交易所网站（</w:t>
      </w:r>
      <w:hyperlink r:id="rId10">
        <w:r>
          <w:rPr>
            <w:rFonts w:ascii="宋体" w:hAnsi="宋体" w:cs="宋体" w:eastAsia="宋体" w:hint="default"/>
            <w:spacing w:val="-3"/>
          </w:rPr>
          <w:t>www.sse.com.cn</w:t>
        </w:r>
      </w:hyperlink>
      <w:r>
        <w:rPr>
          <w:spacing w:val="-3"/>
        </w:rPr>
        <w:t>）的《新华网股份有限公司对外投资参股设立</w:t>
      </w:r>
      <w:r>
        <w:rPr>
          <w:spacing w:val="-64"/>
        </w:rPr>
        <w:t> </w:t>
      </w:r>
      <w:r>
        <w:rPr>
          <w:spacing w:val="-64"/>
        </w:rPr>
      </w:r>
      <w:r>
        <w:rPr>
          <w:spacing w:val="-1"/>
        </w:rPr>
        <w:t>合资公司暨关联交易的公告》（公告编号：</w:t>
      </w:r>
      <w:r>
        <w:rPr>
          <w:rFonts w:ascii="宋体" w:hAnsi="宋体" w:cs="宋体" w:eastAsia="宋体" w:hint="default"/>
          <w:spacing w:val="-1"/>
        </w:rPr>
        <w:t>2017-008</w:t>
      </w:r>
      <w:r>
        <w:rPr>
          <w:spacing w:val="-1"/>
        </w:rPr>
        <w:t>）及《新华网股份有限公司关于参股公司完</w:t>
      </w:r>
      <w:r>
        <w:rPr>
          <w:spacing w:val="-55"/>
        </w:rPr>
        <w:t> </w:t>
      </w:r>
      <w:r>
        <w:rPr>
          <w:spacing w:val="-55"/>
        </w:rPr>
      </w:r>
      <w:r>
        <w:rPr/>
        <w:t>成工商注册登记的公告》（公告编号：</w:t>
      </w:r>
      <w:r>
        <w:rPr>
          <w:rFonts w:ascii="宋体" w:hAnsi="宋体" w:cs="宋体" w:eastAsia="宋体" w:hint="default"/>
        </w:rPr>
        <w:t>2017-030</w:t>
      </w:r>
      <w:r>
        <w:rPr/>
        <w:t>）。</w:t>
      </w:r>
    </w:p>
    <w:p>
      <w:pPr>
        <w:pStyle w:val="Heading2"/>
        <w:spacing w:line="240" w:lineRule="auto" w:before="90"/>
        <w:ind w:left="138" w:right="212"/>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980" w:val="left" w:leader="none"/>
        </w:tabs>
        <w:spacing w:line="240" w:lineRule="auto" w:before="56"/>
        <w:ind w:left="138" w:right="212"/>
        <w:jc w:val="left"/>
      </w:pPr>
      <w:r>
        <w:rPr>
          <w:spacing w:val="-1"/>
        </w:rPr>
        <w:t>□适用</w:t>
        <w:tab/>
      </w:r>
      <w:r>
        <w:rPr>
          <w:spacing w:val="-2"/>
        </w:rPr>
        <w:t>√不适用</w:t>
      </w:r>
    </w:p>
    <w:p>
      <w:pPr>
        <w:pStyle w:val="Heading2"/>
        <w:spacing w:line="240" w:lineRule="auto" w:before="58"/>
        <w:ind w:left="138" w:right="212"/>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tabs>
          <w:tab w:pos="980" w:val="left" w:leader="none"/>
        </w:tabs>
        <w:spacing w:line="343" w:lineRule="auto" w:before="56"/>
        <w:ind w:left="558" w:right="637" w:hanging="420"/>
        <w:jc w:val="left"/>
      </w:pPr>
      <w:r>
        <w:rPr>
          <w:spacing w:val="-1"/>
        </w:rPr>
        <w:t>√适用</w:t>
        <w:tab/>
      </w:r>
      <w:r>
        <w:rPr>
          <w:spacing w:val="-2"/>
        </w:rPr>
        <w:t>□不适用</w:t>
      </w:r>
      <w:r>
        <w:rPr>
          <w:spacing w:val="-99"/>
        </w:rPr>
        <w:t> </w:t>
      </w:r>
      <w:r>
        <w:rPr>
          <w:spacing w:val="-99"/>
        </w:rPr>
      </w:r>
      <w:r>
        <w:rPr>
          <w:spacing w:val="-2"/>
        </w:rPr>
        <w:t>详见本报告第二节“公司简介和主要财务指标”十一、“采用公允价值计量的项目”。</w:t>
      </w:r>
    </w:p>
    <w:p>
      <w:pPr>
        <w:pStyle w:val="Heading2"/>
        <w:tabs>
          <w:tab w:pos="977" w:val="left" w:leader="none"/>
        </w:tabs>
        <w:spacing w:line="240" w:lineRule="auto" w:before="103"/>
        <w:ind w:left="138" w:right="212"/>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tabs>
          <w:tab w:pos="980" w:val="left" w:leader="none"/>
        </w:tabs>
        <w:spacing w:line="274" w:lineRule="exact" w:before="56"/>
        <w:ind w:left="138" w:right="212"/>
        <w:jc w:val="left"/>
      </w:pPr>
      <w:r>
        <w:rPr>
          <w:spacing w:val="-1"/>
        </w:rPr>
        <w:t>√适用</w:t>
        <w:tab/>
      </w:r>
      <w:r>
        <w:rPr>
          <w:spacing w:val="-2"/>
        </w:rPr>
        <w:t>□不适用</w:t>
      </w:r>
    </w:p>
    <w:p>
      <w:pPr>
        <w:pStyle w:val="BodyText"/>
        <w:spacing w:line="357" w:lineRule="auto"/>
        <w:ind w:left="138" w:right="207" w:firstLine="419"/>
        <w:jc w:val="both"/>
      </w:pPr>
      <w:r>
        <w:rPr>
          <w:rFonts w:ascii="宋体" w:hAnsi="宋体" w:cs="宋体" w:eastAsia="宋体" w:hint="default"/>
        </w:rPr>
        <w:t>1</w:t>
      </w:r>
      <w:r>
        <w:rPr/>
        <w:t>、公司于</w:t>
      </w:r>
      <w:r>
        <w:rPr>
          <w:spacing w:val="-54"/>
        </w:rPr>
        <w:t> </w:t>
      </w:r>
      <w:r>
        <w:rPr>
          <w:rFonts w:ascii="宋体" w:hAnsi="宋体" w:cs="宋体" w:eastAsia="宋体" w:hint="default"/>
        </w:rPr>
        <w:t>2017</w:t>
      </w:r>
      <w:r>
        <w:rPr>
          <w:rFonts w:ascii="宋体" w:hAnsi="宋体" w:cs="宋体" w:eastAsia="宋体" w:hint="default"/>
          <w:spacing w:val="-51"/>
        </w:rPr>
        <w:t> </w:t>
      </w:r>
      <w:r>
        <w:rPr/>
        <w:t>年</w:t>
      </w:r>
      <w:r>
        <w:rPr>
          <w:spacing w:val="-53"/>
        </w:rPr>
        <w:t> </w:t>
      </w:r>
      <w:r>
        <w:rPr>
          <w:rFonts w:ascii="宋体" w:hAnsi="宋体" w:cs="宋体" w:eastAsia="宋体" w:hint="default"/>
        </w:rPr>
        <w:t>10</w:t>
      </w:r>
      <w:r>
        <w:rPr>
          <w:rFonts w:ascii="宋体" w:hAnsi="宋体" w:cs="宋体" w:eastAsia="宋体" w:hint="default"/>
          <w:spacing w:val="-54"/>
        </w:rPr>
        <w:t> </w:t>
      </w:r>
      <w:r>
        <w:rPr/>
        <w:t>月</w:t>
      </w:r>
      <w:r>
        <w:rPr>
          <w:spacing w:val="-51"/>
        </w:rPr>
        <w:t> </w:t>
      </w:r>
      <w:r>
        <w:rPr>
          <w:rFonts w:ascii="宋体" w:hAnsi="宋体" w:cs="宋体" w:eastAsia="宋体" w:hint="default"/>
        </w:rPr>
        <w:t>19</w:t>
      </w:r>
      <w:r>
        <w:rPr>
          <w:rFonts w:ascii="宋体" w:hAnsi="宋体" w:cs="宋体" w:eastAsia="宋体" w:hint="default"/>
          <w:spacing w:val="-51"/>
        </w:rPr>
        <w:t> </w:t>
      </w:r>
      <w:r>
        <w:rPr/>
        <w:t>日召开的第三届董事会第二次会议审议通过了《关于公开挂牌出</w:t>
      </w:r>
      <w:r>
        <w:rPr>
          <w:w w:val="100"/>
        </w:rPr>
        <w:t> </w:t>
      </w:r>
      <w:r>
        <w:rPr/>
        <w:t>售公司全资子公司北京星程同创信息咨询有限公司</w:t>
      </w:r>
      <w:r>
        <w:rPr>
          <w:spacing w:val="-41"/>
        </w:rPr>
        <w:t> </w:t>
      </w:r>
      <w:r>
        <w:rPr>
          <w:rFonts w:ascii="宋体" w:hAnsi="宋体" w:cs="宋体" w:eastAsia="宋体" w:hint="default"/>
          <w:spacing w:val="-3"/>
        </w:rPr>
        <w:t>100%</w:t>
      </w:r>
      <w:r>
        <w:rPr>
          <w:spacing w:val="-3"/>
        </w:rPr>
        <w:t>股权的议案》，公司以公开挂牌方式转让</w:t>
      </w:r>
      <w:r>
        <w:rPr>
          <w:spacing w:val="-100"/>
        </w:rPr>
        <w:t> </w:t>
      </w:r>
      <w:r>
        <w:rPr>
          <w:spacing w:val="-100"/>
        </w:rPr>
      </w:r>
      <w:r>
        <w:rPr/>
        <w:t>所持有的星程同创</w:t>
      </w:r>
      <w:r>
        <w:rPr>
          <w:spacing w:val="-52"/>
        </w:rPr>
        <w:t> </w:t>
      </w:r>
      <w:r>
        <w:rPr>
          <w:rFonts w:ascii="宋体" w:hAnsi="宋体" w:cs="宋体" w:eastAsia="宋体" w:hint="default"/>
        </w:rPr>
        <w:t>100%</w:t>
      </w:r>
      <w:r>
        <w:rPr/>
        <w:t>股权，朴银信息以</w:t>
      </w:r>
      <w:r>
        <w:rPr>
          <w:spacing w:val="-52"/>
        </w:rPr>
        <w:t> </w:t>
      </w:r>
      <w:r>
        <w:rPr>
          <w:rFonts w:ascii="宋体" w:hAnsi="宋体" w:cs="宋体" w:eastAsia="宋体" w:hint="default"/>
        </w:rPr>
        <w:t>5,200.00</w:t>
      </w:r>
      <w:r>
        <w:rPr>
          <w:rFonts w:ascii="宋体" w:hAnsi="宋体" w:cs="宋体" w:eastAsia="宋体" w:hint="default"/>
          <w:spacing w:val="-53"/>
        </w:rPr>
        <w:t> </w:t>
      </w:r>
      <w:r>
        <w:rPr/>
        <w:t>万元受让公司所持有的星程同创</w:t>
      </w:r>
      <w:r>
        <w:rPr>
          <w:spacing w:val="-51"/>
        </w:rPr>
        <w:t> </w:t>
      </w:r>
      <w:r>
        <w:rPr>
          <w:rFonts w:ascii="宋体" w:hAnsi="宋体" w:cs="宋体" w:eastAsia="宋体" w:hint="default"/>
        </w:rPr>
        <w:t>100%</w:t>
      </w:r>
      <w:r>
        <w:rPr/>
        <w:t>股权。</w:t>
      </w:r>
    </w:p>
    <w:p>
      <w:pPr>
        <w:spacing w:after="0" w:line="357" w:lineRule="auto"/>
        <w:jc w:val="both"/>
        <w:sectPr>
          <w:footerReference w:type="default" r:id="rId20"/>
          <w:pgSz w:w="11910" w:h="16840"/>
          <w:pgMar w:footer="1195" w:header="0" w:top="1120" w:bottom="1380" w:left="1660" w:right="1060"/>
          <w:pgNumType w:start="20"/>
        </w:sectPr>
      </w:pPr>
    </w:p>
    <w:p>
      <w:pPr>
        <w:spacing w:line="240" w:lineRule="auto" w:before="4"/>
        <w:rPr>
          <w:rFonts w:ascii="宋体" w:hAnsi="宋体" w:cs="宋体" w:eastAsia="宋体" w:hint="default"/>
          <w:sz w:val="25"/>
          <w:szCs w:val="25"/>
        </w:rPr>
      </w:pPr>
    </w:p>
    <w:p>
      <w:pPr>
        <w:pStyle w:val="BodyText"/>
        <w:spacing w:line="240" w:lineRule="auto" w:before="36"/>
        <w:ind w:left="138" w:right="0"/>
        <w:jc w:val="left"/>
      </w:pPr>
      <w:r>
        <w:rPr>
          <w:w w:val="100"/>
        </w:rPr>
        <w:t>具体</w:t>
      </w:r>
      <w:r>
        <w:rPr>
          <w:spacing w:val="-3"/>
          <w:w w:val="100"/>
        </w:rPr>
        <w:t>内</w:t>
      </w:r>
      <w:r>
        <w:rPr>
          <w:w w:val="100"/>
        </w:rPr>
        <w:t>容</w:t>
      </w:r>
      <w:r>
        <w:rPr>
          <w:spacing w:val="-3"/>
          <w:w w:val="100"/>
        </w:rPr>
        <w:t>详</w:t>
      </w:r>
      <w:r>
        <w:rPr>
          <w:w w:val="100"/>
        </w:rPr>
        <w:t>见</w:t>
      </w:r>
      <w:r>
        <w:rPr>
          <w:spacing w:val="-77"/>
        </w:rPr>
        <w:t> </w:t>
      </w:r>
      <w:r>
        <w:rPr>
          <w:rFonts w:ascii="宋体" w:hAnsi="宋体" w:cs="宋体" w:eastAsia="宋体" w:hint="default"/>
          <w:w w:val="100"/>
        </w:rPr>
        <w:t>2017</w:t>
      </w:r>
      <w:r>
        <w:rPr>
          <w:rFonts w:ascii="宋体" w:hAnsi="宋体" w:cs="宋体" w:eastAsia="宋体" w:hint="default"/>
          <w:spacing w:val="-77"/>
        </w:rPr>
        <w:t> </w:t>
      </w:r>
      <w:r>
        <w:rPr>
          <w:w w:val="100"/>
        </w:rPr>
        <w:t>年</w:t>
      </w:r>
      <w:r>
        <w:rPr>
          <w:spacing w:val="-77"/>
        </w:rPr>
        <w:t> </w:t>
      </w:r>
      <w:r>
        <w:rPr>
          <w:rFonts w:ascii="宋体" w:hAnsi="宋体" w:cs="宋体" w:eastAsia="宋体" w:hint="default"/>
          <w:w w:val="100"/>
        </w:rPr>
        <w:t>10</w:t>
      </w:r>
      <w:r>
        <w:rPr>
          <w:rFonts w:ascii="宋体" w:hAnsi="宋体" w:cs="宋体" w:eastAsia="宋体" w:hint="default"/>
          <w:spacing w:val="-78"/>
        </w:rPr>
        <w:t> </w:t>
      </w:r>
      <w:r>
        <w:rPr>
          <w:w w:val="100"/>
        </w:rPr>
        <w:t>月</w:t>
      </w:r>
      <w:r>
        <w:rPr>
          <w:spacing w:val="-77"/>
        </w:rPr>
        <w:t> </w:t>
      </w:r>
      <w:r>
        <w:rPr>
          <w:rFonts w:ascii="宋体" w:hAnsi="宋体" w:cs="宋体" w:eastAsia="宋体" w:hint="default"/>
          <w:w w:val="100"/>
        </w:rPr>
        <w:t>20</w:t>
      </w:r>
      <w:r>
        <w:rPr>
          <w:rFonts w:ascii="宋体" w:hAnsi="宋体" w:cs="宋体" w:eastAsia="宋体" w:hint="default"/>
          <w:spacing w:val="-77"/>
        </w:rPr>
        <w:t> </w:t>
      </w:r>
      <w:r>
        <w:rPr>
          <w:w w:val="100"/>
        </w:rPr>
        <w:t>日</w:t>
      </w:r>
      <w:r>
        <w:rPr>
          <w:spacing w:val="-106"/>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77"/>
        </w:rPr>
        <w:t> </w:t>
      </w:r>
      <w:r>
        <w:rPr>
          <w:w w:val="100"/>
        </w:rPr>
        <w:t>年</w:t>
      </w:r>
      <w:r>
        <w:rPr>
          <w:spacing w:val="-77"/>
        </w:rPr>
        <w:t> </w:t>
      </w:r>
      <w:r>
        <w:rPr>
          <w:rFonts w:ascii="宋体" w:hAnsi="宋体" w:cs="宋体" w:eastAsia="宋体" w:hint="default"/>
          <w:w w:val="100"/>
        </w:rPr>
        <w:t>12</w:t>
      </w:r>
      <w:r>
        <w:rPr>
          <w:rFonts w:ascii="宋体" w:hAnsi="宋体" w:cs="宋体" w:eastAsia="宋体" w:hint="default"/>
          <w:spacing w:val="-77"/>
        </w:rPr>
        <w:t> </w:t>
      </w:r>
      <w:r>
        <w:rPr>
          <w:w w:val="100"/>
        </w:rPr>
        <w:t>月</w:t>
      </w:r>
      <w:r>
        <w:rPr>
          <w:spacing w:val="-77"/>
        </w:rPr>
        <w:t> </w:t>
      </w:r>
      <w:r>
        <w:rPr>
          <w:rFonts w:ascii="宋体" w:hAnsi="宋体" w:cs="宋体" w:eastAsia="宋体" w:hint="default"/>
          <w:w w:val="100"/>
        </w:rPr>
        <w:t>23</w:t>
      </w:r>
      <w:r>
        <w:rPr>
          <w:rFonts w:ascii="宋体" w:hAnsi="宋体" w:cs="宋体" w:eastAsia="宋体" w:hint="default"/>
          <w:spacing w:val="-77"/>
        </w:rPr>
        <w:t> </w:t>
      </w:r>
      <w:r>
        <w:rPr>
          <w:spacing w:val="-3"/>
          <w:w w:val="100"/>
        </w:rPr>
        <w:t>日</w:t>
      </w:r>
      <w:r>
        <w:rPr>
          <w:w w:val="100"/>
        </w:rPr>
        <w:t>刊登</w:t>
      </w:r>
      <w:r>
        <w:rPr>
          <w:spacing w:val="-3"/>
          <w:w w:val="100"/>
        </w:rPr>
        <w:t>在</w:t>
      </w:r>
      <w:r>
        <w:rPr>
          <w:w w:val="100"/>
        </w:rPr>
        <w:t>上</w:t>
      </w:r>
      <w:r>
        <w:rPr>
          <w:spacing w:val="-3"/>
          <w:w w:val="100"/>
        </w:rPr>
        <w:t>海</w:t>
      </w:r>
      <w:r>
        <w:rPr>
          <w:w w:val="100"/>
        </w:rPr>
        <w:t>证</w:t>
      </w:r>
      <w:r>
        <w:rPr>
          <w:spacing w:val="-3"/>
          <w:w w:val="100"/>
        </w:rPr>
        <w:t>券</w:t>
      </w:r>
      <w:r>
        <w:rPr>
          <w:w w:val="100"/>
        </w:rPr>
        <w:t>交</w:t>
      </w:r>
      <w:r>
        <w:rPr>
          <w:spacing w:val="-3"/>
          <w:w w:val="100"/>
        </w:rPr>
        <w:t>易</w:t>
      </w:r>
      <w:r>
        <w:rPr>
          <w:w w:val="100"/>
        </w:rPr>
        <w:t>所</w:t>
      </w:r>
      <w:r>
        <w:rPr>
          <w:spacing w:val="-3"/>
          <w:w w:val="100"/>
        </w:rPr>
        <w:t>网</w:t>
      </w:r>
      <w:r>
        <w:rPr>
          <w:spacing w:val="-106"/>
          <w:w w:val="100"/>
        </w:rPr>
        <w:t>站</w:t>
      </w:r>
      <w:r>
        <w:rPr>
          <w:w w:val="100"/>
        </w:rPr>
        <w:t>（</w:t>
      </w:r>
      <w:hyperlink r:id="rId10">
        <w:r>
          <w:rPr>
            <w:rFonts w:ascii="宋体" w:hAnsi="宋体" w:cs="宋体" w:eastAsia="宋体" w:hint="default"/>
            <w:w w:val="100"/>
          </w:rPr>
          <w:t>ww</w:t>
        </w:r>
        <w:r>
          <w:rPr>
            <w:rFonts w:ascii="宋体" w:hAnsi="宋体" w:cs="宋体" w:eastAsia="宋体" w:hint="default"/>
            <w:spacing w:val="-3"/>
            <w:w w:val="100"/>
          </w:rPr>
          <w:t>w</w:t>
        </w:r>
        <w:r>
          <w:rPr>
            <w:rFonts w:ascii="宋体" w:hAnsi="宋体" w:cs="宋体" w:eastAsia="宋体" w:hint="default"/>
            <w:w w:val="100"/>
          </w:rPr>
          <w:t>.ss</w:t>
        </w:r>
        <w:r>
          <w:rPr>
            <w:rFonts w:ascii="宋体" w:hAnsi="宋体" w:cs="宋体" w:eastAsia="宋体" w:hint="default"/>
            <w:spacing w:val="-3"/>
            <w:w w:val="100"/>
          </w:rPr>
          <w:t>e</w:t>
        </w:r>
        <w:r>
          <w:rPr>
            <w:rFonts w:ascii="宋体" w:hAnsi="宋体" w:cs="宋体" w:eastAsia="宋体" w:hint="default"/>
            <w:w w:val="100"/>
          </w:rPr>
          <w:t>.co</w:t>
        </w:r>
        <w:r>
          <w:rPr>
            <w:rFonts w:ascii="宋体" w:hAnsi="宋体" w:cs="宋体" w:eastAsia="宋体" w:hint="default"/>
            <w:spacing w:val="-3"/>
            <w:w w:val="100"/>
          </w:rPr>
          <w:t>m</w:t>
        </w:r>
        <w:r>
          <w:rPr>
            <w:rFonts w:ascii="宋体" w:hAnsi="宋体" w:cs="宋体" w:eastAsia="宋体" w:hint="default"/>
            <w:w w:val="100"/>
          </w:rPr>
          <w:t>.c</w:t>
        </w:r>
        <w:r>
          <w:rPr>
            <w:rFonts w:ascii="宋体" w:hAnsi="宋体" w:cs="宋体" w:eastAsia="宋体" w:hint="default"/>
            <w:spacing w:val="-3"/>
            <w:w w:val="100"/>
          </w:rPr>
          <w:t>n</w:t>
        </w:r>
      </w:hyperlink>
      <w:r>
        <w:rPr>
          <w:w w:val="100"/>
        </w:rPr>
        <w:t>）</w:t>
      </w:r>
    </w:p>
    <w:p>
      <w:pPr>
        <w:pStyle w:val="BodyText"/>
        <w:spacing w:line="355" w:lineRule="auto" w:before="135"/>
        <w:ind w:left="138" w:right="102"/>
        <w:jc w:val="left"/>
      </w:pPr>
      <w:r>
        <w:rPr>
          <w:spacing w:val="-3"/>
        </w:rPr>
        <w:t>的《新华网股份有限公司关于公开挂牌出售公司全资子公司北京星程同创信息咨询有限公司 </w:t>
      </w:r>
      <w:r>
        <w:rPr>
          <w:rFonts w:ascii="宋体" w:hAnsi="宋体" w:cs="宋体" w:eastAsia="宋体" w:hint="default"/>
        </w:rPr>
        <w:t>100%</w:t>
      </w:r>
      <w:r>
        <w:rPr>
          <w:rFonts w:ascii="宋体" w:hAnsi="宋体" w:cs="宋体" w:eastAsia="宋体" w:hint="default"/>
          <w:spacing w:val="-84"/>
        </w:rPr>
        <w:t> </w:t>
      </w:r>
      <w:r>
        <w:rPr>
          <w:rFonts w:ascii="宋体" w:hAnsi="宋体" w:cs="宋体" w:eastAsia="宋体" w:hint="default"/>
          <w:spacing w:val="-84"/>
        </w:rPr>
      </w:r>
      <w:r>
        <w:rPr/>
        <w:t>股权的公告》（公告编号：</w:t>
      </w:r>
      <w:r>
        <w:rPr>
          <w:rFonts w:ascii="宋体" w:hAnsi="宋体" w:cs="宋体" w:eastAsia="宋体" w:hint="default"/>
        </w:rPr>
        <w:t>2017-064</w:t>
      </w:r>
      <w:r>
        <w:rPr/>
        <w:t>）、《新华网股份有限公司关于公开挂牌出售公司全资子公</w:t>
      </w:r>
      <w:r>
        <w:rPr>
          <w:spacing w:val="-97"/>
        </w:rPr>
        <w:t> </w:t>
      </w:r>
      <w:r>
        <w:rPr>
          <w:spacing w:val="-97"/>
        </w:rPr>
      </w:r>
      <w:r>
        <w:rPr/>
        <w:t>司北京星程同创信息咨询有限公司</w:t>
      </w:r>
      <w:r>
        <w:rPr>
          <w:spacing w:val="7"/>
        </w:rPr>
        <w:t> </w:t>
      </w:r>
      <w:r>
        <w:rPr>
          <w:rFonts w:ascii="宋体" w:hAnsi="宋体" w:cs="宋体" w:eastAsia="宋体" w:hint="default"/>
        </w:rPr>
        <w:t>100%</w:t>
      </w:r>
      <w:r>
        <w:rPr/>
        <w:t>股权的进展公告》（公告编号：</w:t>
      </w:r>
      <w:r>
        <w:rPr>
          <w:rFonts w:ascii="宋体" w:hAnsi="宋体" w:cs="宋体" w:eastAsia="宋体" w:hint="default"/>
        </w:rPr>
        <w:t>2017-072</w:t>
      </w:r>
      <w:r>
        <w:rPr/>
        <w:t>）。报告期内，</w:t>
      </w:r>
      <w:r>
        <w:rPr>
          <w:w w:val="100"/>
        </w:rPr>
        <w:t> </w:t>
      </w:r>
      <w:r>
        <w:rPr/>
        <w:t>公司已收到全部转让款</w:t>
      </w:r>
      <w:r>
        <w:rPr>
          <w:spacing w:val="-54"/>
        </w:rPr>
        <w:t> </w:t>
      </w:r>
      <w:r>
        <w:rPr>
          <w:rFonts w:ascii="宋体" w:hAnsi="宋体" w:cs="宋体" w:eastAsia="宋体" w:hint="default"/>
        </w:rPr>
        <w:t>5,200.00</w:t>
      </w:r>
      <w:r>
        <w:rPr>
          <w:rFonts w:ascii="宋体" w:hAnsi="宋体" w:cs="宋体" w:eastAsia="宋体" w:hint="default"/>
          <w:spacing w:val="-55"/>
        </w:rPr>
        <w:t> </w:t>
      </w:r>
      <w:r>
        <w:rPr/>
        <w:t>万元。</w:t>
      </w:r>
    </w:p>
    <w:p>
      <w:pPr>
        <w:pStyle w:val="BodyText"/>
        <w:spacing w:line="357" w:lineRule="auto" w:before="32"/>
        <w:ind w:left="138" w:right="207" w:firstLine="419"/>
        <w:jc w:val="both"/>
      </w:pPr>
      <w:r>
        <w:rPr>
          <w:rFonts w:ascii="宋体" w:hAnsi="宋体" w:cs="宋体" w:eastAsia="宋体" w:hint="default"/>
          <w:spacing w:val="-6"/>
        </w:rPr>
        <w:t>2</w:t>
      </w:r>
      <w:r>
        <w:rPr>
          <w:spacing w:val="-6"/>
        </w:rPr>
        <w:t>、公司于</w:t>
      </w:r>
      <w:r>
        <w:rPr>
          <w:spacing w:val="-45"/>
        </w:rPr>
        <w:t> </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6</w:t>
      </w:r>
      <w:r>
        <w:rPr>
          <w:rFonts w:ascii="宋体" w:hAnsi="宋体" w:cs="宋体" w:eastAsia="宋体" w:hint="default"/>
          <w:spacing w:val="-47"/>
        </w:rPr>
        <w:t> </w:t>
      </w:r>
      <w:r>
        <w:rPr/>
        <w:t>月</w:t>
      </w:r>
      <w:r>
        <w:rPr>
          <w:spacing w:val="-45"/>
        </w:rPr>
        <w:t> </w:t>
      </w:r>
      <w:r>
        <w:rPr>
          <w:rFonts w:ascii="宋体" w:hAnsi="宋体" w:cs="宋体" w:eastAsia="宋体" w:hint="default"/>
        </w:rPr>
        <w:t>25</w:t>
      </w:r>
      <w:r>
        <w:rPr>
          <w:rFonts w:ascii="宋体" w:hAnsi="宋体" w:cs="宋体" w:eastAsia="宋体" w:hint="default"/>
          <w:spacing w:val="-47"/>
        </w:rPr>
        <w:t> </w:t>
      </w:r>
      <w:r>
        <w:rPr>
          <w:spacing w:val="-4"/>
        </w:rPr>
        <w:t>日召开的第三届董事会第七次（临时）会议审议通过了《关于出售</w:t>
      </w:r>
      <w:r>
        <w:rPr>
          <w:w w:val="100"/>
        </w:rPr>
        <w:t> </w:t>
      </w:r>
      <w:r>
        <w:rPr>
          <w:spacing w:val="-6"/>
        </w:rPr>
        <w:t>公司所持道有道（北京）科技股份有限公司股权的议案》，公司出售所持有道有道 </w:t>
      </w:r>
      <w:r>
        <w:rPr>
          <w:rFonts w:ascii="宋体" w:hAnsi="宋体" w:cs="宋体" w:eastAsia="宋体" w:hint="default"/>
        </w:rPr>
        <w:t>5.0976%</w:t>
      </w:r>
      <w:r>
        <w:rPr/>
        <w:t>股权，</w:t>
      </w:r>
      <w:r>
        <w:rPr>
          <w:spacing w:val="-88"/>
        </w:rPr>
        <w:t> </w:t>
      </w:r>
      <w:r>
        <w:rPr>
          <w:spacing w:val="-88"/>
        </w:rPr>
      </w:r>
      <w:r>
        <w:rPr/>
        <w:t>转让价格为每股人民币</w:t>
      </w:r>
      <w:r>
        <w:rPr>
          <w:spacing w:val="-50"/>
        </w:rPr>
        <w:t> </w:t>
      </w:r>
      <w:r>
        <w:rPr>
          <w:rFonts w:ascii="宋体" w:hAnsi="宋体" w:cs="宋体" w:eastAsia="宋体" w:hint="default"/>
        </w:rPr>
        <w:t>14.23</w:t>
      </w:r>
      <w:r>
        <w:rPr>
          <w:rFonts w:ascii="宋体" w:hAnsi="宋体" w:cs="宋体" w:eastAsia="宋体" w:hint="default"/>
          <w:spacing w:val="-51"/>
        </w:rPr>
        <w:t> </w:t>
      </w:r>
      <w:r>
        <w:rPr>
          <w:spacing w:val="-9"/>
        </w:rPr>
        <w:t>元，总计人民币</w:t>
      </w:r>
      <w:r>
        <w:rPr>
          <w:spacing w:val="-51"/>
        </w:rPr>
        <w:t> </w:t>
      </w:r>
      <w:r>
        <w:rPr>
          <w:rFonts w:ascii="宋体" w:hAnsi="宋体" w:cs="宋体" w:eastAsia="宋体" w:hint="default"/>
        </w:rPr>
        <w:t>8,000.00</w:t>
      </w:r>
      <w:r>
        <w:rPr>
          <w:rFonts w:ascii="宋体" w:hAnsi="宋体" w:cs="宋体" w:eastAsia="宋体" w:hint="default"/>
          <w:spacing w:val="-50"/>
        </w:rPr>
        <w:t> </w:t>
      </w:r>
      <w:r>
        <w:rPr>
          <w:spacing w:val="-7"/>
        </w:rPr>
        <w:t>万元。具体内容详见</w:t>
      </w:r>
      <w:r>
        <w:rPr>
          <w:spacing w:val="-51"/>
        </w:rPr>
        <w:t> </w:t>
      </w:r>
      <w:r>
        <w:rPr>
          <w:rFonts w:ascii="宋体" w:hAnsi="宋体" w:cs="宋体" w:eastAsia="宋体" w:hint="default"/>
        </w:rPr>
        <w:t>2018</w:t>
      </w:r>
      <w:r>
        <w:rPr>
          <w:rFonts w:ascii="宋体" w:hAnsi="宋体" w:cs="宋体" w:eastAsia="宋体" w:hint="default"/>
          <w:spacing w:val="-50"/>
        </w:rPr>
        <w:t> </w:t>
      </w:r>
      <w:r>
        <w:rPr/>
        <w:t>年</w:t>
      </w:r>
      <w:r>
        <w:rPr>
          <w:spacing w:val="-53"/>
        </w:rPr>
        <w:t> </w:t>
      </w:r>
      <w:r>
        <w:rPr>
          <w:rFonts w:ascii="宋体" w:hAnsi="宋体" w:cs="宋体" w:eastAsia="宋体" w:hint="default"/>
        </w:rPr>
        <w:t>6</w:t>
      </w:r>
      <w:r>
        <w:rPr>
          <w:rFonts w:ascii="宋体" w:hAnsi="宋体" w:cs="宋体" w:eastAsia="宋体" w:hint="default"/>
          <w:spacing w:val="-51"/>
        </w:rPr>
        <w:t> </w:t>
      </w:r>
      <w:r>
        <w:rPr/>
        <w:t>月</w:t>
      </w:r>
      <w:r>
        <w:rPr>
          <w:spacing w:val="-53"/>
        </w:rPr>
        <w:t> </w:t>
      </w:r>
      <w:r>
        <w:rPr>
          <w:rFonts w:ascii="宋体" w:hAnsi="宋体" w:cs="宋体" w:eastAsia="宋体" w:hint="default"/>
        </w:rPr>
        <w:t>26</w:t>
      </w:r>
      <w:r>
        <w:rPr>
          <w:rFonts w:ascii="宋体" w:hAnsi="宋体" w:cs="宋体" w:eastAsia="宋体" w:hint="default"/>
          <w:spacing w:val="-53"/>
        </w:rPr>
        <w:t> </w:t>
      </w:r>
      <w:r>
        <w:rPr/>
        <w:t>日刊</w:t>
      </w:r>
      <w:r>
        <w:rPr>
          <w:w w:val="100"/>
        </w:rPr>
        <w:t> </w:t>
      </w:r>
      <w:r>
        <w:rPr>
          <w:spacing w:val="-1"/>
        </w:rPr>
        <w:t>登在上海证券交易所网站（</w:t>
      </w:r>
      <w:hyperlink r:id="rId10">
        <w:r>
          <w:rPr>
            <w:rFonts w:ascii="宋体" w:hAnsi="宋体" w:cs="宋体" w:eastAsia="宋体" w:hint="default"/>
            <w:spacing w:val="-1"/>
          </w:rPr>
          <w:t>www.sse.com.cn</w:t>
        </w:r>
      </w:hyperlink>
      <w:r>
        <w:rPr>
          <w:spacing w:val="-1"/>
        </w:rPr>
        <w:t>）的《新华网股份有限公司关于出售资产暨转让道有</w:t>
      </w:r>
      <w:r>
        <w:rPr>
          <w:spacing w:val="-52"/>
        </w:rPr>
        <w:t> </w:t>
      </w:r>
      <w:r>
        <w:rPr>
          <w:spacing w:val="-52"/>
        </w:rPr>
      </w:r>
      <w:r>
        <w:rPr>
          <w:spacing w:val="-1"/>
        </w:rPr>
        <w:t>道（北京）科技股份有限公司股权公告》（公告编号：</w:t>
      </w:r>
      <w:r>
        <w:rPr>
          <w:rFonts w:ascii="宋体" w:hAnsi="宋体" w:cs="宋体" w:eastAsia="宋体" w:hint="default"/>
          <w:spacing w:val="-1"/>
        </w:rPr>
        <w:t>2018-026</w:t>
      </w:r>
      <w:r>
        <w:rPr>
          <w:spacing w:val="-1"/>
        </w:rPr>
        <w:t>）。报告期内，公司已收到全部</w:t>
      </w:r>
      <w:r>
        <w:rPr>
          <w:spacing w:val="-53"/>
        </w:rPr>
        <w:t> </w:t>
      </w:r>
      <w:r>
        <w:rPr>
          <w:spacing w:val="-53"/>
        </w:rPr>
      </w:r>
      <w:r>
        <w:rPr/>
        <w:t>转让款</w:t>
      </w:r>
      <w:r>
        <w:rPr>
          <w:spacing w:val="-53"/>
        </w:rPr>
        <w:t> </w:t>
      </w:r>
      <w:r>
        <w:rPr>
          <w:rFonts w:ascii="宋体" w:hAnsi="宋体" w:cs="宋体" w:eastAsia="宋体" w:hint="default"/>
        </w:rPr>
        <w:t>8,000.00</w:t>
      </w:r>
      <w:r>
        <w:rPr>
          <w:rFonts w:ascii="宋体" w:hAnsi="宋体" w:cs="宋体" w:eastAsia="宋体" w:hint="default"/>
          <w:spacing w:val="-53"/>
        </w:rPr>
        <w:t> </w:t>
      </w:r>
      <w:r>
        <w:rPr/>
        <w:t>万元。</w:t>
      </w:r>
    </w:p>
    <w:p>
      <w:pPr>
        <w:pStyle w:val="BodyText"/>
        <w:spacing w:line="240" w:lineRule="auto" w:before="30"/>
        <w:ind w:left="558" w:right="104"/>
        <w:jc w:val="left"/>
      </w:pPr>
      <w:r>
        <w:rPr>
          <w:rFonts w:ascii="宋体" w:hAnsi="宋体" w:cs="宋体" w:eastAsia="宋体" w:hint="default"/>
        </w:rPr>
        <w:t>3</w:t>
      </w:r>
      <w:r>
        <w:rPr/>
        <w:t>、公司于</w:t>
      </w:r>
      <w:r>
        <w:rPr>
          <w:spacing w:val="-54"/>
        </w:rPr>
        <w:t> </w:t>
      </w:r>
      <w:r>
        <w:rPr>
          <w:rFonts w:ascii="宋体" w:hAnsi="宋体" w:cs="宋体" w:eastAsia="宋体" w:hint="default"/>
        </w:rPr>
        <w:t>2018</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24</w:t>
      </w:r>
      <w:r>
        <w:rPr>
          <w:rFonts w:ascii="宋体" w:hAnsi="宋体" w:cs="宋体" w:eastAsia="宋体" w:hint="default"/>
          <w:spacing w:val="-51"/>
        </w:rPr>
        <w:t> </w:t>
      </w:r>
      <w:r>
        <w:rPr/>
        <w:t>日公司召开的党委常委会审议通过了关于受让丝路惠持有亿连科</w:t>
      </w:r>
    </w:p>
    <w:p>
      <w:pPr>
        <w:pStyle w:val="BodyText"/>
        <w:spacing w:line="240" w:lineRule="auto" w:before="133"/>
        <w:ind w:left="138" w:right="212"/>
        <w:jc w:val="left"/>
      </w:pPr>
      <w:r>
        <w:rPr/>
        <w:t>技</w:t>
      </w:r>
      <w:r>
        <w:rPr>
          <w:spacing w:val="-54"/>
        </w:rPr>
        <w:t> </w:t>
      </w:r>
      <w:r>
        <w:rPr>
          <w:rFonts w:ascii="宋体" w:hAnsi="宋体" w:cs="宋体" w:eastAsia="宋体" w:hint="default"/>
        </w:rPr>
        <w:t>10%</w:t>
      </w:r>
      <w:r>
        <w:rPr/>
        <w:t>股权，受让价格为人民币</w:t>
      </w:r>
      <w:r>
        <w:rPr>
          <w:spacing w:val="-53"/>
        </w:rPr>
        <w:t> </w:t>
      </w:r>
      <w:r>
        <w:rPr>
          <w:rFonts w:ascii="宋体" w:hAnsi="宋体" w:cs="宋体" w:eastAsia="宋体" w:hint="default"/>
        </w:rPr>
        <w:t>6,000.00</w:t>
      </w:r>
      <w:r>
        <w:rPr>
          <w:rFonts w:ascii="宋体" w:hAnsi="宋体" w:cs="宋体" w:eastAsia="宋体" w:hint="default"/>
          <w:spacing w:val="-54"/>
        </w:rPr>
        <w:t> </w:t>
      </w:r>
      <w:r>
        <w:rPr/>
        <w:t>万元。</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29</w:t>
      </w:r>
      <w:r>
        <w:rPr>
          <w:rFonts w:ascii="宋体" w:hAnsi="宋体" w:cs="宋体" w:eastAsia="宋体" w:hint="default"/>
          <w:spacing w:val="-56"/>
        </w:rPr>
        <w:t> </w:t>
      </w:r>
      <w:r>
        <w:rPr/>
        <w:t>日，股权转让已完成。</w:t>
      </w:r>
    </w:p>
    <w:p>
      <w:pPr>
        <w:pStyle w:val="BodyText"/>
        <w:spacing w:line="240" w:lineRule="auto" w:before="133"/>
        <w:ind w:left="558" w:right="104"/>
        <w:jc w:val="left"/>
      </w:pPr>
      <w:r>
        <w:rPr>
          <w:rFonts w:ascii="宋体" w:hAnsi="宋体" w:cs="宋体" w:eastAsia="宋体" w:hint="default"/>
        </w:rPr>
        <w:t>2018</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4"/>
        </w:rPr>
        <w:t> </w:t>
      </w:r>
      <w:r>
        <w:rPr>
          <w:rFonts w:ascii="宋体" w:hAnsi="宋体" w:cs="宋体" w:eastAsia="宋体" w:hint="default"/>
        </w:rPr>
        <w:t>24</w:t>
      </w:r>
      <w:r>
        <w:rPr>
          <w:rFonts w:ascii="宋体" w:hAnsi="宋体" w:cs="宋体" w:eastAsia="宋体" w:hint="default"/>
          <w:spacing w:val="-54"/>
        </w:rPr>
        <w:t> </w:t>
      </w:r>
      <w:r>
        <w:rPr/>
        <w:t>日公司召开的党委常委会审议通过了关于受让前海红莲持有亿连科技</w:t>
      </w:r>
      <w:r>
        <w:rPr>
          <w:spacing w:val="-51"/>
        </w:rPr>
        <w:t> </w:t>
      </w:r>
      <w:r>
        <w:rPr>
          <w:rFonts w:ascii="宋体" w:hAnsi="宋体" w:cs="宋体" w:eastAsia="宋体" w:hint="default"/>
        </w:rPr>
        <w:t>20%</w:t>
      </w:r>
      <w:r>
        <w:rPr/>
        <w:t>股</w:t>
      </w:r>
    </w:p>
    <w:p>
      <w:pPr>
        <w:pStyle w:val="BodyText"/>
        <w:spacing w:line="240" w:lineRule="auto" w:before="133"/>
        <w:ind w:left="138" w:right="212"/>
        <w:jc w:val="left"/>
      </w:pPr>
      <w:r>
        <w:rPr/>
        <w:t>权，受让价格为人民币</w:t>
      </w:r>
      <w:r>
        <w:rPr>
          <w:spacing w:val="-53"/>
        </w:rPr>
        <w:t> </w:t>
      </w:r>
      <w:r>
        <w:rPr>
          <w:rFonts w:ascii="宋体" w:hAnsi="宋体" w:cs="宋体" w:eastAsia="宋体" w:hint="default"/>
        </w:rPr>
        <w:t>6,000.00</w:t>
      </w:r>
      <w:r>
        <w:rPr>
          <w:rFonts w:ascii="宋体" w:hAnsi="宋体" w:cs="宋体" w:eastAsia="宋体" w:hint="default"/>
          <w:spacing w:val="-54"/>
        </w:rPr>
        <w:t> </w:t>
      </w:r>
      <w:r>
        <w:rPr/>
        <w:t>万元。</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日，股权转让已完成。</w:t>
      </w:r>
    </w:p>
    <w:p>
      <w:pPr>
        <w:spacing w:after="0" w:line="240" w:lineRule="auto"/>
        <w:jc w:val="left"/>
        <w:sectPr>
          <w:pgSz w:w="11910" w:h="16840"/>
          <w:pgMar w:header="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21"/>
          <w:footerReference w:type="default" r:id="rId22"/>
          <w:pgSz w:w="16840" w:h="11910" w:orient="landscape"/>
          <w:pgMar w:header="882" w:footer="1195" w:top="1120" w:bottom="1380" w:left="1080" w:right="1160"/>
          <w:pgNumType w:start="22"/>
        </w:sectPr>
      </w:pPr>
    </w:p>
    <w:p>
      <w:pPr>
        <w:pStyle w:val="Heading2"/>
        <w:tabs>
          <w:tab w:pos="1200" w:val="left" w:leader="none"/>
        </w:tabs>
        <w:spacing w:line="240" w:lineRule="auto"/>
        <w:ind w:left="360" w:right="0"/>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t>主要控股参股公司分析</w:t>
      </w:r>
      <w:r>
        <w:rPr>
          <w:b w:val="0"/>
          <w:bCs w:val="0"/>
        </w:rPr>
      </w:r>
    </w:p>
    <w:p>
      <w:pPr>
        <w:pStyle w:val="BodyText"/>
        <w:tabs>
          <w:tab w:pos="1202" w:val="left" w:leader="none"/>
        </w:tabs>
        <w:spacing w:line="240" w:lineRule="auto" w:before="56"/>
        <w:ind w:left="360" w:right="0"/>
        <w:jc w:val="left"/>
      </w:pPr>
      <w:r>
        <w:rPr/>
        <w:t>√适用</w:t>
        <w:tab/>
        <w:t>□不适用</w:t>
      </w:r>
      <w:r>
        <w:rPr>
          <w:w w:val="100"/>
        </w:rPr>
        <w:t> </w:t>
      </w:r>
      <w:r>
        <w:rPr>
          <w:rFonts w:ascii="宋体" w:hAnsi="宋体" w:cs="宋体" w:eastAsia="宋体" w:hint="default"/>
          <w:spacing w:val="-2"/>
        </w:rPr>
        <w:t>1</w:t>
      </w:r>
      <w:r>
        <w:rPr>
          <w:spacing w:val="-2"/>
        </w:rPr>
        <w:t>、报告期内，公司主要境内控股、参股公司基本信息及主要财务数据信息如下表所示：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725" w:val="left" w:leader="none"/>
        </w:tabs>
        <w:spacing w:line="240" w:lineRule="auto"/>
        <w:ind w:left="360" w:right="0"/>
        <w:jc w:val="left"/>
      </w:pPr>
      <w:r>
        <w:rPr>
          <w:spacing w:val="-1"/>
        </w:rPr>
        <w:t>单位：万元</w:t>
        <w:tab/>
      </w:r>
      <w:r>
        <w:rPr>
          <w:spacing w:val="-2"/>
        </w:rPr>
        <w:t>币种：人民币</w:t>
      </w:r>
    </w:p>
    <w:p>
      <w:pPr>
        <w:spacing w:after="0" w:line="240" w:lineRule="auto"/>
        <w:jc w:val="left"/>
        <w:sectPr>
          <w:type w:val="continuous"/>
          <w:pgSz w:w="16840" w:h="11910" w:orient="landscape"/>
          <w:pgMar w:top="1120" w:bottom="1380" w:left="1080" w:right="1160"/>
          <w:cols w:num="2" w:equalWidth="0">
            <w:col w:w="8452" w:space="2796"/>
            <w:col w:w="3352"/>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325"/>
        <w:gridCol w:w="5187"/>
        <w:gridCol w:w="910"/>
        <w:gridCol w:w="948"/>
        <w:gridCol w:w="1162"/>
        <w:gridCol w:w="1208"/>
        <w:gridCol w:w="1277"/>
        <w:gridCol w:w="1133"/>
        <w:gridCol w:w="1220"/>
      </w:tblGrid>
      <w:tr>
        <w:trPr>
          <w:trHeight w:val="281" w:hRule="exact"/>
        </w:trPr>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107"/>
              <w:ind w:left="237"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5187"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07"/>
              <w:ind w:left="156"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107"/>
              <w:ind w:left="28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316"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7"/>
              <w:ind w:left="1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20" w:type="dxa"/>
            <w:vMerge w:val="restart"/>
            <w:tcBorders>
              <w:top w:val="single" w:sz="4" w:space="0" w:color="000000"/>
              <w:left w:val="single" w:sz="4" w:space="0" w:color="000000"/>
              <w:right w:val="single" w:sz="4" w:space="0" w:color="000000"/>
            </w:tcBorders>
          </w:tcPr>
          <w:p>
            <w:pPr>
              <w:pStyle w:val="TableParagraph"/>
              <w:spacing w:line="240" w:lineRule="auto" w:before="107"/>
              <w:ind w:left="288"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283" w:hRule="exact"/>
        </w:trPr>
        <w:tc>
          <w:tcPr>
            <w:tcW w:w="1325" w:type="dxa"/>
            <w:vMerge/>
            <w:tcBorders>
              <w:left w:val="single" w:sz="4" w:space="0" w:color="000000"/>
              <w:bottom w:val="single" w:sz="4" w:space="0" w:color="000000"/>
              <w:right w:val="single" w:sz="4" w:space="0" w:color="000000"/>
            </w:tcBorders>
          </w:tcPr>
          <w:p>
            <w:pPr/>
          </w:p>
        </w:tc>
        <w:tc>
          <w:tcPr>
            <w:tcW w:w="5187" w:type="dxa"/>
            <w:vMerge/>
            <w:tcBorders>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162" w:type="dxa"/>
            <w:vMerge/>
            <w:tcBorders>
              <w:left w:val="single" w:sz="4" w:space="0" w:color="000000"/>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20" w:type="dxa"/>
            <w:vMerge/>
            <w:tcBorders>
              <w:left w:val="single" w:sz="4" w:space="0" w:color="000000"/>
              <w:bottom w:val="single" w:sz="4" w:space="0" w:color="000000"/>
              <w:right w:val="single" w:sz="4" w:space="0" w:color="000000"/>
            </w:tcBorders>
          </w:tcPr>
          <w:p>
            <w:pPr/>
          </w:p>
        </w:tc>
      </w:tr>
      <w:tr>
        <w:trPr>
          <w:trHeight w:val="829"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江苏子公司</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第二类增值电信业务中的信息服务业务；互联网信息服</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5"/>
                <w:sz w:val="21"/>
                <w:szCs w:val="21"/>
              </w:rPr>
              <w:t>务；广告设计制作、发布、代理；无线增值的相关技术</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服务；信息开发与咨询；网站建设等</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sz w:val="21"/>
              </w:rPr>
              <w:t>2,600.00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7,352.65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3,510.03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6,259.30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815.98</w:t>
            </w:r>
          </w:p>
        </w:tc>
      </w:tr>
      <w:tr>
        <w:trPr>
          <w:trHeight w:val="1099"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四川子公司</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互联网信息技术服务；设计、制作、代理、发布广告（不</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5"/>
                <w:sz w:val="21"/>
                <w:szCs w:val="21"/>
              </w:rPr>
              <w:t>含气球广告）；信息技术服务；信息技术开发、技术咨</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询；网页设计；计算机、系统领域内的技术开发、技术</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服务、技术转让、技术咨询等</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8" w:right="0"/>
              <w:jc w:val="center"/>
              <w:rPr>
                <w:rFonts w:ascii="宋体" w:hAnsi="宋体" w:cs="宋体" w:eastAsia="宋体" w:hint="default"/>
                <w:sz w:val="21"/>
                <w:szCs w:val="21"/>
              </w:rPr>
            </w:pPr>
            <w:r>
              <w:rPr>
                <w:rFonts w:ascii="宋体"/>
                <w:sz w:val="21"/>
              </w:rPr>
              <w:t>2,600.00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4,115.65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2,726.12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4,176.83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75.96</w:t>
            </w:r>
          </w:p>
        </w:tc>
      </w:tr>
      <w:tr>
        <w:trPr>
          <w:trHeight w:val="554"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广东子公司</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网上动漫服务；网上新闻服务；增值电信服务（业务种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类以《增值电信业务经营许可证》载明内容为准）等</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2,600.00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3,581.60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2,898.60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2,563.15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249.24</w:t>
            </w:r>
          </w:p>
        </w:tc>
      </w:tr>
      <w:tr>
        <w:trPr>
          <w:trHeight w:val="281"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创业投资</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投资管理；财务咨询</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4,116.90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3,285.60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578.50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256.78</w:t>
            </w:r>
          </w:p>
        </w:tc>
      </w:tr>
      <w:tr>
        <w:trPr>
          <w:trHeight w:val="284"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亿连投资</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投资管理；投资咨询</w:t>
            </w:r>
          </w:p>
        </w:tc>
        <w:tc>
          <w:tcPr>
            <w:tcW w:w="910"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sz w:val="21"/>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center"/>
              <w:rPr>
                <w:rFonts w:ascii="宋体" w:hAnsi="宋体" w:cs="宋体" w:eastAsia="宋体" w:hint="default"/>
                <w:sz w:val="21"/>
                <w:szCs w:val="21"/>
              </w:rPr>
            </w:pPr>
            <w:r>
              <w:rPr>
                <w:rFonts w:ascii="宋体"/>
                <w:sz w:val="21"/>
              </w:rPr>
              <w:t>1,000.00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1,244.47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465.61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422.06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151.44</w:t>
            </w:r>
          </w:p>
        </w:tc>
      </w:tr>
      <w:tr>
        <w:trPr>
          <w:trHeight w:val="554"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科技公司</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技术开发、技术转让、技术咨询、技术服务；应用软件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服务等</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1,000.00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3,007.15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752.40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904.70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229.10</w:t>
            </w:r>
          </w:p>
        </w:tc>
      </w:tr>
      <w:tr>
        <w:trPr>
          <w:trHeight w:val="1644"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新华炫闻</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9"/>
                <w:sz w:val="21"/>
                <w:szCs w:val="21"/>
              </w:rPr>
              <w:t>从事互联网文化活动；技术开发、技术咨询、技术转让、</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技术服务；软件开发；设计、制作、代理、发布广告；</w:t>
            </w:r>
            <w:r>
              <w:rPr>
                <w:rFonts w:ascii="宋体" w:hAnsi="宋体" w:cs="宋体" w:eastAsia="宋体" w:hint="default"/>
                <w:w w:val="100"/>
                <w:sz w:val="21"/>
                <w:szCs w:val="21"/>
              </w:rPr>
              <w:t> </w:t>
            </w:r>
            <w:r>
              <w:rPr>
                <w:rFonts w:ascii="宋体" w:hAnsi="宋体" w:cs="宋体" w:eastAsia="宋体" w:hint="default"/>
                <w:sz w:val="21"/>
                <w:szCs w:val="21"/>
              </w:rPr>
              <w:t>市场调查；企业管理咨询；组织文化艺术交流活动</w:t>
            </w:r>
            <w:r>
              <w:rPr>
                <w:rFonts w:ascii="宋体" w:hAnsi="宋体" w:cs="宋体" w:eastAsia="宋体" w:hint="default"/>
                <w:sz w:val="21"/>
                <w:szCs w:val="21"/>
              </w:rPr>
              <w:t>(</w:t>
            </w:r>
            <w:r>
              <w:rPr>
                <w:rFonts w:ascii="宋体" w:hAnsi="宋体" w:cs="宋体" w:eastAsia="宋体" w:hint="default"/>
                <w:sz w:val="21"/>
                <w:szCs w:val="21"/>
              </w:rPr>
              <w:t>不</w:t>
            </w:r>
            <w:r>
              <w:rPr>
                <w:rFonts w:ascii="宋体" w:hAnsi="宋体" w:cs="宋体" w:eastAsia="宋体" w:hint="default"/>
                <w:spacing w:val="-69"/>
                <w:sz w:val="21"/>
                <w:szCs w:val="21"/>
              </w:rPr>
              <w:t> </w:t>
            </w:r>
            <w:r>
              <w:rPr>
                <w:rFonts w:ascii="宋体" w:hAnsi="宋体" w:cs="宋体" w:eastAsia="宋体" w:hint="default"/>
                <w:sz w:val="21"/>
                <w:szCs w:val="21"/>
              </w:rPr>
              <w:t>含演出</w:t>
            </w:r>
            <w:r>
              <w:rPr>
                <w:rFonts w:ascii="宋体" w:hAnsi="宋体" w:cs="宋体" w:eastAsia="宋体" w:hint="default"/>
                <w:sz w:val="21"/>
                <w:szCs w:val="21"/>
              </w:rPr>
              <w:t>)</w:t>
            </w:r>
            <w:r>
              <w:rPr>
                <w:rFonts w:ascii="宋体" w:hAnsi="宋体" w:cs="宋体" w:eastAsia="宋体" w:hint="default"/>
                <w:sz w:val="21"/>
                <w:szCs w:val="21"/>
              </w:rPr>
              <w:t>；文艺创作；承办展览展示活动；影视策划；</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9"/>
                <w:sz w:val="21"/>
                <w:szCs w:val="21"/>
              </w:rPr>
              <w:t>翻译服务；数据处理；计算机系统服务；基础软件服务；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应用软件服务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z w:val="21"/>
              </w:rPr>
              <w:t>100.00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8" w:right="0"/>
              <w:jc w:val="center"/>
              <w:rPr>
                <w:rFonts w:ascii="宋体" w:hAnsi="宋体" w:cs="宋体" w:eastAsia="宋体" w:hint="default"/>
                <w:sz w:val="21"/>
                <w:szCs w:val="21"/>
              </w:rPr>
            </w:pPr>
            <w:r>
              <w:rPr>
                <w:rFonts w:ascii="宋体"/>
                <w:sz w:val="21"/>
              </w:rPr>
              <w:t>3,000.00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2,879.59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z w:val="21"/>
              </w:rPr>
              <w:t>861.74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01"/>
              <w:jc w:val="right"/>
              <w:rPr>
                <w:rFonts w:ascii="宋体" w:hAnsi="宋体" w:cs="宋体" w:eastAsia="宋体" w:hint="default"/>
                <w:sz w:val="21"/>
                <w:szCs w:val="21"/>
              </w:rPr>
            </w:pPr>
            <w:r>
              <w:rPr>
                <w:rFonts w:ascii="宋体"/>
                <w:sz w:val="21"/>
              </w:rPr>
              <w:t>14.15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-138.26</w:t>
            </w:r>
          </w:p>
        </w:tc>
      </w:tr>
      <w:tr>
        <w:trPr>
          <w:trHeight w:val="555"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亿连科技</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互联网信息服务；设计、制作、代理、发布广告；技术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开发、技术转让、技术咨询、技术服务等</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80.00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 w:right="0"/>
              <w:jc w:val="center"/>
              <w:rPr>
                <w:rFonts w:ascii="宋体" w:hAnsi="宋体" w:cs="宋体" w:eastAsia="宋体" w:hint="default"/>
                <w:sz w:val="21"/>
                <w:szCs w:val="21"/>
              </w:rPr>
            </w:pPr>
            <w:r>
              <w:rPr>
                <w:rFonts w:ascii="宋体"/>
                <w:sz w:val="21"/>
              </w:rPr>
              <w:t>1,333.33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13,264.03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12,193.12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3,366.60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-743.66</w:t>
            </w:r>
          </w:p>
        </w:tc>
      </w:tr>
      <w:tr>
        <w:trPr>
          <w:trHeight w:val="110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新华康美</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企业管理咨询，股权投资，投资顾问，网上贸易，商务</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5"/>
                <w:sz w:val="21"/>
                <w:szCs w:val="21"/>
              </w:rPr>
              <w:t>信息咨询服务，健康养生信息咨询，广告业务，软件技</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术开发，计算机技术咨询服务，展示、展览策划，计算</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机软硬件及网络设备的研究开发，计算机产品、网络产</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43.00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12,000.00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10,565.09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10,552.80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60.46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-819.34</w:t>
            </w:r>
          </w:p>
        </w:tc>
      </w:tr>
    </w:tbl>
    <w:p>
      <w:pPr>
        <w:spacing w:after="0" w:line="240" w:lineRule="auto"/>
        <w:jc w:val="right"/>
        <w:rPr>
          <w:rFonts w:ascii="宋体" w:hAnsi="宋体" w:cs="宋体" w:eastAsia="宋体" w:hint="default"/>
          <w:sz w:val="21"/>
          <w:szCs w:val="21"/>
        </w:rPr>
        <w:sectPr>
          <w:type w:val="continuous"/>
          <w:pgSz w:w="16840" w:h="11910" w:orient="landscape"/>
          <w:pgMar w:top="1120" w:bottom="1380" w:left="108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325"/>
        <w:gridCol w:w="5187"/>
        <w:gridCol w:w="910"/>
        <w:gridCol w:w="948"/>
        <w:gridCol w:w="1162"/>
        <w:gridCol w:w="1208"/>
        <w:gridCol w:w="1277"/>
        <w:gridCol w:w="1133"/>
        <w:gridCol w:w="1220"/>
      </w:tblGrid>
      <w:tr>
        <w:trPr>
          <w:trHeight w:val="281" w:hRule="exact"/>
        </w:trPr>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107"/>
              <w:ind w:left="237"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5187"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07"/>
              <w:ind w:left="156"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208" w:type="dxa"/>
            <w:vMerge w:val="restart"/>
            <w:tcBorders>
              <w:top w:val="single" w:sz="4" w:space="0" w:color="000000"/>
              <w:left w:val="single" w:sz="4" w:space="0" w:color="000000"/>
              <w:right w:val="single" w:sz="4" w:space="0" w:color="000000"/>
            </w:tcBorders>
          </w:tcPr>
          <w:p>
            <w:pPr>
              <w:pStyle w:val="TableParagraph"/>
              <w:spacing w:line="240" w:lineRule="auto" w:before="107"/>
              <w:ind w:left="28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316"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7"/>
              <w:ind w:left="1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20" w:type="dxa"/>
            <w:vMerge w:val="restart"/>
            <w:tcBorders>
              <w:top w:val="single" w:sz="4" w:space="0" w:color="000000"/>
              <w:left w:val="single" w:sz="4" w:space="0" w:color="000000"/>
              <w:right w:val="single" w:sz="4" w:space="0" w:color="000000"/>
            </w:tcBorders>
          </w:tcPr>
          <w:p>
            <w:pPr>
              <w:pStyle w:val="TableParagraph"/>
              <w:spacing w:line="240" w:lineRule="auto" w:before="107"/>
              <w:ind w:left="288"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283" w:hRule="exact"/>
        </w:trPr>
        <w:tc>
          <w:tcPr>
            <w:tcW w:w="1325" w:type="dxa"/>
            <w:vMerge/>
            <w:tcBorders>
              <w:left w:val="single" w:sz="4" w:space="0" w:color="000000"/>
              <w:bottom w:val="single" w:sz="4" w:space="0" w:color="000000"/>
              <w:right w:val="single" w:sz="4" w:space="0" w:color="000000"/>
            </w:tcBorders>
          </w:tcPr>
          <w:p>
            <w:pPr/>
          </w:p>
        </w:tc>
        <w:tc>
          <w:tcPr>
            <w:tcW w:w="5187" w:type="dxa"/>
            <w:vMerge/>
            <w:tcBorders>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7"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9"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162" w:type="dxa"/>
            <w:vMerge/>
            <w:tcBorders>
              <w:left w:val="single" w:sz="4" w:space="0" w:color="000000"/>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20" w:type="dxa"/>
            <w:vMerge/>
            <w:tcBorders>
              <w:left w:val="single" w:sz="4" w:space="0" w:color="000000"/>
              <w:bottom w:val="single" w:sz="4" w:space="0" w:color="000000"/>
              <w:right w:val="single" w:sz="4" w:space="0" w:color="000000"/>
            </w:tcBorders>
          </w:tcPr>
          <w:p>
            <w:pPr/>
          </w:p>
        </w:tc>
      </w:tr>
      <w:tr>
        <w:trPr>
          <w:trHeight w:val="1373" w:hRule="exact"/>
        </w:trPr>
        <w:tc>
          <w:tcPr>
            <w:tcW w:w="1325" w:type="dxa"/>
            <w:tcBorders>
              <w:top w:val="single" w:sz="4" w:space="0" w:color="000000"/>
              <w:left w:val="single" w:sz="4" w:space="0" w:color="000000"/>
              <w:bottom w:val="single" w:sz="4" w:space="0" w:color="000000"/>
              <w:right w:val="single" w:sz="4" w:space="0" w:color="000000"/>
            </w:tcBorders>
          </w:tcPr>
          <w:p>
            <w:pP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品的销售，云计算、生物科技产品、保健食品的技术开</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5"/>
                <w:sz w:val="21"/>
                <w:szCs w:val="21"/>
              </w:rPr>
              <w:t>发，计算机软硬件、电子产品、一类医疗器械、家用血</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糖仪、血压计、体温计的技术开发、技术咨询，教育科</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研文献、教育软件的研究与开发，教育文化活动组织策</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划，教育信息咨询</w:t>
            </w:r>
          </w:p>
        </w:tc>
        <w:tc>
          <w:tcPr>
            <w:tcW w:w="910"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新华智云</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5"/>
                <w:sz w:val="21"/>
                <w:szCs w:val="21"/>
              </w:rPr>
              <w:t>计算机软硬件、网络技术、通信技术及产品、电子商务</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9"/>
                <w:sz w:val="21"/>
                <w:szCs w:val="21"/>
              </w:rPr>
              <w:t>平台的技术开发、技术推广、技术转让、技术咨询服务，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5"/>
                <w:sz w:val="21"/>
                <w:szCs w:val="21"/>
              </w:rPr>
              <w:t>培训服务，计算机软硬件的销售、租赁，增值电信业务</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5"/>
                <w:sz w:val="21"/>
                <w:szCs w:val="21"/>
              </w:rPr>
              <w:t>（凭许可证经营），计算机的系统集成，数据处理、数</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sz w:val="21"/>
                <w:szCs w:val="21"/>
              </w:rPr>
              <w:t>据存储的技术服务，设计、制作、发布、代理国内各类</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广告，会展服务，展览展示设计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8" w:right="0"/>
              <w:jc w:val="left"/>
              <w:rPr>
                <w:rFonts w:ascii="宋体" w:hAnsi="宋体" w:cs="宋体" w:eastAsia="宋体" w:hint="default"/>
                <w:sz w:val="21"/>
                <w:szCs w:val="21"/>
              </w:rPr>
            </w:pPr>
            <w:r>
              <w:rPr>
                <w:rFonts w:ascii="宋体"/>
                <w:sz w:val="21"/>
              </w:rPr>
              <w:t>40.80</w:t>
            </w:r>
          </w:p>
        </w:tc>
        <w:tc>
          <w:tcPr>
            <w:tcW w:w="94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sz w:val="21"/>
              </w:rPr>
              <w:t>49,019.61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55,659.14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53,421.15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2,315.35</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-3,286.03</w:t>
            </w:r>
          </w:p>
        </w:tc>
      </w:tr>
      <w:tr>
        <w:trPr>
          <w:trHeight w:val="3005"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sz w:val="21"/>
                <w:szCs w:val="21"/>
              </w:rPr>
              <w:t>新彩华章</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9"/>
                <w:sz w:val="21"/>
                <w:szCs w:val="21"/>
              </w:rPr>
              <w:t>技术开发、技术推广、技术转让、技术咨询、技术服务；</w:t>
            </w:r>
          </w:p>
          <w:p>
            <w:pPr>
              <w:pStyle w:val="TableParagraph"/>
              <w:spacing w:line="237" w:lineRule="auto"/>
              <w:ind w:left="103" w:right="-5"/>
              <w:jc w:val="left"/>
              <w:rPr>
                <w:rFonts w:ascii="宋体" w:hAnsi="宋体" w:cs="宋体" w:eastAsia="宋体" w:hint="default"/>
                <w:sz w:val="21"/>
                <w:szCs w:val="21"/>
              </w:rPr>
            </w:pPr>
            <w:r>
              <w:rPr>
                <w:rFonts w:ascii="宋体" w:hAnsi="宋体" w:cs="宋体" w:eastAsia="宋体" w:hint="default"/>
                <w:spacing w:val="-5"/>
                <w:sz w:val="21"/>
                <w:szCs w:val="21"/>
              </w:rPr>
              <w:t>销售自行开发的产品；计算机系统服务；数据处理（数</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据处理中的银行卡中心、</w:t>
            </w:r>
            <w:r>
              <w:rPr>
                <w:rFonts w:ascii="宋体" w:hAnsi="宋体" w:cs="宋体" w:eastAsia="宋体" w:hint="default"/>
                <w:spacing w:val="-3"/>
                <w:sz w:val="21"/>
                <w:szCs w:val="21"/>
              </w:rPr>
              <w:t>PUE</w:t>
            </w:r>
            <w:r>
              <w:rPr>
                <w:rFonts w:ascii="宋体" w:hAnsi="宋体" w:cs="宋体" w:eastAsia="宋体" w:hint="default"/>
                <w:spacing w:val="-50"/>
                <w:sz w:val="21"/>
                <w:szCs w:val="21"/>
              </w:rPr>
              <w:t> </w:t>
            </w:r>
            <w:r>
              <w:rPr>
                <w:rFonts w:ascii="宋体" w:hAnsi="宋体" w:cs="宋体" w:eastAsia="宋体" w:hint="default"/>
                <w:sz w:val="21"/>
                <w:szCs w:val="21"/>
              </w:rPr>
              <w:t>值在</w:t>
            </w:r>
            <w:r>
              <w:rPr>
                <w:rFonts w:ascii="宋体" w:hAnsi="宋体" w:cs="宋体" w:eastAsia="宋体" w:hint="default"/>
                <w:spacing w:val="-50"/>
                <w:sz w:val="21"/>
                <w:szCs w:val="21"/>
              </w:rPr>
              <w:t> </w:t>
            </w: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以上的云计算数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5"/>
                <w:sz w:val="21"/>
                <w:szCs w:val="21"/>
              </w:rPr>
              <w:t>据中心除外）；基础软件服务、应用软件服务；软件开</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发；软件咨询；产品设计；模型设计；包装装潢设计；</w:t>
            </w:r>
            <w:r>
              <w:rPr>
                <w:rFonts w:ascii="宋体" w:hAnsi="宋体" w:cs="宋体" w:eastAsia="宋体" w:hint="default"/>
                <w:w w:val="100"/>
                <w:sz w:val="21"/>
                <w:szCs w:val="21"/>
              </w:rPr>
              <w:t> </w:t>
            </w:r>
            <w:r>
              <w:rPr>
                <w:rFonts w:ascii="宋体" w:hAnsi="宋体" w:cs="宋体" w:eastAsia="宋体" w:hint="default"/>
                <w:spacing w:val="-9"/>
                <w:sz w:val="21"/>
                <w:szCs w:val="21"/>
              </w:rPr>
              <w:t>教育咨询（中介服务除外）；经济贸易咨询；文化咨询；</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体育咨询；公共关系服务；工艺美术设计；电脑动画设</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计；企业策划、设计；设计、制作、代理、发布广告；</w:t>
            </w:r>
            <w:r>
              <w:rPr>
                <w:rFonts w:ascii="宋体" w:hAnsi="宋体" w:cs="宋体" w:eastAsia="宋体" w:hint="default"/>
                <w:w w:val="100"/>
                <w:sz w:val="21"/>
                <w:szCs w:val="21"/>
              </w:rPr>
              <w:t> </w:t>
            </w:r>
            <w:r>
              <w:rPr>
                <w:rFonts w:ascii="宋体" w:hAnsi="宋体" w:cs="宋体" w:eastAsia="宋体" w:hint="default"/>
                <w:spacing w:val="-5"/>
                <w:sz w:val="21"/>
                <w:szCs w:val="21"/>
              </w:rPr>
              <w:t>市场调查；企业管理咨询；组织文化艺术交流活动（不</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5"/>
                <w:sz w:val="21"/>
                <w:szCs w:val="21"/>
              </w:rPr>
              <w:t>含营业性演出）；文艺创作；承办展览展示活动；会议</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服务；影视策划；翻译服务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68" w:right="0"/>
              <w:jc w:val="left"/>
              <w:rPr>
                <w:rFonts w:ascii="宋体" w:hAnsi="宋体" w:cs="宋体" w:eastAsia="宋体" w:hint="default"/>
                <w:sz w:val="21"/>
                <w:szCs w:val="21"/>
              </w:rPr>
            </w:pPr>
            <w:r>
              <w:rPr>
                <w:rFonts w:ascii="宋体"/>
                <w:sz w:val="21"/>
              </w:rPr>
              <w:t>40.00</w:t>
            </w:r>
          </w:p>
        </w:tc>
        <w:tc>
          <w:tcPr>
            <w:tcW w:w="948"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8" w:right="0"/>
              <w:jc w:val="center"/>
              <w:rPr>
                <w:rFonts w:ascii="宋体" w:hAnsi="宋体" w:cs="宋体" w:eastAsia="宋体" w:hint="default"/>
                <w:sz w:val="21"/>
                <w:szCs w:val="21"/>
              </w:rPr>
            </w:pPr>
            <w:r>
              <w:rPr>
                <w:rFonts w:ascii="宋体"/>
                <w:sz w:val="21"/>
              </w:rPr>
              <w:t>5,000.00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99"/>
              <w:jc w:val="right"/>
              <w:rPr>
                <w:rFonts w:ascii="宋体" w:hAnsi="宋体" w:cs="宋体" w:eastAsia="宋体" w:hint="default"/>
                <w:sz w:val="21"/>
                <w:szCs w:val="21"/>
              </w:rPr>
            </w:pPr>
            <w:r>
              <w:rPr>
                <w:rFonts w:ascii="宋体"/>
                <w:spacing w:val="-1"/>
                <w:sz w:val="21"/>
              </w:rPr>
              <w:t>2,289.45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98"/>
              <w:jc w:val="right"/>
              <w:rPr>
                <w:rFonts w:ascii="宋体" w:hAnsi="宋体" w:cs="宋体" w:eastAsia="宋体" w:hint="default"/>
                <w:sz w:val="21"/>
                <w:szCs w:val="21"/>
              </w:rPr>
            </w:pPr>
            <w:r>
              <w:rPr>
                <w:rFonts w:ascii="宋体"/>
                <w:spacing w:val="-1"/>
                <w:sz w:val="21"/>
              </w:rPr>
              <w:t>1,728.04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101"/>
              <w:jc w:val="right"/>
              <w:rPr>
                <w:rFonts w:ascii="宋体" w:hAnsi="宋体" w:cs="宋体" w:eastAsia="宋体" w:hint="default"/>
                <w:sz w:val="21"/>
                <w:szCs w:val="21"/>
              </w:rPr>
            </w:pPr>
            <w:r>
              <w:rPr>
                <w:rFonts w:ascii="宋体"/>
                <w:spacing w:val="-1"/>
                <w:sz w:val="21"/>
              </w:rPr>
              <w:t>1,425.41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right="98"/>
              <w:jc w:val="right"/>
              <w:rPr>
                <w:rFonts w:ascii="宋体" w:hAnsi="宋体" w:cs="宋体" w:eastAsia="宋体" w:hint="default"/>
                <w:sz w:val="21"/>
                <w:szCs w:val="21"/>
              </w:rPr>
            </w:pPr>
            <w:r>
              <w:rPr>
                <w:rFonts w:ascii="宋体"/>
                <w:sz w:val="21"/>
              </w:rPr>
              <w:t>245.83</w:t>
            </w:r>
          </w:p>
        </w:tc>
      </w:tr>
      <w:tr>
        <w:trPr>
          <w:trHeight w:val="555"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江苏瑞德</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6"/>
              <w:jc w:val="left"/>
              <w:rPr>
                <w:rFonts w:ascii="宋体" w:hAnsi="宋体" w:cs="宋体" w:eastAsia="宋体" w:hint="default"/>
                <w:sz w:val="21"/>
                <w:szCs w:val="21"/>
              </w:rPr>
            </w:pPr>
            <w:r>
              <w:rPr>
                <w:rFonts w:ascii="宋体" w:hAnsi="宋体" w:cs="宋体" w:eastAsia="宋体" w:hint="default"/>
                <w:w w:val="100"/>
                <w:sz w:val="21"/>
                <w:szCs w:val="21"/>
              </w:rPr>
              <w:t>电子</w:t>
            </w:r>
            <w:r>
              <w:rPr>
                <w:rFonts w:ascii="宋体" w:hAnsi="宋体" w:cs="宋体" w:eastAsia="宋体" w:hint="default"/>
                <w:spacing w:val="-3"/>
                <w:w w:val="100"/>
                <w:sz w:val="21"/>
                <w:szCs w:val="21"/>
              </w:rPr>
              <w:t>产</w:t>
            </w:r>
            <w:r>
              <w:rPr>
                <w:rFonts w:ascii="宋体" w:hAnsi="宋体" w:cs="宋体" w:eastAsia="宋体" w:hint="default"/>
                <w:w w:val="100"/>
                <w:sz w:val="21"/>
                <w:szCs w:val="21"/>
              </w:rPr>
              <w:t>品</w:t>
            </w:r>
            <w:r>
              <w:rPr>
                <w:rFonts w:ascii="宋体" w:hAnsi="宋体" w:cs="宋体" w:eastAsia="宋体" w:hint="default"/>
                <w:spacing w:val="-3"/>
                <w:w w:val="100"/>
                <w:sz w:val="21"/>
                <w:szCs w:val="21"/>
              </w:rPr>
              <w:t>及</w:t>
            </w:r>
            <w:r>
              <w:rPr>
                <w:rFonts w:ascii="宋体" w:hAnsi="宋体" w:cs="宋体" w:eastAsia="宋体" w:hint="default"/>
                <w:w w:val="100"/>
                <w:sz w:val="21"/>
                <w:szCs w:val="21"/>
              </w:rPr>
              <w:t>通</w:t>
            </w:r>
            <w:r>
              <w:rPr>
                <w:rFonts w:ascii="宋体" w:hAnsi="宋体" w:cs="宋体" w:eastAsia="宋体" w:hint="default"/>
                <w:spacing w:val="-3"/>
                <w:w w:val="100"/>
                <w:sz w:val="21"/>
                <w:szCs w:val="21"/>
              </w:rPr>
              <w:t>信</w:t>
            </w:r>
            <w:r>
              <w:rPr>
                <w:rFonts w:ascii="宋体" w:hAnsi="宋体" w:cs="宋体" w:eastAsia="宋体" w:hint="default"/>
                <w:w w:val="100"/>
                <w:sz w:val="21"/>
                <w:szCs w:val="21"/>
              </w:rPr>
              <w:t>设</w:t>
            </w:r>
            <w:r>
              <w:rPr>
                <w:rFonts w:ascii="宋体" w:hAnsi="宋体" w:cs="宋体" w:eastAsia="宋体" w:hint="default"/>
                <w:spacing w:val="-3"/>
                <w:w w:val="100"/>
                <w:sz w:val="21"/>
                <w:szCs w:val="21"/>
              </w:rPr>
              <w:t>备</w:t>
            </w:r>
            <w:r>
              <w:rPr>
                <w:rFonts w:ascii="宋体" w:hAnsi="宋体" w:cs="宋体" w:eastAsia="宋体" w:hint="default"/>
                <w:spacing w:val="-89"/>
                <w:w w:val="100"/>
                <w:sz w:val="21"/>
                <w:szCs w:val="21"/>
              </w:rPr>
              <w:t>、</w:t>
            </w:r>
            <w:r>
              <w:rPr>
                <w:rFonts w:ascii="宋体" w:hAnsi="宋体" w:cs="宋体" w:eastAsia="宋体" w:hint="default"/>
                <w:w w:val="100"/>
                <w:sz w:val="21"/>
                <w:szCs w:val="21"/>
              </w:rPr>
              <w:t>电</w:t>
            </w:r>
            <w:r>
              <w:rPr>
                <w:rFonts w:ascii="宋体" w:hAnsi="宋体" w:cs="宋体" w:eastAsia="宋体" w:hint="default"/>
                <w:spacing w:val="-3"/>
                <w:w w:val="100"/>
                <w:sz w:val="21"/>
                <w:szCs w:val="21"/>
              </w:rPr>
              <w:t>子</w:t>
            </w:r>
            <w:r>
              <w:rPr>
                <w:rFonts w:ascii="宋体" w:hAnsi="宋体" w:cs="宋体" w:eastAsia="宋体" w:hint="default"/>
                <w:w w:val="100"/>
                <w:sz w:val="21"/>
                <w:szCs w:val="21"/>
              </w:rPr>
              <w:t>计算</w:t>
            </w:r>
            <w:r>
              <w:rPr>
                <w:rFonts w:ascii="宋体" w:hAnsi="宋体" w:cs="宋体" w:eastAsia="宋体" w:hint="default"/>
                <w:spacing w:val="-3"/>
                <w:w w:val="100"/>
                <w:sz w:val="21"/>
                <w:szCs w:val="21"/>
              </w:rPr>
              <w:t>机</w:t>
            </w:r>
            <w:r>
              <w:rPr>
                <w:rFonts w:ascii="宋体" w:hAnsi="宋体" w:cs="宋体" w:eastAsia="宋体" w:hint="default"/>
                <w:w w:val="100"/>
                <w:sz w:val="21"/>
                <w:szCs w:val="21"/>
              </w:rPr>
              <w:t>及</w:t>
            </w:r>
            <w:r>
              <w:rPr>
                <w:rFonts w:ascii="宋体" w:hAnsi="宋体" w:cs="宋体" w:eastAsia="宋体" w:hint="default"/>
                <w:spacing w:val="-3"/>
                <w:w w:val="100"/>
                <w:sz w:val="21"/>
                <w:szCs w:val="21"/>
              </w:rPr>
              <w:t>配</w:t>
            </w:r>
            <w:r>
              <w:rPr>
                <w:rFonts w:ascii="宋体" w:hAnsi="宋体" w:cs="宋体" w:eastAsia="宋体" w:hint="default"/>
                <w:w w:val="100"/>
                <w:sz w:val="21"/>
                <w:szCs w:val="21"/>
              </w:rPr>
              <w:t>件</w:t>
            </w:r>
            <w:r>
              <w:rPr>
                <w:rFonts w:ascii="宋体" w:hAnsi="宋体" w:cs="宋体" w:eastAsia="宋体" w:hint="default"/>
                <w:spacing w:val="-3"/>
                <w:w w:val="100"/>
                <w:sz w:val="21"/>
                <w:szCs w:val="21"/>
              </w:rPr>
              <w:t>的</w:t>
            </w:r>
            <w:r>
              <w:rPr>
                <w:rFonts w:ascii="宋体" w:hAnsi="宋体" w:cs="宋体" w:eastAsia="宋体" w:hint="default"/>
                <w:w w:val="100"/>
                <w:sz w:val="21"/>
                <w:szCs w:val="21"/>
              </w:rPr>
              <w:t>生</w:t>
            </w:r>
            <w:r>
              <w:rPr>
                <w:rFonts w:ascii="宋体" w:hAnsi="宋体" w:cs="宋体" w:eastAsia="宋体" w:hint="default"/>
                <w:spacing w:val="-3"/>
                <w:w w:val="100"/>
                <w:sz w:val="21"/>
                <w:szCs w:val="21"/>
              </w:rPr>
              <w:t>产</w:t>
            </w:r>
            <w:r>
              <w:rPr>
                <w:rFonts w:ascii="宋体" w:hAnsi="宋体" w:cs="宋体" w:eastAsia="宋体" w:hint="default"/>
                <w:spacing w:val="-89"/>
                <w:w w:val="100"/>
                <w:sz w:val="21"/>
                <w:szCs w:val="21"/>
              </w:rPr>
              <w:t>、</w:t>
            </w:r>
            <w:r>
              <w:rPr>
                <w:rFonts w:ascii="宋体" w:hAnsi="宋体" w:cs="宋体" w:eastAsia="宋体" w:hint="default"/>
                <w:w w:val="100"/>
                <w:sz w:val="21"/>
                <w:szCs w:val="21"/>
              </w:rPr>
              <w:t>销</w:t>
            </w:r>
            <w:r>
              <w:rPr>
                <w:rFonts w:ascii="宋体" w:hAnsi="宋体" w:cs="宋体" w:eastAsia="宋体" w:hint="default"/>
                <w:spacing w:val="-3"/>
                <w:w w:val="100"/>
                <w:sz w:val="21"/>
                <w:szCs w:val="21"/>
              </w:rPr>
              <w:t>售</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计算机应用服务等</w:t>
            </w:r>
          </w:p>
        </w:tc>
        <w:tc>
          <w:tcPr>
            <w:tcW w:w="910"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37.15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3,500.00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3,549.90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3,091.24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2,668.53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-84.38</w:t>
            </w:r>
          </w:p>
        </w:tc>
      </w:tr>
      <w:tr>
        <w:trPr>
          <w:trHeight w:val="554"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海南亿连</w:t>
            </w:r>
          </w:p>
        </w:tc>
        <w:tc>
          <w:tcPr>
            <w:tcW w:w="51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9"/>
                <w:sz w:val="21"/>
                <w:szCs w:val="21"/>
              </w:rPr>
              <w:t>计算机数据技术开发、技术服务、技术咨询、技术转让；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软件开发、咨询、产品设计；数据处理和存储服务等</w:t>
            </w:r>
          </w:p>
        </w:tc>
        <w:tc>
          <w:tcPr>
            <w:tcW w:w="910"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1,000.00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z w:val="21"/>
              </w:rPr>
              <w:t>636.63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628.71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37.74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-144.15</w:t>
            </w:r>
          </w:p>
        </w:tc>
      </w:tr>
    </w:tbl>
    <w:p>
      <w:pPr>
        <w:spacing w:after="0" w:line="240" w:lineRule="auto"/>
        <w:jc w:val="right"/>
        <w:rPr>
          <w:rFonts w:ascii="宋体" w:hAnsi="宋体" w:cs="宋体" w:eastAsia="宋体" w:hint="default"/>
          <w:sz w:val="21"/>
          <w:szCs w:val="21"/>
        </w:rPr>
        <w:sectPr>
          <w:pgSz w:w="16840" w:h="11910" w:orient="landscape"/>
          <w:pgMar w:header="882" w:footer="1195" w:top="1120" w:bottom="1380" w:left="108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73" w:lineRule="exact" w:before="178"/>
        <w:ind w:left="220" w:right="0"/>
        <w:jc w:val="left"/>
      </w:pPr>
      <w:r>
        <w:rPr>
          <w:rFonts w:ascii="宋体" w:hAnsi="宋体" w:cs="宋体" w:eastAsia="宋体" w:hint="default"/>
        </w:rPr>
        <w:t>2</w:t>
      </w:r>
      <w:r>
        <w:rPr/>
        <w:t>、报告期内，公司主要境外控股、参股公司基本信息及主要财务数据信息如下表所示：</w:t>
      </w:r>
    </w:p>
    <w:p>
      <w:pPr>
        <w:pStyle w:val="BodyText"/>
        <w:spacing w:line="273" w:lineRule="exact"/>
        <w:ind w:left="0" w:right="219"/>
        <w:jc w:val="right"/>
      </w:pPr>
      <w:r>
        <w:rPr>
          <w:spacing w:val="-1"/>
        </w:rPr>
        <w:t>单位：万元</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237"/>
        <w:gridCol w:w="1983"/>
        <w:gridCol w:w="991"/>
        <w:gridCol w:w="994"/>
        <w:gridCol w:w="1841"/>
        <w:gridCol w:w="1421"/>
        <w:gridCol w:w="1558"/>
        <w:gridCol w:w="1560"/>
        <w:gridCol w:w="1505"/>
      </w:tblGrid>
      <w:tr>
        <w:trPr>
          <w:trHeight w:val="406" w:hRule="exact"/>
        </w:trPr>
        <w:tc>
          <w:tcPr>
            <w:tcW w:w="223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9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98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4"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0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408" w:hRule="exact"/>
        </w:trPr>
        <w:tc>
          <w:tcPr>
            <w:tcW w:w="2237" w:type="dxa"/>
            <w:vMerge/>
            <w:tcBorders>
              <w:left w:val="single" w:sz="4" w:space="0" w:color="000000"/>
              <w:bottom w:val="single" w:sz="4" w:space="0" w:color="000000"/>
              <w:right w:val="single" w:sz="4" w:space="0" w:color="000000"/>
            </w:tcBorders>
          </w:tcPr>
          <w:p>
            <w:pPr/>
          </w:p>
        </w:tc>
        <w:tc>
          <w:tcPr>
            <w:tcW w:w="1983"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0"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41"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505" w:type="dxa"/>
            <w:vMerge/>
            <w:tcBorders>
              <w:left w:val="single" w:sz="4" w:space="0" w:color="000000"/>
              <w:bottom w:val="single" w:sz="4" w:space="0" w:color="000000"/>
              <w:right w:val="single" w:sz="4" w:space="0" w:color="000000"/>
            </w:tcBorders>
          </w:tcPr>
          <w:p>
            <w:pPr/>
          </w:p>
        </w:tc>
      </w:tr>
      <w:tr>
        <w:trPr>
          <w:trHeight w:val="406"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新华网欧洲公司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新闻信息服务等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7" w:right="0"/>
              <w:jc w:val="left"/>
              <w:rPr>
                <w:rFonts w:ascii="宋体" w:hAnsi="宋体" w:cs="宋体" w:eastAsia="宋体" w:hint="default"/>
                <w:sz w:val="21"/>
                <w:szCs w:val="21"/>
              </w:rPr>
            </w:pPr>
            <w:r>
              <w:rPr>
                <w:rFonts w:ascii="宋体"/>
                <w:sz w:val="21"/>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z w:val="21"/>
                <w:szCs w:val="21"/>
              </w:rPr>
              <w:t>50.00</w:t>
            </w:r>
            <w:r>
              <w:rPr>
                <w:rFonts w:ascii="宋体" w:hAnsi="宋体" w:cs="宋体" w:eastAsia="宋体" w:hint="default"/>
                <w:spacing w:val="-52"/>
                <w:sz w:val="21"/>
                <w:szCs w:val="21"/>
              </w:rPr>
              <w:t> </w:t>
            </w:r>
            <w:r>
              <w:rPr>
                <w:rFonts w:ascii="宋体" w:hAnsi="宋体" w:cs="宋体" w:eastAsia="宋体" w:hint="default"/>
                <w:sz w:val="21"/>
                <w:szCs w:val="21"/>
              </w:rPr>
              <w:t>万欧元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1,129.05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568.95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614.93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93.57</w:t>
            </w:r>
          </w:p>
        </w:tc>
      </w:tr>
      <w:tr>
        <w:trPr>
          <w:trHeight w:val="409"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欧洲传播与运营中心</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1"/>
                <w:szCs w:val="21"/>
              </w:rPr>
            </w:pPr>
            <w:r>
              <w:rPr>
                <w:rFonts w:ascii="宋体" w:hAnsi="宋体" w:cs="宋体" w:eastAsia="宋体" w:hint="default"/>
                <w:sz w:val="21"/>
                <w:szCs w:val="21"/>
              </w:rPr>
              <w:t>新闻信息服务等</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9" w:right="0"/>
              <w:jc w:val="left"/>
              <w:rPr>
                <w:rFonts w:ascii="宋体" w:hAnsi="宋体" w:cs="宋体" w:eastAsia="宋体" w:hint="default"/>
                <w:sz w:val="21"/>
                <w:szCs w:val="21"/>
              </w:rPr>
            </w:pPr>
            <w:r>
              <w:rPr>
                <w:rFonts w:ascii="宋体"/>
                <w:sz w:val="21"/>
              </w:rPr>
              <w:t>100.00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2"/>
                <w:sz w:val="21"/>
                <w:szCs w:val="21"/>
              </w:rPr>
              <w:t> </w:t>
            </w:r>
            <w:r>
              <w:rPr>
                <w:rFonts w:ascii="宋体" w:hAnsi="宋体" w:cs="宋体" w:eastAsia="宋体" w:hint="default"/>
                <w:sz w:val="21"/>
                <w:szCs w:val="21"/>
              </w:rPr>
              <w:t>万欧元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hAnsi="宋体" w:cs="宋体" w:eastAsia="宋体" w:hint="default"/>
                <w:sz w:val="21"/>
                <w:szCs w:val="21"/>
              </w:rPr>
              <w:t>24.04</w:t>
            </w:r>
            <w:r>
              <w:rPr>
                <w:rFonts w:ascii="宋体" w:hAnsi="宋体" w:cs="宋体" w:eastAsia="宋体" w:hint="default"/>
                <w:spacing w:val="-54"/>
                <w:sz w:val="21"/>
                <w:szCs w:val="21"/>
              </w:rPr>
              <w:t> </w:t>
            </w:r>
            <w:r>
              <w:rPr>
                <w:rFonts w:ascii="宋体" w:hAnsi="宋体" w:cs="宋体" w:eastAsia="宋体" w:hint="default"/>
                <w:sz w:val="21"/>
                <w:szCs w:val="21"/>
              </w:rPr>
              <w:t>万欧元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hAnsi="宋体" w:cs="宋体" w:eastAsia="宋体" w:hint="default"/>
                <w:sz w:val="21"/>
                <w:szCs w:val="21"/>
              </w:rPr>
              <w:t>23.89</w:t>
            </w:r>
            <w:r>
              <w:rPr>
                <w:rFonts w:ascii="宋体" w:hAnsi="宋体" w:cs="宋体" w:eastAsia="宋体" w:hint="default"/>
                <w:spacing w:val="-51"/>
                <w:sz w:val="21"/>
                <w:szCs w:val="21"/>
              </w:rPr>
              <w:t> </w:t>
            </w:r>
            <w:r>
              <w:rPr>
                <w:rFonts w:ascii="宋体" w:hAnsi="宋体" w:cs="宋体" w:eastAsia="宋体" w:hint="default"/>
                <w:sz w:val="21"/>
                <w:szCs w:val="21"/>
              </w:rPr>
              <w:t>万欧元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z w:val="21"/>
                <w:szCs w:val="21"/>
              </w:rPr>
              <w:t>万欧元</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宋体" w:hAnsi="宋体" w:cs="宋体" w:eastAsia="宋体" w:hint="default"/>
                <w:sz w:val="21"/>
                <w:szCs w:val="21"/>
              </w:rPr>
            </w:pPr>
            <w:r>
              <w:rPr>
                <w:rFonts w:ascii="宋体" w:hAnsi="宋体" w:cs="宋体" w:eastAsia="宋体" w:hint="default"/>
                <w:sz w:val="21"/>
                <w:szCs w:val="21"/>
              </w:rPr>
              <w:t>0.27</w:t>
            </w:r>
            <w:r>
              <w:rPr>
                <w:rFonts w:ascii="宋体" w:hAnsi="宋体" w:cs="宋体" w:eastAsia="宋体" w:hint="default"/>
                <w:spacing w:val="-52"/>
                <w:sz w:val="21"/>
                <w:szCs w:val="21"/>
              </w:rPr>
              <w:t> </w:t>
            </w:r>
            <w:r>
              <w:rPr>
                <w:rFonts w:ascii="宋体" w:hAnsi="宋体" w:cs="宋体" w:eastAsia="宋体" w:hint="default"/>
                <w:sz w:val="21"/>
                <w:szCs w:val="21"/>
              </w:rPr>
              <w:t>万欧元</w:t>
            </w:r>
          </w:p>
        </w:tc>
      </w:tr>
      <w:tr>
        <w:trPr>
          <w:trHeight w:val="408"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北美子公司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互联网信息服务等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7" w:right="0"/>
              <w:jc w:val="left"/>
              <w:rPr>
                <w:rFonts w:ascii="宋体" w:hAnsi="宋体" w:cs="宋体" w:eastAsia="宋体" w:hint="default"/>
                <w:sz w:val="21"/>
                <w:szCs w:val="21"/>
              </w:rPr>
            </w:pPr>
            <w:r>
              <w:rPr>
                <w:rFonts w:ascii="宋体"/>
                <w:sz w:val="21"/>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z w:val="21"/>
                <w:szCs w:val="21"/>
              </w:rPr>
              <w:t>120.00</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870.00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839.09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302.98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43.06</w:t>
            </w:r>
          </w:p>
        </w:tc>
      </w:tr>
      <w:tr>
        <w:trPr>
          <w:trHeight w:val="406" w:hRule="exact"/>
        </w:trPr>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亚太子公司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互联网信息服务等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7" w:right="0"/>
              <w:jc w:val="left"/>
              <w:rPr>
                <w:rFonts w:ascii="宋体" w:hAnsi="宋体" w:cs="宋体" w:eastAsia="宋体" w:hint="default"/>
                <w:sz w:val="21"/>
                <w:szCs w:val="21"/>
              </w:rPr>
            </w:pPr>
            <w:r>
              <w:rPr>
                <w:rFonts w:ascii="宋体"/>
                <w:sz w:val="21"/>
              </w:rPr>
              <w:t>100.00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sz w:val="21"/>
                <w:szCs w:val="21"/>
              </w:rPr>
              <w:t>1,000.00</w:t>
            </w:r>
            <w:r>
              <w:rPr>
                <w:rFonts w:ascii="宋体" w:hAnsi="宋体" w:cs="宋体" w:eastAsia="宋体" w:hint="default"/>
                <w:spacing w:val="-53"/>
                <w:sz w:val="21"/>
                <w:szCs w:val="21"/>
              </w:rPr>
              <w:t> </w:t>
            </w:r>
            <w:r>
              <w:rPr>
                <w:rFonts w:ascii="宋体" w:hAnsi="宋体" w:cs="宋体" w:eastAsia="宋体" w:hint="default"/>
                <w:sz w:val="21"/>
                <w:szCs w:val="21"/>
              </w:rPr>
              <w:t>万港币</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1,764.02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854.33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515.61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-22.66</w:t>
            </w:r>
          </w:p>
        </w:tc>
      </w:tr>
    </w:tbl>
    <w:p>
      <w:pPr>
        <w:spacing w:line="240" w:lineRule="auto" w:before="7"/>
        <w:rPr>
          <w:rFonts w:ascii="宋体" w:hAnsi="宋体" w:cs="宋体" w:eastAsia="宋体" w:hint="default"/>
          <w:sz w:val="15"/>
          <w:szCs w:val="15"/>
        </w:rPr>
      </w:pPr>
    </w:p>
    <w:p>
      <w:pPr>
        <w:pStyle w:val="BodyText"/>
        <w:spacing w:line="240" w:lineRule="auto" w:before="36"/>
        <w:ind w:left="220" w:right="0"/>
        <w:jc w:val="left"/>
      </w:pPr>
      <w:r>
        <w:rPr/>
        <w:t>注：上表如未特殊标注，币种为人民币，单位为万元。</w:t>
      </w:r>
    </w:p>
    <w:p>
      <w:pPr>
        <w:spacing w:after="0" w:line="240" w:lineRule="auto"/>
        <w:jc w:val="left"/>
        <w:sectPr>
          <w:pgSz w:w="16840" w:h="11910" w:orient="landscape"/>
          <w:pgMar w:header="882" w:footer="1195" w:top="1120" w:bottom="1380" w:left="1220" w:right="1300"/>
        </w:sectPr>
      </w:pPr>
    </w:p>
    <w:p>
      <w:pPr>
        <w:spacing w:line="240" w:lineRule="auto" w:before="4"/>
        <w:rPr>
          <w:rFonts w:ascii="宋体" w:hAnsi="宋体" w:cs="宋体" w:eastAsia="宋体" w:hint="default"/>
          <w:sz w:val="25"/>
          <w:szCs w:val="25"/>
        </w:rPr>
      </w:pPr>
    </w:p>
    <w:p>
      <w:pPr>
        <w:pStyle w:val="Heading2"/>
        <w:tabs>
          <w:tab w:pos="977" w:val="left" w:leader="none"/>
        </w:tabs>
        <w:spacing w:line="240" w:lineRule="auto"/>
        <w:ind w:left="138" w:right="125"/>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tabs>
          <w:tab w:pos="977" w:val="left" w:leader="none"/>
        </w:tabs>
        <w:spacing w:line="290" w:lineRule="auto" w:before="58"/>
        <w:ind w:left="138" w:right="516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三、公司关于公司未来发展的讨论与分析</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行业格局和趋势</w:t>
      </w:r>
      <w:r>
        <w:rPr>
          <w:rFonts w:ascii="宋体" w:hAnsi="宋体" w:cs="宋体" w:eastAsia="宋体" w:hint="default"/>
          <w:sz w:val="21"/>
          <w:szCs w:val="21"/>
        </w:rPr>
      </w:r>
    </w:p>
    <w:p>
      <w:pPr>
        <w:pStyle w:val="BodyText"/>
        <w:tabs>
          <w:tab w:pos="980" w:val="left" w:leader="none"/>
        </w:tabs>
        <w:spacing w:line="309" w:lineRule="auto" w:before="12"/>
        <w:ind w:left="558" w:right="137" w:hanging="420"/>
        <w:jc w:val="left"/>
      </w:pPr>
      <w:r>
        <w:rPr>
          <w:spacing w:val="-1"/>
        </w:rPr>
        <w:t>√适用</w:t>
        <w:tab/>
      </w:r>
      <w:r>
        <w:rPr>
          <w:spacing w:val="-2"/>
        </w:rPr>
        <w:t>□不适用</w:t>
      </w:r>
      <w:r>
        <w:rPr>
          <w:spacing w:val="-99"/>
        </w:rPr>
        <w:t> </w:t>
      </w:r>
      <w:r>
        <w:rPr>
          <w:spacing w:val="-99"/>
        </w:rPr>
      </w:r>
      <w:r>
        <w:rPr/>
        <w:t>随着数字中国建设的推进和网络强国战略的实施，公司所处行业呈现以下特点：</w:t>
      </w:r>
      <w:r>
        <w:rPr>
          <w:w w:val="100"/>
        </w:rPr>
        <w:t> </w:t>
      </w:r>
      <w:r>
        <w:rPr>
          <w:spacing w:val="-2"/>
        </w:rPr>
        <w:t>第一，媒体融合向纵深发展，主流媒体加快进军互联网“主战场”。习近平总书记强调，全</w:t>
      </w:r>
    </w:p>
    <w:p>
      <w:pPr>
        <w:pStyle w:val="BodyText"/>
        <w:spacing w:line="314" w:lineRule="auto" w:before="24"/>
        <w:ind w:left="138" w:right="137"/>
        <w:jc w:val="both"/>
      </w:pPr>
      <w:r>
        <w:rPr>
          <w:spacing w:val="-2"/>
        </w:rPr>
        <w:t>媒体不断发展，出现了全程媒体、全息媒体、全员媒体、全效媒体，信息无处不在、无所不及、</w:t>
      </w:r>
      <w:r>
        <w:rPr>
          <w:spacing w:val="-25"/>
        </w:rPr>
        <w:t> </w:t>
      </w:r>
      <w:r>
        <w:rPr>
          <w:spacing w:val="-25"/>
        </w:rPr>
      </w:r>
      <w:r>
        <w:rPr>
          <w:spacing w:val="-2"/>
        </w:rPr>
        <w:t>无人不用，导致舆论生态、媒体格局、传播方式发生深刻变化，新闻舆论工作面临新的挑战。随</w:t>
      </w:r>
      <w:r>
        <w:rPr>
          <w:spacing w:val="-25"/>
        </w:rPr>
        <w:t> </w:t>
      </w:r>
      <w:r>
        <w:rPr>
          <w:spacing w:val="-25"/>
        </w:rPr>
      </w:r>
      <w:r>
        <w:rPr>
          <w:spacing w:val="-2"/>
        </w:rPr>
        <w:t>着媒体融合进入下半场，全国媒体加快向“融为一体、合而为一”的深度融合迈进，更加重视互</w:t>
      </w:r>
      <w:r>
        <w:rPr>
          <w:spacing w:val="-25"/>
        </w:rPr>
        <w:t> </w:t>
      </w:r>
      <w:r>
        <w:rPr>
          <w:spacing w:val="-25"/>
        </w:rPr>
      </w:r>
      <w:r>
        <w:rPr>
          <w:spacing w:val="-2"/>
        </w:rPr>
        <w:t>联网这个舆论传播的主战场，打造出一批覆盖广泛、形态多样、手段先进的新型互联网传播平台</w:t>
      </w:r>
      <w:r>
        <w:rPr>
          <w:spacing w:val="-25"/>
        </w:rPr>
        <w:t> </w:t>
      </w:r>
      <w:r>
        <w:rPr>
          <w:spacing w:val="-25"/>
        </w:rPr>
      </w:r>
      <w:r>
        <w:rPr/>
        <w:t>和资讯应用。</w:t>
      </w:r>
    </w:p>
    <w:p>
      <w:pPr>
        <w:pStyle w:val="BodyText"/>
        <w:spacing w:line="314" w:lineRule="auto" w:before="20"/>
        <w:ind w:left="138" w:right="130" w:firstLine="419"/>
        <w:jc w:val="both"/>
      </w:pPr>
      <w:r>
        <w:rPr>
          <w:spacing w:val="-3"/>
        </w:rPr>
        <w:t>第二，数字经济蓬勃发展，数字内容产业逐渐成为新的增长点。</w:t>
      </w:r>
      <w:r>
        <w:rPr>
          <w:rFonts w:ascii="宋体" w:hAnsi="宋体" w:cs="宋体" w:eastAsia="宋体" w:hint="default"/>
          <w:spacing w:val="-3"/>
        </w:rPr>
        <w:t>2017</w:t>
      </w:r>
      <w:r>
        <w:rPr>
          <w:rFonts w:ascii="宋体" w:hAnsi="宋体" w:cs="宋体" w:eastAsia="宋体" w:hint="default"/>
          <w:spacing w:val="-2"/>
        </w:rPr>
        <w:t> </w:t>
      </w:r>
      <w:r>
        <w:rPr>
          <w:spacing w:val="-3"/>
        </w:rPr>
        <w:t>年，我国数字经济总量</w:t>
      </w:r>
      <w:r>
        <w:rPr>
          <w:w w:val="100"/>
        </w:rPr>
        <w:t> </w:t>
      </w:r>
      <w:r>
        <w:rPr/>
        <w:t>已达到</w:t>
      </w:r>
      <w:r>
        <w:rPr>
          <w:spacing w:val="-54"/>
        </w:rPr>
        <w:t> </w:t>
      </w:r>
      <w:r>
        <w:rPr>
          <w:rFonts w:ascii="宋体" w:hAnsi="宋体" w:cs="宋体" w:eastAsia="宋体" w:hint="default"/>
        </w:rPr>
        <w:t>27.2</w:t>
      </w:r>
      <w:r>
        <w:rPr>
          <w:rFonts w:ascii="宋体" w:hAnsi="宋体" w:cs="宋体" w:eastAsia="宋体" w:hint="default"/>
          <w:spacing w:val="-54"/>
        </w:rPr>
        <w:t> </w:t>
      </w:r>
      <w:r>
        <w:rPr/>
        <w:t>万亿元，占到</w:t>
      </w:r>
      <w:r>
        <w:rPr>
          <w:spacing w:val="-53"/>
        </w:rPr>
        <w:t> </w:t>
      </w:r>
      <w:r>
        <w:rPr>
          <w:rFonts w:ascii="宋体" w:hAnsi="宋体" w:cs="宋体" w:eastAsia="宋体" w:hint="default"/>
        </w:rPr>
        <w:t>GDP</w:t>
      </w:r>
      <w:r>
        <w:rPr>
          <w:rFonts w:ascii="宋体" w:hAnsi="宋体" w:cs="宋体" w:eastAsia="宋体" w:hint="default"/>
          <w:spacing w:val="-56"/>
        </w:rPr>
        <w:t> </w:t>
      </w:r>
      <w:r>
        <w:rPr/>
        <w:t>比重的</w:t>
      </w:r>
      <w:r>
        <w:rPr>
          <w:spacing w:val="-54"/>
        </w:rPr>
        <w:t> </w:t>
      </w:r>
      <w:r>
        <w:rPr>
          <w:rFonts w:ascii="宋体" w:hAnsi="宋体" w:cs="宋体" w:eastAsia="宋体" w:hint="default"/>
        </w:rPr>
        <w:t>32.9%</w:t>
      </w:r>
      <w:r>
        <w:rPr/>
        <w:t>，对</w:t>
      </w:r>
      <w:r>
        <w:rPr>
          <w:spacing w:val="-56"/>
        </w:rPr>
        <w:t> </w:t>
      </w:r>
      <w:r>
        <w:rPr>
          <w:rFonts w:ascii="宋体" w:hAnsi="宋体" w:cs="宋体" w:eastAsia="宋体" w:hint="default"/>
        </w:rPr>
        <w:t>GDP</w:t>
      </w:r>
      <w:r>
        <w:rPr>
          <w:rFonts w:ascii="宋体" w:hAnsi="宋体" w:cs="宋体" w:eastAsia="宋体" w:hint="default"/>
          <w:spacing w:val="-53"/>
        </w:rPr>
        <w:t> </w:t>
      </w:r>
      <w:r>
        <w:rPr/>
        <w:t>增长的贡献率已达</w:t>
      </w:r>
      <w:r>
        <w:rPr>
          <w:spacing w:val="-54"/>
        </w:rPr>
        <w:t> </w:t>
      </w:r>
      <w:r>
        <w:rPr>
          <w:rFonts w:ascii="宋体" w:hAnsi="宋体" w:cs="宋体" w:eastAsia="宋体" w:hint="default"/>
        </w:rPr>
        <w:t>55%</w:t>
      </w:r>
      <w:r>
        <w:rPr/>
        <w:t>，正在成为我国高质</w:t>
      </w:r>
      <w:r>
        <w:rPr>
          <w:w w:val="100"/>
        </w:rPr>
        <w:t> </w:t>
      </w:r>
      <w:r>
        <w:rPr>
          <w:spacing w:val="-2"/>
        </w:rPr>
        <w:t>量发展的新引擎和新动能。其中，数字内容产业作为信息技术与文化创意高度融合的产业形式，</w:t>
      </w:r>
      <w:r>
        <w:rPr>
          <w:spacing w:val="-25"/>
        </w:rPr>
        <w:t> </w:t>
      </w:r>
      <w:r>
        <w:rPr>
          <w:spacing w:val="-25"/>
        </w:rPr>
      </w:r>
      <w:r>
        <w:rPr>
          <w:spacing w:val="-2"/>
        </w:rPr>
        <w:t>随着技术应用发展、产业结构调整、信息消费升级等进入发展的快车道，并进一步体现出融合化</w:t>
      </w:r>
      <w:r>
        <w:rPr>
          <w:spacing w:val="-25"/>
        </w:rPr>
        <w:t> </w:t>
      </w:r>
      <w:r>
        <w:rPr>
          <w:spacing w:val="-25"/>
        </w:rPr>
      </w:r>
      <w:r>
        <w:rPr/>
        <w:t>的特征，为兼具技术优势和内容优势的互联网文化企业带来了新的机遇。</w:t>
      </w:r>
    </w:p>
    <w:p>
      <w:pPr>
        <w:pStyle w:val="BodyText"/>
        <w:spacing w:line="314" w:lineRule="auto" w:before="20"/>
        <w:ind w:left="138" w:right="137" w:firstLine="419"/>
        <w:jc w:val="both"/>
      </w:pPr>
      <w:r>
        <w:rPr>
          <w:spacing w:val="-2"/>
        </w:rPr>
        <w:t>第三，人工智能技术加速落地，应用范围不断扩大。人工智能领域在技术研发和产业应用层</w:t>
      </w:r>
      <w:r>
        <w:rPr>
          <w:w w:val="100"/>
        </w:rPr>
        <w:t> </w:t>
      </w:r>
      <w:r>
        <w:rPr>
          <w:spacing w:val="-2"/>
        </w:rPr>
        <w:t>面均取得突出成果，在民生服务、社会治理、公共安全等领域，金融、教育、健康、零售、汽车</w:t>
      </w:r>
      <w:r>
        <w:rPr>
          <w:spacing w:val="-25"/>
        </w:rPr>
        <w:t> </w:t>
      </w:r>
      <w:r>
        <w:rPr>
          <w:spacing w:val="-25"/>
        </w:rPr>
      </w:r>
      <w:r>
        <w:rPr>
          <w:spacing w:val="-2"/>
        </w:rPr>
        <w:t>等行业的落地初见成效。在媒体领域，人工智能也更加广泛地运用在新闻采集、生产、分发、接</w:t>
      </w:r>
      <w:r>
        <w:rPr>
          <w:spacing w:val="-25"/>
        </w:rPr>
        <w:t> </w:t>
      </w:r>
      <w:r>
        <w:rPr>
          <w:spacing w:val="-25"/>
        </w:rPr>
      </w:r>
      <w:r>
        <w:rPr/>
        <w:t>收、反馈等各个环节，帮助主流媒体全面提高舆论引导能力。</w:t>
      </w:r>
    </w:p>
    <w:p>
      <w:pPr>
        <w:pStyle w:val="BodyText"/>
        <w:spacing w:line="314" w:lineRule="auto" w:before="20"/>
        <w:ind w:left="138" w:right="128" w:firstLine="419"/>
        <w:jc w:val="both"/>
      </w:pPr>
      <w:r>
        <w:rPr>
          <w:spacing w:val="-3"/>
        </w:rPr>
        <w:t>第四，网络综合治理体系进一步完善，有利于促进行业健康有序发展。</w:t>
      </w:r>
      <w:r>
        <w:rPr>
          <w:rFonts w:ascii="宋体" w:hAnsi="宋体" w:cs="宋体" w:eastAsia="宋体" w:hint="default"/>
          <w:spacing w:val="-3"/>
        </w:rPr>
        <w:t>2018</w:t>
      </w:r>
      <w:r>
        <w:rPr>
          <w:rFonts w:ascii="宋体" w:hAnsi="宋体" w:cs="宋体" w:eastAsia="宋体" w:hint="default"/>
          <w:spacing w:val="2"/>
        </w:rPr>
        <w:t> </w:t>
      </w:r>
      <w:r>
        <w:rPr>
          <w:spacing w:val="-4"/>
        </w:rPr>
        <w:t>年，《微博客信</w:t>
      </w:r>
      <w:r>
        <w:rPr>
          <w:w w:val="100"/>
        </w:rPr>
        <w:t> </w:t>
      </w:r>
      <w:r>
        <w:rPr>
          <w:spacing w:val="-6"/>
          <w:w w:val="100"/>
        </w:rPr>
        <w:t>息服务管理规定》《关于严格规范网络游戏市场管理的意见》等相继出台，行业主管部门开展“清</w:t>
      </w:r>
      <w:r>
        <w:rPr>
          <w:spacing w:val="-104"/>
          <w:w w:val="100"/>
        </w:rPr>
        <w:t> </w:t>
      </w:r>
      <w:r>
        <w:rPr>
          <w:spacing w:val="-104"/>
          <w:w w:val="100"/>
        </w:rPr>
      </w:r>
      <w:r>
        <w:rPr>
          <w:spacing w:val="-2"/>
        </w:rPr>
        <w:t>朗”“剑网”“网上扫黄打非”等专项行动，针对网络侵权盗版行为、炒作明星绯闻隐私和娱乐</w:t>
      </w:r>
      <w:r>
        <w:rPr>
          <w:spacing w:val="-26"/>
        </w:rPr>
        <w:t> </w:t>
      </w:r>
      <w:r>
        <w:rPr>
          <w:spacing w:val="-26"/>
        </w:rPr>
      </w:r>
      <w:r>
        <w:rPr>
          <w:spacing w:val="-2"/>
        </w:rPr>
        <w:t>八卦等低俗之风及自媒体账号、网络直播平台、网络短视频行业等进行专项清理整治，充分运用</w:t>
      </w:r>
      <w:r>
        <w:rPr>
          <w:spacing w:val="-25"/>
        </w:rPr>
        <w:t> </w:t>
      </w:r>
      <w:r>
        <w:rPr>
          <w:spacing w:val="-25"/>
        </w:rPr>
      </w:r>
      <w:r>
        <w:rPr>
          <w:spacing w:val="-2"/>
        </w:rPr>
        <w:t>约谈整改、行政处罚、公开曝光等警示教育手段，加强依法从严监管，维护网络传播秩序，促进</w:t>
      </w:r>
      <w:r>
        <w:rPr>
          <w:spacing w:val="-25"/>
        </w:rPr>
        <w:t> </w:t>
      </w:r>
      <w:r>
        <w:rPr>
          <w:spacing w:val="-25"/>
        </w:rPr>
      </w:r>
      <w:r>
        <w:rPr/>
        <w:t>了互联网新闻信息服务行业的健康有序发展。</w:t>
      </w:r>
    </w:p>
    <w:p>
      <w:pPr>
        <w:pStyle w:val="BodyText"/>
        <w:spacing w:line="312" w:lineRule="auto" w:before="20"/>
        <w:ind w:left="138" w:right="128" w:firstLine="419"/>
        <w:jc w:val="both"/>
        <w:rPr>
          <w:rFonts w:ascii="宋体" w:hAnsi="宋体" w:cs="宋体" w:eastAsia="宋体" w:hint="default"/>
        </w:rPr>
      </w:pPr>
      <w:r>
        <w:rPr>
          <w:spacing w:val="-2"/>
        </w:rPr>
        <w:t>新形势下，宣传思想工作进入守正创新的重要阶段，主流媒体肩负着举旗帜、聚民心、育新</w:t>
      </w:r>
      <w:r>
        <w:rPr>
          <w:w w:val="100"/>
        </w:rPr>
        <w:t> </w:t>
      </w:r>
      <w:r>
        <w:rPr>
          <w:spacing w:val="-2"/>
        </w:rPr>
        <w:t>人、兴文化、展形象的使命任务，承担着推动互联网这个最大变量变成事业发展最大增量的重要</w:t>
      </w:r>
      <w:r>
        <w:rPr>
          <w:spacing w:val="-25"/>
        </w:rPr>
        <w:t> </w:t>
      </w:r>
      <w:r>
        <w:rPr>
          <w:spacing w:val="-25"/>
        </w:rPr>
      </w:r>
      <w:r>
        <w:rPr>
          <w:spacing w:val="-6"/>
        </w:rPr>
        <w:t>职责。作为国家重点新闻网站的排头兵，新华网将紧紧把握行业发展趋势，适应全媒体时代变化，</w:t>
      </w:r>
      <w:r>
        <w:rPr>
          <w:spacing w:val="-54"/>
        </w:rPr>
        <w:t> </w:t>
      </w:r>
      <w:r>
        <w:rPr>
          <w:spacing w:val="-54"/>
        </w:rPr>
      </w:r>
      <w:r>
        <w:rPr>
          <w:spacing w:val="-6"/>
        </w:rPr>
        <w:t>推进网上宣传理念、内容、形式、方法、手段等创新，牢牢占据舆论引导、思想引领、文化传承、</w:t>
      </w:r>
      <w:r>
        <w:rPr>
          <w:spacing w:val="-53"/>
        </w:rPr>
        <w:t> </w:t>
      </w:r>
      <w:r>
        <w:rPr>
          <w:spacing w:val="-53"/>
        </w:rPr>
      </w:r>
      <w:r>
        <w:rPr>
          <w:spacing w:val="-2"/>
        </w:rPr>
        <w:t>服务人民的传播制高点；拓展经营领域、提高经营水平，努力实现公司更高质量更可持续发展。</w:t>
      </w:r>
      <w:r>
        <w:rPr>
          <w:spacing w:val="-25"/>
        </w:rPr>
        <w:t> </w:t>
      </w:r>
      <w:r>
        <w:rPr>
          <w:spacing w:val="-25"/>
        </w:rPr>
      </w:r>
      <w:r>
        <w:rPr>
          <w:rFonts w:ascii="宋体" w:hAnsi="宋体" w:cs="宋体" w:eastAsia="宋体" w:hint="default"/>
          <w:b/>
          <w:bCs/>
        </w:rPr>
        <w:t>(</w:t>
      </w:r>
      <w:r>
        <w:rPr>
          <w:rFonts w:ascii="宋体" w:hAnsi="宋体" w:cs="宋体" w:eastAsia="宋体" w:hint="default"/>
          <w:b/>
          <w:bCs/>
        </w:rPr>
        <w:t>二</w:t>
      </w:r>
      <w:r>
        <w:rPr>
          <w:rFonts w:ascii="宋体" w:hAnsi="宋体" w:cs="宋体" w:eastAsia="宋体" w:hint="default"/>
          <w:b/>
          <w:bCs/>
        </w:rPr>
        <w:t>)  </w:t>
      </w:r>
      <w:r>
        <w:rPr>
          <w:rFonts w:ascii="宋体" w:hAnsi="宋体" w:cs="宋体" w:eastAsia="宋体" w:hint="default"/>
          <w:b/>
          <w:bCs/>
          <w:spacing w:val="101"/>
        </w:rPr>
        <w:t> </w:t>
      </w:r>
      <w:r>
        <w:rPr>
          <w:rFonts w:ascii="宋体" w:hAnsi="宋体" w:cs="宋体" w:eastAsia="宋体" w:hint="default"/>
          <w:b/>
          <w:bCs/>
        </w:rPr>
        <w:t>公司发展战略</w:t>
      </w:r>
      <w:r>
        <w:rPr>
          <w:rFonts w:ascii="宋体" w:hAnsi="宋体" w:cs="宋体" w:eastAsia="宋体" w:hint="default"/>
        </w:rPr>
      </w:r>
    </w:p>
    <w:p>
      <w:pPr>
        <w:pStyle w:val="BodyText"/>
        <w:tabs>
          <w:tab w:pos="980" w:val="left" w:leader="none"/>
        </w:tabs>
        <w:spacing w:line="307" w:lineRule="auto"/>
        <w:ind w:left="558" w:right="137" w:hanging="420"/>
        <w:jc w:val="left"/>
      </w:pPr>
      <w:r>
        <w:rPr>
          <w:spacing w:val="-1"/>
        </w:rPr>
        <w:t>√适用</w:t>
        <w:tab/>
      </w:r>
      <w:r>
        <w:rPr>
          <w:spacing w:val="-2"/>
        </w:rPr>
        <w:t>□不适用</w:t>
      </w:r>
      <w:r>
        <w:rPr>
          <w:spacing w:val="-99"/>
        </w:rPr>
        <w:t> </w:t>
      </w:r>
      <w:r>
        <w:rPr>
          <w:spacing w:val="-99"/>
        </w:rPr>
      </w:r>
      <w:r>
        <w:rPr>
          <w:spacing w:val="-2"/>
        </w:rPr>
        <w:t>新华网的发展目标是建成具有广泛国际影响的一流新闻网站和拥有强大实力的互联网文化企</w:t>
      </w:r>
    </w:p>
    <w:p>
      <w:pPr>
        <w:pStyle w:val="BodyText"/>
        <w:spacing w:line="314" w:lineRule="auto" w:before="26"/>
        <w:ind w:left="138" w:right="137"/>
        <w:jc w:val="both"/>
      </w:pPr>
      <w:r>
        <w:rPr>
          <w:spacing w:val="-2"/>
        </w:rPr>
        <w:t>业。公司作为新华社所属唯一的国家级综合新闻类经营性门户网站，将大力推进内容建设、经营</w:t>
      </w:r>
      <w:r>
        <w:rPr>
          <w:spacing w:val="-25"/>
        </w:rPr>
        <w:t> </w:t>
      </w:r>
      <w:r>
        <w:rPr>
          <w:spacing w:val="-25"/>
        </w:rPr>
      </w:r>
      <w:r>
        <w:rPr>
          <w:spacing w:val="-2"/>
        </w:rPr>
        <w:t>模式、技术研发和管理机制的创新升级，加强媒体融合发展建设，巩固中央重点新闻网站排头兵</w:t>
      </w:r>
      <w:r>
        <w:rPr>
          <w:spacing w:val="-25"/>
        </w:rPr>
        <w:t> </w:t>
      </w:r>
      <w:r>
        <w:rPr>
          <w:spacing w:val="-25"/>
        </w:rPr>
      </w:r>
      <w:r>
        <w:rPr>
          <w:spacing w:val="-2"/>
        </w:rPr>
        <w:t>地位，巩固并扩大具有全球影响力中文网站的领先优势，成为最具权威性和公信力的以新闻信息</w:t>
      </w:r>
      <w:r>
        <w:rPr>
          <w:spacing w:val="-25"/>
        </w:rPr>
        <w:t> </w:t>
      </w:r>
      <w:r>
        <w:rPr>
          <w:spacing w:val="-25"/>
        </w:rPr>
      </w:r>
      <w:r>
        <w:rPr/>
        <w:t>服务为主、多种业务线并存的“多语种、多终端、全媒体、全覆盖”的综合信息服务提供商。</w:t>
      </w:r>
    </w:p>
    <w:p>
      <w:pPr>
        <w:spacing w:after="0" w:line="314" w:lineRule="auto"/>
        <w:jc w:val="both"/>
        <w:sectPr>
          <w:headerReference w:type="default" r:id="rId23"/>
          <w:footerReference w:type="default" r:id="rId24"/>
          <w:pgSz w:w="11910" w:h="16840"/>
          <w:pgMar w:header="880" w:footer="1195" w:top="1120" w:bottom="1380" w:left="1660" w:right="1140"/>
          <w:pgNumType w:start="25"/>
        </w:sectPr>
      </w:pPr>
    </w:p>
    <w:p>
      <w:pPr>
        <w:spacing w:line="240" w:lineRule="auto" w:before="4"/>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40" w:lineRule="auto" w:before="58"/>
        <w:ind w:left="138" w:right="0"/>
        <w:jc w:val="both"/>
      </w:pPr>
      <w:r>
        <w:rPr/>
        <w:t>√适用</w:t>
      </w:r>
      <w:r>
        <w:rPr>
          <w:spacing w:val="104"/>
        </w:rPr>
        <w:t> </w:t>
      </w:r>
      <w:r>
        <w:rPr/>
        <w:t>□不适用</w:t>
      </w:r>
    </w:p>
    <w:p>
      <w:pPr>
        <w:pStyle w:val="BodyText"/>
        <w:spacing w:line="314" w:lineRule="auto" w:before="73"/>
        <w:ind w:left="138" w:right="0" w:firstLine="419"/>
        <w:jc w:val="left"/>
      </w:pPr>
      <w:r>
        <w:rPr>
          <w:rFonts w:ascii="宋体" w:hAnsi="宋体" w:cs="宋体" w:eastAsia="宋体" w:hint="default"/>
        </w:rPr>
        <w:t>2019</w:t>
      </w:r>
      <w:r>
        <w:rPr>
          <w:rFonts w:ascii="宋体" w:hAnsi="宋体" w:cs="宋体" w:eastAsia="宋体" w:hint="default"/>
          <w:spacing w:val="6"/>
        </w:rPr>
        <w:t> </w:t>
      </w:r>
      <w:r>
        <w:rPr>
          <w:spacing w:val="-6"/>
        </w:rPr>
        <w:t>年，新华网将以习近平新时代中国特色社会主义思想为指导，深入贯彻党的十九大精神，</w:t>
      </w:r>
      <w:r>
        <w:rPr>
          <w:w w:val="100"/>
        </w:rPr>
        <w:t> </w:t>
      </w:r>
      <w:r>
        <w:rPr>
          <w:spacing w:val="-6"/>
        </w:rPr>
        <w:t>坚持稳中求进、守正创新，增强网上舆论引导能力，加强国际传播能力建设，加快融合创新步伐，</w:t>
      </w:r>
      <w:r>
        <w:rPr>
          <w:spacing w:val="-51"/>
        </w:rPr>
        <w:t> </w:t>
      </w:r>
      <w:r>
        <w:rPr>
          <w:spacing w:val="-51"/>
        </w:rPr>
      </w:r>
      <w:r>
        <w:rPr/>
        <w:t>深化经营模式转型，提升技术能力和管理水平，大力构筑新时代网上宣传的高地和重阵，加快建</w:t>
      </w:r>
      <w:r>
        <w:rPr>
          <w:w w:val="100"/>
        </w:rPr>
        <w:t> </w:t>
      </w:r>
      <w:r>
        <w:rPr/>
        <w:t>设具有广泛国际影响的一流新闻网站和拥有强大实力的互联网文化企业。重点做好以下几方面工</w:t>
      </w:r>
      <w:r>
        <w:rPr>
          <w:w w:val="100"/>
        </w:rPr>
        <w:t> </w:t>
      </w:r>
      <w:r>
        <w:rPr/>
        <w:t>作：</w:t>
      </w:r>
    </w:p>
    <w:p>
      <w:pPr>
        <w:pStyle w:val="BodyText"/>
        <w:spacing w:line="314" w:lineRule="auto" w:before="20"/>
        <w:ind w:left="138" w:right="208" w:firstLine="419"/>
        <w:jc w:val="both"/>
      </w:pPr>
      <w:r>
        <w:rPr>
          <w:rFonts w:ascii="宋体" w:hAnsi="宋体" w:cs="宋体" w:eastAsia="宋体" w:hint="default"/>
          <w:spacing w:val="-4"/>
        </w:rPr>
        <w:t>1</w:t>
      </w:r>
      <w:r>
        <w:rPr>
          <w:spacing w:val="-4"/>
        </w:rPr>
        <w:t>、以习近平总书记报道为核心，充分发挥网上宣传主阵地作用。坚持把习近平总书记报道作</w:t>
      </w:r>
      <w:r>
        <w:rPr>
          <w:w w:val="100"/>
        </w:rPr>
        <w:t> </w:t>
      </w:r>
      <w:r>
        <w:rPr>
          <w:spacing w:val="-6"/>
          <w:w w:val="100"/>
        </w:rPr>
        <w:t>为新华网报道的核心和龙头，做强做精做新“学习进行时”专栏，精心打造“讲习所开讲了”“古</w:t>
      </w:r>
      <w:r>
        <w:rPr>
          <w:w w:val="100"/>
        </w:rPr>
        <w:t> </w:t>
      </w:r>
      <w:r>
        <w:rPr/>
        <w:t>语非凡”等视频化、移动化重点产品，着力构建具有引领力的跨端“学习”平台。</w:t>
      </w:r>
    </w:p>
    <w:p>
      <w:pPr>
        <w:pStyle w:val="BodyText"/>
        <w:spacing w:line="314" w:lineRule="auto" w:before="20"/>
        <w:ind w:left="138" w:right="217" w:firstLine="419"/>
        <w:jc w:val="both"/>
      </w:pPr>
      <w:r>
        <w:rPr>
          <w:rFonts w:ascii="宋体" w:hAnsi="宋体" w:cs="宋体" w:eastAsia="宋体" w:hint="default"/>
        </w:rPr>
        <w:t>2</w:t>
      </w:r>
      <w:r>
        <w:rPr/>
        <w:t>、以新中国成立</w:t>
      </w:r>
      <w:r>
        <w:rPr>
          <w:spacing w:val="-53"/>
        </w:rPr>
        <w:t> </w:t>
      </w:r>
      <w:r>
        <w:rPr>
          <w:rFonts w:ascii="宋体" w:hAnsi="宋体" w:cs="宋体" w:eastAsia="宋体" w:hint="default"/>
        </w:rPr>
        <w:t>70</w:t>
      </w:r>
      <w:r>
        <w:rPr>
          <w:rFonts w:ascii="宋体" w:hAnsi="宋体" w:cs="宋体" w:eastAsia="宋体" w:hint="default"/>
          <w:spacing w:val="-56"/>
        </w:rPr>
        <w:t> </w:t>
      </w:r>
      <w:r>
        <w:rPr/>
        <w:t>周年报道为主线，着力推动重大主题报道创新。发挥信源优势，强化组</w:t>
      </w:r>
      <w:r>
        <w:rPr>
          <w:w w:val="100"/>
        </w:rPr>
        <w:t> </w:t>
      </w:r>
      <w:r>
        <w:rPr>
          <w:spacing w:val="-2"/>
        </w:rPr>
        <w:t>织指挥，提高策划水平，推出一批交互性强、体验感好，时效领先、视角独特、形态新颖的优质</w:t>
      </w:r>
      <w:r>
        <w:rPr>
          <w:spacing w:val="-25"/>
        </w:rPr>
        <w:t> </w:t>
      </w:r>
      <w:r>
        <w:rPr>
          <w:spacing w:val="-25"/>
        </w:rPr>
      </w:r>
      <w:r>
        <w:rPr/>
        <w:t>内容产品，实现重大主题与网民关心话题有机结合，让网民爱听爱看，产生同频共振。</w:t>
      </w:r>
    </w:p>
    <w:p>
      <w:pPr>
        <w:pStyle w:val="BodyText"/>
        <w:spacing w:line="314" w:lineRule="auto" w:before="20"/>
        <w:ind w:left="138" w:right="212" w:firstLine="419"/>
        <w:jc w:val="left"/>
      </w:pPr>
      <w:r>
        <w:rPr>
          <w:rFonts w:ascii="宋体" w:hAnsi="宋体" w:cs="宋体" w:eastAsia="宋体" w:hint="default"/>
          <w:spacing w:val="-9"/>
        </w:rPr>
        <w:t>3</w:t>
      </w:r>
      <w:r>
        <w:rPr>
          <w:spacing w:val="-9"/>
        </w:rPr>
        <w:t>、以移动化视频化转型为重点，构建全网内容新生态。强化“移动优先”理念，加大“两微”</w:t>
      </w:r>
      <w:r>
        <w:rPr>
          <w:w w:val="100"/>
        </w:rPr>
        <w:t> </w:t>
      </w:r>
      <w:r>
        <w:rPr>
          <w:spacing w:val="-2"/>
        </w:rPr>
        <w:t>平台内容创新和运营推广，把新华网客户端打造成特色鲜明、活跃度高的自有强势移动平台。抓</w:t>
      </w:r>
      <w:r>
        <w:rPr>
          <w:spacing w:val="-25"/>
        </w:rPr>
        <w:t> </w:t>
      </w:r>
      <w:r>
        <w:rPr>
          <w:spacing w:val="-25"/>
        </w:rPr>
      </w:r>
      <w:r>
        <w:rPr/>
        <w:t>住</w:t>
      </w:r>
      <w:r>
        <w:rPr>
          <w:spacing w:val="-54"/>
        </w:rPr>
        <w:t> </w:t>
      </w:r>
      <w:r>
        <w:rPr>
          <w:rFonts w:ascii="宋体" w:hAnsi="宋体" w:cs="宋体" w:eastAsia="宋体" w:hint="default"/>
        </w:rPr>
        <w:t>5G</w:t>
      </w:r>
      <w:r>
        <w:rPr>
          <w:rFonts w:ascii="宋体" w:hAnsi="宋体" w:cs="宋体" w:eastAsia="宋体" w:hint="default"/>
          <w:spacing w:val="-56"/>
        </w:rPr>
        <w:t> </w:t>
      </w:r>
      <w:r>
        <w:rPr/>
        <w:t>时代视频传播“风口”，充分发挥“媒体创意工场”引领支撑作用，着力实施“源创计</w:t>
      </w:r>
      <w:r>
        <w:rPr>
          <w:w w:val="100"/>
        </w:rPr>
        <w:t> </w:t>
      </w:r>
      <w:r>
        <w:rPr/>
        <w:t>划”“共鸣计划”，构建特色鲜明、内容多元的视听产品体系。</w:t>
      </w:r>
    </w:p>
    <w:p>
      <w:pPr>
        <w:pStyle w:val="BodyText"/>
        <w:spacing w:line="314" w:lineRule="auto" w:before="20"/>
        <w:ind w:left="138" w:right="208" w:firstLine="419"/>
        <w:jc w:val="both"/>
      </w:pPr>
      <w:r>
        <w:rPr>
          <w:rFonts w:ascii="宋体" w:hAnsi="宋体" w:cs="宋体" w:eastAsia="宋体" w:hint="default"/>
          <w:spacing w:val="-4"/>
        </w:rPr>
        <w:t>4</w:t>
      </w:r>
      <w:r>
        <w:rPr>
          <w:spacing w:val="-4"/>
        </w:rPr>
        <w:t>、以构建“内外并重”工作格局为抓手，实现网上外宣新突破。突出做好习近平总书记对外</w:t>
      </w:r>
      <w:r>
        <w:rPr>
          <w:w w:val="100"/>
        </w:rPr>
        <w:t> </w:t>
      </w:r>
      <w:r>
        <w:rPr>
          <w:spacing w:val="-2"/>
        </w:rPr>
        <w:t>报道，精心组织重大主场外交网上外宣，巩固国际政要在华公共外交首选网络平台优势，发挥海</w:t>
      </w:r>
      <w:r>
        <w:rPr>
          <w:spacing w:val="-25"/>
        </w:rPr>
        <w:t> </w:t>
      </w:r>
      <w:r>
        <w:rPr>
          <w:spacing w:val="-25"/>
        </w:rPr>
      </w:r>
      <w:r>
        <w:rPr>
          <w:spacing w:val="-2"/>
        </w:rPr>
        <w:t>外传播运营中心本地化制播和运营推广职能，推动优质内容规模化精准化落地，着力提升对外传</w:t>
      </w:r>
      <w:r>
        <w:rPr>
          <w:spacing w:val="-25"/>
        </w:rPr>
        <w:t> </w:t>
      </w:r>
      <w:r>
        <w:rPr>
          <w:spacing w:val="-25"/>
        </w:rPr>
      </w:r>
      <w:r>
        <w:rPr/>
        <w:t>播覆盖面和影响力。</w:t>
      </w:r>
    </w:p>
    <w:p>
      <w:pPr>
        <w:pStyle w:val="BodyText"/>
        <w:spacing w:line="314" w:lineRule="auto" w:before="20"/>
        <w:ind w:left="138" w:right="208" w:firstLine="419"/>
        <w:jc w:val="both"/>
      </w:pPr>
      <w:r>
        <w:rPr>
          <w:rFonts w:ascii="宋体" w:hAnsi="宋体" w:cs="宋体" w:eastAsia="宋体" w:hint="default"/>
          <w:spacing w:val="-4"/>
        </w:rPr>
        <w:t>5</w:t>
      </w:r>
      <w:r>
        <w:rPr>
          <w:spacing w:val="-4"/>
        </w:rPr>
        <w:t>、以支撑引领业务发展为目标，拓展技术建设新领域。围绕移动化视频化转型需要加快平台</w:t>
      </w:r>
      <w:r>
        <w:rPr>
          <w:w w:val="100"/>
        </w:rPr>
        <w:t> </w:t>
      </w:r>
      <w:r>
        <w:rPr/>
        <w:t>建设和应用研发，实施超级编辑部</w:t>
      </w:r>
      <w:r>
        <w:rPr>
          <w:spacing w:val="-55"/>
        </w:rPr>
        <w:t> </w:t>
      </w:r>
      <w:r>
        <w:rPr>
          <w:rFonts w:ascii="宋体" w:hAnsi="宋体" w:cs="宋体" w:eastAsia="宋体" w:hint="default"/>
        </w:rPr>
        <w:t>4.0</w:t>
      </w:r>
      <w:r>
        <w:rPr>
          <w:rFonts w:ascii="宋体" w:hAnsi="宋体" w:cs="宋体" w:eastAsia="宋体" w:hint="default"/>
          <w:spacing w:val="-55"/>
        </w:rPr>
        <w:t> </w:t>
      </w:r>
      <w:r>
        <w:rPr/>
        <w:t>二期建设，推出智能融媒工具等技术产品，构建自有大数</w:t>
      </w:r>
      <w:r>
        <w:rPr>
          <w:w w:val="100"/>
        </w:rPr>
        <w:t> </w:t>
      </w:r>
      <w:r>
        <w:rPr>
          <w:spacing w:val="-2"/>
        </w:rPr>
        <w:t>据核心技术体系，推进新华云混合云资源服务平台建设，推进大数据、人工智能等技术在策划、</w:t>
      </w:r>
      <w:r>
        <w:rPr>
          <w:spacing w:val="-25"/>
        </w:rPr>
        <w:t> </w:t>
      </w:r>
      <w:r>
        <w:rPr>
          <w:spacing w:val="-25"/>
        </w:rPr>
      </w:r>
      <w:r>
        <w:rPr/>
        <w:t>采集、编辑、审核、发布、传播全流程的应用。</w:t>
      </w:r>
    </w:p>
    <w:p>
      <w:pPr>
        <w:pStyle w:val="BodyText"/>
        <w:spacing w:line="314" w:lineRule="auto" w:before="20"/>
        <w:ind w:left="138" w:right="208" w:firstLine="419"/>
        <w:jc w:val="both"/>
      </w:pPr>
      <w:r>
        <w:rPr>
          <w:rFonts w:ascii="宋体" w:hAnsi="宋体" w:cs="宋体" w:eastAsia="宋体" w:hint="default"/>
          <w:spacing w:val="-4"/>
        </w:rPr>
        <w:t>6</w:t>
      </w:r>
      <w:r>
        <w:rPr>
          <w:spacing w:val="-4"/>
        </w:rPr>
        <w:t>、以做强创新业务为动力，开拓经营工作新局面。加速实施多端融合的平台战略，提升数字</w:t>
      </w:r>
      <w:r>
        <w:rPr>
          <w:w w:val="100"/>
        </w:rPr>
        <w:t> </w:t>
      </w:r>
      <w:r>
        <w:rPr>
          <w:spacing w:val="-6"/>
        </w:rPr>
        <w:t>化整合营销服务水平，推动流量和用户资源的价值转化。聚焦数字内容业务，创造优质文化产品，</w:t>
      </w:r>
      <w:r>
        <w:rPr>
          <w:spacing w:val="-54"/>
        </w:rPr>
        <w:t> </w:t>
      </w:r>
      <w:r>
        <w:rPr>
          <w:spacing w:val="-54"/>
        </w:rPr>
      </w:r>
      <w:r>
        <w:rPr>
          <w:spacing w:val="-9"/>
          <w:w w:val="100"/>
        </w:rPr>
        <w:t>探索多元盈利模式。构建技术驱动型业务集群，面向政企市场需求，继续推进“互联网</w:t>
      </w:r>
      <w:r>
        <w:rPr>
          <w:rFonts w:ascii="宋体" w:hAnsi="宋体" w:cs="宋体" w:eastAsia="宋体" w:hint="default"/>
          <w:spacing w:val="-9"/>
          <w:w w:val="100"/>
        </w:rPr>
        <w:t>+</w:t>
      </w:r>
      <w:r>
        <w:rPr>
          <w:spacing w:val="-9"/>
          <w:w w:val="100"/>
        </w:rPr>
        <w:t>垂直行业”</w:t>
      </w:r>
      <w:r>
        <w:rPr>
          <w:spacing w:val="-77"/>
          <w:w w:val="100"/>
        </w:rPr>
        <w:t> </w:t>
      </w:r>
      <w:r>
        <w:rPr>
          <w:spacing w:val="-77"/>
          <w:w w:val="100"/>
        </w:rPr>
      </w:r>
      <w:r>
        <w:rPr/>
        <w:t>项目规模化发展。</w:t>
      </w:r>
    </w:p>
    <w:p>
      <w:pPr>
        <w:pStyle w:val="Heading2"/>
        <w:spacing w:line="240" w:lineRule="auto" w:before="3"/>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tabs>
          <w:tab w:pos="980" w:val="left" w:leader="none"/>
        </w:tabs>
        <w:spacing w:line="304" w:lineRule="auto" w:before="58"/>
        <w:ind w:left="558" w:right="212" w:hanging="420"/>
        <w:jc w:val="left"/>
      </w:pPr>
      <w:r>
        <w:rPr>
          <w:spacing w:val="-1"/>
        </w:rPr>
        <w:t>√适用</w:t>
        <w:tab/>
      </w:r>
      <w:r>
        <w:rPr>
          <w:spacing w:val="-2"/>
        </w:rPr>
        <w:t>□不适用</w:t>
      </w:r>
      <w:r>
        <w:rPr>
          <w:spacing w:val="-99"/>
        </w:rPr>
        <w:t> </w:t>
      </w:r>
      <w:r>
        <w:rPr>
          <w:spacing w:val="-99"/>
        </w:rPr>
      </w:r>
      <w:r>
        <w:rPr>
          <w:rFonts w:ascii="宋体" w:hAnsi="宋体" w:cs="宋体" w:eastAsia="宋体" w:hint="default"/>
          <w:spacing w:val="-9"/>
        </w:rPr>
        <w:t>1</w:t>
      </w:r>
      <w:r>
        <w:rPr>
          <w:spacing w:val="-9"/>
        </w:rPr>
        <w:t>、商业模式风险：与传统经济和传统行业相比，互联网行业作为新经济、新服务的典型代表，</w:t>
      </w:r>
    </w:p>
    <w:p>
      <w:pPr>
        <w:pStyle w:val="BodyText"/>
        <w:spacing w:line="314" w:lineRule="auto" w:before="28"/>
        <w:ind w:left="138" w:right="217"/>
        <w:jc w:val="both"/>
      </w:pPr>
      <w:r>
        <w:rPr>
          <w:spacing w:val="-2"/>
        </w:rPr>
        <w:t>用户需求转化快，盈利模式创新多。互联网企业既有的盈利手段可能随着用户需求转变难以继续</w:t>
      </w:r>
      <w:r>
        <w:rPr>
          <w:spacing w:val="-25"/>
        </w:rPr>
        <w:t> </w:t>
      </w:r>
      <w:r>
        <w:rPr>
          <w:spacing w:val="-25"/>
        </w:rPr>
      </w:r>
      <w:r>
        <w:rPr>
          <w:spacing w:val="-2"/>
        </w:rPr>
        <w:t>推广适用，创新盈利模式的出现也可能在短时间内迅速抢占市场份额，并对原有市场竞争主体产</w:t>
      </w:r>
      <w:r>
        <w:rPr>
          <w:spacing w:val="-25"/>
        </w:rPr>
        <w:t> </w:t>
      </w:r>
      <w:r>
        <w:rPr>
          <w:spacing w:val="-25"/>
        </w:rPr>
      </w:r>
      <w:r>
        <w:rPr>
          <w:spacing w:val="-2"/>
        </w:rPr>
        <w:t>生冲击。若本公司在未来经营过程中，不能及时准确地把握新闻、资讯服务业的市场动态和发展</w:t>
      </w:r>
      <w:r>
        <w:rPr>
          <w:spacing w:val="-25"/>
        </w:rPr>
        <w:t> </w:t>
      </w:r>
      <w:r>
        <w:rPr>
          <w:spacing w:val="-25"/>
        </w:rPr>
      </w:r>
      <w:r>
        <w:rPr>
          <w:spacing w:val="-2"/>
        </w:rPr>
        <w:t>趋势，或者不能及时捕捉和快速响应用户需求的变化进而不断对现有盈利模式进行相应完善和创</w:t>
      </w:r>
      <w:r>
        <w:rPr>
          <w:spacing w:val="-25"/>
        </w:rPr>
        <w:t> </w:t>
      </w:r>
      <w:r>
        <w:rPr>
          <w:spacing w:val="-25"/>
        </w:rPr>
      </w:r>
      <w:r>
        <w:rPr/>
        <w:t>新，公司盈利模式的有效性将可能受到削弱，从而对公司未来业绩成长性带来不利影响。</w:t>
      </w:r>
    </w:p>
    <w:p>
      <w:pPr>
        <w:pStyle w:val="BodyText"/>
        <w:spacing w:line="314" w:lineRule="auto" w:before="20"/>
        <w:ind w:left="138" w:right="208" w:firstLine="419"/>
        <w:jc w:val="both"/>
      </w:pPr>
      <w:r>
        <w:rPr>
          <w:rFonts w:ascii="宋体" w:hAnsi="宋体" w:cs="宋体" w:eastAsia="宋体" w:hint="default"/>
          <w:spacing w:val="-4"/>
        </w:rPr>
        <w:t>2</w:t>
      </w:r>
      <w:r>
        <w:rPr>
          <w:spacing w:val="-4"/>
        </w:rPr>
        <w:t>、网络广告业务风险：新华网主要营业收入来自于网络广告。网络广告服务具有明显的“注</w:t>
      </w:r>
      <w:r>
        <w:rPr>
          <w:w w:val="100"/>
        </w:rPr>
        <w:t> </w:t>
      </w:r>
      <w:r>
        <w:rPr>
          <w:spacing w:val="-2"/>
        </w:rPr>
        <w:t>意力经济”特征，网站用户规模越大、受众面越广，越容易吸引广告客户的关注，从而获得相关</w:t>
      </w:r>
    </w:p>
    <w:p>
      <w:pPr>
        <w:spacing w:after="0" w:line="314" w:lineRule="auto"/>
        <w:jc w:val="both"/>
        <w:sectPr>
          <w:footerReference w:type="default" r:id="rId25"/>
          <w:pgSz w:w="11910" w:h="16840"/>
          <w:pgMar w:footer="1195" w:header="880" w:top="1120" w:bottom="1380" w:left="1660" w:right="1060"/>
          <w:pgNumType w:start="26"/>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217"/>
        <w:jc w:val="both"/>
      </w:pPr>
      <w:r>
        <w:rPr>
          <w:spacing w:val="-2"/>
        </w:rPr>
        <w:t>客户广告投入。新华网作为中央重点新闻网站之一，拥有庞大的用户规模和领先的用户黏性，在</w:t>
      </w:r>
      <w:r>
        <w:rPr>
          <w:spacing w:val="-25"/>
        </w:rPr>
        <w:t> </w:t>
      </w:r>
      <w:r>
        <w:rPr>
          <w:spacing w:val="-25"/>
        </w:rPr>
      </w:r>
      <w:r>
        <w:rPr>
          <w:spacing w:val="-2"/>
        </w:rPr>
        <w:t>重点新闻网站中名列前茅。但是，如果公司无法采取有效措施，继续将新华网的媒体价值转化为</w:t>
      </w:r>
      <w:r>
        <w:rPr>
          <w:spacing w:val="-25"/>
        </w:rPr>
        <w:t> </w:t>
      </w:r>
      <w:r>
        <w:rPr>
          <w:spacing w:val="-25"/>
        </w:rPr>
      </w:r>
      <w:r>
        <w:rPr/>
        <w:t>经济价值，则网络广告业务收入存在无法达到预期增长水平的风险，从而影响业绩。</w:t>
      </w:r>
    </w:p>
    <w:p>
      <w:pPr>
        <w:pStyle w:val="BodyText"/>
        <w:spacing w:line="314" w:lineRule="auto" w:before="20"/>
        <w:ind w:left="138" w:right="208" w:firstLine="419"/>
        <w:jc w:val="both"/>
      </w:pPr>
      <w:r>
        <w:rPr>
          <w:rFonts w:ascii="宋体" w:hAnsi="宋体" w:cs="宋体" w:eastAsia="宋体" w:hint="default"/>
          <w:spacing w:val="-15"/>
          <w:w w:val="100"/>
        </w:rPr>
        <w:t>3</w:t>
      </w:r>
      <w:r>
        <w:rPr>
          <w:spacing w:val="-15"/>
          <w:w w:val="100"/>
        </w:rPr>
        <w:t>、应收账款余额较大的风险：截至</w:t>
      </w:r>
      <w:r>
        <w:rPr>
          <w:spacing w:val="-74"/>
          <w:w w:val="100"/>
        </w:rPr>
        <w:t> </w:t>
      </w:r>
      <w:r>
        <w:rPr>
          <w:rFonts w:ascii="宋体" w:hAnsi="宋体" w:cs="宋体" w:eastAsia="宋体" w:hint="default"/>
          <w:w w:val="100"/>
        </w:rPr>
        <w:t>2018</w:t>
      </w:r>
      <w:r>
        <w:rPr>
          <w:rFonts w:ascii="宋体" w:hAnsi="宋体" w:cs="宋体" w:eastAsia="宋体" w:hint="default"/>
          <w:spacing w:val="-71"/>
          <w:w w:val="100"/>
        </w:rPr>
        <w:t> </w:t>
      </w:r>
      <w:r>
        <w:rPr>
          <w:w w:val="100"/>
        </w:rPr>
        <w:t>年</w:t>
      </w:r>
      <w:r>
        <w:rPr>
          <w:spacing w:val="-75"/>
          <w:w w:val="100"/>
        </w:rPr>
        <w:t> </w:t>
      </w:r>
      <w:r>
        <w:rPr>
          <w:rFonts w:ascii="宋体" w:hAnsi="宋体" w:cs="宋体" w:eastAsia="宋体" w:hint="default"/>
          <w:w w:val="100"/>
        </w:rPr>
        <w:t>12</w:t>
      </w:r>
      <w:r>
        <w:rPr>
          <w:rFonts w:ascii="宋体" w:hAnsi="宋体" w:cs="宋体" w:eastAsia="宋体" w:hint="default"/>
          <w:spacing w:val="-71"/>
          <w:w w:val="100"/>
        </w:rPr>
        <w:t> </w:t>
      </w:r>
      <w:r>
        <w:rPr>
          <w:w w:val="100"/>
        </w:rPr>
        <w:t>月</w:t>
      </w:r>
      <w:r>
        <w:rPr>
          <w:spacing w:val="-71"/>
          <w:w w:val="100"/>
        </w:rPr>
        <w:t> </w:t>
      </w:r>
      <w:r>
        <w:rPr>
          <w:rFonts w:ascii="宋体" w:hAnsi="宋体" w:cs="宋体" w:eastAsia="宋体" w:hint="default"/>
          <w:w w:val="100"/>
        </w:rPr>
        <w:t>31</w:t>
      </w:r>
      <w:r>
        <w:rPr>
          <w:rFonts w:ascii="宋体" w:hAnsi="宋体" w:cs="宋体" w:eastAsia="宋体" w:hint="default"/>
          <w:spacing w:val="-75"/>
          <w:w w:val="100"/>
        </w:rPr>
        <w:t> </w:t>
      </w:r>
      <w:r>
        <w:rPr>
          <w:spacing w:val="-11"/>
          <w:w w:val="100"/>
        </w:rPr>
        <w:t>日，本公司应收账款余额为</w:t>
      </w:r>
      <w:r>
        <w:rPr>
          <w:spacing w:val="-71"/>
          <w:w w:val="100"/>
        </w:rPr>
        <w:t> </w:t>
      </w:r>
      <w:r>
        <w:rPr>
          <w:rFonts w:ascii="宋体" w:hAnsi="宋体" w:cs="宋体" w:eastAsia="宋体" w:hint="default"/>
          <w:spacing w:val="-1"/>
          <w:w w:val="100"/>
        </w:rPr>
        <w:t>750,576,275.53</w:t>
      </w:r>
      <w:r>
        <w:rPr>
          <w:rFonts w:ascii="宋体" w:hAnsi="宋体" w:cs="宋体" w:eastAsia="宋体" w:hint="default"/>
          <w:w w:val="100"/>
        </w:rPr>
        <w:t> </w:t>
      </w:r>
      <w:r>
        <w:rPr>
          <w:spacing w:val="-2"/>
        </w:rPr>
        <w:t>元，部分业务的销售款截至报告期末未收回。如果应收账款无法收回，将可能对公司经营业绩造</w:t>
      </w:r>
      <w:r>
        <w:rPr>
          <w:spacing w:val="-25"/>
        </w:rPr>
        <w:t> </w:t>
      </w:r>
      <w:r>
        <w:rPr>
          <w:spacing w:val="-25"/>
        </w:rPr>
      </w:r>
      <w:r>
        <w:rPr/>
        <w:t>成影响。公司持续加强应收账款催收工作，进一步完善催缴机制。</w:t>
      </w:r>
    </w:p>
    <w:p>
      <w:pPr>
        <w:pStyle w:val="BodyText"/>
        <w:spacing w:line="314" w:lineRule="auto" w:before="20"/>
        <w:ind w:left="138" w:right="208" w:firstLine="419"/>
        <w:jc w:val="both"/>
      </w:pPr>
      <w:r>
        <w:rPr>
          <w:rFonts w:ascii="宋体" w:hAnsi="宋体" w:cs="宋体" w:eastAsia="宋体" w:hint="default"/>
          <w:spacing w:val="-4"/>
        </w:rPr>
        <w:t>4</w:t>
      </w:r>
      <w:r>
        <w:rPr>
          <w:spacing w:val="-4"/>
        </w:rPr>
        <w:t>、人才流失风险：互联网信息服务业属人力资本和技术密集型行业，公司商业模式的有效应</w:t>
      </w:r>
      <w:r>
        <w:rPr>
          <w:w w:val="100"/>
        </w:rPr>
        <w:t> </w:t>
      </w:r>
      <w:r>
        <w:rPr>
          <w:spacing w:val="-2"/>
        </w:rPr>
        <w:t>用、经营业务的顺利开展、服务能力的不断提高，均有赖于公司核心管理和专业人才。本公司近</w:t>
      </w:r>
      <w:r>
        <w:rPr>
          <w:spacing w:val="-25"/>
        </w:rPr>
        <w:t> </w:t>
      </w:r>
      <w:r>
        <w:rPr>
          <w:spacing w:val="-25"/>
        </w:rPr>
      </w:r>
      <w:r>
        <w:rPr>
          <w:spacing w:val="-2"/>
        </w:rPr>
        <w:t>年来依靠一批管理和专业人才，取得了持续快速发展。尽管公司重视人才的培养与管理、建立了</w:t>
      </w:r>
      <w:r>
        <w:rPr>
          <w:spacing w:val="-25"/>
        </w:rPr>
        <w:t> </w:t>
      </w:r>
      <w:r>
        <w:rPr>
          <w:spacing w:val="-25"/>
        </w:rPr>
      </w:r>
      <w:r>
        <w:rPr>
          <w:spacing w:val="-2"/>
        </w:rPr>
        <w:t>有效的考核与激励机制，为管理和专业人才创造了良好的工作环境和发展前景，但随着各互联网</w:t>
      </w:r>
      <w:r>
        <w:rPr>
          <w:spacing w:val="-25"/>
        </w:rPr>
        <w:t> </w:t>
      </w:r>
      <w:r>
        <w:rPr>
          <w:spacing w:val="-25"/>
        </w:rPr>
      </w:r>
      <w:r>
        <w:rPr>
          <w:spacing w:val="-2"/>
        </w:rPr>
        <w:t>企业对人才争夺的加剧，上述人才存在一定的流失风险，从而会对公司未来发展产生一定的不利</w:t>
      </w:r>
      <w:r>
        <w:rPr>
          <w:spacing w:val="-25"/>
        </w:rPr>
        <w:t> </w:t>
      </w:r>
      <w:r>
        <w:rPr>
          <w:spacing w:val="-25"/>
        </w:rPr>
      </w:r>
      <w:r>
        <w:rPr/>
        <w:t>影响。</w:t>
      </w:r>
    </w:p>
    <w:p>
      <w:pPr>
        <w:pStyle w:val="BodyText"/>
        <w:spacing w:line="314" w:lineRule="auto" w:before="20"/>
        <w:ind w:left="138" w:right="104" w:firstLine="419"/>
        <w:jc w:val="left"/>
      </w:pPr>
      <w:r>
        <w:rPr>
          <w:rFonts w:ascii="宋体" w:hAnsi="宋体" w:cs="宋体" w:eastAsia="宋体" w:hint="default"/>
          <w:spacing w:val="-2"/>
        </w:rPr>
        <w:t>5</w:t>
      </w:r>
      <w:r>
        <w:rPr>
          <w:spacing w:val="-2"/>
        </w:rPr>
        <w:t>、成本上升导致利润下滑的风险：公司营业成本主要来源于主营业务网络广告、信息服务、</w:t>
      </w:r>
      <w:r>
        <w:rPr>
          <w:w w:val="100"/>
        </w:rPr>
        <w:t> </w:t>
      </w:r>
      <w:r>
        <w:rPr/>
        <w:t>移动互联网、网络技术服务、数字内容等的人工成本、内容采购成本、资产折旧摊销以及线路费</w:t>
      </w:r>
      <w:r>
        <w:rPr>
          <w:w w:val="100"/>
        </w:rPr>
        <w:t> </w:t>
      </w:r>
      <w:r>
        <w:rPr/>
        <w:t>等，公司的营业成本面临不断增长的风险，主要表现为：网络广告、移动互联网等市场竞争日趋</w:t>
      </w:r>
      <w:r>
        <w:rPr>
          <w:w w:val="100"/>
        </w:rPr>
        <w:t> </w:t>
      </w:r>
      <w:r>
        <w:rPr>
          <w:spacing w:val="-6"/>
        </w:rPr>
        <w:t>激烈，相关业务成本持续上升；为吸引优质互联网行业技术人才与销售人才，人工成本不断增加。</w:t>
      </w:r>
      <w:r>
        <w:rPr>
          <w:spacing w:val="-54"/>
        </w:rPr>
        <w:t> </w:t>
      </w:r>
      <w:r>
        <w:rPr>
          <w:spacing w:val="-54"/>
        </w:rPr>
      </w:r>
      <w:r>
        <w:rPr/>
        <w:t>如果公司主营业务网络广告、信息服务、移动互联网、网络技术服务、数字内容等产品服务的收</w:t>
      </w:r>
      <w:r>
        <w:rPr>
          <w:w w:val="100"/>
        </w:rPr>
        <w:t> </w:t>
      </w:r>
      <w:r>
        <w:rPr/>
        <w:t>入不能同步上涨以抵消成本上升的压力，公司将面临成本上升而导致的利润下滑的风险。</w:t>
      </w:r>
    </w:p>
    <w:p>
      <w:pPr>
        <w:pStyle w:val="BodyText"/>
        <w:spacing w:line="314" w:lineRule="auto" w:before="20"/>
        <w:ind w:left="138" w:right="208" w:firstLine="419"/>
        <w:jc w:val="both"/>
      </w:pPr>
      <w:r>
        <w:rPr>
          <w:rFonts w:ascii="宋体" w:hAnsi="宋体" w:cs="宋体" w:eastAsia="宋体" w:hint="default"/>
          <w:spacing w:val="-4"/>
        </w:rPr>
        <w:t>6</w:t>
      </w:r>
      <w:r>
        <w:rPr>
          <w:spacing w:val="-4"/>
        </w:rPr>
        <w:t>、网络技术风险：互联网技术的发展日新月异，整个互联网行业以快速发展为主要特征，互</w:t>
      </w:r>
      <w:r>
        <w:rPr>
          <w:w w:val="100"/>
        </w:rPr>
        <w:t> </w:t>
      </w:r>
      <w:r>
        <w:rPr>
          <w:spacing w:val="-2"/>
        </w:rPr>
        <w:t>联网技术的发展更是日新月异。互联网技术革新在不断满足互联网用户需求变化和不断降低互联</w:t>
      </w:r>
      <w:r>
        <w:rPr>
          <w:spacing w:val="-25"/>
        </w:rPr>
        <w:t> </w:t>
      </w:r>
      <w:r>
        <w:rPr>
          <w:spacing w:val="-25"/>
        </w:rPr>
      </w:r>
      <w:r>
        <w:rPr>
          <w:spacing w:val="-2"/>
        </w:rPr>
        <w:t>网企业运营成本的同时，也丰富了互联网内容和互联网企业的盈利模式。本公司需要不断跟进和</w:t>
      </w:r>
      <w:r>
        <w:rPr>
          <w:spacing w:val="-25"/>
        </w:rPr>
        <w:t> </w:t>
      </w:r>
      <w:r>
        <w:rPr>
          <w:spacing w:val="-25"/>
        </w:rPr>
      </w:r>
      <w:r>
        <w:rPr>
          <w:spacing w:val="-2"/>
        </w:rPr>
        <w:t>采用最新的互联网技术，以应对互联网行业的发展趋势和公司自身业务发展的需求；同时，这也</w:t>
      </w:r>
      <w:r>
        <w:rPr>
          <w:spacing w:val="-25"/>
        </w:rPr>
        <w:t> </w:t>
      </w:r>
      <w:r>
        <w:rPr>
          <w:spacing w:val="-25"/>
        </w:rPr>
      </w:r>
      <w:r>
        <w:rPr>
          <w:spacing w:val="-2"/>
        </w:rPr>
        <w:t>将有利于公司在激烈的市场竞争中开拓新的商业机会，巩固现有的市场份额。如果公司无法及时</w:t>
      </w:r>
      <w:r>
        <w:rPr>
          <w:spacing w:val="-25"/>
        </w:rPr>
        <w:t> </w:t>
      </w:r>
      <w:r>
        <w:rPr>
          <w:spacing w:val="-25"/>
        </w:rPr>
      </w:r>
      <w:r>
        <w:rPr>
          <w:spacing w:val="-2"/>
        </w:rPr>
        <w:t>跟进互联网技术的革新，公司将可能面临技术水平落后、业务模式和产品服务缺乏创新、运营成</w:t>
      </w:r>
      <w:r>
        <w:rPr>
          <w:spacing w:val="-25"/>
        </w:rPr>
        <w:t> </w:t>
      </w:r>
      <w:r>
        <w:rPr>
          <w:spacing w:val="-25"/>
        </w:rPr>
      </w:r>
      <w:r>
        <w:rPr/>
        <w:t>本升高等风险，从而在一定程度上影响本公司的市场竞争地位。</w:t>
      </w:r>
    </w:p>
    <w:p>
      <w:pPr>
        <w:pStyle w:val="BodyText"/>
        <w:spacing w:line="312" w:lineRule="auto" w:before="20"/>
        <w:ind w:left="138" w:right="208" w:firstLine="419"/>
        <w:jc w:val="both"/>
        <w:rPr>
          <w:rFonts w:ascii="宋体" w:hAnsi="宋体" w:cs="宋体" w:eastAsia="宋体" w:hint="default"/>
        </w:rPr>
      </w:pPr>
      <w:r>
        <w:rPr>
          <w:rFonts w:ascii="宋体" w:hAnsi="宋体" w:cs="宋体" w:eastAsia="宋体" w:hint="default"/>
          <w:spacing w:val="-4"/>
        </w:rPr>
        <w:t>7</w:t>
      </w:r>
      <w:r>
        <w:rPr>
          <w:spacing w:val="-4"/>
        </w:rPr>
        <w:t>、系统安全风险：作为互联网新闻、资讯信息服务商，本公司必须确保计算机系统的稳定和</w:t>
      </w:r>
      <w:r>
        <w:rPr>
          <w:w w:val="100"/>
        </w:rPr>
        <w:t> </w:t>
      </w:r>
      <w:r>
        <w:rPr>
          <w:spacing w:val="-2"/>
        </w:rPr>
        <w:t>数据的安全，因此公司在日常经营中十分注重计算机系统和数据安全保障工作。虽然公司已经采</w:t>
      </w:r>
      <w:r>
        <w:rPr>
          <w:spacing w:val="-25"/>
        </w:rPr>
        <w:t> </w:t>
      </w:r>
      <w:r>
        <w:rPr>
          <w:spacing w:val="-25"/>
        </w:rPr>
      </w:r>
      <w:r>
        <w:rPr>
          <w:spacing w:val="-2"/>
        </w:rPr>
        <w:t>取了一系列措施确保公司的系统以及数据安全，但是，由于自然灾害、电力供应等不可抗力或主</w:t>
      </w:r>
      <w:r>
        <w:rPr>
          <w:spacing w:val="-25"/>
        </w:rPr>
        <w:t> </w:t>
      </w:r>
      <w:r>
        <w:rPr>
          <w:spacing w:val="-25"/>
        </w:rPr>
      </w:r>
      <w:r>
        <w:rPr>
          <w:spacing w:val="-2"/>
        </w:rPr>
        <w:t>观操作失误，公司存在计算机系统、数据安全性方面的风险。上述风险因素一旦发生，将造成公</w:t>
      </w:r>
      <w:r>
        <w:rPr>
          <w:spacing w:val="-25"/>
        </w:rPr>
        <w:t> </w:t>
      </w:r>
      <w:r>
        <w:rPr>
          <w:spacing w:val="-25"/>
        </w:rPr>
      </w:r>
      <w:r>
        <w:rPr>
          <w:spacing w:val="-6"/>
          <w:w w:val="100"/>
        </w:rPr>
        <w:t>司业务数据丢失或系统崩溃的严重后果，从而导致公司服务中断，严重的可能造成公司业务停顿。</w:t>
      </w:r>
      <w:r>
        <w:rPr>
          <w:w w:val="100"/>
        </w:rPr>
        <w:t> </w:t>
      </w:r>
      <w:r>
        <w:rPr>
          <w:rFonts w:ascii="宋体" w:hAnsi="宋体" w:cs="宋体" w:eastAsia="宋体" w:hint="default"/>
          <w:b/>
          <w:bCs/>
        </w:rPr>
        <w:t>(</w:t>
      </w:r>
      <w:r>
        <w:rPr>
          <w:rFonts w:ascii="宋体" w:hAnsi="宋体" w:cs="宋体" w:eastAsia="宋体" w:hint="default"/>
          <w:b/>
          <w:bCs/>
        </w:rPr>
        <w:t>五</w:t>
      </w:r>
      <w:r>
        <w:rPr>
          <w:rFonts w:ascii="宋体" w:hAnsi="宋体" w:cs="宋体" w:eastAsia="宋体" w:hint="default"/>
          <w:b/>
          <w:bCs/>
        </w:rPr>
        <w:t>)  </w:t>
      </w:r>
      <w:r>
        <w:rPr>
          <w:rFonts w:ascii="宋体" w:hAnsi="宋体" w:cs="宋体" w:eastAsia="宋体" w:hint="default"/>
          <w:b/>
          <w:bCs/>
          <w:spacing w:val="99"/>
        </w:rPr>
        <w:t> </w:t>
      </w:r>
      <w:r>
        <w:rPr>
          <w:rFonts w:ascii="宋体" w:hAnsi="宋体" w:cs="宋体" w:eastAsia="宋体" w:hint="default"/>
          <w:b/>
          <w:bCs/>
        </w:rPr>
        <w:t>其他</w:t>
      </w:r>
      <w:r>
        <w:rPr>
          <w:rFonts w:ascii="宋体" w:hAnsi="宋体" w:cs="宋体" w:eastAsia="宋体" w:hint="default"/>
        </w:rPr>
      </w:r>
    </w:p>
    <w:p>
      <w:pPr>
        <w:pStyle w:val="Heading2"/>
        <w:spacing w:line="290" w:lineRule="auto" w:before="0"/>
        <w:ind w:left="138" w:right="208"/>
        <w:jc w:val="both"/>
        <w:rPr>
          <w:b w:val="0"/>
          <w:bCs w:val="0"/>
        </w:rPr>
      </w:pPr>
      <w:r>
        <w:rPr>
          <w:rFonts w:ascii="宋体" w:hAnsi="宋体" w:cs="宋体" w:eastAsia="宋体" w:hint="default"/>
          <w:b w:val="0"/>
          <w:bCs w:val="0"/>
        </w:rPr>
        <w:t>□适用</w:t>
      </w:r>
      <w:r>
        <w:rPr>
          <w:rFonts w:ascii="宋体" w:hAnsi="宋体" w:cs="宋体" w:eastAsia="宋体" w:hint="default"/>
          <w:b w:val="0"/>
          <w:bCs w:val="0"/>
          <w:spacing w:val="103"/>
        </w:rPr>
        <w:t> </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四、公司因不适用准则规定或国家秘密、商业秘密等特殊原因，未按准则披露的情况和原因说明</w:t>
      </w:r>
      <w:r>
        <w:rPr>
          <w:b w:val="0"/>
          <w:bCs w:val="0"/>
          <w:spacing w:val="-1"/>
        </w:rPr>
      </w:r>
    </w:p>
    <w:p>
      <w:pPr>
        <w:pStyle w:val="BodyText"/>
        <w:spacing w:line="240" w:lineRule="auto" w:before="14"/>
        <w:ind w:left="138" w:right="0"/>
        <w:jc w:val="both"/>
      </w:pPr>
      <w:r>
        <w:rPr/>
        <w:t>□适用</w:t>
      </w:r>
      <w:r>
        <w:rPr>
          <w:spacing w:val="104"/>
        </w:rPr>
        <w:t> </w:t>
      </w:r>
      <w:r>
        <w:rPr/>
        <w:t>√不适用</w:t>
      </w:r>
    </w:p>
    <w:p>
      <w:pPr>
        <w:spacing w:after="0" w:line="240" w:lineRule="auto"/>
        <w:jc w:val="both"/>
        <w:sectPr>
          <w:pgSz w:w="11910" w:h="16840"/>
          <w:pgMar w:header="880" w:footer="1195" w:top="1120" w:bottom="1380" w:left="1660" w:right="1060"/>
        </w:sectPr>
      </w:pPr>
    </w:p>
    <w:p>
      <w:pPr>
        <w:spacing w:line="240" w:lineRule="auto" w:before="11"/>
        <w:rPr>
          <w:rFonts w:ascii="宋体" w:hAnsi="宋体" w:cs="宋体" w:eastAsia="宋体" w:hint="default"/>
          <w:sz w:val="25"/>
          <w:szCs w:val="25"/>
        </w:rPr>
      </w:pPr>
    </w:p>
    <w:p>
      <w:pPr>
        <w:pStyle w:val="Heading1"/>
        <w:tabs>
          <w:tab w:pos="1259" w:val="left" w:leader="none"/>
        </w:tabs>
        <w:spacing w:line="240" w:lineRule="auto"/>
        <w:ind w:right="1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right="0"/>
        <w:jc w:val="both"/>
        <w:rPr>
          <w:b w:val="0"/>
          <w:bCs w:val="0"/>
        </w:rPr>
      </w:pPr>
      <w:r>
        <w:rPr/>
        <w:t>一、普通股利润分配或资本公积金转增预案</w:t>
      </w:r>
      <w:r>
        <w:rPr>
          <w:b w:val="0"/>
          <w:bCs w:val="0"/>
        </w:rPr>
      </w:r>
    </w:p>
    <w:p>
      <w:pPr>
        <w:pStyle w:val="Heading2"/>
        <w:spacing w:line="240" w:lineRule="auto" w:before="58"/>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29"/>
        <w:ind w:right="0"/>
        <w:jc w:val="both"/>
      </w:pPr>
      <w:r>
        <w:rPr/>
        <w:t>√适用</w:t>
      </w:r>
      <w:r>
        <w:rPr>
          <w:spacing w:val="104"/>
        </w:rPr>
        <w:t> </w:t>
      </w:r>
      <w:r>
        <w:rPr/>
        <w:t>□不适用</w:t>
      </w:r>
    </w:p>
    <w:p>
      <w:pPr>
        <w:pStyle w:val="BodyText"/>
        <w:spacing w:line="240" w:lineRule="auto" w:before="75"/>
        <w:ind w:left="0" w:right="228"/>
        <w:jc w:val="right"/>
      </w:pPr>
      <w:r>
        <w:rPr>
          <w:w w:val="100"/>
        </w:rPr>
        <w:t>公司</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3"/>
          <w:w w:val="100"/>
        </w:rPr>
        <w:t>度</w:t>
      </w:r>
      <w:r>
        <w:rPr>
          <w:w w:val="100"/>
        </w:rPr>
        <w:t>的</w:t>
      </w:r>
      <w:r>
        <w:rPr>
          <w:spacing w:val="-3"/>
          <w:w w:val="100"/>
        </w:rPr>
        <w:t>利</w:t>
      </w:r>
      <w:r>
        <w:rPr>
          <w:w w:val="100"/>
        </w:rPr>
        <w:t>润</w:t>
      </w:r>
      <w:r>
        <w:rPr>
          <w:spacing w:val="-3"/>
          <w:w w:val="100"/>
        </w:rPr>
        <w:t>分配</w:t>
      </w:r>
      <w:r>
        <w:rPr>
          <w:w w:val="100"/>
        </w:rPr>
        <w:t>方案</w:t>
      </w:r>
      <w:r>
        <w:rPr>
          <w:spacing w:val="-3"/>
          <w:w w:val="100"/>
        </w:rPr>
        <w:t>拟</w:t>
      </w:r>
      <w:r>
        <w:rPr>
          <w:w w:val="100"/>
        </w:rPr>
        <w:t>定</w:t>
      </w:r>
      <w:r>
        <w:rPr>
          <w:spacing w:val="-3"/>
          <w:w w:val="100"/>
        </w:rPr>
        <w:t>如下</w:t>
      </w:r>
      <w:r>
        <w:rPr>
          <w:spacing w:val="-92"/>
          <w:w w:val="100"/>
        </w:rPr>
        <w:t>：</w:t>
      </w:r>
      <w:r>
        <w:rPr>
          <w:spacing w:val="-3"/>
          <w:w w:val="100"/>
        </w:rPr>
        <w:t>公</w:t>
      </w:r>
      <w:r>
        <w:rPr>
          <w:w w:val="100"/>
        </w:rPr>
        <w:t>司</w:t>
      </w:r>
      <w:r>
        <w:rPr>
          <w:spacing w:val="-3"/>
          <w:w w:val="100"/>
        </w:rPr>
        <w:t>以</w:t>
      </w:r>
      <w:r>
        <w:rPr>
          <w:w w:val="100"/>
        </w:rPr>
        <w:t>本</w:t>
      </w:r>
      <w:r>
        <w:rPr>
          <w:spacing w:val="-3"/>
          <w:w w:val="100"/>
        </w:rPr>
        <w:t>次</w:t>
      </w:r>
      <w:r>
        <w:rPr>
          <w:w w:val="100"/>
        </w:rPr>
        <w:t>利润</w:t>
      </w:r>
      <w:r>
        <w:rPr>
          <w:spacing w:val="-3"/>
          <w:w w:val="100"/>
        </w:rPr>
        <w:t>分</w:t>
      </w:r>
      <w:r>
        <w:rPr>
          <w:w w:val="100"/>
        </w:rPr>
        <w:t>配</w:t>
      </w:r>
      <w:r>
        <w:rPr>
          <w:spacing w:val="-3"/>
          <w:w w:val="100"/>
        </w:rPr>
        <w:t>方</w:t>
      </w:r>
      <w:r>
        <w:rPr>
          <w:w w:val="100"/>
        </w:rPr>
        <w:t>案</w:t>
      </w:r>
      <w:r>
        <w:rPr>
          <w:spacing w:val="-3"/>
          <w:w w:val="100"/>
        </w:rPr>
        <w:t>实</w:t>
      </w:r>
      <w:r>
        <w:rPr>
          <w:w w:val="100"/>
        </w:rPr>
        <w:t>施</w:t>
      </w:r>
      <w:r>
        <w:rPr>
          <w:spacing w:val="-3"/>
          <w:w w:val="100"/>
        </w:rPr>
        <w:t>前</w:t>
      </w:r>
      <w:r>
        <w:rPr>
          <w:w w:val="100"/>
        </w:rPr>
        <w:t>的</w:t>
      </w:r>
      <w:r>
        <w:rPr>
          <w:spacing w:val="-3"/>
          <w:w w:val="100"/>
        </w:rPr>
        <w:t>公</w:t>
      </w:r>
      <w:r>
        <w:rPr>
          <w:w w:val="100"/>
        </w:rPr>
        <w:t>司总</w:t>
      </w:r>
      <w:r>
        <w:rPr>
          <w:spacing w:val="-3"/>
          <w:w w:val="100"/>
        </w:rPr>
        <w:t>股</w:t>
      </w:r>
      <w:r>
        <w:rPr>
          <w:w w:val="100"/>
        </w:rPr>
        <w:t>本</w:t>
      </w:r>
      <w:r>
        <w:rPr>
          <w:spacing w:val="-3"/>
          <w:w w:val="100"/>
        </w:rPr>
        <w:t>为</w:t>
      </w:r>
      <w:r>
        <w:rPr>
          <w:w w:val="100"/>
        </w:rPr>
        <w:t>基</w:t>
      </w:r>
    </w:p>
    <w:p>
      <w:pPr>
        <w:pStyle w:val="BodyText"/>
        <w:spacing w:line="314" w:lineRule="auto" w:before="85"/>
        <w:ind w:right="228"/>
        <w:jc w:val="both"/>
      </w:pPr>
      <w:r>
        <w:rPr>
          <w:spacing w:val="-9"/>
        </w:rPr>
        <w:t>数，向全体股东每</w:t>
      </w:r>
      <w:r>
        <w:rPr>
          <w:spacing w:val="-50"/>
        </w:rPr>
        <w:t> </w:t>
      </w:r>
      <w:r>
        <w:rPr>
          <w:rFonts w:ascii="宋体" w:hAnsi="宋体" w:cs="宋体" w:eastAsia="宋体" w:hint="default"/>
        </w:rPr>
        <w:t>10</w:t>
      </w:r>
      <w:r>
        <w:rPr>
          <w:rFonts w:ascii="宋体" w:hAnsi="宋体" w:cs="宋体" w:eastAsia="宋体" w:hint="default"/>
          <w:spacing w:val="-50"/>
        </w:rPr>
        <w:t> </w:t>
      </w:r>
      <w:r>
        <w:rPr/>
        <w:t>股拟派发现金股利人民币</w:t>
      </w:r>
      <w:r>
        <w:rPr>
          <w:spacing w:val="-50"/>
        </w:rPr>
        <w:t> </w:t>
      </w:r>
      <w:r>
        <w:rPr>
          <w:rFonts w:ascii="宋体" w:hAnsi="宋体" w:cs="宋体" w:eastAsia="宋体" w:hint="default"/>
        </w:rPr>
        <w:t>2.48</w:t>
      </w:r>
      <w:r>
        <w:rPr>
          <w:rFonts w:ascii="宋体" w:hAnsi="宋体" w:cs="宋体" w:eastAsia="宋体" w:hint="default"/>
          <w:spacing w:val="-52"/>
        </w:rPr>
        <w:t> </w:t>
      </w:r>
      <w:r>
        <w:rPr>
          <w:spacing w:val="-16"/>
        </w:rPr>
        <w:t>元（含税），共派发红利总额</w:t>
      </w:r>
      <w:r>
        <w:rPr>
          <w:spacing w:val="-50"/>
        </w:rPr>
        <w:t> </w:t>
      </w:r>
      <w:r>
        <w:rPr>
          <w:rFonts w:ascii="宋体" w:hAnsi="宋体" w:cs="宋体" w:eastAsia="宋体" w:hint="default"/>
        </w:rPr>
        <w:t>128,719,281.28</w:t>
      </w:r>
      <w:r>
        <w:rPr>
          <w:rFonts w:ascii="宋体" w:hAnsi="宋体" w:cs="宋体" w:eastAsia="宋体" w:hint="default"/>
          <w:w w:val="100"/>
        </w:rPr>
        <w:t> </w:t>
      </w:r>
      <w:r>
        <w:rPr>
          <w:spacing w:val="-1"/>
        </w:rPr>
        <w:t>元（含税），剩余未分配利润将结转入下一年度。上述利润分配方案尚需提交公司股东大会审议</w:t>
      </w:r>
      <w:r>
        <w:rPr>
          <w:spacing w:val="-55"/>
        </w:rPr>
        <w:t> </w:t>
      </w:r>
      <w:r>
        <w:rPr>
          <w:spacing w:val="-55"/>
        </w:rPr>
      </w:r>
      <w:r>
        <w:rPr/>
        <w:t>通过。</w:t>
      </w:r>
    </w:p>
    <w:p>
      <w:pPr>
        <w:pStyle w:val="BodyText"/>
        <w:spacing w:line="314" w:lineRule="auto" w:before="20"/>
        <w:ind w:right="228" w:firstLine="419"/>
        <w:jc w:val="both"/>
      </w:pPr>
      <w:r>
        <w:rPr>
          <w:spacing w:val="-2"/>
        </w:rPr>
        <w:t>公司严格按照法律法规、《公司章程》及股东大会决议的要求实行利润分配，决策程序和机</w:t>
      </w:r>
      <w:r>
        <w:rPr>
          <w:w w:val="100"/>
        </w:rPr>
        <w:t> </w:t>
      </w:r>
      <w:r>
        <w:rPr>
          <w:spacing w:val="-6"/>
        </w:rPr>
        <w:t>制完备，分红标准和比例明确和清晰，独立董事对公司利润分配情况发表客观、公正的独立意见，</w:t>
      </w:r>
      <w:r>
        <w:rPr>
          <w:spacing w:val="-54"/>
        </w:rPr>
        <w:t> </w:t>
      </w:r>
      <w:r>
        <w:rPr>
          <w:spacing w:val="-54"/>
        </w:rPr>
      </w:r>
      <w:r>
        <w:rPr/>
        <w:t>能够充分保护中小投资者的合法权益。</w:t>
      </w:r>
    </w:p>
    <w:p>
      <w:pPr>
        <w:pStyle w:val="Heading2"/>
        <w:spacing w:line="240" w:lineRule="auto" w:before="3"/>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tabs>
          <w:tab w:pos="1051" w:val="left" w:leader="none"/>
        </w:tabs>
        <w:spacing w:line="240" w:lineRule="auto" w:before="29"/>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958"/>
        <w:gridCol w:w="1169"/>
        <w:gridCol w:w="1046"/>
        <w:gridCol w:w="1685"/>
        <w:gridCol w:w="1688"/>
        <w:gridCol w:w="1402"/>
      </w:tblGrid>
      <w:tr>
        <w:trPr>
          <w:trHeight w:val="16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35" w:right="331"/>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2" w:firstLine="4"/>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w:t>
            </w:r>
            <w:r>
              <w:rPr>
                <w:rFonts w:ascii="宋体" w:hAnsi="宋体" w:cs="宋体" w:eastAsia="宋体" w:hint="default"/>
                <w:spacing w:val="-102"/>
                <w:sz w:val="21"/>
                <w:szCs w:val="21"/>
              </w:rPr>
              <w:t> </w:t>
            </w:r>
            <w:r>
              <w:rPr>
                <w:rFonts w:ascii="宋体" w:hAnsi="宋体" w:cs="宋体" w:eastAsia="宋体" w:hint="default"/>
                <w:sz w:val="21"/>
                <w:szCs w:val="21"/>
              </w:rPr>
              <w:t>数（股）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9" w:right="103"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1" w:lineRule="exact"/>
              <w:ind w:left="159"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9" w:right="149"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71" w:lineRule="exact"/>
              <w:ind w:left="199"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ind w:left="170" w:right="165"/>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w:t>
            </w:r>
          </w:p>
        </w:tc>
      </w:tr>
      <w:tr>
        <w:trPr>
          <w:trHeight w:val="281"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128,719,281.28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285,096,549.33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45.15</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103,805,872.00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283,961,280.93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36.56</w:t>
            </w: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8"/>
                <w:sz w:val="21"/>
                <w:szCs w:val="21"/>
              </w:rPr>
              <w:t> </w:t>
            </w:r>
            <w:r>
              <w:rPr>
                <w:rFonts w:ascii="宋体" w:hAnsi="宋体" w:cs="宋体" w:eastAsia="宋体" w:hint="default"/>
                <w:sz w:val="21"/>
                <w:szCs w:val="21"/>
              </w:rPr>
              <w:t>年前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三季度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352,939,964.80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160,791,856.39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219.50</w:t>
            </w:r>
          </w:p>
        </w:tc>
      </w:tr>
    </w:tbl>
    <w:p>
      <w:pPr>
        <w:pStyle w:val="Heading2"/>
        <w:spacing w:line="240" w:lineRule="auto" w:before="26"/>
        <w:ind w:right="33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pStyle w:val="BodyText"/>
        <w:spacing w:line="240" w:lineRule="auto" w:before="29"/>
        <w:ind w:right="3319"/>
        <w:jc w:val="left"/>
      </w:pPr>
      <w:r>
        <w:rPr/>
        <w:t>□适用</w:t>
      </w:r>
      <w:r>
        <w:rPr>
          <w:spacing w:val="-1"/>
        </w:rPr>
        <w:t> </w:t>
      </w:r>
      <w:r>
        <w:rPr/>
        <w:t>√不适用</w:t>
      </w:r>
    </w:p>
    <w:p>
      <w:pPr>
        <w:pStyle w:val="Heading2"/>
        <w:spacing w:line="272" w:lineRule="exact" w:before="86"/>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4"/>
        <w:ind w:right="3319"/>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before="0"/>
        <w:ind w:left="840" w:right="0"/>
        <w:jc w:val="left"/>
        <w:rPr>
          <w:b w:val="0"/>
          <w:bCs w:val="0"/>
        </w:rPr>
      </w:pPr>
      <w:r>
        <w:rPr/>
        <w:t>二、承诺事项履行情况</w:t>
      </w:r>
      <w:r>
        <w:rPr>
          <w:b w:val="0"/>
          <w:bCs w:val="0"/>
        </w:rPr>
      </w:r>
    </w:p>
    <w:p>
      <w:pPr>
        <w:pStyle w:val="Heading2"/>
        <w:tabs>
          <w:tab w:pos="1406" w:val="left" w:leader="none"/>
        </w:tabs>
        <w:spacing w:line="240" w:lineRule="auto" w:before="58"/>
        <w:ind w:left="8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29"/>
        <w:ind w:left="840"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852"/>
        <w:gridCol w:w="713"/>
        <w:gridCol w:w="1553"/>
        <w:gridCol w:w="7232"/>
        <w:gridCol w:w="1133"/>
        <w:gridCol w:w="852"/>
        <w:gridCol w:w="859"/>
        <w:gridCol w:w="1131"/>
        <w:gridCol w:w="986"/>
      </w:tblGrid>
      <w:tr>
        <w:trPr>
          <w:trHeight w:val="137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4" w:right="101" w:hanging="209"/>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2" w:right="137"/>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98" w:right="3399"/>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4" w:right="137" w:hanging="104"/>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w w:val="100"/>
                <w:sz w:val="21"/>
                <w:szCs w:val="21"/>
              </w:rPr>
              <w:t> </w:t>
            </w:r>
            <w:r>
              <w:rPr>
                <w:rFonts w:ascii="宋体" w:hAnsi="宋体" w:cs="宋体" w:eastAsia="宋体" w:hint="default"/>
                <w:sz w:val="21"/>
                <w:szCs w:val="21"/>
              </w:rPr>
              <w:t>及期限</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5" w:right="101"/>
              <w:jc w:val="center"/>
              <w:rPr>
                <w:rFonts w:ascii="宋体" w:hAnsi="宋体" w:cs="宋体" w:eastAsia="宋体" w:hint="default"/>
                <w:sz w:val="21"/>
                <w:szCs w:val="21"/>
              </w:rPr>
            </w:pPr>
            <w:r>
              <w:rPr>
                <w:rFonts w:ascii="宋体" w:hAnsi="宋体" w:cs="宋体" w:eastAsia="宋体" w:hint="default"/>
                <w:sz w:val="21"/>
                <w:szCs w:val="21"/>
              </w:rPr>
              <w:t>是否有</w:t>
            </w:r>
            <w:r>
              <w:rPr>
                <w:rFonts w:ascii="宋体" w:hAnsi="宋体" w:cs="宋体" w:eastAsia="宋体" w:hint="default"/>
                <w:w w:val="100"/>
                <w:sz w:val="21"/>
                <w:szCs w:val="21"/>
              </w:rPr>
              <w:t> </w:t>
            </w:r>
            <w:r>
              <w:rPr>
                <w:rFonts w:ascii="宋体" w:hAnsi="宋体" w:cs="宋体" w:eastAsia="宋体" w:hint="default"/>
                <w:sz w:val="21"/>
                <w:szCs w:val="21"/>
              </w:rPr>
              <w:t>履行期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8" w:right="107"/>
              <w:jc w:val="both"/>
              <w:rPr>
                <w:rFonts w:ascii="宋体" w:hAnsi="宋体" w:cs="宋体" w:eastAsia="宋体" w:hint="default"/>
                <w:sz w:val="21"/>
                <w:szCs w:val="21"/>
              </w:rPr>
            </w:pPr>
            <w:r>
              <w:rPr>
                <w:rFonts w:ascii="宋体" w:hAnsi="宋体" w:cs="宋体" w:eastAsia="宋体" w:hint="default"/>
                <w:sz w:val="21"/>
                <w:szCs w:val="21"/>
              </w:rPr>
              <w:t>是否及</w:t>
            </w:r>
            <w:r>
              <w:rPr>
                <w:rFonts w:ascii="宋体" w:hAnsi="宋体" w:cs="宋体" w:eastAsia="宋体" w:hint="default"/>
                <w:spacing w:val="-102"/>
                <w:sz w:val="21"/>
                <w:szCs w:val="21"/>
              </w:rPr>
              <w:t> </w:t>
            </w:r>
            <w:r>
              <w:rPr>
                <w:rFonts w:ascii="宋体" w:hAnsi="宋体" w:cs="宋体" w:eastAsia="宋体" w:hint="default"/>
                <w:sz w:val="21"/>
                <w:szCs w:val="21"/>
              </w:rPr>
              <w:t>时严格</w:t>
            </w:r>
            <w:r>
              <w:rPr>
                <w:rFonts w:ascii="宋体" w:hAnsi="宋体" w:cs="宋体" w:eastAsia="宋体" w:hint="default"/>
                <w:spacing w:val="-102"/>
                <w:sz w:val="21"/>
                <w:szCs w:val="21"/>
              </w:rPr>
              <w:t> </w:t>
            </w:r>
            <w:r>
              <w:rPr>
                <w:rFonts w:ascii="宋体" w:hAnsi="宋体" w:cs="宋体" w:eastAsia="宋体" w:hint="default"/>
                <w:sz w:val="21"/>
                <w:szCs w:val="21"/>
              </w:rPr>
              <w:t>履行</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如未能及</w:t>
            </w: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时履行应</w:t>
            </w:r>
            <w:r>
              <w:rPr>
                <w:rFonts w:ascii="宋体" w:hAnsi="宋体" w:cs="宋体" w:eastAsia="宋体" w:hint="default"/>
                <w:w w:val="100"/>
                <w:sz w:val="21"/>
                <w:szCs w:val="21"/>
              </w:rPr>
              <w:t> </w:t>
            </w:r>
            <w:r>
              <w:rPr>
                <w:rFonts w:ascii="宋体" w:hAnsi="宋体" w:cs="宋体" w:eastAsia="宋体" w:hint="default"/>
                <w:sz w:val="21"/>
                <w:szCs w:val="21"/>
              </w:rPr>
              <w:t>说明未完</w:t>
            </w:r>
            <w:r>
              <w:rPr>
                <w:rFonts w:ascii="宋体" w:hAnsi="宋体" w:cs="宋体" w:eastAsia="宋体" w:hint="default"/>
                <w:w w:val="100"/>
                <w:sz w:val="21"/>
                <w:szCs w:val="21"/>
              </w:rPr>
              <w:t> </w:t>
            </w:r>
            <w:r>
              <w:rPr>
                <w:rFonts w:ascii="宋体" w:hAnsi="宋体" w:cs="宋体" w:eastAsia="宋体" w:hint="default"/>
                <w:sz w:val="21"/>
                <w:szCs w:val="21"/>
              </w:rPr>
              <w:t>成履行的</w:t>
            </w:r>
            <w:r>
              <w:rPr>
                <w:rFonts w:ascii="宋体" w:hAnsi="宋体" w:cs="宋体" w:eastAsia="宋体" w:hint="default"/>
                <w:w w:val="100"/>
                <w:sz w:val="21"/>
                <w:szCs w:val="21"/>
              </w:rPr>
              <w:t> </w:t>
            </w:r>
            <w:r>
              <w:rPr>
                <w:rFonts w:ascii="宋体" w:hAnsi="宋体" w:cs="宋体" w:eastAsia="宋体" w:hint="default"/>
                <w:sz w:val="21"/>
                <w:szCs w:val="21"/>
              </w:rPr>
              <w:t>具体原因</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sz w:val="21"/>
                <w:szCs w:val="21"/>
              </w:rPr>
              <w:t>如未能</w:t>
            </w:r>
          </w:p>
          <w:p>
            <w:pPr>
              <w:pStyle w:val="TableParagraph"/>
              <w:spacing w:line="237" w:lineRule="auto"/>
              <w:ind w:left="172" w:right="168"/>
              <w:jc w:val="both"/>
              <w:rPr>
                <w:rFonts w:ascii="宋体" w:hAnsi="宋体" w:cs="宋体" w:eastAsia="宋体" w:hint="default"/>
                <w:sz w:val="21"/>
                <w:szCs w:val="21"/>
              </w:rPr>
            </w:pP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明下一</w:t>
            </w:r>
            <w:r>
              <w:rPr>
                <w:rFonts w:ascii="宋体" w:hAnsi="宋体" w:cs="宋体" w:eastAsia="宋体" w:hint="default"/>
                <w:spacing w:val="-102"/>
                <w:sz w:val="21"/>
                <w:szCs w:val="21"/>
              </w:rPr>
              <w:t> </w:t>
            </w:r>
            <w:r>
              <w:rPr>
                <w:rFonts w:ascii="宋体" w:hAnsi="宋体" w:cs="宋体" w:eastAsia="宋体" w:hint="default"/>
                <w:sz w:val="21"/>
                <w:szCs w:val="21"/>
              </w:rPr>
              <w:t>步计划</w:t>
            </w:r>
          </w:p>
        </w:tc>
      </w:tr>
      <w:tr>
        <w:trPr>
          <w:trHeight w:val="2463" w:hRule="exact"/>
        </w:trPr>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与首次</w:t>
            </w:r>
            <w:r>
              <w:rPr>
                <w:rFonts w:ascii="宋体" w:hAnsi="宋体" w:cs="宋体" w:eastAsia="宋体" w:hint="default"/>
                <w:spacing w:val="-102"/>
                <w:sz w:val="21"/>
                <w:szCs w:val="21"/>
              </w:rPr>
              <w:t> </w:t>
            </w: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行相关</w:t>
            </w:r>
            <w:r>
              <w:rPr>
                <w:rFonts w:ascii="宋体" w:hAnsi="宋体" w:cs="宋体" w:eastAsia="宋体" w:hint="default"/>
                <w:spacing w:val="-102"/>
                <w:sz w:val="21"/>
                <w:szCs w:val="21"/>
              </w:rPr>
              <w:t> </w:t>
            </w:r>
            <w:r>
              <w:rPr>
                <w:rFonts w:ascii="宋体" w:hAnsi="宋体" w:cs="宋体" w:eastAsia="宋体" w:hint="default"/>
                <w:sz w:val="21"/>
                <w:szCs w:val="21"/>
              </w:rPr>
              <w:t>的承诺</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3"/>
              <w:ind w:left="142" w:right="137"/>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限售</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75"/>
              <w:jc w:val="both"/>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w w:val="100"/>
                <w:sz w:val="21"/>
                <w:szCs w:val="21"/>
              </w:rPr>
              <w:t> </w:t>
            </w:r>
            <w:r>
              <w:rPr>
                <w:rFonts w:ascii="宋体" w:hAnsi="宋体" w:cs="宋体" w:eastAsia="宋体" w:hint="default"/>
                <w:sz w:val="21"/>
                <w:szCs w:val="21"/>
              </w:rPr>
              <w:t>中国经济信息</w:t>
            </w:r>
            <w:r>
              <w:rPr>
                <w:rFonts w:ascii="宋体" w:hAnsi="宋体" w:cs="宋体" w:eastAsia="宋体" w:hint="default"/>
                <w:w w:val="100"/>
                <w:sz w:val="21"/>
                <w:szCs w:val="21"/>
              </w:rPr>
              <w:t> </w:t>
            </w:r>
            <w:r>
              <w:rPr>
                <w:rFonts w:ascii="宋体" w:hAnsi="宋体" w:cs="宋体" w:eastAsia="宋体" w:hint="default"/>
                <w:sz w:val="21"/>
                <w:szCs w:val="21"/>
              </w:rPr>
              <w:t>社有限公司、</w:t>
            </w:r>
            <w:r>
              <w:rPr>
                <w:rFonts w:ascii="宋体" w:hAnsi="宋体" w:cs="宋体" w:eastAsia="宋体" w:hint="default"/>
                <w:w w:val="100"/>
                <w:sz w:val="21"/>
                <w:szCs w:val="21"/>
              </w:rPr>
              <w:t> </w:t>
            </w:r>
            <w:r>
              <w:rPr>
                <w:rFonts w:ascii="宋体" w:hAnsi="宋体" w:cs="宋体" w:eastAsia="宋体" w:hint="default"/>
                <w:sz w:val="21"/>
                <w:szCs w:val="21"/>
              </w:rPr>
              <w:t>中国新闻发展</w:t>
            </w:r>
            <w:r>
              <w:rPr>
                <w:rFonts w:ascii="宋体" w:hAnsi="宋体" w:cs="宋体" w:eastAsia="宋体" w:hint="default"/>
                <w:w w:val="100"/>
                <w:sz w:val="21"/>
                <w:szCs w:val="21"/>
              </w:rPr>
              <w:t> </w:t>
            </w:r>
            <w:r>
              <w:rPr>
                <w:rFonts w:ascii="宋体" w:hAnsi="宋体" w:cs="宋体" w:eastAsia="宋体" w:hint="default"/>
                <w:sz w:val="21"/>
                <w:szCs w:val="21"/>
              </w:rPr>
              <w:t>深圳有限公司</w:t>
            </w: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发行人控股股东及其一致行动人关于股份锁定的承诺：</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、自发行人股票上市之日起三十六个月内（以下简称“锁定期”），不转让</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或者委托他人管理其本次发行前已持有的发行人股份，也不由发行人回购该</w:t>
            </w:r>
            <w:r>
              <w:rPr>
                <w:rFonts w:ascii="宋体" w:hAnsi="宋体" w:cs="宋体" w:eastAsia="宋体" w:hint="default"/>
                <w:w w:val="100"/>
                <w:sz w:val="21"/>
                <w:szCs w:val="21"/>
              </w:rPr>
              <w:t> </w:t>
            </w:r>
            <w:r>
              <w:rPr>
                <w:rFonts w:ascii="宋体" w:hAnsi="宋体" w:cs="宋体" w:eastAsia="宋体" w:hint="default"/>
                <w:sz w:val="21"/>
                <w:szCs w:val="21"/>
              </w:rPr>
              <w:t>部分股份。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2</w:t>
            </w:r>
            <w:r>
              <w:rPr>
                <w:rFonts w:ascii="宋体" w:hAnsi="宋体" w:cs="宋体" w:eastAsia="宋体" w:hint="default"/>
                <w:spacing w:val="-2"/>
                <w:sz w:val="21"/>
                <w:szCs w:val="21"/>
              </w:rPr>
              <w:t>、承诺方直接或间接所持发行人股票在锁定期满后两年内减持的，其减持价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格不低于发行价；发行人上市后</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个月内如发行人股票连续</w:t>
            </w:r>
            <w:r>
              <w:rPr>
                <w:rFonts w:ascii="宋体" w:hAnsi="宋体" w:cs="宋体" w:eastAsia="宋体" w:hint="default"/>
                <w:spacing w:val="-50"/>
                <w:sz w:val="21"/>
                <w:szCs w:val="21"/>
              </w:rPr>
              <w:t> </w:t>
            </w:r>
            <w:r>
              <w:rPr>
                <w:rFonts w:ascii="宋体" w:hAnsi="宋体" w:cs="宋体" w:eastAsia="宋体" w:hint="default"/>
                <w:sz w:val="21"/>
                <w:szCs w:val="21"/>
              </w:rPr>
              <w:t>20</w:t>
            </w:r>
            <w:r>
              <w:rPr>
                <w:rFonts w:ascii="宋体" w:hAnsi="宋体" w:cs="宋体" w:eastAsia="宋体" w:hint="default"/>
                <w:spacing w:val="-50"/>
                <w:sz w:val="21"/>
                <w:szCs w:val="21"/>
              </w:rPr>
              <w:t> </w:t>
            </w:r>
            <w:r>
              <w:rPr>
                <w:rFonts w:ascii="宋体" w:hAnsi="宋体" w:cs="宋体" w:eastAsia="宋体" w:hint="default"/>
                <w:sz w:val="21"/>
                <w:szCs w:val="21"/>
              </w:rPr>
              <w:t>个交易日的收</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盘价均低于发行价，或者上市后</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个月期末收盘价低于发行价，直接或间接</w:t>
            </w:r>
          </w:p>
          <w:p>
            <w:pPr>
              <w:pStyle w:val="TableParagraph"/>
              <w:spacing w:line="272" w:lineRule="exact" w:before="27"/>
              <w:ind w:left="103" w:right="180"/>
              <w:jc w:val="left"/>
              <w:rPr>
                <w:rFonts w:ascii="宋体" w:hAnsi="宋体" w:cs="宋体" w:eastAsia="宋体" w:hint="default"/>
                <w:sz w:val="21"/>
                <w:szCs w:val="21"/>
              </w:rPr>
            </w:pPr>
            <w:r>
              <w:rPr>
                <w:rFonts w:ascii="宋体" w:hAnsi="宋体" w:cs="宋体" w:eastAsia="宋体" w:hint="default"/>
                <w:sz w:val="21"/>
                <w:szCs w:val="21"/>
              </w:rPr>
              <w:t>持有发行人股票的锁定期限自动延长至少</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个月。新华网发生派发股利、转</w:t>
            </w:r>
            <w:r>
              <w:rPr>
                <w:rFonts w:ascii="宋体" w:hAnsi="宋体" w:cs="宋体" w:eastAsia="宋体" w:hint="default"/>
                <w:w w:val="100"/>
                <w:sz w:val="21"/>
                <w:szCs w:val="21"/>
              </w:rPr>
              <w:t> </w:t>
            </w:r>
            <w:r>
              <w:rPr>
                <w:rFonts w:ascii="宋体" w:hAnsi="宋体" w:cs="宋体" w:eastAsia="宋体" w:hint="default"/>
                <w:sz w:val="21"/>
                <w:szCs w:val="21"/>
              </w:rPr>
              <w:t>增股本等除息、除权行为的，上述发行价格亦将作相应调整。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pacing w:val="-3"/>
                <w:sz w:val="21"/>
                <w:szCs w:val="21"/>
              </w:rPr>
              <w:t>日至</w:t>
            </w:r>
            <w:r>
              <w:rPr>
                <w:rFonts w:ascii="宋体" w:hAnsi="宋体" w:cs="宋体" w:eastAsia="宋体" w:hint="default"/>
                <w:sz w:val="21"/>
                <w:szCs w:val="21"/>
              </w:rPr>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550" w:hRule="exact"/>
        </w:trPr>
        <w:tc>
          <w:tcPr>
            <w:tcW w:w="852" w:type="dxa"/>
            <w:vMerge/>
            <w:tcBorders>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03" w:right="175"/>
              <w:jc w:val="both"/>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w w:val="100"/>
                <w:sz w:val="21"/>
                <w:szCs w:val="21"/>
              </w:rPr>
              <w:t> </w:t>
            </w:r>
            <w:r>
              <w:rPr>
                <w:rFonts w:ascii="宋体" w:hAnsi="宋体" w:cs="宋体" w:eastAsia="宋体" w:hint="default"/>
                <w:sz w:val="21"/>
                <w:szCs w:val="21"/>
              </w:rPr>
              <w:t>中国经济信息</w:t>
            </w:r>
            <w:r>
              <w:rPr>
                <w:rFonts w:ascii="宋体" w:hAnsi="宋体" w:cs="宋体" w:eastAsia="宋体" w:hint="default"/>
                <w:w w:val="100"/>
                <w:sz w:val="21"/>
                <w:szCs w:val="21"/>
              </w:rPr>
              <w:t> </w:t>
            </w:r>
            <w:r>
              <w:rPr>
                <w:rFonts w:ascii="宋体" w:hAnsi="宋体" w:cs="宋体" w:eastAsia="宋体" w:hint="default"/>
                <w:sz w:val="21"/>
                <w:szCs w:val="21"/>
              </w:rPr>
              <w:t>社有限公司、</w:t>
            </w:r>
            <w:r>
              <w:rPr>
                <w:rFonts w:ascii="宋体" w:hAnsi="宋体" w:cs="宋体" w:eastAsia="宋体" w:hint="default"/>
                <w:w w:val="100"/>
                <w:sz w:val="21"/>
                <w:szCs w:val="21"/>
              </w:rPr>
              <w:t> </w:t>
            </w:r>
            <w:r>
              <w:rPr>
                <w:rFonts w:ascii="宋体" w:hAnsi="宋体" w:cs="宋体" w:eastAsia="宋体" w:hint="default"/>
                <w:sz w:val="21"/>
                <w:szCs w:val="21"/>
              </w:rPr>
              <w:t>中国新闻发展</w:t>
            </w:r>
            <w:r>
              <w:rPr>
                <w:rFonts w:ascii="宋体" w:hAnsi="宋体" w:cs="宋体" w:eastAsia="宋体" w:hint="default"/>
                <w:w w:val="100"/>
                <w:sz w:val="21"/>
                <w:szCs w:val="21"/>
              </w:rPr>
              <w:t> </w:t>
            </w:r>
            <w:r>
              <w:rPr>
                <w:rFonts w:ascii="宋体" w:hAnsi="宋体" w:cs="宋体" w:eastAsia="宋体" w:hint="default"/>
                <w:sz w:val="21"/>
                <w:szCs w:val="21"/>
              </w:rPr>
              <w:t>深圳有限公司</w:t>
            </w: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发行人控股股东及其一致行动人关于持有及减持股份意向的承诺：</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、减持数量</w:t>
            </w:r>
          </w:p>
          <w:p>
            <w:pPr>
              <w:pStyle w:val="TableParagraph"/>
              <w:spacing w:line="237" w:lineRule="auto" w:before="2"/>
              <w:ind w:left="103" w:right="100"/>
              <w:jc w:val="left"/>
              <w:rPr>
                <w:rFonts w:ascii="宋体" w:hAnsi="宋体" w:cs="宋体" w:eastAsia="宋体" w:hint="default"/>
                <w:sz w:val="21"/>
                <w:szCs w:val="21"/>
              </w:rPr>
            </w:pPr>
            <w:r>
              <w:rPr>
                <w:rFonts w:ascii="宋体" w:hAnsi="宋体" w:cs="宋体" w:eastAsia="宋体" w:hint="default"/>
                <w:sz w:val="21"/>
                <w:szCs w:val="21"/>
              </w:rPr>
              <w:t>锁定期满后第</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至第</w:t>
            </w:r>
            <w:r>
              <w:rPr>
                <w:rFonts w:ascii="宋体" w:hAnsi="宋体" w:cs="宋体" w:eastAsia="宋体" w:hint="default"/>
                <w:spacing w:val="-44"/>
                <w:sz w:val="21"/>
                <w:szCs w:val="21"/>
              </w:rPr>
              <w:t> </w:t>
            </w:r>
            <w:r>
              <w:rPr>
                <w:rFonts w:ascii="宋体" w:hAnsi="宋体" w:cs="宋体" w:eastAsia="宋体" w:hint="default"/>
                <w:sz w:val="21"/>
                <w:szCs w:val="21"/>
              </w:rPr>
              <w:t>24</w:t>
            </w:r>
            <w:r>
              <w:rPr>
                <w:rFonts w:ascii="宋体" w:hAnsi="宋体" w:cs="宋体" w:eastAsia="宋体" w:hint="default"/>
                <w:spacing w:val="-46"/>
                <w:sz w:val="21"/>
                <w:szCs w:val="21"/>
              </w:rPr>
              <w:t> </w:t>
            </w:r>
            <w:r>
              <w:rPr>
                <w:rFonts w:ascii="宋体" w:hAnsi="宋体" w:cs="宋体" w:eastAsia="宋体" w:hint="default"/>
                <w:spacing w:val="-3"/>
                <w:sz w:val="21"/>
                <w:szCs w:val="21"/>
              </w:rPr>
              <w:t>个月，承诺方累计净转让股份（累计转让股份扣除累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计增持股份后的余额）的比例应不超过承诺方直接或间接持有新华网股票数</w:t>
            </w:r>
            <w:r>
              <w:rPr>
                <w:rFonts w:ascii="宋体" w:hAnsi="宋体" w:cs="宋体" w:eastAsia="宋体" w:hint="default"/>
                <w:w w:val="100"/>
                <w:sz w:val="21"/>
                <w:szCs w:val="21"/>
              </w:rPr>
              <w:t> </w:t>
            </w:r>
            <w:r>
              <w:rPr>
                <w:rFonts w:ascii="宋体" w:hAnsi="宋体" w:cs="宋体" w:eastAsia="宋体" w:hint="default"/>
                <w:sz w:val="21"/>
                <w:szCs w:val="21"/>
              </w:rPr>
              <w:t>量的</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z w:val="21"/>
                <w:szCs w:val="21"/>
              </w:rPr>
              <w:t>。自锁定期满后第</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个月开始，承诺方可视情况自行决定减持。</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、减持方式</w:t>
            </w:r>
            <w:r>
              <w:rPr>
                <w:rFonts w:ascii="宋体" w:hAnsi="宋体" w:cs="宋体" w:eastAsia="宋体" w:hint="default"/>
                <w:w w:val="100"/>
                <w:sz w:val="21"/>
                <w:szCs w:val="21"/>
              </w:rPr>
              <w:t> </w:t>
            </w:r>
            <w:r>
              <w:rPr>
                <w:rFonts w:ascii="宋体" w:hAnsi="宋体" w:cs="宋体" w:eastAsia="宋体" w:hint="default"/>
                <w:sz w:val="21"/>
                <w:szCs w:val="21"/>
              </w:rPr>
              <w:t>承诺方减持新华网股份将通过大宗交易和二级市场集中竞价相结合等法律法</w:t>
            </w:r>
            <w:r>
              <w:rPr>
                <w:rFonts w:ascii="宋体" w:hAnsi="宋体" w:cs="宋体" w:eastAsia="宋体" w:hint="default"/>
                <w:w w:val="100"/>
                <w:sz w:val="21"/>
                <w:szCs w:val="21"/>
              </w:rPr>
              <w:t> </w:t>
            </w:r>
            <w:r>
              <w:rPr>
                <w:rFonts w:ascii="宋体" w:hAnsi="宋体" w:cs="宋体" w:eastAsia="宋体" w:hint="default"/>
                <w:sz w:val="21"/>
                <w:szCs w:val="21"/>
              </w:rPr>
              <w:t>规允许的方式进行。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、减持价格</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承诺方在锁定期满后第</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至第</w:t>
            </w:r>
            <w:r>
              <w:rPr>
                <w:rFonts w:ascii="宋体" w:hAnsi="宋体" w:cs="宋体" w:eastAsia="宋体" w:hint="default"/>
                <w:spacing w:val="-46"/>
                <w:sz w:val="21"/>
                <w:szCs w:val="21"/>
              </w:rPr>
              <w:t> </w:t>
            </w:r>
            <w:r>
              <w:rPr>
                <w:rFonts w:ascii="宋体" w:hAnsi="宋体" w:cs="宋体" w:eastAsia="宋体" w:hint="default"/>
                <w:sz w:val="21"/>
                <w:szCs w:val="21"/>
              </w:rPr>
              <w:t>24</w:t>
            </w:r>
            <w:r>
              <w:rPr>
                <w:rFonts w:ascii="宋体" w:hAnsi="宋体" w:cs="宋体" w:eastAsia="宋体" w:hint="default"/>
                <w:spacing w:val="-46"/>
                <w:sz w:val="21"/>
                <w:szCs w:val="21"/>
              </w:rPr>
              <w:t> </w:t>
            </w:r>
            <w:r>
              <w:rPr>
                <w:rFonts w:ascii="宋体" w:hAnsi="宋体" w:cs="宋体" w:eastAsia="宋体" w:hint="default"/>
                <w:spacing w:val="-3"/>
                <w:sz w:val="21"/>
                <w:szCs w:val="21"/>
              </w:rPr>
              <w:t>个月内减持的，每次减持价格不低于新华网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首次公开发行股票的股票发行价。新华网发生派发股利、转增股本等除息、</w:t>
            </w:r>
            <w:r>
              <w:rPr>
                <w:rFonts w:ascii="宋体" w:hAnsi="宋体" w:cs="宋体" w:eastAsia="宋体" w:hint="default"/>
                <w:w w:val="100"/>
                <w:sz w:val="21"/>
                <w:szCs w:val="21"/>
              </w:rPr>
              <w:t> </w:t>
            </w:r>
            <w:r>
              <w:rPr>
                <w:rFonts w:ascii="宋体" w:hAnsi="宋体" w:cs="宋体" w:eastAsia="宋体" w:hint="default"/>
                <w:sz w:val="21"/>
                <w:szCs w:val="21"/>
              </w:rPr>
              <w:t>除权行为的，上述发行价格亦将作相应调整。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、其他事项</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3"/>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pacing w:val="-3"/>
                <w:sz w:val="21"/>
                <w:szCs w:val="21"/>
              </w:rPr>
              <w:t>日至</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6"/>
          <w:footerReference w:type="default" r:id="rId27"/>
          <w:pgSz w:w="16840" w:h="11910" w:orient="landscape"/>
          <w:pgMar w:header="880" w:footer="1195" w:top="1120" w:bottom="1380" w:left="600" w:right="680"/>
          <w:pgNumType w:start="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852"/>
        <w:gridCol w:w="713"/>
        <w:gridCol w:w="1553"/>
        <w:gridCol w:w="7232"/>
        <w:gridCol w:w="1133"/>
        <w:gridCol w:w="852"/>
        <w:gridCol w:w="859"/>
        <w:gridCol w:w="1131"/>
        <w:gridCol w:w="986"/>
      </w:tblGrid>
      <w:tr>
        <w:trPr>
          <w:trHeight w:val="3824" w:hRule="exact"/>
        </w:trPr>
        <w:tc>
          <w:tcPr>
            <w:tcW w:w="852" w:type="dxa"/>
            <w:vMerge w:val="restart"/>
            <w:tcBorders>
              <w:top w:val="single" w:sz="4" w:space="0" w:color="000000"/>
              <w:left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）承诺方所做该等减持计划不对抗现行证监会、交易所等监管部门对控股</w:t>
            </w:r>
          </w:p>
          <w:p>
            <w:pPr>
              <w:pStyle w:val="TableParagraph"/>
              <w:spacing w:line="237" w:lineRule="auto"/>
              <w:ind w:left="103" w:right="180"/>
              <w:jc w:val="both"/>
              <w:rPr>
                <w:rFonts w:ascii="宋体" w:hAnsi="宋体" w:cs="宋体" w:eastAsia="宋体" w:hint="default"/>
                <w:sz w:val="21"/>
                <w:szCs w:val="21"/>
              </w:rPr>
            </w:pPr>
            <w:r>
              <w:rPr>
                <w:rFonts w:ascii="宋体" w:hAnsi="宋体" w:cs="宋体" w:eastAsia="宋体" w:hint="default"/>
                <w:spacing w:val="-2"/>
                <w:sz w:val="21"/>
                <w:szCs w:val="21"/>
              </w:rPr>
              <w:t>股东股份减持所做的相关规定。若未来监管部门对控股股东股份减持所出台</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的相关规定比本减持计划更为严格，承诺方将严格按照监管部门相关规定修</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改减持计划。</w:t>
            </w:r>
          </w:p>
          <w:p>
            <w:pPr>
              <w:pStyle w:val="TableParagraph"/>
              <w:spacing w:line="272" w:lineRule="exact" w:before="26"/>
              <w:ind w:left="103" w:right="98"/>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）承诺方将及时、充分履行股份减持的信息披露义务，减持前</w:t>
            </w:r>
            <w:r>
              <w:rPr>
                <w:rFonts w:ascii="宋体" w:hAnsi="宋体" w:cs="宋体" w:eastAsia="宋体" w:hint="default"/>
                <w:spacing w:val="-27"/>
                <w:sz w:val="21"/>
                <w:szCs w:val="21"/>
              </w:rPr>
              <w:t> </w:t>
            </w:r>
            <w:r>
              <w:rPr>
                <w:rFonts w:ascii="宋体" w:hAnsi="宋体" w:cs="宋体" w:eastAsia="宋体" w:hint="default"/>
                <w:sz w:val="21"/>
                <w:szCs w:val="21"/>
              </w:rPr>
              <w:t>3</w:t>
            </w:r>
            <w:r>
              <w:rPr>
                <w:rFonts w:ascii="宋体" w:hAnsi="宋体" w:cs="宋体" w:eastAsia="宋体" w:hint="default"/>
                <w:spacing w:val="-30"/>
                <w:sz w:val="21"/>
                <w:szCs w:val="21"/>
              </w:rPr>
              <w:t> </w:t>
            </w:r>
            <w:r>
              <w:rPr>
                <w:rFonts w:ascii="宋体" w:hAnsi="宋体" w:cs="宋体" w:eastAsia="宋体" w:hint="default"/>
                <w:sz w:val="21"/>
                <w:szCs w:val="21"/>
              </w:rPr>
              <w:t>个工作日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将通过新华网发布减持提示性公告。</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）若承诺方发生需向新华网或投资者赔偿，且必须减持股份以进行赔偿的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情形，在该等情况下发生的减持行为无需遵守本减持计划。</w:t>
            </w:r>
          </w:p>
          <w:p>
            <w:pPr>
              <w:pStyle w:val="TableParagraph"/>
              <w:spacing w:line="272" w:lineRule="exact" w:before="1"/>
              <w:ind w:left="103" w:right="98"/>
              <w:jc w:val="both"/>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）承诺方承诺未来将严格按照本减持计划进行股份减持。若其未履行上述</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承诺，将在中国证监会指定报刊上公开说明未履行的具体原因并向股东和社</w:t>
            </w:r>
          </w:p>
          <w:p>
            <w:pPr>
              <w:pStyle w:val="TableParagraph"/>
              <w:spacing w:line="272" w:lineRule="exact" w:before="1"/>
              <w:ind w:left="103" w:right="180"/>
              <w:jc w:val="both"/>
              <w:rPr>
                <w:rFonts w:ascii="宋体" w:hAnsi="宋体" w:cs="宋体" w:eastAsia="宋体" w:hint="default"/>
                <w:sz w:val="21"/>
                <w:szCs w:val="21"/>
              </w:rPr>
            </w:pPr>
            <w:r>
              <w:rPr>
                <w:rFonts w:ascii="宋体" w:hAnsi="宋体" w:cs="宋体" w:eastAsia="宋体" w:hint="default"/>
                <w:spacing w:val="-2"/>
                <w:sz w:val="21"/>
                <w:szCs w:val="21"/>
              </w:rPr>
              <w:t>会公众投资者道歉；若承诺方因未履行上述承诺而获得收入的，所得收入归</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公司所有，其将在获得收入的</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日内将前述收入支付给公司指定账户。如果</w:t>
            </w:r>
          </w:p>
          <w:p>
            <w:pPr>
              <w:pStyle w:val="TableParagraph"/>
              <w:spacing w:line="272" w:lineRule="exact" w:before="1"/>
              <w:ind w:left="103" w:right="180"/>
              <w:jc w:val="both"/>
              <w:rPr>
                <w:rFonts w:ascii="宋体" w:hAnsi="宋体" w:cs="宋体" w:eastAsia="宋体" w:hint="default"/>
                <w:sz w:val="21"/>
                <w:szCs w:val="21"/>
              </w:rPr>
            </w:pPr>
            <w:r>
              <w:rPr>
                <w:rFonts w:ascii="宋体" w:hAnsi="宋体" w:cs="宋体" w:eastAsia="宋体" w:hint="default"/>
                <w:spacing w:val="-2"/>
                <w:sz w:val="21"/>
                <w:szCs w:val="21"/>
              </w:rPr>
              <w:t>因其未履行上述承诺事项给公司或者其他投资者造成损失的，其将向公司或</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者其他投资者依法承担赔偿责任。</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852" w:type="dxa"/>
            <w:vMerge/>
            <w:tcBorders>
              <w:left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37" w:lineRule="auto"/>
              <w:ind w:left="103" w:right="175"/>
              <w:jc w:val="both"/>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w w:val="100"/>
                <w:sz w:val="21"/>
                <w:szCs w:val="21"/>
              </w:rPr>
              <w:t> </w:t>
            </w:r>
            <w:r>
              <w:rPr>
                <w:rFonts w:ascii="宋体" w:hAnsi="宋体" w:cs="宋体" w:eastAsia="宋体" w:hint="default"/>
                <w:sz w:val="21"/>
                <w:szCs w:val="21"/>
              </w:rPr>
              <w:t>中国经济信息</w:t>
            </w:r>
            <w:r>
              <w:rPr>
                <w:rFonts w:ascii="宋体" w:hAnsi="宋体" w:cs="宋体" w:eastAsia="宋体" w:hint="default"/>
                <w:w w:val="100"/>
                <w:sz w:val="21"/>
                <w:szCs w:val="21"/>
              </w:rPr>
              <w:t> </w:t>
            </w:r>
            <w:r>
              <w:rPr>
                <w:rFonts w:ascii="宋体" w:hAnsi="宋体" w:cs="宋体" w:eastAsia="宋体" w:hint="default"/>
                <w:sz w:val="21"/>
                <w:szCs w:val="21"/>
              </w:rPr>
              <w:t>社有限公司、</w:t>
            </w:r>
            <w:r>
              <w:rPr>
                <w:rFonts w:ascii="宋体" w:hAnsi="宋体" w:cs="宋体" w:eastAsia="宋体" w:hint="default"/>
                <w:w w:val="100"/>
                <w:sz w:val="21"/>
                <w:szCs w:val="21"/>
              </w:rPr>
              <w:t> </w:t>
            </w:r>
            <w:r>
              <w:rPr>
                <w:rFonts w:ascii="宋体" w:hAnsi="宋体" w:cs="宋体" w:eastAsia="宋体" w:hint="default"/>
                <w:sz w:val="21"/>
                <w:szCs w:val="21"/>
              </w:rPr>
              <w:t>中国新闻发展</w:t>
            </w:r>
            <w:r>
              <w:rPr>
                <w:rFonts w:ascii="宋体" w:hAnsi="宋体" w:cs="宋体" w:eastAsia="宋体" w:hint="default"/>
                <w:w w:val="100"/>
                <w:sz w:val="21"/>
                <w:szCs w:val="21"/>
              </w:rPr>
              <w:t> </w:t>
            </w:r>
            <w:r>
              <w:rPr>
                <w:rFonts w:ascii="宋体" w:hAnsi="宋体" w:cs="宋体" w:eastAsia="宋体" w:hint="default"/>
                <w:sz w:val="21"/>
                <w:szCs w:val="21"/>
              </w:rPr>
              <w:t>深圳有限公司</w:t>
            </w: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发行人控股股东及其一致行动人对因虚假承诺导致的回购、赔偿义务的承诺：</w:t>
            </w:r>
          </w:p>
          <w:p>
            <w:pPr>
              <w:pStyle w:val="TableParagraph"/>
              <w:spacing w:line="237" w:lineRule="auto"/>
              <w:ind w:left="103" w:right="180"/>
              <w:jc w:val="both"/>
              <w:rPr>
                <w:rFonts w:ascii="宋体" w:hAnsi="宋体" w:cs="宋体" w:eastAsia="宋体" w:hint="default"/>
                <w:sz w:val="21"/>
                <w:szCs w:val="21"/>
              </w:rPr>
            </w:pPr>
            <w:r>
              <w:rPr>
                <w:rFonts w:ascii="宋体" w:hAnsi="宋体" w:cs="宋体" w:eastAsia="宋体" w:hint="default"/>
                <w:spacing w:val="-2"/>
                <w:sz w:val="21"/>
                <w:szCs w:val="21"/>
              </w:rPr>
              <w:t>对因发行人首次公开发行招股说明书有虚假记载、误导性陈述或重大遗漏，</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对判断发行人是否符合法律规定的发行条件构成重大、实质影响，致使投资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者在证券交易中遭受损失，并已由有权部门作出行政处罚或人民法院作出最</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终判决的，本单位将依法赔偿投资者损失。与此同时，本单位将依法购回已</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转让的发行人原限售股份，购回价格按照发行价（若发行人股票在此期间发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生派息、送股、资本公积转增股本等除权除息事项的，发行价应相应调整）</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加算银行同期存款利息确定，并根据相关法律法规规定的程序实施。本单位</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同时承诺将督促发行人履行股份回购事宜的决策程序，并在发行人召开股东</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大会对回购股份事宜进行审议时，就该等回购股份的相关议案投赞成票。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1916" w:hRule="exact"/>
        </w:trPr>
        <w:tc>
          <w:tcPr>
            <w:tcW w:w="852" w:type="dxa"/>
            <w:vMerge/>
            <w:tcBorders>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3" w:right="175"/>
              <w:jc w:val="both"/>
              <w:rPr>
                <w:rFonts w:ascii="宋体" w:hAnsi="宋体" w:cs="宋体" w:eastAsia="宋体" w:hint="default"/>
                <w:sz w:val="21"/>
                <w:szCs w:val="21"/>
              </w:rPr>
            </w:pPr>
            <w:r>
              <w:rPr>
                <w:rFonts w:ascii="宋体" w:hAnsi="宋体" w:cs="宋体" w:eastAsia="宋体" w:hint="default"/>
                <w:sz w:val="21"/>
                <w:szCs w:val="21"/>
              </w:rPr>
              <w:t>新华通讯社、</w:t>
            </w:r>
            <w:r>
              <w:rPr>
                <w:rFonts w:ascii="宋体" w:hAnsi="宋体" w:cs="宋体" w:eastAsia="宋体" w:hint="default"/>
                <w:w w:val="100"/>
                <w:sz w:val="21"/>
                <w:szCs w:val="21"/>
              </w:rPr>
              <w:t> </w:t>
            </w:r>
            <w:r>
              <w:rPr>
                <w:rFonts w:ascii="宋体" w:hAnsi="宋体" w:cs="宋体" w:eastAsia="宋体" w:hint="default"/>
                <w:sz w:val="21"/>
                <w:szCs w:val="21"/>
              </w:rPr>
              <w:t>中国经济信息</w:t>
            </w:r>
            <w:r>
              <w:rPr>
                <w:rFonts w:ascii="宋体" w:hAnsi="宋体" w:cs="宋体" w:eastAsia="宋体" w:hint="default"/>
                <w:w w:val="100"/>
                <w:sz w:val="21"/>
                <w:szCs w:val="21"/>
              </w:rPr>
              <w:t> </w:t>
            </w:r>
            <w:r>
              <w:rPr>
                <w:rFonts w:ascii="宋体" w:hAnsi="宋体" w:cs="宋体" w:eastAsia="宋体" w:hint="default"/>
                <w:sz w:val="21"/>
                <w:szCs w:val="21"/>
              </w:rPr>
              <w:t>社有限公司、</w:t>
            </w:r>
            <w:r>
              <w:rPr>
                <w:rFonts w:ascii="宋体" w:hAnsi="宋体" w:cs="宋体" w:eastAsia="宋体" w:hint="default"/>
                <w:w w:val="100"/>
                <w:sz w:val="21"/>
                <w:szCs w:val="21"/>
              </w:rPr>
              <w:t> </w:t>
            </w:r>
            <w:r>
              <w:rPr>
                <w:rFonts w:ascii="宋体" w:hAnsi="宋体" w:cs="宋体" w:eastAsia="宋体" w:hint="default"/>
                <w:sz w:val="21"/>
                <w:szCs w:val="21"/>
              </w:rPr>
              <w:t>中国新闻发展</w:t>
            </w:r>
            <w:r>
              <w:rPr>
                <w:rFonts w:ascii="宋体" w:hAnsi="宋体" w:cs="宋体" w:eastAsia="宋体" w:hint="default"/>
                <w:w w:val="100"/>
                <w:sz w:val="21"/>
                <w:szCs w:val="21"/>
              </w:rPr>
              <w:t> </w:t>
            </w:r>
            <w:r>
              <w:rPr>
                <w:rFonts w:ascii="宋体" w:hAnsi="宋体" w:cs="宋体" w:eastAsia="宋体" w:hint="default"/>
                <w:sz w:val="21"/>
                <w:szCs w:val="21"/>
              </w:rPr>
              <w:t>深圳有限公司</w:t>
            </w: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发行人控股股东及其一致行动人关于未履行承诺相关事宜的承诺：</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、如本单位承诺未能履行、确已无法履行或无法按期履行的（因相关法律法</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规、政策变化、自然灾害及其他不可抗力等本单位无法控制的客观原因导致</w:t>
            </w:r>
            <w:r>
              <w:rPr>
                <w:rFonts w:ascii="宋体" w:hAnsi="宋体" w:cs="宋体" w:eastAsia="宋体" w:hint="default"/>
                <w:w w:val="100"/>
                <w:sz w:val="21"/>
                <w:szCs w:val="21"/>
              </w:rPr>
              <w:t> </w:t>
            </w:r>
            <w:r>
              <w:rPr>
                <w:rFonts w:ascii="宋体" w:hAnsi="宋体" w:cs="宋体" w:eastAsia="宋体" w:hint="default"/>
                <w:sz w:val="21"/>
                <w:szCs w:val="21"/>
              </w:rPr>
              <w:t>的除外），本单位将采取以下措施：</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）通过发行人及时、充分披露本单位承诺未能履行、无法履行或无法按期</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履行的具体原因；</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）向发行人及其投资者提出补充承诺或替代承诺，以尽可能保护发行人及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60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852"/>
        <w:gridCol w:w="713"/>
        <w:gridCol w:w="1553"/>
        <w:gridCol w:w="7232"/>
        <w:gridCol w:w="1133"/>
        <w:gridCol w:w="852"/>
        <w:gridCol w:w="859"/>
        <w:gridCol w:w="1131"/>
        <w:gridCol w:w="986"/>
      </w:tblGrid>
      <w:tr>
        <w:trPr>
          <w:trHeight w:val="4640" w:hRule="exact"/>
        </w:trPr>
        <w:tc>
          <w:tcPr>
            <w:tcW w:w="852" w:type="dxa"/>
            <w:vMerge w:val="restart"/>
            <w:tcBorders>
              <w:top w:val="single" w:sz="4" w:space="0" w:color="000000"/>
              <w:left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其投资者的权益；</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）本单位违反本单位承诺所得收益将归属于发行人。因本单位违反承诺给</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发行人或投资者造成损失、并已由有权部门作出行政处罚或人民法院作出最</w:t>
            </w:r>
            <w:r>
              <w:rPr>
                <w:rFonts w:ascii="宋体" w:hAnsi="宋体" w:cs="宋体" w:eastAsia="宋体" w:hint="default"/>
                <w:w w:val="100"/>
                <w:sz w:val="21"/>
                <w:szCs w:val="21"/>
              </w:rPr>
              <w:t> </w:t>
            </w:r>
            <w:r>
              <w:rPr>
                <w:rFonts w:ascii="宋体" w:hAnsi="宋体" w:cs="宋体" w:eastAsia="宋体" w:hint="default"/>
                <w:sz w:val="21"/>
                <w:szCs w:val="21"/>
              </w:rPr>
              <w:t>终判决的，本单位将依法对发行人或投资者进行赔偿，并按照下述程序进行</w:t>
            </w:r>
            <w:r>
              <w:rPr>
                <w:rFonts w:ascii="宋体" w:hAnsi="宋体" w:cs="宋体" w:eastAsia="宋体" w:hint="default"/>
                <w:w w:val="100"/>
                <w:sz w:val="21"/>
                <w:szCs w:val="21"/>
              </w:rPr>
              <w:t> </w:t>
            </w:r>
            <w:r>
              <w:rPr>
                <w:rFonts w:ascii="宋体" w:hAnsi="宋体" w:cs="宋体" w:eastAsia="宋体" w:hint="default"/>
                <w:sz w:val="21"/>
                <w:szCs w:val="21"/>
              </w:rPr>
              <w:t>赔偿：</w:t>
            </w:r>
          </w:p>
          <w:p>
            <w:pPr>
              <w:pStyle w:val="TableParagraph"/>
              <w:spacing w:line="274" w:lineRule="exact" w:before="22"/>
              <w:ind w:left="103" w:right="180"/>
              <w:jc w:val="left"/>
              <w:rPr>
                <w:rFonts w:ascii="宋体" w:hAnsi="宋体" w:cs="宋体" w:eastAsia="宋体" w:hint="default"/>
                <w:sz w:val="21"/>
                <w:szCs w:val="21"/>
              </w:rPr>
            </w:pPr>
            <w:r>
              <w:rPr>
                <w:rFonts w:ascii="宋体" w:hAnsi="宋体" w:cs="宋体" w:eastAsia="宋体" w:hint="default"/>
                <w:spacing w:val="-2"/>
                <w:sz w:val="21"/>
                <w:szCs w:val="21"/>
              </w:rPr>
              <w:t>①将本单位应得的现金分红由发行人直接用于执行未履行的承诺或用于赔偿</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因未履行承诺而给发行人或投资者带来的损失；</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②若本单位在赔偿完毕前进行股份减持，则减持所获资金交由发行人董事会</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监管并专项用于履行承诺或用于赔偿，直至本单位承诺履行完毕或弥补完发</w:t>
            </w:r>
            <w:r>
              <w:rPr>
                <w:rFonts w:ascii="宋体" w:hAnsi="宋体" w:cs="宋体" w:eastAsia="宋体" w:hint="default"/>
                <w:w w:val="100"/>
                <w:sz w:val="21"/>
                <w:szCs w:val="21"/>
              </w:rPr>
              <w:t> </w:t>
            </w:r>
            <w:r>
              <w:rPr>
                <w:rFonts w:ascii="宋体" w:hAnsi="宋体" w:cs="宋体" w:eastAsia="宋体" w:hint="default"/>
                <w:sz w:val="21"/>
                <w:szCs w:val="21"/>
              </w:rPr>
              <w:t>行人、投资者的损失为止。</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、如因相关法律法规、政策变化、自然灾害及其他不可抗力等本单位无法控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制的客观原因导致本单位承诺未能履行、确已无法履行或无法按期履行的，</w:t>
            </w:r>
            <w:r>
              <w:rPr>
                <w:rFonts w:ascii="宋体" w:hAnsi="宋体" w:cs="宋体" w:eastAsia="宋体" w:hint="default"/>
                <w:w w:val="100"/>
                <w:sz w:val="21"/>
                <w:szCs w:val="21"/>
              </w:rPr>
              <w:t> </w:t>
            </w:r>
            <w:r>
              <w:rPr>
                <w:rFonts w:ascii="宋体" w:hAnsi="宋体" w:cs="宋体" w:eastAsia="宋体" w:hint="default"/>
                <w:sz w:val="21"/>
                <w:szCs w:val="21"/>
              </w:rPr>
              <w:t>本单位将采取以下措施：</w:t>
            </w:r>
          </w:p>
          <w:p>
            <w:pPr>
              <w:pStyle w:val="TableParagraph"/>
              <w:spacing w:line="274" w:lineRule="exact" w:before="22"/>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）通过发行人及时、充分披露本单位承诺未能履行、无法履行或无法按期</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履行的具体原因；</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）向发行人及其投资者提出补充承诺或替代承诺，以尽可能保护发行人及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其投资者的权益。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824" w:hRule="exact"/>
        </w:trPr>
        <w:tc>
          <w:tcPr>
            <w:tcW w:w="852" w:type="dxa"/>
            <w:vMerge/>
            <w:tcBorders>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公司控股股东关于稳定新华网股份有限公司上市后三年内股价的承诺：</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、自发行人上市之日起三年内，发行人股票如出现连续</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5"/>
                <w:sz w:val="21"/>
                <w:szCs w:val="21"/>
              </w:rPr>
              <w:t> </w:t>
            </w:r>
            <w:r>
              <w:rPr>
                <w:rFonts w:ascii="宋体" w:hAnsi="宋体" w:cs="宋体" w:eastAsia="宋体" w:hint="default"/>
                <w:sz w:val="21"/>
                <w:szCs w:val="21"/>
              </w:rPr>
              <w:t>个交易日的收盘</w:t>
            </w:r>
            <w:r>
              <w:rPr>
                <w:rFonts w:ascii="宋体" w:hAnsi="宋体" w:cs="宋体" w:eastAsia="宋体" w:hint="default"/>
                <w:w w:val="100"/>
                <w:sz w:val="21"/>
                <w:szCs w:val="21"/>
              </w:rPr>
              <w:t> </w:t>
            </w:r>
            <w:r>
              <w:rPr>
                <w:rFonts w:ascii="宋体" w:hAnsi="宋体" w:cs="宋体" w:eastAsia="宋体" w:hint="default"/>
                <w:sz w:val="21"/>
                <w:szCs w:val="21"/>
              </w:rPr>
              <w:t>价低于发行人最近一期经审计的每股净资产（最近一期审计基准日后，因利</w:t>
            </w:r>
            <w:r>
              <w:rPr>
                <w:rFonts w:ascii="宋体" w:hAnsi="宋体" w:cs="宋体" w:eastAsia="宋体" w:hint="default"/>
                <w:w w:val="100"/>
                <w:sz w:val="21"/>
                <w:szCs w:val="21"/>
              </w:rPr>
              <w:t> </w:t>
            </w:r>
            <w:r>
              <w:rPr>
                <w:rFonts w:ascii="宋体" w:hAnsi="宋体" w:cs="宋体" w:eastAsia="宋体" w:hint="default"/>
                <w:sz w:val="21"/>
                <w:szCs w:val="21"/>
              </w:rPr>
              <w:t>润分配、资本公积金转增股本、增发、配股等情况导致公司净资产或股份总</w:t>
            </w:r>
            <w:r>
              <w:rPr>
                <w:rFonts w:ascii="宋体" w:hAnsi="宋体" w:cs="宋体" w:eastAsia="宋体" w:hint="default"/>
                <w:w w:val="100"/>
                <w:sz w:val="21"/>
                <w:szCs w:val="21"/>
              </w:rPr>
              <w:t> </w:t>
            </w:r>
            <w:r>
              <w:rPr>
                <w:rFonts w:ascii="宋体" w:hAnsi="宋体" w:cs="宋体" w:eastAsia="宋体" w:hint="default"/>
                <w:sz w:val="21"/>
                <w:szCs w:val="21"/>
              </w:rPr>
              <w:t>数出现变化的，每股净资产相应进行调整），且非因不可抗力因素所致，本</w:t>
            </w:r>
            <w:r>
              <w:rPr>
                <w:rFonts w:ascii="宋体" w:hAnsi="宋体" w:cs="宋体" w:eastAsia="宋体" w:hint="default"/>
                <w:w w:val="100"/>
                <w:sz w:val="21"/>
                <w:szCs w:val="21"/>
              </w:rPr>
              <w:t> </w:t>
            </w:r>
            <w:r>
              <w:rPr>
                <w:rFonts w:ascii="宋体" w:hAnsi="宋体" w:cs="宋体" w:eastAsia="宋体" w:hint="default"/>
                <w:sz w:val="21"/>
                <w:szCs w:val="21"/>
              </w:rPr>
              <w:t>单位将根据《稳定股价预案》的要求，采取包括但不限于增持发行人股票的</w:t>
            </w:r>
            <w:r>
              <w:rPr>
                <w:rFonts w:ascii="宋体" w:hAnsi="宋体" w:cs="宋体" w:eastAsia="宋体" w:hint="default"/>
                <w:w w:val="100"/>
                <w:sz w:val="21"/>
                <w:szCs w:val="21"/>
              </w:rPr>
              <w:t> </w:t>
            </w:r>
            <w:r>
              <w:rPr>
                <w:rFonts w:ascii="宋体" w:hAnsi="宋体" w:cs="宋体" w:eastAsia="宋体" w:hint="default"/>
                <w:sz w:val="21"/>
                <w:szCs w:val="21"/>
              </w:rPr>
              <w:t>方式稳定公司股价。</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、如发行人拟采取回购公司股份的方式稳定公司股价，本单位承诺就该等回</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购事宜在股东大会上投赞成票。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3</w:t>
            </w:r>
            <w:r>
              <w:rPr>
                <w:rFonts w:ascii="宋体" w:hAnsi="宋体" w:cs="宋体" w:eastAsia="宋体" w:hint="default"/>
                <w:spacing w:val="-2"/>
                <w:sz w:val="21"/>
                <w:szCs w:val="21"/>
              </w:rPr>
              <w:t>、如本单位因主观原因未按《稳定股价预案》及届时公告的增持计划等公开</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披露文件实施股价稳定措施，且在发行人告知本单位在限期内履行增持股票</w:t>
            </w:r>
            <w:r>
              <w:rPr>
                <w:rFonts w:ascii="宋体" w:hAnsi="宋体" w:cs="宋体" w:eastAsia="宋体" w:hint="default"/>
                <w:w w:val="100"/>
                <w:sz w:val="21"/>
                <w:szCs w:val="21"/>
              </w:rPr>
              <w:t> </w:t>
            </w:r>
            <w:r>
              <w:rPr>
                <w:rFonts w:ascii="宋体" w:hAnsi="宋体" w:cs="宋体" w:eastAsia="宋体" w:hint="default"/>
                <w:sz w:val="21"/>
                <w:szCs w:val="21"/>
              </w:rPr>
              <w:t>义务后仍不履行的，本单位将采取如下措施：</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）本单位持有的公司股份将不得转让，直至本单位按《稳定股价预案》采</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取相应的稳定股价措施并实施完毕。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79"/>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pacing w:val="-3"/>
                <w:sz w:val="21"/>
                <w:szCs w:val="21"/>
              </w:rPr>
              <w:t>日至</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8"/>
          <w:pgSz w:w="16840" w:h="11910" w:orient="landscape"/>
          <w:pgMar w:footer="1195" w:header="880" w:top="1120" w:bottom="1380" w:left="600" w:right="68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852"/>
        <w:gridCol w:w="713"/>
        <w:gridCol w:w="1553"/>
        <w:gridCol w:w="7232"/>
        <w:gridCol w:w="1133"/>
        <w:gridCol w:w="852"/>
        <w:gridCol w:w="859"/>
        <w:gridCol w:w="1131"/>
        <w:gridCol w:w="986"/>
      </w:tblGrid>
      <w:tr>
        <w:trPr>
          <w:trHeight w:val="3550" w:hRule="exact"/>
        </w:trPr>
        <w:tc>
          <w:tcPr>
            <w:tcW w:w="852" w:type="dxa"/>
            <w:vMerge w:val="restart"/>
            <w:tcBorders>
              <w:top w:val="single" w:sz="4" w:space="0" w:color="000000"/>
              <w:left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）发行人有权扣留其应向本单位支付的现金分红，直至本单位按《稳定股</w:t>
            </w:r>
          </w:p>
          <w:p>
            <w:pPr>
              <w:pStyle w:val="TableParagraph"/>
              <w:spacing w:line="237" w:lineRule="auto"/>
              <w:ind w:left="103" w:right="180"/>
              <w:jc w:val="left"/>
              <w:rPr>
                <w:rFonts w:ascii="宋体" w:hAnsi="宋体" w:cs="宋体" w:eastAsia="宋体" w:hint="default"/>
                <w:sz w:val="21"/>
                <w:szCs w:val="21"/>
              </w:rPr>
            </w:pPr>
            <w:r>
              <w:rPr>
                <w:rFonts w:ascii="宋体" w:hAnsi="宋体" w:cs="宋体" w:eastAsia="宋体" w:hint="default"/>
                <w:sz w:val="21"/>
                <w:szCs w:val="21"/>
              </w:rPr>
              <w:t>价预案》采取相应的稳定股价措施并实施完毕。</w:t>
            </w:r>
            <w:r>
              <w:rPr>
                <w:rFonts w:ascii="宋体" w:hAnsi="宋体" w:cs="宋体" w:eastAsia="宋体" w:hint="default"/>
                <w:w w:val="100"/>
                <w:sz w:val="21"/>
                <w:szCs w:val="21"/>
              </w:rPr>
              <w:t> </w:t>
            </w:r>
            <w:r>
              <w:rPr>
                <w:rFonts w:ascii="宋体" w:hAnsi="宋体" w:cs="宋体" w:eastAsia="宋体" w:hint="default"/>
                <w:spacing w:val="-2"/>
                <w:sz w:val="21"/>
                <w:szCs w:val="21"/>
              </w:rPr>
              <w:t>上述承诺为本单位的真实意思表示，本单位自愿接受证券监管部门、自律组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织及社会公众的监督，若违反上述承诺本单位将依法承担相应责任。</w:t>
            </w:r>
            <w:r>
              <w:rPr>
                <w:rFonts w:ascii="宋体" w:hAnsi="宋体" w:cs="宋体" w:eastAsia="宋体" w:hint="default"/>
                <w:w w:val="100"/>
                <w:sz w:val="21"/>
                <w:szCs w:val="21"/>
              </w:rPr>
              <w:t> </w:t>
            </w:r>
            <w:r>
              <w:rPr>
                <w:rFonts w:ascii="宋体" w:hAnsi="宋体" w:cs="宋体" w:eastAsia="宋体" w:hint="default"/>
                <w:sz w:val="21"/>
                <w:szCs w:val="21"/>
              </w:rPr>
              <w:t>稳定股价措施的启动程序</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控股股东增持</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pacing w:val="-3"/>
                <w:sz w:val="21"/>
                <w:szCs w:val="21"/>
              </w:rPr>
              <w:t>下列任一条件被满足时，公司董事会应在</w:t>
            </w:r>
            <w:r>
              <w:rPr>
                <w:rFonts w:ascii="宋体" w:hAnsi="宋体" w:cs="宋体" w:eastAsia="宋体" w:hint="default"/>
                <w:spacing w:val="-41"/>
                <w:sz w:val="21"/>
                <w:szCs w:val="21"/>
              </w:rPr>
              <w:t> </w:t>
            </w:r>
            <w:r>
              <w:rPr>
                <w:rFonts w:ascii="宋体" w:hAnsi="宋体" w:cs="宋体" w:eastAsia="宋体" w:hint="default"/>
                <w:sz w:val="21"/>
                <w:szCs w:val="21"/>
              </w:rPr>
              <w:t>10</w:t>
            </w:r>
            <w:r>
              <w:rPr>
                <w:rFonts w:ascii="宋体" w:hAnsi="宋体" w:cs="宋体" w:eastAsia="宋体" w:hint="default"/>
                <w:spacing w:val="-44"/>
                <w:sz w:val="21"/>
                <w:szCs w:val="21"/>
              </w:rPr>
              <w:t> </w:t>
            </w:r>
            <w:r>
              <w:rPr>
                <w:rFonts w:ascii="宋体" w:hAnsi="宋体" w:cs="宋体" w:eastAsia="宋体" w:hint="default"/>
                <w:sz w:val="21"/>
                <w:szCs w:val="21"/>
              </w:rPr>
              <w:t>个交易日内向控股股东发出书面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通知，要求其采取增持股份的方式稳定公司股价，控股股东应在接到通知之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个交易日内将具体增持计划书面告知董事会，并由公司公告：</w:t>
            </w:r>
          </w:p>
          <w:p>
            <w:pPr>
              <w:pStyle w:val="TableParagraph"/>
              <w:spacing w:line="274" w:lineRule="exact" w:before="22"/>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）公司未如期公告回购股份方案或该等方案因未获股东大会审议通过等任</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何原因未获实施。</w:t>
            </w:r>
          </w:p>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）公司根据本预案要求制定并实施回购方案，将导致公司违反相关法律法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规或公司股权分布不再符合上市条件。</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4914" w:hRule="exact"/>
        </w:trPr>
        <w:tc>
          <w:tcPr>
            <w:tcW w:w="852" w:type="dxa"/>
            <w:vMerge/>
            <w:tcBorders>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1"/>
              <w:ind w:left="142" w:right="137"/>
              <w:jc w:val="both"/>
              <w:rPr>
                <w:rFonts w:ascii="宋体" w:hAnsi="宋体" w:cs="宋体" w:eastAsia="宋体" w:hint="default"/>
                <w:sz w:val="21"/>
                <w:szCs w:val="21"/>
              </w:rPr>
            </w:pPr>
            <w:r>
              <w:rPr>
                <w:rFonts w:ascii="宋体" w:hAnsi="宋体" w:cs="宋体" w:eastAsia="宋体" w:hint="default"/>
                <w:sz w:val="21"/>
                <w:szCs w:val="21"/>
              </w:rPr>
              <w:t>解决</w:t>
            </w:r>
            <w:r>
              <w:rPr>
                <w:rFonts w:ascii="宋体" w:hAnsi="宋体" w:cs="宋体" w:eastAsia="宋体" w:hint="default"/>
                <w:spacing w:val="-103"/>
                <w:sz w:val="21"/>
                <w:szCs w:val="21"/>
              </w:rPr>
              <w:t> </w:t>
            </w:r>
            <w:r>
              <w:rPr>
                <w:rFonts w:ascii="宋体" w:hAnsi="宋体" w:cs="宋体" w:eastAsia="宋体" w:hint="default"/>
                <w:sz w:val="21"/>
                <w:szCs w:val="21"/>
              </w:rPr>
              <w:t>同业</w:t>
            </w:r>
            <w:r>
              <w:rPr>
                <w:rFonts w:ascii="宋体" w:hAnsi="宋体" w:cs="宋体" w:eastAsia="宋体" w:hint="default"/>
                <w:spacing w:val="-103"/>
                <w:sz w:val="21"/>
                <w:szCs w:val="21"/>
              </w:rPr>
              <w:t> </w:t>
            </w:r>
            <w:r>
              <w:rPr>
                <w:rFonts w:ascii="宋体" w:hAnsi="宋体" w:cs="宋体" w:eastAsia="宋体" w:hint="default"/>
                <w:sz w:val="21"/>
                <w:szCs w:val="21"/>
              </w:rPr>
              <w:t>竞争</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发行人控股股东新华社出具了《新华通讯社关于避免与新华网股份有限公司</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同业竞争有关事项的承诺函》，承诺如下：</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、确定“新华网</w:t>
            </w:r>
            <w:r>
              <w:rPr>
                <w:rFonts w:ascii="宋体" w:hAnsi="宋体" w:cs="宋体" w:eastAsia="宋体" w:hint="default"/>
                <w:spacing w:val="-56"/>
                <w:sz w:val="21"/>
                <w:szCs w:val="21"/>
              </w:rPr>
              <w:t> </w:t>
            </w:r>
            <w:r>
              <w:rPr>
                <w:rFonts w:ascii="宋体" w:hAnsi="宋体" w:cs="宋体" w:eastAsia="宋体" w:hint="default"/>
                <w:sz w:val="21"/>
                <w:szCs w:val="21"/>
              </w:rPr>
              <w:t>xinhuanet”为新华社所属唯一的国家级综合新闻类经营性</w:t>
            </w:r>
            <w:r>
              <w:rPr>
                <w:rFonts w:ascii="宋体" w:hAnsi="宋体" w:cs="宋体" w:eastAsia="宋体" w:hint="default"/>
                <w:w w:val="100"/>
                <w:sz w:val="21"/>
                <w:szCs w:val="21"/>
              </w:rPr>
              <w:t> </w:t>
            </w:r>
            <w:r>
              <w:rPr>
                <w:rFonts w:ascii="宋体" w:hAnsi="宋体" w:cs="宋体" w:eastAsia="宋体" w:hint="default"/>
                <w:spacing w:val="-5"/>
                <w:sz w:val="21"/>
                <w:szCs w:val="21"/>
              </w:rPr>
              <w:t>门户网站（搜索引擎除外），新华网基于和依托“新华网</w:t>
            </w:r>
            <w:r>
              <w:rPr>
                <w:rFonts w:ascii="宋体" w:hAnsi="宋体" w:cs="宋体" w:eastAsia="宋体" w:hint="default"/>
                <w:spacing w:val="-26"/>
                <w:sz w:val="21"/>
                <w:szCs w:val="21"/>
              </w:rPr>
              <w:t> </w:t>
            </w:r>
            <w:r>
              <w:rPr>
                <w:rFonts w:ascii="宋体" w:hAnsi="宋体" w:cs="宋体" w:eastAsia="宋体" w:hint="default"/>
                <w:sz w:val="21"/>
                <w:szCs w:val="21"/>
              </w:rPr>
              <w:t>xinhuanet”开展网</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络广告、信息服务、网站建设及技术服务、移动增值业务，形成以“新华网</w:t>
            </w:r>
            <w:r>
              <w:rPr>
                <w:rFonts w:ascii="宋体" w:hAnsi="宋体" w:cs="宋体" w:eastAsia="宋体" w:hint="default"/>
                <w:w w:val="100"/>
                <w:sz w:val="21"/>
                <w:szCs w:val="21"/>
              </w:rPr>
              <w:t> </w:t>
            </w:r>
            <w:r>
              <w:rPr>
                <w:rFonts w:ascii="宋体" w:hAnsi="宋体" w:cs="宋体" w:eastAsia="宋体" w:hint="default"/>
                <w:sz w:val="21"/>
                <w:szCs w:val="21"/>
              </w:rPr>
              <w:t>xinhuanet”为核心和基础的盈利模式，建立具有市场竞争力的产品链。</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、基于新华社业务与新华网主营业务差异性的说明，新华社及下属机构没有</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直接或间接从事与新华网主营业务构成同业竞争的业务，也没有投资与新华</w:t>
            </w:r>
            <w:r>
              <w:rPr>
                <w:rFonts w:ascii="宋体" w:hAnsi="宋体" w:cs="宋体" w:eastAsia="宋体" w:hint="default"/>
                <w:w w:val="100"/>
                <w:sz w:val="21"/>
                <w:szCs w:val="21"/>
              </w:rPr>
              <w:t> </w:t>
            </w:r>
            <w:r>
              <w:rPr>
                <w:rFonts w:ascii="宋体" w:hAnsi="宋体" w:cs="宋体" w:eastAsia="宋体" w:hint="default"/>
                <w:sz w:val="21"/>
                <w:szCs w:val="21"/>
              </w:rPr>
              <w:t>网主营业务存在直接或间接竞争的公司（企业）或项目。新华社下属机构不</w:t>
            </w:r>
            <w:r>
              <w:rPr>
                <w:rFonts w:ascii="宋体" w:hAnsi="宋体" w:cs="宋体" w:eastAsia="宋体" w:hint="default"/>
                <w:w w:val="100"/>
                <w:sz w:val="21"/>
                <w:szCs w:val="21"/>
              </w:rPr>
              <w:t> </w:t>
            </w:r>
            <w:r>
              <w:rPr>
                <w:rFonts w:ascii="宋体" w:hAnsi="宋体" w:cs="宋体" w:eastAsia="宋体" w:hint="default"/>
                <w:sz w:val="21"/>
                <w:szCs w:val="21"/>
              </w:rPr>
              <w:t>存在未予披露的与新华网主营业务相同或类似的经营性资产以及从事该业务</w:t>
            </w:r>
            <w:r>
              <w:rPr>
                <w:rFonts w:ascii="宋体" w:hAnsi="宋体" w:cs="宋体" w:eastAsia="宋体" w:hint="default"/>
                <w:w w:val="100"/>
                <w:sz w:val="21"/>
                <w:szCs w:val="21"/>
              </w:rPr>
              <w:t> </w:t>
            </w:r>
            <w:r>
              <w:rPr>
                <w:rFonts w:ascii="宋体" w:hAnsi="宋体" w:cs="宋体" w:eastAsia="宋体" w:hint="default"/>
                <w:sz w:val="21"/>
                <w:szCs w:val="21"/>
              </w:rPr>
              <w:t>的其他机构。</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、新华社及下属机构如从任何第三方获得的商业机会与新华网的主营业务构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成竞争，则新华社将尽力协调相关机构将该商业机会按合理的条款和条件优</w:t>
            </w:r>
            <w:r>
              <w:rPr>
                <w:rFonts w:ascii="宋体" w:hAnsi="宋体" w:cs="宋体" w:eastAsia="宋体" w:hint="default"/>
                <w:w w:val="100"/>
                <w:sz w:val="21"/>
                <w:szCs w:val="21"/>
              </w:rPr>
              <w:t> </w:t>
            </w:r>
            <w:r>
              <w:rPr>
                <w:rFonts w:ascii="宋体" w:hAnsi="宋体" w:cs="宋体" w:eastAsia="宋体" w:hint="default"/>
                <w:sz w:val="21"/>
                <w:szCs w:val="21"/>
              </w:rPr>
              <w:t>先提供给新华网。新华社将促使下属机构不会直接或间接从事可能与新华网</w:t>
            </w:r>
            <w:r>
              <w:rPr>
                <w:rFonts w:ascii="宋体" w:hAnsi="宋体" w:cs="宋体" w:eastAsia="宋体" w:hint="default"/>
                <w:w w:val="100"/>
                <w:sz w:val="21"/>
                <w:szCs w:val="21"/>
              </w:rPr>
              <w:t> </w:t>
            </w:r>
            <w:r>
              <w:rPr>
                <w:rFonts w:ascii="宋体" w:hAnsi="宋体" w:cs="宋体" w:eastAsia="宋体" w:hint="default"/>
                <w:sz w:val="21"/>
                <w:szCs w:val="21"/>
              </w:rPr>
              <w:t>主营业务存在同业竞争的业务。</w:t>
            </w:r>
            <w:r>
              <w:rPr>
                <w:rFonts w:ascii="宋体" w:hAnsi="宋体" w:cs="宋体" w:eastAsia="宋体" w:hint="default"/>
                <w:w w:val="100"/>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、新华社及下属机构如与新华网开展交易或共同投资、联营等合作，均会以</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一般商业性原则及市场公平的条款和价格进行。</w:t>
            </w:r>
            <w:r>
              <w:rPr>
                <w:rFonts w:ascii="宋体" w:hAnsi="宋体" w:cs="宋体" w:eastAsia="宋体" w:hint="default"/>
                <w:w w:val="100"/>
                <w:sz w:val="21"/>
                <w:szCs w:val="21"/>
              </w:rPr>
              <w:t> </w:t>
            </w:r>
            <w:r>
              <w:rPr>
                <w:rFonts w:ascii="宋体" w:hAnsi="宋体" w:cs="宋体" w:eastAsia="宋体" w:hint="default"/>
                <w:spacing w:val="-2"/>
                <w:sz w:val="21"/>
                <w:szCs w:val="21"/>
              </w:rPr>
              <w:t>5</w:t>
            </w:r>
            <w:r>
              <w:rPr>
                <w:rFonts w:ascii="宋体" w:hAnsi="宋体" w:cs="宋体" w:eastAsia="宋体" w:hint="default"/>
                <w:spacing w:val="-2"/>
                <w:sz w:val="21"/>
                <w:szCs w:val="21"/>
              </w:rPr>
              <w:t>、如因新华社未履行本承诺函的承诺而造成新华网损失的，将补偿新华网因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60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852"/>
        <w:gridCol w:w="713"/>
        <w:gridCol w:w="1553"/>
        <w:gridCol w:w="7232"/>
        <w:gridCol w:w="1133"/>
        <w:gridCol w:w="852"/>
        <w:gridCol w:w="859"/>
        <w:gridCol w:w="1131"/>
        <w:gridCol w:w="986"/>
      </w:tblGrid>
      <w:tr>
        <w:trPr>
          <w:trHeight w:val="554" w:hRule="exact"/>
        </w:trPr>
        <w:tc>
          <w:tcPr>
            <w:tcW w:w="852" w:type="dxa"/>
            <w:vMerge w:val="restart"/>
            <w:tcBorders>
              <w:top w:val="single" w:sz="4" w:space="0" w:color="000000"/>
              <w:left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此遭受的实际损失。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、以上承诺于新华社作为新华网控股股东期间持续有效。</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4914" w:hRule="exact"/>
        </w:trPr>
        <w:tc>
          <w:tcPr>
            <w:tcW w:w="852" w:type="dxa"/>
            <w:vMerge/>
            <w:tcBorders>
              <w:left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71"/>
              <w:ind w:left="103" w:right="84"/>
              <w:jc w:val="both"/>
              <w:rPr>
                <w:rFonts w:ascii="宋体" w:hAnsi="宋体" w:cs="宋体" w:eastAsia="宋体" w:hint="default"/>
                <w:sz w:val="21"/>
                <w:szCs w:val="21"/>
              </w:rPr>
            </w:pPr>
            <w:r>
              <w:rPr>
                <w:rFonts w:ascii="宋体" w:hAnsi="宋体" w:cs="宋体" w:eastAsia="宋体" w:hint="default"/>
                <w:spacing w:val="13"/>
                <w:sz w:val="21"/>
                <w:szCs w:val="21"/>
              </w:rPr>
              <w:t>公司、公司董</w:t>
            </w:r>
            <w:r>
              <w:rPr>
                <w:rFonts w:ascii="宋体" w:hAnsi="宋体" w:cs="宋体" w:eastAsia="宋体" w:hint="default"/>
                <w:spacing w:val="-92"/>
                <w:sz w:val="21"/>
                <w:szCs w:val="21"/>
              </w:rPr>
              <w:t> </w:t>
            </w:r>
            <w:r>
              <w:rPr>
                <w:rFonts w:ascii="宋体" w:hAnsi="宋体" w:cs="宋体" w:eastAsia="宋体" w:hint="default"/>
                <w:spacing w:val="13"/>
                <w:sz w:val="21"/>
                <w:szCs w:val="21"/>
              </w:rPr>
              <w:t>事、监事及高</w:t>
            </w:r>
            <w:r>
              <w:rPr>
                <w:rFonts w:ascii="宋体" w:hAnsi="宋体" w:cs="宋体" w:eastAsia="宋体" w:hint="default"/>
                <w:spacing w:val="-92"/>
                <w:sz w:val="21"/>
                <w:szCs w:val="21"/>
              </w:rPr>
              <w:t> </w:t>
            </w:r>
            <w:r>
              <w:rPr>
                <w:rFonts w:ascii="宋体" w:hAnsi="宋体" w:cs="宋体" w:eastAsia="宋体" w:hint="default"/>
                <w:sz w:val="21"/>
                <w:szCs w:val="21"/>
              </w:rPr>
              <w:t>级管理人员</w:t>
            </w: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公司、公司董事、监事、高级管理人员对因虚假承诺导致的回购、赔偿义务</w:t>
            </w:r>
          </w:p>
          <w:p>
            <w:pPr>
              <w:pStyle w:val="TableParagraph"/>
              <w:spacing w:line="272" w:lineRule="exact" w:before="27"/>
              <w:ind w:left="103" w:right="6063"/>
              <w:jc w:val="left"/>
              <w:rPr>
                <w:rFonts w:ascii="宋体" w:hAnsi="宋体" w:cs="宋体" w:eastAsia="宋体" w:hint="default"/>
                <w:sz w:val="21"/>
                <w:szCs w:val="21"/>
              </w:rPr>
            </w:pPr>
            <w:r>
              <w:rPr>
                <w:rFonts w:ascii="宋体" w:hAnsi="宋体" w:cs="宋体" w:eastAsia="宋体" w:hint="default"/>
                <w:sz w:val="21"/>
                <w:szCs w:val="21"/>
              </w:rPr>
              <w:t>的承诺：</w:t>
            </w:r>
            <w:r>
              <w:rPr>
                <w:rFonts w:ascii="宋体" w:hAnsi="宋体" w:cs="宋体" w:eastAsia="宋体" w:hint="default"/>
                <w:w w:val="100"/>
                <w:sz w:val="21"/>
                <w:szCs w:val="21"/>
              </w:rPr>
              <w:t> </w:t>
            </w:r>
            <w:r>
              <w:rPr>
                <w:rFonts w:ascii="宋体" w:hAnsi="宋体" w:cs="宋体" w:eastAsia="宋体" w:hint="default"/>
                <w:sz w:val="21"/>
                <w:szCs w:val="21"/>
              </w:rPr>
              <w:t>公司承诺：</w:t>
            </w:r>
          </w:p>
          <w:p>
            <w:pPr>
              <w:pStyle w:val="TableParagraph"/>
              <w:spacing w:line="246" w:lineRule="exact"/>
              <w:ind w:left="103" w:right="-6"/>
              <w:jc w:val="left"/>
              <w:rPr>
                <w:rFonts w:ascii="宋体" w:hAnsi="宋体" w:cs="宋体" w:eastAsia="宋体" w:hint="default"/>
                <w:sz w:val="21"/>
                <w:szCs w:val="21"/>
              </w:rPr>
            </w:pPr>
            <w:r>
              <w:rPr>
                <w:rFonts w:ascii="宋体" w:hAnsi="宋体" w:cs="宋体" w:eastAsia="宋体" w:hint="default"/>
                <w:spacing w:val="-2"/>
                <w:sz w:val="21"/>
                <w:szCs w:val="21"/>
              </w:rPr>
              <w:t>“如因发行人首次公开发行招股说明书有虚假记载、误导性陈述或重大遗漏，</w:t>
            </w:r>
          </w:p>
          <w:p>
            <w:pPr>
              <w:pStyle w:val="TableParagraph"/>
              <w:spacing w:line="237" w:lineRule="auto" w:before="2"/>
              <w:ind w:left="103" w:right="-6"/>
              <w:jc w:val="left"/>
              <w:rPr>
                <w:rFonts w:ascii="宋体" w:hAnsi="宋体" w:cs="宋体" w:eastAsia="宋体" w:hint="default"/>
                <w:sz w:val="21"/>
                <w:szCs w:val="21"/>
              </w:rPr>
            </w:pPr>
            <w:r>
              <w:rPr>
                <w:rFonts w:ascii="宋体" w:hAnsi="宋体" w:cs="宋体" w:eastAsia="宋体" w:hint="default"/>
                <w:sz w:val="21"/>
                <w:szCs w:val="21"/>
              </w:rPr>
              <w:t>对判断发行人是否符合法律规定的发行条件构成重大、实质影响，致使投资</w:t>
            </w:r>
            <w:r>
              <w:rPr>
                <w:rFonts w:ascii="宋体" w:hAnsi="宋体" w:cs="宋体" w:eastAsia="宋体" w:hint="default"/>
                <w:w w:val="100"/>
                <w:sz w:val="21"/>
                <w:szCs w:val="21"/>
              </w:rPr>
              <w:t> </w:t>
            </w:r>
            <w:r>
              <w:rPr>
                <w:rFonts w:ascii="宋体" w:hAnsi="宋体" w:cs="宋体" w:eastAsia="宋体" w:hint="default"/>
                <w:sz w:val="21"/>
                <w:szCs w:val="21"/>
              </w:rPr>
              <w:t>者在证券交易中遭受损失，并已由有权部门作出行政处罚或人民法院作出最</w:t>
            </w:r>
            <w:r>
              <w:rPr>
                <w:rFonts w:ascii="宋体" w:hAnsi="宋体" w:cs="宋体" w:eastAsia="宋体" w:hint="default"/>
                <w:w w:val="100"/>
                <w:sz w:val="21"/>
                <w:szCs w:val="21"/>
              </w:rPr>
              <w:t> </w:t>
            </w:r>
            <w:r>
              <w:rPr>
                <w:rFonts w:ascii="宋体" w:hAnsi="宋体" w:cs="宋体" w:eastAsia="宋体" w:hint="default"/>
                <w:sz w:val="21"/>
                <w:szCs w:val="21"/>
              </w:rPr>
              <w:t>终判决的，发行人将依法赔偿投资者损失，并在相关行政处罚或判决作出之</w:t>
            </w:r>
            <w:r>
              <w:rPr>
                <w:rFonts w:ascii="宋体" w:hAnsi="宋体" w:cs="宋体" w:eastAsia="宋体" w:hint="default"/>
                <w:w w:val="100"/>
                <w:sz w:val="21"/>
                <w:szCs w:val="21"/>
              </w:rPr>
              <w:t> </w:t>
            </w:r>
            <w:r>
              <w:rPr>
                <w:rFonts w:ascii="宋体" w:hAnsi="宋体" w:cs="宋体" w:eastAsia="宋体" w:hint="default"/>
                <w:sz w:val="21"/>
                <w:szCs w:val="21"/>
              </w:rPr>
              <w:t>日起</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个交易日内，召开董事会并作出决议，通过股份回购的具体方案，并</w:t>
            </w:r>
            <w:r>
              <w:rPr>
                <w:rFonts w:ascii="宋体" w:hAnsi="宋体" w:cs="宋体" w:eastAsia="宋体" w:hint="default"/>
                <w:w w:val="100"/>
                <w:sz w:val="21"/>
                <w:szCs w:val="21"/>
              </w:rPr>
              <w:t> </w:t>
            </w:r>
            <w:r>
              <w:rPr>
                <w:rFonts w:ascii="宋体" w:hAnsi="宋体" w:cs="宋体" w:eastAsia="宋体" w:hint="default"/>
                <w:spacing w:val="-2"/>
                <w:sz w:val="21"/>
                <w:szCs w:val="21"/>
              </w:rPr>
              <w:t>进行公告。发行人将按照股份回购的具体方案回购首次公开发行的全部新股，</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回购价格按照发行价（若发行人股票在此期间发生派息、送股、资本公积转</w:t>
            </w:r>
            <w:r>
              <w:rPr>
                <w:rFonts w:ascii="宋体" w:hAnsi="宋体" w:cs="宋体" w:eastAsia="宋体" w:hint="default"/>
                <w:w w:val="100"/>
                <w:sz w:val="21"/>
                <w:szCs w:val="21"/>
              </w:rPr>
              <w:t> </w:t>
            </w:r>
            <w:r>
              <w:rPr>
                <w:rFonts w:ascii="宋体" w:hAnsi="宋体" w:cs="宋体" w:eastAsia="宋体" w:hint="default"/>
                <w:spacing w:val="-3"/>
                <w:sz w:val="21"/>
                <w:szCs w:val="21"/>
              </w:rPr>
              <w:t>增股本等除权除息事项的，发行价应相应调整）加算银行同期存款利息确定，</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并根据相关法律法规规定的程序实施。”</w:t>
            </w:r>
            <w:r>
              <w:rPr>
                <w:rFonts w:ascii="宋体" w:hAnsi="宋体" w:cs="宋体" w:eastAsia="宋体" w:hint="default"/>
                <w:w w:val="100"/>
                <w:sz w:val="21"/>
                <w:szCs w:val="21"/>
              </w:rPr>
              <w:t> </w:t>
            </w:r>
            <w:r>
              <w:rPr>
                <w:rFonts w:ascii="宋体" w:hAnsi="宋体" w:cs="宋体" w:eastAsia="宋体" w:hint="default"/>
                <w:sz w:val="21"/>
                <w:szCs w:val="21"/>
              </w:rPr>
              <w:t>公司全体董事、监事、高级管理人员承诺：</w:t>
            </w:r>
            <w:r>
              <w:rPr>
                <w:rFonts w:ascii="宋体" w:hAnsi="宋体" w:cs="宋体" w:eastAsia="宋体" w:hint="default"/>
                <w:w w:val="100"/>
                <w:sz w:val="21"/>
                <w:szCs w:val="21"/>
              </w:rPr>
              <w:t> </w:t>
            </w:r>
            <w:r>
              <w:rPr>
                <w:rFonts w:ascii="宋体" w:hAnsi="宋体" w:cs="宋体" w:eastAsia="宋体" w:hint="default"/>
                <w:sz w:val="21"/>
                <w:szCs w:val="21"/>
              </w:rPr>
              <w:t>“发行人首次公开发行招股说明书及其摘要不存在虚假记载、误导性陈述或</w:t>
            </w:r>
            <w:r>
              <w:rPr>
                <w:rFonts w:ascii="宋体" w:hAnsi="宋体" w:cs="宋体" w:eastAsia="宋体" w:hint="default"/>
                <w:w w:val="100"/>
                <w:sz w:val="21"/>
                <w:szCs w:val="21"/>
              </w:rPr>
              <w:t> </w:t>
            </w:r>
            <w:r>
              <w:rPr>
                <w:rFonts w:ascii="宋体" w:hAnsi="宋体" w:cs="宋体" w:eastAsia="宋体" w:hint="default"/>
                <w:sz w:val="21"/>
                <w:szCs w:val="21"/>
              </w:rPr>
              <w:t>重大遗漏，并对其真实性、准确性、完整性承担个别和连带的法律责任。如</w:t>
            </w:r>
            <w:r>
              <w:rPr>
                <w:rFonts w:ascii="宋体" w:hAnsi="宋体" w:cs="宋体" w:eastAsia="宋体" w:hint="default"/>
                <w:w w:val="100"/>
                <w:sz w:val="21"/>
                <w:szCs w:val="21"/>
              </w:rPr>
              <w:t> </w:t>
            </w:r>
            <w:r>
              <w:rPr>
                <w:rFonts w:ascii="宋体" w:hAnsi="宋体" w:cs="宋体" w:eastAsia="宋体" w:hint="default"/>
                <w:sz w:val="21"/>
                <w:szCs w:val="21"/>
              </w:rPr>
              <w:t>因招股说明书有虚假记载、误导性陈述或者重大遗漏，致使投资者在证券交</w:t>
            </w:r>
            <w:r>
              <w:rPr>
                <w:rFonts w:ascii="宋体" w:hAnsi="宋体" w:cs="宋体" w:eastAsia="宋体" w:hint="default"/>
                <w:w w:val="100"/>
                <w:sz w:val="21"/>
                <w:szCs w:val="21"/>
              </w:rPr>
              <w:t> </w:t>
            </w:r>
            <w:r>
              <w:rPr>
                <w:rFonts w:ascii="宋体" w:hAnsi="宋体" w:cs="宋体" w:eastAsia="宋体" w:hint="default"/>
                <w:sz w:val="21"/>
                <w:szCs w:val="21"/>
              </w:rPr>
              <w:t>易中遭受损失，并已由有权部门做出行政处罚或人民法院做出最终判决的，</w:t>
            </w:r>
            <w:r>
              <w:rPr>
                <w:rFonts w:ascii="宋体" w:hAnsi="宋体" w:cs="宋体" w:eastAsia="宋体" w:hint="default"/>
                <w:w w:val="100"/>
                <w:sz w:val="21"/>
                <w:szCs w:val="21"/>
              </w:rPr>
              <w:t> </w:t>
            </w:r>
            <w:r>
              <w:rPr>
                <w:rFonts w:ascii="宋体" w:hAnsi="宋体" w:cs="宋体" w:eastAsia="宋体" w:hint="default"/>
                <w:sz w:val="21"/>
                <w:szCs w:val="21"/>
              </w:rPr>
              <w:t>将依法赔偿投资者损失。”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3005" w:hRule="exact"/>
        </w:trPr>
        <w:tc>
          <w:tcPr>
            <w:tcW w:w="852" w:type="dxa"/>
            <w:vMerge/>
            <w:tcBorders>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03" w:right="84"/>
              <w:jc w:val="both"/>
              <w:rPr>
                <w:rFonts w:ascii="宋体" w:hAnsi="宋体" w:cs="宋体" w:eastAsia="宋体" w:hint="default"/>
                <w:sz w:val="21"/>
                <w:szCs w:val="21"/>
              </w:rPr>
            </w:pPr>
            <w:r>
              <w:rPr>
                <w:rFonts w:ascii="宋体" w:hAnsi="宋体" w:cs="宋体" w:eastAsia="宋体" w:hint="default"/>
                <w:spacing w:val="13"/>
                <w:sz w:val="21"/>
                <w:szCs w:val="21"/>
              </w:rPr>
              <w:t>公司、公司董</w:t>
            </w:r>
            <w:r>
              <w:rPr>
                <w:rFonts w:ascii="宋体" w:hAnsi="宋体" w:cs="宋体" w:eastAsia="宋体" w:hint="default"/>
                <w:spacing w:val="-92"/>
                <w:sz w:val="21"/>
                <w:szCs w:val="21"/>
              </w:rPr>
              <w:t> </w:t>
            </w:r>
            <w:r>
              <w:rPr>
                <w:rFonts w:ascii="宋体" w:hAnsi="宋体" w:cs="宋体" w:eastAsia="宋体" w:hint="default"/>
                <w:spacing w:val="13"/>
                <w:sz w:val="21"/>
                <w:szCs w:val="21"/>
              </w:rPr>
              <w:t>事、监事及高</w:t>
            </w:r>
            <w:r>
              <w:rPr>
                <w:rFonts w:ascii="宋体" w:hAnsi="宋体" w:cs="宋体" w:eastAsia="宋体" w:hint="default"/>
                <w:spacing w:val="-92"/>
                <w:sz w:val="21"/>
                <w:szCs w:val="21"/>
              </w:rPr>
              <w:t> </w:t>
            </w:r>
            <w:r>
              <w:rPr>
                <w:rFonts w:ascii="宋体" w:hAnsi="宋体" w:cs="宋体" w:eastAsia="宋体" w:hint="default"/>
                <w:sz w:val="21"/>
                <w:szCs w:val="21"/>
              </w:rPr>
              <w:t>级管理人员</w:t>
            </w: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公司、公司董事、监事及高级管理人员关于未履行承诺相关事宜的承诺：</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公司承诺：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1</w:t>
            </w:r>
            <w:r>
              <w:rPr>
                <w:rFonts w:ascii="宋体" w:hAnsi="宋体" w:cs="宋体" w:eastAsia="宋体" w:hint="default"/>
                <w:spacing w:val="-3"/>
                <w:sz w:val="21"/>
                <w:szCs w:val="21"/>
              </w:rPr>
              <w:t>、如本公司承诺未能履行、确已无法履行或无法按期履行的（因相关法律法</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规、政策变化、自然灾害及其他不可抗力等本公司无法控制的客观原因导致</w:t>
            </w:r>
            <w:r>
              <w:rPr>
                <w:rFonts w:ascii="宋体" w:hAnsi="宋体" w:cs="宋体" w:eastAsia="宋体" w:hint="default"/>
                <w:w w:val="100"/>
                <w:sz w:val="21"/>
                <w:szCs w:val="21"/>
              </w:rPr>
              <w:t> </w:t>
            </w:r>
            <w:r>
              <w:rPr>
                <w:rFonts w:ascii="宋体" w:hAnsi="宋体" w:cs="宋体" w:eastAsia="宋体" w:hint="default"/>
                <w:sz w:val="21"/>
                <w:szCs w:val="21"/>
              </w:rPr>
              <w:t>的除外），本公司将采取以下措施：</w:t>
            </w:r>
          </w:p>
          <w:p>
            <w:pPr>
              <w:pStyle w:val="TableParagraph"/>
              <w:spacing w:line="274" w:lineRule="exact" w:before="22"/>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）及时、充分披露本公司承诺未能履行、无法履行或无法按期履行的具体</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原因；</w:t>
            </w:r>
          </w:p>
          <w:p>
            <w:pPr>
              <w:pStyle w:val="TableParagraph"/>
              <w:spacing w:line="245" w:lineRule="exact"/>
              <w:ind w:left="103" w:right="-3"/>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）向本公司投资者提出补充承诺或替代承诺，以尽可能保护投资者的权益；</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）将上述补充承诺或替代承诺提交股东大会审议。</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、如因相关法律法规、政策变化、自然灾害及其他不可抗力等本公司无法控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制的客观原因导致本公司承诺未能履行、确已无法履行或无法按期履行的，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60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852"/>
        <w:gridCol w:w="713"/>
        <w:gridCol w:w="1553"/>
        <w:gridCol w:w="7232"/>
        <w:gridCol w:w="1133"/>
        <w:gridCol w:w="852"/>
        <w:gridCol w:w="859"/>
        <w:gridCol w:w="1131"/>
        <w:gridCol w:w="986"/>
      </w:tblGrid>
      <w:tr>
        <w:trPr>
          <w:trHeight w:val="7091" w:hRule="exact"/>
        </w:trPr>
        <w:tc>
          <w:tcPr>
            <w:tcW w:w="852" w:type="dxa"/>
            <w:vMerge w:val="restart"/>
            <w:tcBorders>
              <w:top w:val="single" w:sz="4" w:space="0" w:color="000000"/>
              <w:left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本公司将采取以下措施：</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）及时、充分披露本公司承诺未能履行、无法履行或无法按期履行的具体</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原因；</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）向本公司投资者提出补充承诺或替代承诺，以尽可能保护本公司投资者</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的权益。</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、如因本公司未能履行承诺，致使投资者在证券交易中遭受损失，并已由有</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权部门做出行政处罚或人民法院作出最终判决的，本公司将依法赔偿投资者</w:t>
            </w:r>
            <w:r>
              <w:rPr>
                <w:rFonts w:ascii="宋体" w:hAnsi="宋体" w:cs="宋体" w:eastAsia="宋体" w:hint="default"/>
                <w:w w:val="100"/>
                <w:sz w:val="21"/>
                <w:szCs w:val="21"/>
              </w:rPr>
              <w:t> </w:t>
            </w:r>
            <w:r>
              <w:rPr>
                <w:rFonts w:ascii="宋体" w:hAnsi="宋体" w:cs="宋体" w:eastAsia="宋体" w:hint="default"/>
                <w:sz w:val="21"/>
                <w:szCs w:val="21"/>
              </w:rPr>
              <w:t>损失。</w:t>
            </w:r>
          </w:p>
          <w:p>
            <w:pPr>
              <w:pStyle w:val="TableParagraph"/>
              <w:spacing w:line="237" w:lineRule="auto" w:before="1"/>
              <w:ind w:left="103" w:right="-5"/>
              <w:jc w:val="left"/>
              <w:rPr>
                <w:rFonts w:ascii="宋体" w:hAnsi="宋体" w:cs="宋体" w:eastAsia="宋体" w:hint="default"/>
                <w:sz w:val="21"/>
                <w:szCs w:val="21"/>
              </w:rPr>
            </w:pPr>
            <w:r>
              <w:rPr>
                <w:rFonts w:ascii="宋体" w:hAnsi="宋体" w:cs="宋体" w:eastAsia="宋体" w:hint="default"/>
                <w:sz w:val="21"/>
                <w:szCs w:val="21"/>
              </w:rPr>
              <w:t>公司董事、监事、高级管理人员承诺：</w:t>
            </w:r>
            <w:r>
              <w:rPr>
                <w:rFonts w:ascii="宋体" w:hAnsi="宋体" w:cs="宋体" w:eastAsia="宋体" w:hint="default"/>
                <w:w w:val="100"/>
                <w:sz w:val="21"/>
                <w:szCs w:val="21"/>
              </w:rPr>
              <w:t> </w:t>
            </w:r>
            <w:r>
              <w:rPr>
                <w:rFonts w:ascii="宋体" w:hAnsi="宋体" w:cs="宋体" w:eastAsia="宋体" w:hint="default"/>
                <w:spacing w:val="-5"/>
                <w:sz w:val="21"/>
                <w:szCs w:val="21"/>
              </w:rPr>
              <w:t>1</w:t>
            </w:r>
            <w:r>
              <w:rPr>
                <w:rFonts w:ascii="宋体" w:hAnsi="宋体" w:cs="宋体" w:eastAsia="宋体" w:hint="default"/>
                <w:spacing w:val="-5"/>
                <w:sz w:val="21"/>
                <w:szCs w:val="21"/>
              </w:rPr>
              <w:t>、如本人承诺未能履行、确已无法履行或无法按期履行的（因相关法律法规、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政策变化、自然灾害及其他不可抗力等本人无法控制的客观原因导致的除</w:t>
            </w:r>
            <w:r>
              <w:rPr>
                <w:rFonts w:ascii="宋体" w:hAnsi="宋体" w:cs="宋体" w:eastAsia="宋体" w:hint="default"/>
                <w:w w:val="100"/>
                <w:sz w:val="21"/>
                <w:szCs w:val="21"/>
              </w:rPr>
              <w:t> </w:t>
            </w:r>
            <w:r>
              <w:rPr>
                <w:rFonts w:ascii="宋体" w:hAnsi="宋体" w:cs="宋体" w:eastAsia="宋体" w:hint="default"/>
                <w:sz w:val="21"/>
                <w:szCs w:val="21"/>
              </w:rPr>
              <w:t>外），本人将采取以下措施：</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）通过发行人及时、充分披露本人承诺未能履行、无法履行或无法按期履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行的具体原因；</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）向发行人及其投资者提出补充承诺或替代承诺，以尽可能保护发行人及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其投资者的权益；</w:t>
            </w:r>
          </w:p>
          <w:p>
            <w:pPr>
              <w:pStyle w:val="TableParagraph"/>
              <w:spacing w:line="272" w:lineRule="exact" w:before="2"/>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）本人违反本人承诺所得收益将归属于发行人。因本人违反承诺给发行人</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或投资者造成损失、并已由有权部门作出行政处罚或人民法院作出最终判决</w:t>
            </w:r>
            <w:r>
              <w:rPr>
                <w:rFonts w:ascii="宋体" w:hAnsi="宋体" w:cs="宋体" w:eastAsia="宋体" w:hint="default"/>
                <w:w w:val="100"/>
                <w:sz w:val="21"/>
                <w:szCs w:val="21"/>
              </w:rPr>
              <w:t> </w:t>
            </w:r>
            <w:r>
              <w:rPr>
                <w:rFonts w:ascii="宋体" w:hAnsi="宋体" w:cs="宋体" w:eastAsia="宋体" w:hint="default"/>
                <w:sz w:val="21"/>
                <w:szCs w:val="21"/>
              </w:rPr>
              <w:t>的，将依法对该等实际损失进行赔偿。</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、如因相关法律法规、政策变化、自然灾害及其他不可抗力等本人无法控制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的客观原因导致本人承诺未能履行、确已无法履行或无法按期履行，本人将</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采取以下措施：</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）通过发行人及时、充分披露本人承诺未能履行、无法履行或无法按期履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行的具体原因；</w:t>
            </w:r>
          </w:p>
          <w:p>
            <w:pPr>
              <w:pStyle w:val="TableParagraph"/>
              <w:spacing w:line="274" w:lineRule="exact" w:before="22"/>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）向发行人及其投资者提出补充承诺或替代承诺，以尽可能保护发行人及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其投资者的权益。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852" w:type="dxa"/>
            <w:vMerge/>
            <w:tcBorders>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公司、公司董</w:t>
            </w:r>
            <w:r>
              <w:rPr>
                <w:rFonts w:ascii="宋体" w:hAnsi="宋体" w:cs="宋体" w:eastAsia="宋体" w:hint="default"/>
                <w:spacing w:val="-92"/>
                <w:sz w:val="21"/>
                <w:szCs w:val="21"/>
              </w:rPr>
              <w:t> </w:t>
            </w:r>
            <w:r>
              <w:rPr>
                <w:rFonts w:ascii="宋体" w:hAnsi="宋体" w:cs="宋体" w:eastAsia="宋体" w:hint="default"/>
                <w:spacing w:val="13"/>
                <w:sz w:val="21"/>
                <w:szCs w:val="21"/>
              </w:rPr>
              <w:t>事、监事及高</w:t>
            </w:r>
            <w:r>
              <w:rPr>
                <w:rFonts w:ascii="宋体" w:hAnsi="宋体" w:cs="宋体" w:eastAsia="宋体" w:hint="default"/>
                <w:spacing w:val="-92"/>
                <w:sz w:val="21"/>
                <w:szCs w:val="21"/>
              </w:rPr>
              <w:t> </w:t>
            </w:r>
            <w:r>
              <w:rPr>
                <w:rFonts w:ascii="宋体" w:hAnsi="宋体" w:cs="宋体" w:eastAsia="宋体" w:hint="default"/>
                <w:sz w:val="21"/>
                <w:szCs w:val="21"/>
              </w:rPr>
              <w:t>级管理人员</w:t>
            </w: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公司、董事、监事、高级管理人员失信补救措施的承诺</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公司承诺：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1</w:t>
            </w:r>
            <w:r>
              <w:rPr>
                <w:rFonts w:ascii="宋体" w:hAnsi="宋体" w:cs="宋体" w:eastAsia="宋体" w:hint="default"/>
                <w:spacing w:val="-3"/>
                <w:sz w:val="21"/>
                <w:szCs w:val="21"/>
              </w:rPr>
              <w:t>、如本公司承诺未能履行、确已无法履行或无法按期履行的（因相关法律法</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规、政策变化、自然灾害及其他不可抗力等本公司无法控制的客观原因导致</w:t>
            </w:r>
            <w:r>
              <w:rPr>
                <w:rFonts w:ascii="宋体" w:hAnsi="宋体" w:cs="宋体" w:eastAsia="宋体" w:hint="default"/>
                <w:w w:val="100"/>
                <w:sz w:val="21"/>
                <w:szCs w:val="21"/>
              </w:rPr>
              <w:t> </w:t>
            </w:r>
            <w:r>
              <w:rPr>
                <w:rFonts w:ascii="宋体" w:hAnsi="宋体" w:cs="宋体" w:eastAsia="宋体" w:hint="default"/>
                <w:sz w:val="21"/>
                <w:szCs w:val="21"/>
              </w:rPr>
              <w:t>的除外），本公司将采取以下措施：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60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852"/>
        <w:gridCol w:w="713"/>
        <w:gridCol w:w="1553"/>
        <w:gridCol w:w="7232"/>
        <w:gridCol w:w="1133"/>
        <w:gridCol w:w="852"/>
        <w:gridCol w:w="859"/>
        <w:gridCol w:w="1131"/>
        <w:gridCol w:w="986"/>
      </w:tblGrid>
      <w:tr>
        <w:trPr>
          <w:trHeight w:val="276" w:hRule="exact"/>
        </w:trPr>
        <w:tc>
          <w:tcPr>
            <w:tcW w:w="852" w:type="dxa"/>
            <w:vMerge w:val="restart"/>
            <w:tcBorders>
              <w:top w:val="single" w:sz="4" w:space="0" w:color="000000"/>
              <w:left w:val="single" w:sz="4" w:space="0" w:color="000000"/>
              <w:right w:val="single" w:sz="4" w:space="0" w:color="000000"/>
            </w:tcBorders>
          </w:tcPr>
          <w:p>
            <w:pPr/>
          </w:p>
        </w:tc>
        <w:tc>
          <w:tcPr>
            <w:tcW w:w="713" w:type="dxa"/>
            <w:vMerge w:val="restart"/>
            <w:tcBorders>
              <w:top w:val="single" w:sz="4" w:space="0" w:color="000000"/>
              <w:left w:val="single" w:sz="4" w:space="0" w:color="000000"/>
              <w:right w:val="single" w:sz="4" w:space="0" w:color="000000"/>
            </w:tcBorders>
          </w:tcPr>
          <w:p>
            <w:pPr/>
          </w:p>
        </w:tc>
        <w:tc>
          <w:tcPr>
            <w:tcW w:w="1553" w:type="dxa"/>
            <w:vMerge w:val="restart"/>
            <w:tcBorders>
              <w:top w:val="single" w:sz="4" w:space="0" w:color="000000"/>
              <w:left w:val="single" w:sz="4" w:space="0" w:color="000000"/>
              <w:right w:val="single" w:sz="4" w:space="0" w:color="000000"/>
            </w:tcBorders>
          </w:tcPr>
          <w:p>
            <w:pPr/>
          </w:p>
        </w:tc>
        <w:tc>
          <w:tcPr>
            <w:tcW w:w="723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）及时、充分披露本公司承诺未能履行、无法履行或无法按期履行的具体</w:t>
            </w:r>
          </w:p>
        </w:tc>
        <w:tc>
          <w:tcPr>
            <w:tcW w:w="1133"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9" w:type="dxa"/>
            <w:vMerge w:val="restart"/>
            <w:tcBorders>
              <w:top w:val="single" w:sz="4" w:space="0" w:color="000000"/>
              <w:left w:val="single" w:sz="4" w:space="0" w:color="000000"/>
              <w:right w:val="single" w:sz="4" w:space="0" w:color="000000"/>
            </w:tcBorders>
          </w:tcPr>
          <w:p>
            <w:pPr/>
          </w:p>
        </w:tc>
        <w:tc>
          <w:tcPr>
            <w:tcW w:w="1131" w:type="dxa"/>
            <w:vMerge w:val="restart"/>
            <w:tcBorders>
              <w:top w:val="single" w:sz="4" w:space="0" w:color="000000"/>
              <w:left w:val="single" w:sz="4" w:space="0" w:color="000000"/>
              <w:right w:val="single" w:sz="4" w:space="0" w:color="000000"/>
            </w:tcBorders>
          </w:tcPr>
          <w:p>
            <w:pPr/>
          </w:p>
        </w:tc>
        <w:tc>
          <w:tcPr>
            <w:tcW w:w="986" w:type="dxa"/>
            <w:vMerge w:val="restart"/>
            <w:tcBorders>
              <w:top w:val="single" w:sz="4" w:space="0" w:color="000000"/>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原因；</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3"/>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）向本公司投资者提出补充承诺或替代承诺，以尽可能保护投资者的权益；</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）将上述补充承诺或替代承诺提交股东大会审议。</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、如因相关法律法规、政策变化、自然灾害及其他不可抗力等本公司无法控</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制的客观原因导致本公司承诺未能履行、确已无法履行或无法按期履行的，</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3"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本公司将采取以下措施：</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3"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）及时、充分披露本公司承诺未能履行、无法履行或无法按期履行的具体</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原因；</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）向本公司的投资者提出补充承诺或替代承诺，以尽可能保护本公司投资</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者的权益。</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、如因本公司未能履行承诺，致使投资者在证券交易中遭受损失，并已由有</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权部门做出行政处罚或人民法院作出最终判决的，本公司将依法赔偿投资者</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公司董事、监事及高级管理人员承诺：</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3"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、如本人承诺未能履行、确已无法履行或无法按期履行的（因相关法律法规、</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3"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政策变化、自然灾害及其他不可抗力等本人无法控制的客观原因导致的除</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1"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外），本人将采取以下措施：</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）通过发行人及时、充分披露本人承诺未能履行、无法履行或无法按期履</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行的具体原因；</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）向发行人及其投资者提出补充承诺或替代承诺，以尽可能保护发行人及</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其投资者的权益；</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）本人违反本人承诺所得收益将归属于发行人。因本人违反承诺给发行人</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或投资者造成损失、并已由有权部门作出行政处罚或人民法院作出最终判决</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的，将依法对该等实际损失进行赔偿。</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3"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、如因相关法律法规、政策变化、自然灾害及其他不可抗力等本人无法控制</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3"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的客观原因导致本人承诺未能履行、确已无法履行或无法按期履行的，本人</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将采取以下措施：</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）通过发行人及时、充分披露本人承诺未能履行、无法履行或无法按期履</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2" w:hRule="exact"/>
        </w:trPr>
        <w:tc>
          <w:tcPr>
            <w:tcW w:w="852" w:type="dxa"/>
            <w:vMerge/>
            <w:tcBorders>
              <w:left w:val="single" w:sz="4" w:space="0" w:color="000000"/>
              <w:right w:val="single" w:sz="4" w:space="0" w:color="000000"/>
            </w:tcBorders>
          </w:tcPr>
          <w:p>
            <w:pPr/>
          </w:p>
        </w:tc>
        <w:tc>
          <w:tcPr>
            <w:tcW w:w="713" w:type="dxa"/>
            <w:vMerge/>
            <w:tcBorders>
              <w:left w:val="single" w:sz="4" w:space="0" w:color="000000"/>
              <w:right w:val="single" w:sz="4" w:space="0" w:color="000000"/>
            </w:tcBorders>
          </w:tcPr>
          <w:p>
            <w:pPr/>
          </w:p>
        </w:tc>
        <w:tc>
          <w:tcPr>
            <w:tcW w:w="1553" w:type="dxa"/>
            <w:vMerge/>
            <w:tcBorders>
              <w:left w:val="single" w:sz="4" w:space="0" w:color="000000"/>
              <w:right w:val="single" w:sz="4" w:space="0" w:color="000000"/>
            </w:tcBorders>
          </w:tcPr>
          <w:p>
            <w:pPr/>
          </w:p>
        </w:tc>
        <w:tc>
          <w:tcPr>
            <w:tcW w:w="7232"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行的具体原因；</w:t>
            </w:r>
          </w:p>
        </w:tc>
        <w:tc>
          <w:tcPr>
            <w:tcW w:w="113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1131"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r>
      <w:tr>
        <w:trPr>
          <w:trHeight w:val="279" w:hRule="exact"/>
        </w:trPr>
        <w:tc>
          <w:tcPr>
            <w:tcW w:w="852" w:type="dxa"/>
            <w:vMerge/>
            <w:tcBorders>
              <w:left w:val="single" w:sz="4" w:space="0" w:color="000000"/>
              <w:bottom w:val="single" w:sz="4" w:space="0" w:color="000000"/>
              <w:right w:val="single" w:sz="4" w:space="0" w:color="000000"/>
            </w:tcBorders>
          </w:tcPr>
          <w:p>
            <w:pPr/>
          </w:p>
        </w:tc>
        <w:tc>
          <w:tcPr>
            <w:tcW w:w="713" w:type="dxa"/>
            <w:vMerge/>
            <w:tcBorders>
              <w:left w:val="single" w:sz="4" w:space="0" w:color="000000"/>
              <w:bottom w:val="single" w:sz="4" w:space="0" w:color="000000"/>
              <w:right w:val="single" w:sz="4" w:space="0" w:color="000000"/>
            </w:tcBorders>
          </w:tcPr>
          <w:p>
            <w:pPr/>
          </w:p>
        </w:tc>
        <w:tc>
          <w:tcPr>
            <w:tcW w:w="1553" w:type="dxa"/>
            <w:vMerge/>
            <w:tcBorders>
              <w:left w:val="single" w:sz="4" w:space="0" w:color="000000"/>
              <w:bottom w:val="single" w:sz="4" w:space="0" w:color="000000"/>
              <w:right w:val="single" w:sz="4" w:space="0" w:color="000000"/>
            </w:tcBorders>
          </w:tcPr>
          <w:p>
            <w:pPr/>
          </w:p>
        </w:tc>
        <w:tc>
          <w:tcPr>
            <w:tcW w:w="723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）向发行人及其投资者提出补充承诺或替代承诺，以尽可能保护发行人及</w:t>
            </w:r>
          </w:p>
        </w:tc>
        <w:tc>
          <w:tcPr>
            <w:tcW w:w="113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60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852"/>
        <w:gridCol w:w="713"/>
        <w:gridCol w:w="1553"/>
        <w:gridCol w:w="7232"/>
        <w:gridCol w:w="1133"/>
        <w:gridCol w:w="852"/>
        <w:gridCol w:w="859"/>
        <w:gridCol w:w="1131"/>
        <w:gridCol w:w="986"/>
      </w:tblGrid>
      <w:tr>
        <w:trPr>
          <w:trHeight w:val="281" w:hRule="exact"/>
        </w:trPr>
        <w:tc>
          <w:tcPr>
            <w:tcW w:w="852" w:type="dxa"/>
            <w:vMerge w:val="restart"/>
            <w:tcBorders>
              <w:top w:val="single" w:sz="4" w:space="0" w:color="000000"/>
              <w:left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其投资者的权益。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8183" w:hRule="exact"/>
        </w:trPr>
        <w:tc>
          <w:tcPr>
            <w:tcW w:w="852" w:type="dxa"/>
            <w:vMerge/>
            <w:tcBorders>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pacing w:val="13"/>
                <w:sz w:val="21"/>
                <w:szCs w:val="21"/>
              </w:rPr>
              <w:t>公司、公司董</w:t>
            </w:r>
            <w:r>
              <w:rPr>
                <w:rFonts w:ascii="宋体" w:hAnsi="宋体" w:cs="宋体" w:eastAsia="宋体" w:hint="default"/>
                <w:spacing w:val="-92"/>
                <w:sz w:val="21"/>
                <w:szCs w:val="21"/>
              </w:rPr>
              <w:t> </w:t>
            </w:r>
            <w:r>
              <w:rPr>
                <w:rFonts w:ascii="宋体" w:hAnsi="宋体" w:cs="宋体" w:eastAsia="宋体" w:hint="default"/>
                <w:spacing w:val="13"/>
                <w:sz w:val="21"/>
                <w:szCs w:val="21"/>
              </w:rPr>
              <w:t>事、监事及高</w:t>
            </w:r>
            <w:r>
              <w:rPr>
                <w:rFonts w:ascii="宋体" w:hAnsi="宋体" w:cs="宋体" w:eastAsia="宋体" w:hint="default"/>
                <w:spacing w:val="-92"/>
                <w:sz w:val="21"/>
                <w:szCs w:val="21"/>
              </w:rPr>
              <w:t> </w:t>
            </w:r>
            <w:r>
              <w:rPr>
                <w:rFonts w:ascii="宋体" w:hAnsi="宋体" w:cs="宋体" w:eastAsia="宋体" w:hint="default"/>
                <w:sz w:val="21"/>
                <w:szCs w:val="21"/>
              </w:rPr>
              <w:t>级管理人员</w:t>
            </w: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公司、公司董事、高级管理人员稳定股价的承诺</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公司承诺：</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、自公司上市之日起三年内，公司股票如出现连续</w:t>
            </w:r>
            <w:r>
              <w:rPr>
                <w:rFonts w:ascii="宋体" w:hAnsi="宋体" w:cs="宋体" w:eastAsia="宋体" w:hint="default"/>
                <w:spacing w:val="-56"/>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个交易日的收盘价低</w:t>
            </w:r>
            <w:r>
              <w:rPr>
                <w:rFonts w:ascii="宋体" w:hAnsi="宋体" w:cs="宋体" w:eastAsia="宋体" w:hint="default"/>
                <w:w w:val="100"/>
                <w:sz w:val="21"/>
                <w:szCs w:val="21"/>
              </w:rPr>
              <w:t> </w:t>
            </w:r>
            <w:r>
              <w:rPr>
                <w:rFonts w:ascii="宋体" w:hAnsi="宋体" w:cs="宋体" w:eastAsia="宋体" w:hint="default"/>
                <w:spacing w:val="-2"/>
                <w:sz w:val="21"/>
                <w:szCs w:val="21"/>
              </w:rPr>
              <w:t>于公司最近一期经审计的每股净资产（最近一期审计基准日后，因利润分配、</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资本公积金转增股本、增发、配股等情况导致公司净资产或股份总数出现变</w:t>
            </w:r>
            <w:r>
              <w:rPr>
                <w:rFonts w:ascii="宋体" w:hAnsi="宋体" w:cs="宋体" w:eastAsia="宋体" w:hint="default"/>
                <w:w w:val="100"/>
                <w:sz w:val="21"/>
                <w:szCs w:val="21"/>
              </w:rPr>
              <w:t> </w:t>
            </w:r>
            <w:r>
              <w:rPr>
                <w:rFonts w:ascii="宋体" w:hAnsi="宋体" w:cs="宋体" w:eastAsia="宋体" w:hint="default"/>
                <w:sz w:val="21"/>
                <w:szCs w:val="21"/>
              </w:rPr>
              <w:t>化的，每股净资产相应进行调整），且非因不可抗力因素所致，本公司将根</w:t>
            </w:r>
            <w:r>
              <w:rPr>
                <w:rFonts w:ascii="宋体" w:hAnsi="宋体" w:cs="宋体" w:eastAsia="宋体" w:hint="default"/>
                <w:w w:val="100"/>
                <w:sz w:val="21"/>
                <w:szCs w:val="21"/>
              </w:rPr>
              <w:t> </w:t>
            </w:r>
            <w:r>
              <w:rPr>
                <w:rFonts w:ascii="宋体" w:hAnsi="宋体" w:cs="宋体" w:eastAsia="宋体" w:hint="default"/>
                <w:sz w:val="21"/>
                <w:szCs w:val="21"/>
              </w:rPr>
              <w:t>据《稳定股价预案》的要求，开始采取如下一项或几项措施稳定股价：</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）公司回购公司股份；</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）公司控股股东增持公司股份；</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）公司董事（独立董事及未在公司领取薪酬的董事除外，下同）及高级管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理人员增持公司股份；</w:t>
            </w:r>
          </w:p>
          <w:p>
            <w:pPr>
              <w:pStyle w:val="TableParagraph"/>
              <w:spacing w:line="272" w:lineRule="exact" w:before="1"/>
              <w:ind w:left="103" w:right="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）届时有效的法律法规允许的其他合法、有效的措施。</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、如本公司因主观原因未按《稳定股价预案》及届时公告的回购方案等公开</w:t>
            </w:r>
          </w:p>
          <w:p>
            <w:pPr>
              <w:pStyle w:val="TableParagraph"/>
              <w:spacing w:line="272" w:lineRule="exact" w:before="1"/>
              <w:ind w:left="103" w:right="180"/>
              <w:jc w:val="left"/>
              <w:rPr>
                <w:rFonts w:ascii="宋体" w:hAnsi="宋体" w:cs="宋体" w:eastAsia="宋体" w:hint="default"/>
                <w:sz w:val="21"/>
                <w:szCs w:val="21"/>
              </w:rPr>
            </w:pPr>
            <w:r>
              <w:rPr>
                <w:rFonts w:ascii="宋体" w:hAnsi="宋体" w:cs="宋体" w:eastAsia="宋体" w:hint="default"/>
                <w:spacing w:val="-2"/>
                <w:sz w:val="21"/>
                <w:szCs w:val="21"/>
              </w:rPr>
              <w:t>披露文件采取股价稳定措施，本公司将在股东大会及中国证券监督管理委员</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会指定报刊上公开说明未采取稳定股价措施的具体原因并向公司股东和社会</w:t>
            </w:r>
          </w:p>
          <w:p>
            <w:pPr>
              <w:pStyle w:val="TableParagraph"/>
              <w:spacing w:line="272" w:lineRule="exact" w:before="2"/>
              <w:ind w:left="103" w:right="98"/>
              <w:jc w:val="left"/>
              <w:rPr>
                <w:rFonts w:ascii="宋体" w:hAnsi="宋体" w:cs="宋体" w:eastAsia="宋体" w:hint="default"/>
                <w:sz w:val="21"/>
                <w:szCs w:val="21"/>
              </w:rPr>
            </w:pPr>
            <w:r>
              <w:rPr>
                <w:rFonts w:ascii="宋体" w:hAnsi="宋体" w:cs="宋体" w:eastAsia="宋体" w:hint="default"/>
                <w:sz w:val="21"/>
                <w:szCs w:val="21"/>
              </w:rPr>
              <w:t>公众投资者道歉。</w:t>
            </w:r>
            <w:r>
              <w:rPr>
                <w:rFonts w:ascii="宋体" w:hAnsi="宋体" w:cs="宋体" w:eastAsia="宋体" w:hint="default"/>
                <w:w w:val="100"/>
                <w:sz w:val="21"/>
                <w:szCs w:val="21"/>
              </w:rPr>
              <w:t> </w:t>
            </w:r>
            <w:r>
              <w:rPr>
                <w:rFonts w:ascii="宋体" w:hAnsi="宋体" w:cs="宋体" w:eastAsia="宋体" w:hint="default"/>
                <w:spacing w:val="-2"/>
                <w:sz w:val="21"/>
                <w:szCs w:val="21"/>
              </w:rPr>
              <w:t>3</w:t>
            </w:r>
            <w:r>
              <w:rPr>
                <w:rFonts w:ascii="宋体" w:hAnsi="宋体" w:cs="宋体" w:eastAsia="宋体" w:hint="default"/>
                <w:spacing w:val="-2"/>
                <w:sz w:val="21"/>
                <w:szCs w:val="21"/>
              </w:rPr>
              <w:t>、公司承诺并保证将接受本承诺的内容作为公司新选任董事、高级管理人员</w:t>
            </w:r>
          </w:p>
          <w:p>
            <w:pPr>
              <w:pStyle w:val="TableParagraph"/>
              <w:spacing w:line="272" w:lineRule="exact" w:before="1"/>
              <w:ind w:left="103" w:right="99"/>
              <w:jc w:val="left"/>
              <w:rPr>
                <w:rFonts w:ascii="宋体" w:hAnsi="宋体" w:cs="宋体" w:eastAsia="宋体" w:hint="default"/>
                <w:sz w:val="21"/>
                <w:szCs w:val="21"/>
              </w:rPr>
            </w:pPr>
            <w:r>
              <w:rPr>
                <w:rFonts w:ascii="宋体" w:hAnsi="宋体" w:cs="宋体" w:eastAsia="宋体" w:hint="default"/>
                <w:spacing w:val="-6"/>
                <w:sz w:val="21"/>
                <w:szCs w:val="21"/>
              </w:rPr>
              <w:t>的标准之一，要求公司上市后三年内新选任的董事、高级管理人员应履行《稳</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定股价预案》规定的公司上市时董事、高级管理人员义务。</w:t>
            </w:r>
          </w:p>
          <w:p>
            <w:pPr>
              <w:pStyle w:val="TableParagraph"/>
              <w:spacing w:line="272" w:lineRule="exact" w:before="1"/>
              <w:ind w:left="103" w:right="180"/>
              <w:jc w:val="left"/>
              <w:rPr>
                <w:rFonts w:ascii="宋体" w:hAnsi="宋体" w:cs="宋体" w:eastAsia="宋体" w:hint="default"/>
                <w:sz w:val="21"/>
                <w:szCs w:val="21"/>
              </w:rPr>
            </w:pPr>
            <w:r>
              <w:rPr>
                <w:rFonts w:ascii="宋体" w:hAnsi="宋体" w:cs="宋体" w:eastAsia="宋体" w:hint="default"/>
                <w:spacing w:val="-2"/>
                <w:sz w:val="21"/>
                <w:szCs w:val="21"/>
              </w:rPr>
              <w:t>上述承诺为本公司的真实意思表示，本公司自愿接受证券监管部门、自律组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织及社会公众的监督，若违反上述承诺本公司将依法承担相应责任。</w:t>
            </w:r>
          </w:p>
          <w:p>
            <w:pPr>
              <w:pStyle w:val="TableParagraph"/>
              <w:spacing w:line="272" w:lineRule="exact" w:before="1"/>
              <w:ind w:left="103" w:right="-5"/>
              <w:jc w:val="left"/>
              <w:rPr>
                <w:rFonts w:ascii="宋体" w:hAnsi="宋体" w:cs="宋体" w:eastAsia="宋体" w:hint="default"/>
                <w:sz w:val="21"/>
                <w:szCs w:val="21"/>
              </w:rPr>
            </w:pPr>
            <w:r>
              <w:rPr>
                <w:rFonts w:ascii="宋体" w:hAnsi="宋体" w:cs="宋体" w:eastAsia="宋体" w:hint="default"/>
                <w:sz w:val="21"/>
                <w:szCs w:val="21"/>
              </w:rPr>
              <w:t>公司董事、高级管理人员承诺：</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、自公司上市之日起三年内，公司股票如出现连续</w:t>
            </w:r>
            <w:r>
              <w:rPr>
                <w:rFonts w:ascii="宋体" w:hAnsi="宋体" w:cs="宋体" w:eastAsia="宋体" w:hint="default"/>
                <w:spacing w:val="-58"/>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个交易日的收盘价低</w:t>
            </w:r>
          </w:p>
          <w:p>
            <w:pPr>
              <w:pStyle w:val="TableParagraph"/>
              <w:spacing w:line="272" w:lineRule="exact" w:before="1"/>
              <w:ind w:left="103" w:right="-5"/>
              <w:jc w:val="left"/>
              <w:rPr>
                <w:rFonts w:ascii="宋体" w:hAnsi="宋体" w:cs="宋体" w:eastAsia="宋体" w:hint="default"/>
                <w:sz w:val="21"/>
                <w:szCs w:val="21"/>
              </w:rPr>
            </w:pPr>
            <w:r>
              <w:rPr>
                <w:rFonts w:ascii="宋体" w:hAnsi="宋体" w:cs="宋体" w:eastAsia="宋体" w:hint="default"/>
                <w:spacing w:val="-2"/>
                <w:sz w:val="21"/>
                <w:szCs w:val="21"/>
              </w:rPr>
              <w:t>于公司最近一期经审计的每股净资产（最近一期审计基准日后，因利润分配、</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资本公积金转增股本、增发、配股等情况导致公司净资产或股份总数出现变</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化的，每股净资产相应进行调整），且非因不可抗力因素所致，本人将根据</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《稳定股价预案》的要求，积极采取包括但不限于增持公司股票的方式稳定</w:t>
            </w:r>
            <w:r>
              <w:rPr>
                <w:rFonts w:ascii="宋体" w:hAnsi="宋体" w:cs="宋体" w:eastAsia="宋体" w:hint="default"/>
                <w:w w:val="100"/>
                <w:sz w:val="21"/>
                <w:szCs w:val="21"/>
              </w:rPr>
              <w:t> </w:t>
            </w:r>
            <w:r>
              <w:rPr>
                <w:rFonts w:ascii="宋体" w:hAnsi="宋体" w:cs="宋体" w:eastAsia="宋体" w:hint="default"/>
                <w:sz w:val="21"/>
                <w:szCs w:val="21"/>
              </w:rPr>
              <w:t>公司股价。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2</w:t>
            </w:r>
            <w:r>
              <w:rPr>
                <w:rFonts w:ascii="宋体" w:hAnsi="宋体" w:cs="宋体" w:eastAsia="宋体" w:hint="default"/>
                <w:spacing w:val="-2"/>
                <w:sz w:val="21"/>
                <w:szCs w:val="21"/>
              </w:rPr>
              <w:t>、如发行人拟采取回购公司股份的方式稳定公司股价，本人承诺就该等回购</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事宜在董事会上投赞成票；如本人届时同时持有公司股票，本人承诺就该等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28</w:t>
            </w:r>
            <w:r>
              <w:rPr>
                <w:rFonts w:ascii="宋体" w:hAnsi="宋体" w:cs="宋体" w:eastAsia="宋体" w:hint="default"/>
                <w:spacing w:val="-65"/>
                <w:sz w:val="21"/>
                <w:szCs w:val="21"/>
              </w:rPr>
              <w:t> </w:t>
            </w:r>
            <w:r>
              <w:rPr>
                <w:rFonts w:ascii="宋体" w:hAnsi="宋体" w:cs="宋体" w:eastAsia="宋体" w:hint="default"/>
                <w:spacing w:val="-3"/>
                <w:sz w:val="21"/>
                <w:szCs w:val="21"/>
              </w:rPr>
              <w:t>日至</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60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852"/>
        <w:gridCol w:w="713"/>
        <w:gridCol w:w="1553"/>
        <w:gridCol w:w="7232"/>
        <w:gridCol w:w="1133"/>
        <w:gridCol w:w="852"/>
        <w:gridCol w:w="859"/>
        <w:gridCol w:w="1131"/>
        <w:gridCol w:w="986"/>
      </w:tblGrid>
      <w:tr>
        <w:trPr>
          <w:trHeight w:val="2189" w:hRule="exact"/>
        </w:trPr>
        <w:tc>
          <w:tcPr>
            <w:tcW w:w="852" w:type="dxa"/>
            <w:vMerge w:val="restart"/>
            <w:tcBorders>
              <w:top w:val="single" w:sz="4" w:space="0" w:color="000000"/>
              <w:left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回购事宜在股东大会上投赞成票。</w:t>
            </w:r>
          </w:p>
          <w:p>
            <w:pPr>
              <w:pStyle w:val="TableParagraph"/>
              <w:spacing w:line="237" w:lineRule="auto"/>
              <w:ind w:left="103" w:right="77"/>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、如本人因主观原因未按《稳定股价预案》书面告知董事会具体增持计划，</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或已书面告知但未按《稳定股价预案》及届时公告的增持计划等公开披露文</w:t>
            </w:r>
            <w:r>
              <w:rPr>
                <w:rFonts w:ascii="宋体" w:hAnsi="宋体" w:cs="宋体" w:eastAsia="宋体" w:hint="default"/>
                <w:w w:val="100"/>
                <w:sz w:val="21"/>
                <w:szCs w:val="21"/>
              </w:rPr>
              <w:t> </w:t>
            </w:r>
            <w:r>
              <w:rPr>
                <w:rFonts w:ascii="宋体" w:hAnsi="宋体" w:cs="宋体" w:eastAsia="宋体" w:hint="default"/>
                <w:sz w:val="21"/>
                <w:szCs w:val="21"/>
              </w:rPr>
              <w:t>件实施稳定股价措施，且在发行人责令本人在限期内履行增持股票义务后仍</w:t>
            </w:r>
            <w:r>
              <w:rPr>
                <w:rFonts w:ascii="宋体" w:hAnsi="宋体" w:cs="宋体" w:eastAsia="宋体" w:hint="default"/>
                <w:w w:val="100"/>
                <w:sz w:val="21"/>
                <w:szCs w:val="21"/>
              </w:rPr>
              <w:t> </w:t>
            </w:r>
            <w:r>
              <w:rPr>
                <w:rFonts w:ascii="宋体" w:hAnsi="宋体" w:cs="宋体" w:eastAsia="宋体" w:hint="default"/>
                <w:sz w:val="21"/>
                <w:szCs w:val="21"/>
              </w:rPr>
              <w:t>不履行的，公司有权扣留其应向本人支付的扣除当地最低工资水平后的全年</w:t>
            </w:r>
            <w:r>
              <w:rPr>
                <w:rFonts w:ascii="宋体" w:hAnsi="宋体" w:cs="宋体" w:eastAsia="宋体" w:hint="default"/>
                <w:w w:val="100"/>
                <w:sz w:val="21"/>
                <w:szCs w:val="21"/>
              </w:rPr>
              <w:t> </w:t>
            </w:r>
            <w:r>
              <w:rPr>
                <w:rFonts w:ascii="宋体" w:hAnsi="宋体" w:cs="宋体" w:eastAsia="宋体" w:hint="default"/>
                <w:sz w:val="21"/>
                <w:szCs w:val="21"/>
              </w:rPr>
              <w:t>报酬。</w:t>
            </w:r>
            <w:r>
              <w:rPr>
                <w:rFonts w:ascii="宋体" w:hAnsi="宋体" w:cs="宋体" w:eastAsia="宋体" w:hint="default"/>
                <w:spacing w:val="-102"/>
                <w:sz w:val="21"/>
                <w:szCs w:val="21"/>
              </w:rPr>
              <w:t> </w:t>
            </w:r>
            <w:r>
              <w:rPr>
                <w:rFonts w:ascii="宋体" w:hAnsi="宋体" w:cs="宋体" w:eastAsia="宋体" w:hint="default"/>
                <w:sz w:val="21"/>
                <w:szCs w:val="21"/>
              </w:rPr>
              <w:t>上述承诺为本人的真实意思表示，本人自愿接受证券监管部门、自律组织及</w:t>
            </w:r>
            <w:r>
              <w:rPr>
                <w:rFonts w:ascii="宋体" w:hAnsi="宋体" w:cs="宋体" w:eastAsia="宋体" w:hint="default"/>
                <w:w w:val="100"/>
                <w:sz w:val="21"/>
                <w:szCs w:val="21"/>
              </w:rPr>
              <w:t> </w:t>
            </w:r>
            <w:r>
              <w:rPr>
                <w:rFonts w:ascii="宋体" w:hAnsi="宋体" w:cs="宋体" w:eastAsia="宋体" w:hint="default"/>
                <w:sz w:val="21"/>
                <w:szCs w:val="21"/>
              </w:rPr>
              <w:t>社会公众的监督，若违反上述承诺本人将依法承担相应责任。</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852" w:type="dxa"/>
            <w:vMerge/>
            <w:tcBorders>
              <w:left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3"/>
              <w:ind w:left="103" w:right="84"/>
              <w:jc w:val="left"/>
              <w:rPr>
                <w:rFonts w:ascii="宋体" w:hAnsi="宋体" w:cs="宋体" w:eastAsia="宋体" w:hint="default"/>
                <w:sz w:val="21"/>
                <w:szCs w:val="21"/>
              </w:rPr>
            </w:pPr>
            <w:r>
              <w:rPr>
                <w:rFonts w:ascii="宋体" w:hAnsi="宋体" w:cs="宋体" w:eastAsia="宋体" w:hint="default"/>
                <w:spacing w:val="13"/>
                <w:sz w:val="21"/>
                <w:szCs w:val="21"/>
              </w:rPr>
              <w:t>公司董事、高</w:t>
            </w:r>
            <w:r>
              <w:rPr>
                <w:rFonts w:ascii="宋体" w:hAnsi="宋体" w:cs="宋体" w:eastAsia="宋体" w:hint="default"/>
                <w:spacing w:val="-92"/>
                <w:sz w:val="21"/>
                <w:szCs w:val="21"/>
              </w:rPr>
              <w:t> </w:t>
            </w:r>
            <w:r>
              <w:rPr>
                <w:rFonts w:ascii="宋体" w:hAnsi="宋体" w:cs="宋体" w:eastAsia="宋体" w:hint="default"/>
                <w:sz w:val="21"/>
                <w:szCs w:val="21"/>
              </w:rPr>
              <w:t>级管理人员</w:t>
            </w: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填补被摊薄即期回报措施的承诺新华网全体董事、高级管理人员承诺：</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、本人承诺将不无偿或以不公平条件向其他单位或者个人输送利益，也不采</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用其他方式损害公司利益；</w:t>
            </w:r>
            <w:r>
              <w:rPr>
                <w:rFonts w:ascii="宋体" w:hAnsi="宋体" w:cs="宋体" w:eastAsia="宋体" w:hint="default"/>
                <w:w w:val="100"/>
                <w:sz w:val="21"/>
                <w:szCs w:val="21"/>
              </w:rPr>
              <w:t> </w:t>
            </w:r>
            <w:r>
              <w:rPr>
                <w:rFonts w:ascii="宋体" w:hAnsi="宋体" w:cs="宋体" w:eastAsia="宋体" w:hint="default"/>
                <w:spacing w:val="-2"/>
                <w:sz w:val="21"/>
                <w:szCs w:val="21"/>
              </w:rPr>
              <w:t>2</w:t>
            </w:r>
            <w:r>
              <w:rPr>
                <w:rFonts w:ascii="宋体" w:hAnsi="宋体" w:cs="宋体" w:eastAsia="宋体" w:hint="default"/>
                <w:spacing w:val="-2"/>
                <w:sz w:val="21"/>
                <w:szCs w:val="21"/>
              </w:rPr>
              <w:t>、本人将严格自律并积极使公司采取实际有效措施，对公司董事和高级管理</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人员的职务消费行为进行约束；</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、本人将不动用公司资产从事与本人履行职责无关的投资、消费活动；</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、本人将积极促使由公司董事会或薪酬委员会制定、修改的薪酬制度与上述</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公司填补回报措施的执行情况相挂钩；</w:t>
            </w:r>
            <w:r>
              <w:rPr>
                <w:rFonts w:ascii="宋体" w:hAnsi="宋体" w:cs="宋体" w:eastAsia="宋体" w:hint="default"/>
                <w:w w:val="100"/>
                <w:sz w:val="21"/>
                <w:szCs w:val="21"/>
              </w:rPr>
              <w:t> </w:t>
            </w:r>
            <w:r>
              <w:rPr>
                <w:rFonts w:ascii="宋体" w:hAnsi="宋体" w:cs="宋体" w:eastAsia="宋体" w:hint="default"/>
                <w:spacing w:val="-2"/>
                <w:sz w:val="21"/>
                <w:szCs w:val="21"/>
              </w:rPr>
              <w:t>5</w:t>
            </w:r>
            <w:r>
              <w:rPr>
                <w:rFonts w:ascii="宋体" w:hAnsi="宋体" w:cs="宋体" w:eastAsia="宋体" w:hint="default"/>
                <w:spacing w:val="-2"/>
                <w:sz w:val="21"/>
                <w:szCs w:val="21"/>
              </w:rPr>
              <w:t>、本人将积极促使公司未来制定、修改的股权激励的行权条件与上述公司填</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补回报措施的执行情况相挂钩。</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852" w:type="dxa"/>
            <w:vMerge/>
            <w:tcBorders>
              <w:left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3" w:right="84"/>
              <w:jc w:val="left"/>
              <w:rPr>
                <w:rFonts w:ascii="宋体" w:hAnsi="宋体" w:cs="宋体" w:eastAsia="宋体" w:hint="default"/>
                <w:sz w:val="21"/>
                <w:szCs w:val="21"/>
              </w:rPr>
            </w:pPr>
            <w:r>
              <w:rPr>
                <w:rFonts w:ascii="宋体" w:hAnsi="宋体" w:cs="宋体" w:eastAsia="宋体" w:hint="default"/>
                <w:spacing w:val="13"/>
                <w:sz w:val="21"/>
                <w:szCs w:val="21"/>
              </w:rPr>
              <w:t>中国国际金融</w:t>
            </w:r>
            <w:r>
              <w:rPr>
                <w:rFonts w:ascii="宋体" w:hAnsi="宋体" w:cs="宋体" w:eastAsia="宋体" w:hint="default"/>
                <w:spacing w:val="-92"/>
                <w:sz w:val="21"/>
                <w:szCs w:val="21"/>
              </w:rPr>
              <w:t> </w:t>
            </w:r>
            <w:r>
              <w:rPr>
                <w:rFonts w:ascii="宋体" w:hAnsi="宋体" w:cs="宋体" w:eastAsia="宋体" w:hint="default"/>
                <w:sz w:val="21"/>
                <w:szCs w:val="21"/>
              </w:rPr>
              <w:t>股份有限公司</w:t>
            </w: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保荐机构中国国际金融股份有限公司承诺：</w:t>
            </w:r>
          </w:p>
          <w:p>
            <w:pPr>
              <w:pStyle w:val="TableParagraph"/>
              <w:spacing w:line="237" w:lineRule="auto"/>
              <w:ind w:left="103" w:right="180"/>
              <w:jc w:val="both"/>
              <w:rPr>
                <w:rFonts w:ascii="宋体" w:hAnsi="宋体" w:cs="宋体" w:eastAsia="宋体" w:hint="default"/>
                <w:sz w:val="21"/>
                <w:szCs w:val="21"/>
              </w:rPr>
            </w:pPr>
            <w:r>
              <w:rPr>
                <w:rFonts w:ascii="宋体" w:hAnsi="宋体" w:cs="宋体" w:eastAsia="宋体" w:hint="default"/>
                <w:spacing w:val="-2"/>
                <w:sz w:val="21"/>
                <w:szCs w:val="21"/>
              </w:rPr>
              <w:t>如因本公司未能依照适用的法律法规、规范性文件及行业准则的要求勤勉尽</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责地履行法定职责而导致本公司为发行人首次公开发行制作、出具的文件有</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虚假记载、误导性陈述或者重大遗漏，给投资者造成实际损失的，本公司将</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按照有管辖权的人民法院依照法律程序作出的有效司法裁决，依法赔偿投资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者损失。如果由于本机构为发行人首次公开发行股票制作、出具的文件有虚</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假记载、误导性陈述或者重大遗漏，给投资者造成损失的，本机构将先行赔</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偿投资者损失。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852" w:type="dxa"/>
            <w:vMerge/>
            <w:tcBorders>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3" w:right="84"/>
              <w:jc w:val="left"/>
              <w:rPr>
                <w:rFonts w:ascii="宋体" w:hAnsi="宋体" w:cs="宋体" w:eastAsia="宋体" w:hint="default"/>
                <w:sz w:val="21"/>
                <w:szCs w:val="21"/>
              </w:rPr>
            </w:pPr>
            <w:r>
              <w:rPr>
                <w:rFonts w:ascii="宋体" w:hAnsi="宋体" w:cs="宋体" w:eastAsia="宋体" w:hint="default"/>
                <w:spacing w:val="13"/>
                <w:sz w:val="21"/>
                <w:szCs w:val="21"/>
              </w:rPr>
              <w:t>北京市金杜律</w:t>
            </w:r>
            <w:r>
              <w:rPr>
                <w:rFonts w:ascii="宋体" w:hAnsi="宋体" w:cs="宋体" w:eastAsia="宋体" w:hint="default"/>
                <w:spacing w:val="-92"/>
                <w:sz w:val="21"/>
                <w:szCs w:val="21"/>
              </w:rPr>
              <w:t> </w:t>
            </w:r>
            <w:r>
              <w:rPr>
                <w:rFonts w:ascii="宋体" w:hAnsi="宋体" w:cs="宋体" w:eastAsia="宋体" w:hint="default"/>
                <w:sz w:val="21"/>
                <w:szCs w:val="21"/>
              </w:rPr>
              <w:t>师事务所</w:t>
            </w: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发行人律师北京市金杜律师事务所承诺：</w:t>
            </w:r>
          </w:p>
          <w:p>
            <w:pPr>
              <w:pStyle w:val="TableParagraph"/>
              <w:spacing w:line="237" w:lineRule="auto"/>
              <w:ind w:left="103" w:right="-3"/>
              <w:jc w:val="left"/>
              <w:rPr>
                <w:rFonts w:ascii="宋体" w:hAnsi="宋体" w:cs="宋体" w:eastAsia="宋体" w:hint="default"/>
                <w:sz w:val="21"/>
                <w:szCs w:val="21"/>
              </w:rPr>
            </w:pPr>
            <w:r>
              <w:rPr>
                <w:rFonts w:ascii="宋体" w:hAnsi="宋体" w:cs="宋体" w:eastAsia="宋体" w:hint="default"/>
                <w:sz w:val="21"/>
                <w:szCs w:val="21"/>
              </w:rPr>
              <w:t>如因本所未能依照适用的法律法规、规范性文件及行业准则的要求勤勉尽责</w:t>
            </w:r>
            <w:r>
              <w:rPr>
                <w:rFonts w:ascii="宋体" w:hAnsi="宋体" w:cs="宋体" w:eastAsia="宋体" w:hint="default"/>
                <w:w w:val="100"/>
                <w:sz w:val="21"/>
                <w:szCs w:val="21"/>
              </w:rPr>
              <w:t> </w:t>
            </w:r>
            <w:r>
              <w:rPr>
                <w:rFonts w:ascii="宋体" w:hAnsi="宋体" w:cs="宋体" w:eastAsia="宋体" w:hint="default"/>
                <w:sz w:val="21"/>
                <w:szCs w:val="21"/>
              </w:rPr>
              <w:t>地履行法定职责而导致本所为发行人首次公开发行制作、出具的文件有虚假</w:t>
            </w:r>
            <w:r>
              <w:rPr>
                <w:rFonts w:ascii="宋体" w:hAnsi="宋体" w:cs="宋体" w:eastAsia="宋体" w:hint="default"/>
                <w:w w:val="100"/>
                <w:sz w:val="21"/>
                <w:szCs w:val="21"/>
              </w:rPr>
              <w:t> </w:t>
            </w:r>
            <w:r>
              <w:rPr>
                <w:rFonts w:ascii="宋体" w:hAnsi="宋体" w:cs="宋体" w:eastAsia="宋体" w:hint="default"/>
                <w:sz w:val="21"/>
                <w:szCs w:val="21"/>
              </w:rPr>
              <w:t>记载、误导性陈述或者重大遗漏，给投资者造成实际损失的，本所将按照有</w:t>
            </w:r>
            <w:r>
              <w:rPr>
                <w:rFonts w:ascii="宋体" w:hAnsi="宋体" w:cs="宋体" w:eastAsia="宋体" w:hint="default"/>
                <w:w w:val="100"/>
                <w:sz w:val="21"/>
                <w:szCs w:val="21"/>
              </w:rPr>
              <w:t> </w:t>
            </w:r>
            <w:r>
              <w:rPr>
                <w:rFonts w:ascii="宋体" w:hAnsi="宋体" w:cs="宋体" w:eastAsia="宋体" w:hint="default"/>
                <w:spacing w:val="-3"/>
                <w:sz w:val="21"/>
                <w:szCs w:val="21"/>
              </w:rPr>
              <w:t>管辖权的人民法院依照法律程序作出的有效司法裁决，依法赔偿投资者损失。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60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852"/>
        <w:gridCol w:w="713"/>
        <w:gridCol w:w="1553"/>
        <w:gridCol w:w="7232"/>
        <w:gridCol w:w="1133"/>
        <w:gridCol w:w="852"/>
        <w:gridCol w:w="859"/>
        <w:gridCol w:w="1131"/>
        <w:gridCol w:w="986"/>
      </w:tblGrid>
      <w:tr>
        <w:trPr>
          <w:trHeight w:val="4369"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4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9"/>
              <w:ind w:left="103" w:right="84"/>
              <w:jc w:val="both"/>
              <w:rPr>
                <w:rFonts w:ascii="宋体" w:hAnsi="宋体" w:cs="宋体" w:eastAsia="宋体" w:hint="default"/>
                <w:sz w:val="21"/>
                <w:szCs w:val="21"/>
              </w:rPr>
            </w:pPr>
            <w:r>
              <w:rPr>
                <w:rFonts w:ascii="宋体" w:hAnsi="宋体" w:cs="宋体" w:eastAsia="宋体" w:hint="default"/>
                <w:spacing w:val="13"/>
                <w:sz w:val="21"/>
                <w:szCs w:val="21"/>
              </w:rPr>
              <w:t>瑞华会计师事</w:t>
            </w:r>
            <w:r>
              <w:rPr>
                <w:rFonts w:ascii="宋体" w:hAnsi="宋体" w:cs="宋体" w:eastAsia="宋体" w:hint="default"/>
                <w:spacing w:val="-92"/>
                <w:sz w:val="21"/>
                <w:szCs w:val="21"/>
              </w:rPr>
              <w:t> </w:t>
            </w:r>
            <w:r>
              <w:rPr>
                <w:rFonts w:ascii="宋体" w:hAnsi="宋体" w:cs="宋体" w:eastAsia="宋体" w:hint="default"/>
                <w:spacing w:val="13"/>
                <w:sz w:val="21"/>
                <w:szCs w:val="21"/>
              </w:rPr>
              <w:t>务所（特殊普</w:t>
            </w:r>
            <w:r>
              <w:rPr>
                <w:rFonts w:ascii="宋体" w:hAnsi="宋体" w:cs="宋体" w:eastAsia="宋体" w:hint="default"/>
                <w:spacing w:val="-92"/>
                <w:sz w:val="21"/>
                <w:szCs w:val="21"/>
              </w:rPr>
              <w:t> </w:t>
            </w:r>
            <w:r>
              <w:rPr>
                <w:rFonts w:ascii="宋体" w:hAnsi="宋体" w:cs="宋体" w:eastAsia="宋体" w:hint="default"/>
                <w:sz w:val="21"/>
                <w:szCs w:val="21"/>
              </w:rPr>
              <w:t>通合伙）</w:t>
            </w:r>
          </w:p>
        </w:tc>
        <w:tc>
          <w:tcPr>
            <w:tcW w:w="72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会计师事务所瑞华会计师事务所（特殊普通合伙）承诺：</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“我们接受委托，为新华网股份有限公司首次公开发行股份出具了财务报表</w:t>
            </w:r>
            <w:r>
              <w:rPr>
                <w:rFonts w:ascii="宋体" w:hAnsi="宋体" w:cs="宋体" w:eastAsia="宋体" w:hint="default"/>
                <w:w w:val="100"/>
                <w:sz w:val="21"/>
                <w:szCs w:val="21"/>
              </w:rPr>
              <w:t> </w:t>
            </w:r>
            <w:r>
              <w:rPr>
                <w:rFonts w:ascii="宋体" w:hAnsi="宋体" w:cs="宋体" w:eastAsia="宋体" w:hint="default"/>
                <w:spacing w:val="-4"/>
                <w:sz w:val="21"/>
                <w:szCs w:val="21"/>
              </w:rPr>
              <w:t>审计报告（报告编号：瑞华审字</w:t>
            </w:r>
            <w:r>
              <w:rPr>
                <w:rFonts w:ascii="宋体" w:hAnsi="宋体" w:cs="宋体" w:eastAsia="宋体" w:hint="default"/>
                <w:spacing w:val="-4"/>
                <w:sz w:val="21"/>
                <w:szCs w:val="21"/>
              </w:rPr>
              <w:t>[2016]01520065 </w:t>
            </w:r>
            <w:r>
              <w:rPr>
                <w:rFonts w:ascii="宋体" w:hAnsi="宋体" w:cs="宋体" w:eastAsia="宋体" w:hint="default"/>
                <w:spacing w:val="-10"/>
                <w:sz w:val="21"/>
                <w:szCs w:val="21"/>
              </w:rPr>
              <w:t>号）、内部控制鉴证报告（报</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告编号：瑞华核字</w:t>
            </w:r>
            <w:r>
              <w:rPr>
                <w:rFonts w:ascii="宋体" w:hAnsi="宋体" w:cs="宋体" w:eastAsia="宋体" w:hint="default"/>
                <w:sz w:val="21"/>
                <w:szCs w:val="21"/>
              </w:rPr>
              <w:t>[2016]01520027</w:t>
            </w:r>
            <w:r>
              <w:rPr>
                <w:rFonts w:ascii="宋体" w:hAnsi="宋体" w:cs="宋体" w:eastAsia="宋体" w:hint="default"/>
                <w:spacing w:val="-56"/>
                <w:sz w:val="21"/>
                <w:szCs w:val="21"/>
              </w:rPr>
              <w:t> </w:t>
            </w:r>
            <w:r>
              <w:rPr>
                <w:rFonts w:ascii="宋体" w:hAnsi="宋体" w:cs="宋体" w:eastAsia="宋体" w:hint="default"/>
                <w:sz w:val="21"/>
                <w:szCs w:val="21"/>
              </w:rPr>
              <w:t>号）、非经常性损益的专项审核报告（报</w:t>
            </w:r>
            <w:r>
              <w:rPr>
                <w:rFonts w:ascii="宋体" w:hAnsi="宋体" w:cs="宋体" w:eastAsia="宋体" w:hint="default"/>
                <w:w w:val="100"/>
                <w:sz w:val="21"/>
                <w:szCs w:val="21"/>
              </w:rPr>
              <w:t> </w:t>
            </w:r>
            <w:r>
              <w:rPr>
                <w:rFonts w:ascii="宋体" w:hAnsi="宋体" w:cs="宋体" w:eastAsia="宋体" w:hint="default"/>
                <w:spacing w:val="-1"/>
                <w:sz w:val="21"/>
                <w:szCs w:val="21"/>
              </w:rPr>
              <w:t>告编号：瑞华核字</w:t>
            </w:r>
            <w:r>
              <w:rPr>
                <w:rFonts w:ascii="宋体" w:hAnsi="宋体" w:cs="宋体" w:eastAsia="宋体" w:hint="default"/>
                <w:spacing w:val="-1"/>
                <w:sz w:val="21"/>
                <w:szCs w:val="21"/>
              </w:rPr>
              <w:t>[2016]01520024 </w:t>
            </w:r>
            <w:r>
              <w:rPr>
                <w:rFonts w:ascii="宋体" w:hAnsi="宋体" w:cs="宋体" w:eastAsia="宋体" w:hint="default"/>
                <w:spacing w:val="-2"/>
                <w:sz w:val="21"/>
                <w:szCs w:val="21"/>
              </w:rPr>
              <w:t>号）、主要税种纳税情况的专项审核报告</w:t>
            </w:r>
          </w:p>
          <w:p>
            <w:pPr>
              <w:pStyle w:val="TableParagraph"/>
              <w:spacing w:line="237" w:lineRule="auto"/>
              <w:ind w:left="103" w:right="26"/>
              <w:jc w:val="left"/>
              <w:rPr>
                <w:rFonts w:ascii="宋体" w:hAnsi="宋体" w:cs="宋体" w:eastAsia="宋体" w:hint="default"/>
                <w:sz w:val="21"/>
                <w:szCs w:val="21"/>
              </w:rPr>
            </w:pPr>
            <w:r>
              <w:rPr>
                <w:rFonts w:ascii="宋体" w:hAnsi="宋体" w:cs="宋体" w:eastAsia="宋体" w:hint="default"/>
                <w:sz w:val="21"/>
                <w:szCs w:val="21"/>
              </w:rPr>
              <w:t>（瑞华核字</w:t>
            </w:r>
            <w:r>
              <w:rPr>
                <w:rFonts w:ascii="宋体" w:hAnsi="宋体" w:cs="宋体" w:eastAsia="宋体" w:hint="default"/>
                <w:sz w:val="21"/>
                <w:szCs w:val="21"/>
              </w:rPr>
              <w:t>[2016]01520026</w:t>
            </w:r>
            <w:r>
              <w:rPr>
                <w:rFonts w:ascii="宋体" w:hAnsi="宋体" w:cs="宋体" w:eastAsia="宋体" w:hint="default"/>
                <w:spacing w:val="-55"/>
                <w:sz w:val="21"/>
                <w:szCs w:val="21"/>
              </w:rPr>
              <w:t> </w:t>
            </w:r>
            <w:r>
              <w:rPr>
                <w:rFonts w:ascii="宋体" w:hAnsi="宋体" w:cs="宋体" w:eastAsia="宋体" w:hint="default"/>
                <w:sz w:val="21"/>
                <w:szCs w:val="21"/>
              </w:rPr>
              <w:t>号）及原始财务报表与申报财务报表差异情况的</w:t>
            </w:r>
            <w:r>
              <w:rPr>
                <w:rFonts w:ascii="宋体" w:hAnsi="宋体" w:cs="宋体" w:eastAsia="宋体" w:hint="default"/>
                <w:w w:val="100"/>
                <w:sz w:val="21"/>
                <w:szCs w:val="21"/>
              </w:rPr>
              <w:t> </w:t>
            </w:r>
            <w:r>
              <w:rPr>
                <w:rFonts w:ascii="宋体" w:hAnsi="宋体" w:cs="宋体" w:eastAsia="宋体" w:hint="default"/>
                <w:sz w:val="21"/>
                <w:szCs w:val="21"/>
              </w:rPr>
              <w:t>专项审核报告（瑞华核字</w:t>
            </w:r>
            <w:r>
              <w:rPr>
                <w:rFonts w:ascii="宋体" w:hAnsi="宋体" w:cs="宋体" w:eastAsia="宋体" w:hint="default"/>
                <w:sz w:val="21"/>
                <w:szCs w:val="21"/>
              </w:rPr>
              <w:t>[2016]01520025</w:t>
            </w:r>
            <w:r>
              <w:rPr>
                <w:rFonts w:ascii="宋体" w:hAnsi="宋体" w:cs="宋体" w:eastAsia="宋体" w:hint="default"/>
                <w:spacing w:val="-56"/>
                <w:sz w:val="21"/>
                <w:szCs w:val="21"/>
              </w:rPr>
              <w:t> </w:t>
            </w:r>
            <w:r>
              <w:rPr>
                <w:rFonts w:ascii="宋体" w:hAnsi="宋体" w:cs="宋体" w:eastAsia="宋体" w:hint="default"/>
                <w:sz w:val="21"/>
                <w:szCs w:val="21"/>
              </w:rPr>
              <w:t>号）。根据中国证券监督管理委员</w:t>
            </w:r>
            <w:r>
              <w:rPr>
                <w:rFonts w:ascii="宋体" w:hAnsi="宋体" w:cs="宋体" w:eastAsia="宋体" w:hint="default"/>
                <w:w w:val="100"/>
                <w:sz w:val="21"/>
                <w:szCs w:val="21"/>
              </w:rPr>
              <w:t> </w:t>
            </w:r>
            <w:r>
              <w:rPr>
                <w:rFonts w:ascii="宋体" w:hAnsi="宋体" w:cs="宋体" w:eastAsia="宋体" w:hint="default"/>
                <w:sz w:val="21"/>
                <w:szCs w:val="21"/>
              </w:rPr>
              <w:t>会《中国证监会关于进一步推进新股发行体制改革的意见》（证监会公告</w:t>
            </w:r>
            <w:r>
              <w:rPr>
                <w:rFonts w:ascii="宋体" w:hAnsi="宋体" w:cs="宋体" w:eastAsia="宋体" w:hint="default"/>
                <w:w w:val="100"/>
                <w:sz w:val="21"/>
                <w:szCs w:val="21"/>
              </w:rPr>
              <w:t> </w:t>
            </w:r>
            <w:r>
              <w:rPr>
                <w:rFonts w:ascii="宋体" w:hAnsi="宋体" w:cs="宋体" w:eastAsia="宋体" w:hint="default"/>
                <w:sz w:val="21"/>
                <w:szCs w:val="21"/>
              </w:rPr>
              <w:t>[2013]42</w:t>
            </w:r>
            <w:r>
              <w:rPr>
                <w:rFonts w:ascii="宋体" w:hAnsi="宋体" w:cs="宋体" w:eastAsia="宋体" w:hint="default"/>
                <w:spacing w:val="-56"/>
                <w:sz w:val="21"/>
                <w:szCs w:val="21"/>
              </w:rPr>
              <w:t> </w:t>
            </w:r>
            <w:r>
              <w:rPr>
                <w:rFonts w:ascii="宋体" w:hAnsi="宋体" w:cs="宋体" w:eastAsia="宋体" w:hint="default"/>
                <w:sz w:val="21"/>
                <w:szCs w:val="21"/>
              </w:rPr>
              <w:t>号）及中国证券监督管理委员会《公开发行证券的公司信息披露编</w:t>
            </w:r>
            <w:r>
              <w:rPr>
                <w:rFonts w:ascii="宋体" w:hAnsi="宋体" w:cs="宋体" w:eastAsia="宋体" w:hint="default"/>
                <w:w w:val="100"/>
                <w:sz w:val="21"/>
                <w:szCs w:val="21"/>
              </w:rPr>
              <w:t> </w:t>
            </w:r>
            <w:r>
              <w:rPr>
                <w:rFonts w:ascii="宋体" w:hAnsi="宋体" w:cs="宋体" w:eastAsia="宋体" w:hint="default"/>
                <w:sz w:val="21"/>
                <w:szCs w:val="21"/>
              </w:rPr>
              <w:t>报规则第</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spacing w:val="-55"/>
                <w:sz w:val="21"/>
                <w:szCs w:val="21"/>
              </w:rPr>
              <w:t> </w:t>
            </w:r>
            <w:r>
              <w:rPr>
                <w:rFonts w:ascii="宋体" w:hAnsi="宋体" w:cs="宋体" w:eastAsia="宋体" w:hint="default"/>
                <w:sz w:val="21"/>
                <w:szCs w:val="21"/>
              </w:rPr>
              <w:t>号——财务报告的一般规定（</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年修订）》，我们承诺如下：</w:t>
            </w:r>
            <w:r>
              <w:rPr>
                <w:rFonts w:ascii="宋体" w:hAnsi="宋体" w:cs="宋体" w:eastAsia="宋体" w:hint="default"/>
                <w:w w:val="100"/>
                <w:sz w:val="21"/>
                <w:szCs w:val="21"/>
              </w:rPr>
              <w:t> </w:t>
            </w:r>
            <w:r>
              <w:rPr>
                <w:rFonts w:ascii="宋体" w:hAnsi="宋体" w:cs="宋体" w:eastAsia="宋体" w:hint="default"/>
                <w:sz w:val="21"/>
                <w:szCs w:val="21"/>
              </w:rPr>
              <w:t>“如果因我们出具上述文件的执业行为存在过错，违反了法律法规、中国注</w:t>
            </w:r>
            <w:r>
              <w:rPr>
                <w:rFonts w:ascii="宋体" w:hAnsi="宋体" w:cs="宋体" w:eastAsia="宋体" w:hint="default"/>
                <w:w w:val="100"/>
                <w:sz w:val="21"/>
                <w:szCs w:val="21"/>
              </w:rPr>
              <w:t> </w:t>
            </w:r>
            <w:r>
              <w:rPr>
                <w:rFonts w:ascii="宋体" w:hAnsi="宋体" w:cs="宋体" w:eastAsia="宋体" w:hint="default"/>
                <w:sz w:val="21"/>
                <w:szCs w:val="21"/>
              </w:rPr>
              <w:t>册会计师协会依法拟定并经国务院财政部门批准后施行的执业准则和规则以</w:t>
            </w:r>
            <w:r>
              <w:rPr>
                <w:rFonts w:ascii="宋体" w:hAnsi="宋体" w:cs="宋体" w:eastAsia="宋体" w:hint="default"/>
                <w:w w:val="100"/>
                <w:sz w:val="21"/>
                <w:szCs w:val="21"/>
              </w:rPr>
              <w:t> </w:t>
            </w:r>
            <w:r>
              <w:rPr>
                <w:rFonts w:ascii="宋体" w:hAnsi="宋体" w:cs="宋体" w:eastAsia="宋体" w:hint="default"/>
                <w:sz w:val="21"/>
                <w:szCs w:val="21"/>
              </w:rPr>
              <w:t>及诚信公允的原则，从而导致上述文件中存在虚假记载、误导性陈述或者重</w:t>
            </w:r>
            <w:r>
              <w:rPr>
                <w:rFonts w:ascii="宋体" w:hAnsi="宋体" w:cs="宋体" w:eastAsia="宋体" w:hint="default"/>
                <w:w w:val="100"/>
                <w:sz w:val="21"/>
                <w:szCs w:val="21"/>
              </w:rPr>
              <w:t> </w:t>
            </w:r>
            <w:r>
              <w:rPr>
                <w:rFonts w:ascii="宋体" w:hAnsi="宋体" w:cs="宋体" w:eastAsia="宋体" w:hint="default"/>
                <w:sz w:val="21"/>
                <w:szCs w:val="21"/>
              </w:rPr>
              <w:t>大遗漏，并由此给基于对该等文件的合理信赖而将其用于新华网股份有限公</w:t>
            </w:r>
            <w:r>
              <w:rPr>
                <w:rFonts w:ascii="宋体" w:hAnsi="宋体" w:cs="宋体" w:eastAsia="宋体" w:hint="default"/>
                <w:w w:val="100"/>
                <w:sz w:val="21"/>
                <w:szCs w:val="21"/>
              </w:rPr>
              <w:t> </w:t>
            </w:r>
            <w:r>
              <w:rPr>
                <w:rFonts w:ascii="宋体" w:hAnsi="宋体" w:cs="宋体" w:eastAsia="宋体" w:hint="default"/>
                <w:sz w:val="21"/>
                <w:szCs w:val="21"/>
              </w:rPr>
              <w:t>司股票投资决策的投资者造成损失的，我们将依照相关法律法规的规定对该</w:t>
            </w:r>
            <w:r>
              <w:rPr>
                <w:rFonts w:ascii="宋体" w:hAnsi="宋体" w:cs="宋体" w:eastAsia="宋体" w:hint="default"/>
                <w:w w:val="100"/>
                <w:sz w:val="21"/>
                <w:szCs w:val="21"/>
              </w:rPr>
              <w:t> </w:t>
            </w:r>
            <w:r>
              <w:rPr>
                <w:rFonts w:ascii="宋体" w:hAnsi="宋体" w:cs="宋体" w:eastAsia="宋体" w:hint="default"/>
                <w:sz w:val="21"/>
                <w:szCs w:val="21"/>
              </w:rPr>
              <w:t>等投资者承担相应的法律责任。”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31"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600" w:right="6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pStyle w:val="Heading2"/>
        <w:tabs>
          <w:tab w:pos="784" w:val="left" w:leader="none"/>
        </w:tabs>
        <w:spacing w:line="266" w:lineRule="auto" w:before="0"/>
        <w:ind w:right="910"/>
        <w:jc w:val="left"/>
        <w:rPr>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b w:val="0"/>
          <w:bCs w:val="0"/>
        </w:rPr>
      </w:r>
    </w:p>
    <w:p>
      <w:pPr>
        <w:pStyle w:val="BodyText"/>
        <w:spacing w:line="248" w:lineRule="exact"/>
        <w:ind w:right="3319"/>
        <w:jc w:val="left"/>
      </w:pPr>
      <w:r>
        <w:rPr/>
        <w:t>□已达到 □未达到 √不适用</w:t>
      </w:r>
    </w:p>
    <w:p>
      <w:pPr>
        <w:pStyle w:val="Heading2"/>
        <w:tabs>
          <w:tab w:pos="784" w:val="left" w:leader="none"/>
        </w:tabs>
        <w:spacing w:line="240" w:lineRule="auto" w:before="58"/>
        <w:ind w:right="3319"/>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spacing w:line="290" w:lineRule="auto" w:before="29"/>
        <w:ind w:left="218" w:right="33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三、报告期内资金被占用情况及清欠进展情况</w:t>
      </w:r>
      <w:r>
        <w:rPr>
          <w:rFonts w:ascii="宋体" w:hAnsi="宋体" w:cs="宋体" w:eastAsia="宋体" w:hint="default"/>
          <w:spacing w:val="-1"/>
          <w:sz w:val="21"/>
          <w:szCs w:val="21"/>
        </w:rPr>
      </w:r>
    </w:p>
    <w:p>
      <w:pPr>
        <w:spacing w:line="290" w:lineRule="auto" w:before="12"/>
        <w:ind w:left="218" w:right="33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spacing w:line="290" w:lineRule="auto" w:before="12"/>
        <w:ind w:left="218" w:right="22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五、公司对会计政策、会计估计变更或重大会计差错更正原因和影响的分析说明</w:t>
      </w:r>
      <w:r>
        <w:rPr>
          <w:rFonts w:ascii="宋体" w:hAnsi="宋体" w:cs="宋体" w:eastAsia="宋体" w:hint="default"/>
          <w:spacing w:val="-1"/>
          <w:sz w:val="21"/>
          <w:szCs w:val="21"/>
        </w:rPr>
      </w:r>
    </w:p>
    <w:p>
      <w:pPr>
        <w:pStyle w:val="Heading2"/>
        <w:tabs>
          <w:tab w:pos="1057" w:val="left" w:leader="none"/>
        </w:tabs>
        <w:spacing w:line="240" w:lineRule="auto" w:before="13"/>
        <w:ind w:right="227"/>
        <w:jc w:val="left"/>
        <w:rPr>
          <w:b w:val="0"/>
          <w:bCs w:val="0"/>
        </w:rPr>
      </w:pPr>
      <w:r>
        <w:rPr/>
        <w:t>（一）</w:t>
        <w:tab/>
        <w:t>公司对会计政策、会计估计变更原因及影响的分析说明</w:t>
      </w:r>
      <w:r>
        <w:rPr>
          <w:b w:val="0"/>
          <w:bCs w:val="0"/>
        </w:rPr>
      </w:r>
    </w:p>
    <w:p>
      <w:pPr>
        <w:pStyle w:val="BodyText"/>
        <w:tabs>
          <w:tab w:pos="1060" w:val="left" w:leader="none"/>
        </w:tabs>
        <w:spacing w:line="240" w:lineRule="auto" w:before="58"/>
        <w:ind w:right="3319"/>
        <w:jc w:val="left"/>
      </w:pPr>
      <w:r>
        <w:rPr>
          <w:spacing w:val="-1"/>
        </w:rPr>
        <w:t>√适用</w:t>
        <w:tab/>
      </w:r>
      <w:r>
        <w:rPr>
          <w:spacing w:val="-2"/>
        </w:rPr>
        <w:t>□不适用</w:t>
      </w:r>
    </w:p>
    <w:p>
      <w:pPr>
        <w:pStyle w:val="BodyText"/>
        <w:spacing w:line="314" w:lineRule="auto" w:before="73"/>
        <w:ind w:right="227" w:firstLine="419"/>
        <w:jc w:val="both"/>
      </w:pPr>
      <w:r>
        <w:rPr/>
        <w:pict>
          <v:shape style="position:absolute;margin-left:84.264pt;margin-top:91.51368pt;width:453.2pt;height:343.0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18"/>
                    <w:gridCol w:w="2107"/>
                    <w:gridCol w:w="2125"/>
                  </w:tblGrid>
                  <w:tr>
                    <w:trPr>
                      <w:trHeight w:val="439"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54"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w:t>
                        </w:r>
                        <w:r>
                          <w:rPr>
                            <w:rFonts w:ascii="宋体" w:hAnsi="宋体" w:cs="宋体" w:eastAsia="宋体" w:hint="default"/>
                            <w:sz w:val="21"/>
                            <w:szCs w:val="21"/>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6" w:right="0"/>
                          <w:jc w:val="left"/>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影响内容说明</w:t>
                        </w:r>
                        <w:r>
                          <w:rPr>
                            <w:rFonts w:ascii="宋体" w:hAnsi="宋体" w:cs="宋体" w:eastAsia="宋体" w:hint="default"/>
                            <w:sz w:val="21"/>
                            <w:szCs w:val="21"/>
                          </w:rPr>
                        </w:r>
                      </w:p>
                    </w:tc>
                  </w:tr>
                  <w:tr>
                    <w:trPr>
                      <w:trHeight w:val="6411"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、资产负债表</w:t>
                        </w:r>
                      </w:p>
                      <w:p>
                        <w:pPr>
                          <w:pStyle w:val="TableParagraph"/>
                          <w:spacing w:line="278" w:lineRule="auto" w:before="44"/>
                          <w:ind w:left="103" w:right="101" w:firstLine="21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）原“应收票据”、“应收账款”项目合并</w:t>
                        </w:r>
                        <w:r>
                          <w:rPr>
                            <w:rFonts w:ascii="宋体" w:hAnsi="宋体" w:cs="宋体" w:eastAsia="宋体" w:hint="default"/>
                            <w:w w:val="100"/>
                            <w:sz w:val="21"/>
                            <w:szCs w:val="21"/>
                          </w:rPr>
                          <w:t> </w:t>
                        </w:r>
                        <w:r>
                          <w:rPr>
                            <w:rFonts w:ascii="宋体" w:hAnsi="宋体" w:cs="宋体" w:eastAsia="宋体" w:hint="default"/>
                            <w:sz w:val="21"/>
                            <w:szCs w:val="21"/>
                          </w:rPr>
                          <w:t>计入新增“应收票据及应收账款”项目；</w:t>
                        </w:r>
                      </w:p>
                      <w:p>
                        <w:pPr>
                          <w:pStyle w:val="TableParagraph"/>
                          <w:spacing w:line="278" w:lineRule="auto" w:before="13"/>
                          <w:ind w:left="103" w:right="101" w:firstLine="21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）原“应收利息”、“应收股利”和“其他</w:t>
                        </w:r>
                        <w:r>
                          <w:rPr>
                            <w:rFonts w:ascii="宋体" w:hAnsi="宋体" w:cs="宋体" w:eastAsia="宋体" w:hint="default"/>
                            <w:w w:val="100"/>
                            <w:sz w:val="21"/>
                            <w:szCs w:val="21"/>
                          </w:rPr>
                          <w:t> </w:t>
                        </w:r>
                        <w:r>
                          <w:rPr>
                            <w:rFonts w:ascii="宋体" w:hAnsi="宋体" w:cs="宋体" w:eastAsia="宋体" w:hint="default"/>
                            <w:sz w:val="21"/>
                            <w:szCs w:val="21"/>
                          </w:rPr>
                          <w:t>应收款”项目合并计入“其他应收款”项目；</w:t>
                        </w:r>
                      </w:p>
                      <w:p>
                        <w:pPr>
                          <w:pStyle w:val="TableParagraph"/>
                          <w:spacing w:line="280" w:lineRule="auto" w:before="10"/>
                          <w:ind w:left="103" w:right="101" w:firstLine="21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）原“固定资产清理”、“固定资产”项目</w:t>
                        </w:r>
                        <w:r>
                          <w:rPr>
                            <w:rFonts w:ascii="宋体" w:hAnsi="宋体" w:cs="宋体" w:eastAsia="宋体" w:hint="default"/>
                            <w:w w:val="100"/>
                            <w:sz w:val="21"/>
                            <w:szCs w:val="21"/>
                          </w:rPr>
                          <w:t> </w:t>
                        </w:r>
                        <w:r>
                          <w:rPr>
                            <w:rFonts w:ascii="宋体" w:hAnsi="宋体" w:cs="宋体" w:eastAsia="宋体" w:hint="default"/>
                            <w:sz w:val="21"/>
                            <w:szCs w:val="21"/>
                          </w:rPr>
                          <w:t>合并计入“固定资产”项目；</w:t>
                        </w:r>
                      </w:p>
                      <w:p>
                        <w:pPr>
                          <w:pStyle w:val="TableParagraph"/>
                          <w:spacing w:line="278" w:lineRule="auto" w:before="8"/>
                          <w:ind w:left="103" w:right="101" w:firstLine="21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）原“工程物资”、“在建工程”项目合并</w:t>
                        </w:r>
                        <w:r>
                          <w:rPr>
                            <w:rFonts w:ascii="宋体" w:hAnsi="宋体" w:cs="宋体" w:eastAsia="宋体" w:hint="default"/>
                            <w:w w:val="100"/>
                            <w:sz w:val="21"/>
                            <w:szCs w:val="21"/>
                          </w:rPr>
                          <w:t> </w:t>
                        </w:r>
                        <w:r>
                          <w:rPr>
                            <w:rFonts w:ascii="宋体" w:hAnsi="宋体" w:cs="宋体" w:eastAsia="宋体" w:hint="default"/>
                            <w:sz w:val="21"/>
                            <w:szCs w:val="21"/>
                          </w:rPr>
                          <w:t>计入“在建工程”项目；</w:t>
                        </w:r>
                      </w:p>
                      <w:p>
                        <w:pPr>
                          <w:pStyle w:val="TableParagraph"/>
                          <w:spacing w:line="278" w:lineRule="auto" w:before="13"/>
                          <w:ind w:left="103" w:right="101" w:firstLine="21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）原“应付票据”、“应付账款”项目合并</w:t>
                        </w:r>
                        <w:r>
                          <w:rPr>
                            <w:rFonts w:ascii="宋体" w:hAnsi="宋体" w:cs="宋体" w:eastAsia="宋体" w:hint="default"/>
                            <w:w w:val="100"/>
                            <w:sz w:val="21"/>
                            <w:szCs w:val="21"/>
                          </w:rPr>
                          <w:t> </w:t>
                        </w:r>
                        <w:r>
                          <w:rPr>
                            <w:rFonts w:ascii="宋体" w:hAnsi="宋体" w:cs="宋体" w:eastAsia="宋体" w:hint="default"/>
                            <w:sz w:val="21"/>
                            <w:szCs w:val="21"/>
                          </w:rPr>
                          <w:t>计入新增“应付票据及应付账款”项目；</w:t>
                        </w:r>
                      </w:p>
                      <w:p>
                        <w:pPr>
                          <w:pStyle w:val="TableParagraph"/>
                          <w:spacing w:line="280" w:lineRule="auto" w:before="11"/>
                          <w:ind w:left="103" w:right="101" w:firstLine="21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）原“应付利息”、“应付股利”和“其他</w:t>
                        </w:r>
                        <w:r>
                          <w:rPr>
                            <w:rFonts w:ascii="宋体" w:hAnsi="宋体" w:cs="宋体" w:eastAsia="宋体" w:hint="default"/>
                            <w:w w:val="100"/>
                            <w:sz w:val="21"/>
                            <w:szCs w:val="21"/>
                          </w:rPr>
                          <w:t> </w:t>
                        </w:r>
                        <w:r>
                          <w:rPr>
                            <w:rFonts w:ascii="宋体" w:hAnsi="宋体" w:cs="宋体" w:eastAsia="宋体" w:hint="default"/>
                            <w:sz w:val="21"/>
                            <w:szCs w:val="21"/>
                          </w:rPr>
                          <w:t>应付款”项目合并计入“其他应付款”项目；</w:t>
                        </w:r>
                      </w:p>
                      <w:p>
                        <w:pPr>
                          <w:pStyle w:val="TableParagraph"/>
                          <w:spacing w:line="278" w:lineRule="auto" w:before="8"/>
                          <w:ind w:left="103" w:right="101" w:firstLine="21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7</w:t>
                        </w:r>
                        <w:r>
                          <w:rPr>
                            <w:rFonts w:ascii="宋体" w:hAnsi="宋体" w:cs="宋体" w:eastAsia="宋体" w:hint="default"/>
                            <w:spacing w:val="2"/>
                            <w:sz w:val="21"/>
                            <w:szCs w:val="21"/>
                          </w:rPr>
                          <w:t>）原“专项应付款”、“长期应付款”项目</w:t>
                        </w:r>
                        <w:r>
                          <w:rPr>
                            <w:rFonts w:ascii="宋体" w:hAnsi="宋体" w:cs="宋体" w:eastAsia="宋体" w:hint="default"/>
                            <w:w w:val="100"/>
                            <w:sz w:val="21"/>
                            <w:szCs w:val="21"/>
                          </w:rPr>
                          <w:t> </w:t>
                        </w:r>
                        <w:r>
                          <w:rPr>
                            <w:rFonts w:ascii="宋体" w:hAnsi="宋体" w:cs="宋体" w:eastAsia="宋体" w:hint="default"/>
                            <w:sz w:val="21"/>
                            <w:szCs w:val="21"/>
                          </w:rPr>
                          <w:t>合并计入“长期应付款”项目。</w:t>
                        </w:r>
                      </w:p>
                      <w:p>
                        <w:pPr>
                          <w:pStyle w:val="TableParagraph"/>
                          <w:spacing w:line="240" w:lineRule="auto" w:before="13"/>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、利润表</w:t>
                        </w:r>
                      </w:p>
                      <w:p>
                        <w:pPr>
                          <w:pStyle w:val="TableParagraph"/>
                          <w:spacing w:line="278" w:lineRule="auto" w:before="44"/>
                          <w:ind w:left="103" w:right="101" w:firstLine="21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）新增“研发费用”项目，原计入“管理费</w:t>
                        </w:r>
                        <w:r>
                          <w:rPr>
                            <w:rFonts w:ascii="宋体" w:hAnsi="宋体" w:cs="宋体" w:eastAsia="宋体" w:hint="default"/>
                            <w:w w:val="100"/>
                            <w:sz w:val="21"/>
                            <w:szCs w:val="21"/>
                          </w:rPr>
                          <w:t> </w:t>
                        </w:r>
                        <w:r>
                          <w:rPr>
                            <w:rFonts w:ascii="宋体" w:hAnsi="宋体" w:cs="宋体" w:eastAsia="宋体" w:hint="default"/>
                            <w:sz w:val="21"/>
                            <w:szCs w:val="21"/>
                          </w:rPr>
                          <w:t>用”项目的研发费用单独在新增项目中列示；</w:t>
                        </w:r>
                      </w:p>
                      <w:p>
                        <w:pPr>
                          <w:pStyle w:val="TableParagraph"/>
                          <w:spacing w:line="278" w:lineRule="auto" w:before="13"/>
                          <w:ind w:left="103" w:right="101" w:firstLine="211"/>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）新增“利息费用”和“利息收入”项目，</w:t>
                        </w:r>
                        <w:r>
                          <w:rPr>
                            <w:rFonts w:ascii="宋体" w:hAnsi="宋体" w:cs="宋体" w:eastAsia="宋体" w:hint="default"/>
                            <w:w w:val="100"/>
                            <w:sz w:val="21"/>
                            <w:szCs w:val="21"/>
                          </w:rPr>
                          <w:t> </w:t>
                        </w:r>
                        <w:r>
                          <w:rPr>
                            <w:rFonts w:ascii="宋体" w:hAnsi="宋体" w:cs="宋体" w:eastAsia="宋体" w:hint="default"/>
                            <w:sz w:val="21"/>
                            <w:szCs w:val="21"/>
                          </w:rPr>
                          <w:t>作为“财务费用”项目下明细项目列示。</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98"/>
                          <w:jc w:val="both"/>
                          <w:rPr>
                            <w:rFonts w:ascii="宋体" w:hAnsi="宋体" w:cs="宋体" w:eastAsia="宋体" w:hint="default"/>
                            <w:sz w:val="21"/>
                            <w:szCs w:val="21"/>
                          </w:rPr>
                        </w:pPr>
                        <w:r>
                          <w:rPr>
                            <w:rFonts w:ascii="宋体" w:hAnsi="宋体" w:cs="宋体" w:eastAsia="宋体" w:hint="default"/>
                            <w:sz w:val="21"/>
                            <w:szCs w:val="21"/>
                          </w:rPr>
                          <w:t>相关会计政策变更已</w:t>
                        </w:r>
                        <w:r>
                          <w:rPr>
                            <w:rFonts w:ascii="宋体" w:hAnsi="宋体" w:cs="宋体" w:eastAsia="宋体" w:hint="default"/>
                            <w:w w:val="100"/>
                            <w:sz w:val="21"/>
                            <w:szCs w:val="21"/>
                          </w:rPr>
                          <w:t> </w:t>
                        </w:r>
                        <w:r>
                          <w:rPr>
                            <w:rFonts w:ascii="宋体" w:hAnsi="宋体" w:cs="宋体" w:eastAsia="宋体" w:hint="default"/>
                            <w:sz w:val="21"/>
                            <w:szCs w:val="21"/>
                          </w:rPr>
                          <w:t>经公司第三届董事会</w:t>
                        </w:r>
                        <w:r>
                          <w:rPr>
                            <w:rFonts w:ascii="宋体" w:hAnsi="宋体" w:cs="宋体" w:eastAsia="宋体" w:hint="default"/>
                            <w:w w:val="100"/>
                            <w:sz w:val="21"/>
                            <w:szCs w:val="21"/>
                          </w:rPr>
                          <w:t> </w:t>
                        </w:r>
                        <w:r>
                          <w:rPr>
                            <w:rFonts w:ascii="宋体" w:hAnsi="宋体" w:cs="宋体" w:eastAsia="宋体" w:hint="default"/>
                            <w:sz w:val="21"/>
                            <w:szCs w:val="21"/>
                          </w:rPr>
                          <w:t>第十次会议、第三届</w:t>
                        </w:r>
                        <w:r>
                          <w:rPr>
                            <w:rFonts w:ascii="宋体" w:hAnsi="宋体" w:cs="宋体" w:eastAsia="宋体" w:hint="default"/>
                            <w:w w:val="100"/>
                            <w:sz w:val="21"/>
                            <w:szCs w:val="21"/>
                          </w:rPr>
                          <w:t> </w:t>
                        </w:r>
                        <w:r>
                          <w:rPr>
                            <w:rFonts w:ascii="宋体" w:hAnsi="宋体" w:cs="宋体" w:eastAsia="宋体" w:hint="default"/>
                            <w:sz w:val="21"/>
                            <w:szCs w:val="21"/>
                          </w:rPr>
                          <w:t>监事会第七次会议和</w:t>
                        </w:r>
                        <w:r>
                          <w:rPr>
                            <w:rFonts w:ascii="宋体" w:hAnsi="宋体" w:cs="宋体" w:eastAsia="宋体" w:hint="default"/>
                            <w:w w:val="100"/>
                            <w:sz w:val="21"/>
                            <w:szCs w:val="21"/>
                          </w:rPr>
                          <w:t> </w:t>
                        </w:r>
                        <w:r>
                          <w:rPr>
                            <w:rFonts w:ascii="宋体" w:hAnsi="宋体" w:cs="宋体" w:eastAsia="宋体" w:hint="default"/>
                            <w:sz w:val="21"/>
                            <w:szCs w:val="21"/>
                          </w:rPr>
                          <w:t>第三届董事会审计委</w:t>
                        </w:r>
                        <w:r>
                          <w:rPr>
                            <w:rFonts w:ascii="宋体" w:hAnsi="宋体" w:cs="宋体" w:eastAsia="宋体" w:hint="default"/>
                            <w:w w:val="100"/>
                            <w:sz w:val="21"/>
                            <w:szCs w:val="21"/>
                          </w:rPr>
                          <w:t> </w:t>
                        </w:r>
                        <w:r>
                          <w:rPr>
                            <w:rFonts w:ascii="宋体" w:hAnsi="宋体" w:cs="宋体" w:eastAsia="宋体" w:hint="default"/>
                            <w:spacing w:val="-8"/>
                            <w:sz w:val="21"/>
                            <w:szCs w:val="21"/>
                          </w:rPr>
                          <w:t>员会议（</w:t>
                        </w:r>
                        <w:r>
                          <w:rPr>
                            <w:rFonts w:ascii="宋体" w:hAnsi="宋体" w:cs="宋体" w:eastAsia="宋体" w:hint="default"/>
                            <w:spacing w:val="-8"/>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年第六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次）审议通过。具体</w:t>
                        </w:r>
                        <w:r>
                          <w:rPr>
                            <w:rFonts w:ascii="宋体" w:hAnsi="宋体" w:cs="宋体" w:eastAsia="宋体" w:hint="default"/>
                            <w:w w:val="100"/>
                            <w:sz w:val="21"/>
                            <w:szCs w:val="21"/>
                          </w:rPr>
                          <w:t> </w:t>
                        </w:r>
                        <w:r>
                          <w:rPr>
                            <w:rFonts w:ascii="宋体" w:hAnsi="宋体" w:cs="宋体" w:eastAsia="宋体" w:hint="default"/>
                            <w:sz w:val="21"/>
                            <w:szCs w:val="21"/>
                          </w:rPr>
                          <w:t>内容详见</w:t>
                        </w:r>
                        <w:r>
                          <w:rPr>
                            <w:rFonts w:ascii="宋体" w:hAnsi="宋体" w:cs="宋体" w:eastAsia="宋体" w:hint="default"/>
                            <w:spacing w:val="-35"/>
                            <w:sz w:val="21"/>
                            <w:szCs w:val="21"/>
                          </w:rPr>
                          <w:t> </w:t>
                        </w:r>
                        <w:r>
                          <w:rPr>
                            <w:rFonts w:ascii="宋体" w:hAnsi="宋体" w:cs="宋体" w:eastAsia="宋体" w:hint="default"/>
                            <w:sz w:val="21"/>
                            <w:szCs w:val="21"/>
                          </w:rPr>
                          <w:t>2018</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10</w:t>
                        </w:r>
                      </w:p>
                      <w:p>
                        <w:pPr>
                          <w:pStyle w:val="TableParagraph"/>
                          <w:spacing w:line="280" w:lineRule="auto" w:before="10"/>
                          <w:ind w:left="103" w:right="98"/>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30</w:t>
                        </w:r>
                        <w:r>
                          <w:rPr>
                            <w:rFonts w:ascii="宋体" w:hAnsi="宋体" w:cs="宋体" w:eastAsia="宋体" w:hint="default"/>
                            <w:spacing w:val="1"/>
                            <w:sz w:val="21"/>
                            <w:szCs w:val="21"/>
                          </w:rPr>
                          <w:t> </w:t>
                        </w:r>
                        <w:r>
                          <w:rPr>
                            <w:rFonts w:ascii="宋体" w:hAnsi="宋体" w:cs="宋体" w:eastAsia="宋体" w:hint="default"/>
                            <w:sz w:val="21"/>
                            <w:szCs w:val="21"/>
                          </w:rPr>
                          <w:t>日刊登在上海</w:t>
                        </w:r>
                        <w:r>
                          <w:rPr>
                            <w:rFonts w:ascii="宋体" w:hAnsi="宋体" w:cs="宋体" w:eastAsia="宋体" w:hint="default"/>
                            <w:w w:val="100"/>
                            <w:sz w:val="21"/>
                            <w:szCs w:val="21"/>
                          </w:rPr>
                          <w:t> </w:t>
                        </w:r>
                        <w:r>
                          <w:rPr>
                            <w:rFonts w:ascii="宋体" w:hAnsi="宋体" w:cs="宋体" w:eastAsia="宋体" w:hint="default"/>
                            <w:sz w:val="21"/>
                            <w:szCs w:val="21"/>
                          </w:rPr>
                          <w:t>证 券 交 易 网</w:t>
                        </w:r>
                        <w:r>
                          <w:rPr>
                            <w:rFonts w:ascii="宋体" w:hAnsi="宋体" w:cs="宋体" w:eastAsia="宋体" w:hint="default"/>
                            <w:spacing w:val="104"/>
                            <w:sz w:val="21"/>
                            <w:szCs w:val="21"/>
                          </w:rPr>
                          <w:t> </w:t>
                        </w:r>
                        <w:r>
                          <w:rPr>
                            <w:rFonts w:ascii="宋体" w:hAnsi="宋体" w:cs="宋体" w:eastAsia="宋体" w:hint="default"/>
                            <w:sz w:val="21"/>
                            <w:szCs w:val="21"/>
                          </w:rPr>
                          <w:t>站</w:t>
                        </w:r>
                      </w:p>
                      <w:p>
                        <w:pPr>
                          <w:pStyle w:val="TableParagraph"/>
                          <w:spacing w:line="278" w:lineRule="auto" w:before="8"/>
                          <w:ind w:left="103" w:right="98"/>
                          <w:jc w:val="both"/>
                          <w:rPr>
                            <w:rFonts w:ascii="宋体" w:hAnsi="宋体" w:cs="宋体" w:eastAsia="宋体" w:hint="default"/>
                            <w:sz w:val="21"/>
                            <w:szCs w:val="21"/>
                          </w:rPr>
                        </w:pPr>
                        <w:r>
                          <w:rPr>
                            <w:rFonts w:ascii="宋体" w:hAnsi="宋体" w:cs="宋体" w:eastAsia="宋体" w:hint="default"/>
                            <w:sz w:val="21"/>
                            <w:szCs w:val="21"/>
                          </w:rPr>
                          <w:t>（</w:t>
                        </w:r>
                        <w:hyperlink r:id="rId10">
                          <w:r>
                            <w:rPr>
                              <w:rFonts w:ascii="宋体" w:hAnsi="宋体" w:cs="宋体" w:eastAsia="宋体" w:hint="default"/>
                              <w:sz w:val="21"/>
                              <w:szCs w:val="21"/>
                            </w:rPr>
                            <w:t>www.sse.com.cn</w:t>
                          </w:r>
                        </w:hyperlink>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的《新华网股份有限</w:t>
                        </w:r>
                        <w:r>
                          <w:rPr>
                            <w:rFonts w:ascii="宋体" w:hAnsi="宋体" w:cs="宋体" w:eastAsia="宋体" w:hint="default"/>
                            <w:w w:val="100"/>
                            <w:sz w:val="21"/>
                            <w:szCs w:val="21"/>
                          </w:rPr>
                          <w:t> </w:t>
                        </w:r>
                        <w:r>
                          <w:rPr>
                            <w:rFonts w:ascii="宋体" w:hAnsi="宋体" w:cs="宋体" w:eastAsia="宋体" w:hint="default"/>
                            <w:sz w:val="21"/>
                            <w:szCs w:val="21"/>
                          </w:rPr>
                          <w:t>公司关于会计政策变</w:t>
                        </w:r>
                        <w:r>
                          <w:rPr>
                            <w:rFonts w:ascii="宋体" w:hAnsi="宋体" w:cs="宋体" w:eastAsia="宋体" w:hint="default"/>
                            <w:w w:val="100"/>
                            <w:sz w:val="21"/>
                            <w:szCs w:val="21"/>
                          </w:rPr>
                          <w:t> </w:t>
                        </w:r>
                        <w:r>
                          <w:rPr>
                            <w:rFonts w:ascii="宋体" w:hAnsi="宋体" w:cs="宋体" w:eastAsia="宋体" w:hint="default"/>
                            <w:sz w:val="21"/>
                            <w:szCs w:val="21"/>
                          </w:rPr>
                          <w:t>更的公告》（公告编</w:t>
                        </w:r>
                        <w:r>
                          <w:rPr>
                            <w:rFonts w:ascii="宋体" w:hAnsi="宋体" w:cs="宋体" w:eastAsia="宋体" w:hint="default"/>
                            <w:w w:val="100"/>
                            <w:sz w:val="21"/>
                            <w:szCs w:val="21"/>
                          </w:rPr>
                          <w:t> </w:t>
                        </w:r>
                        <w:r>
                          <w:rPr>
                            <w:rFonts w:ascii="宋体" w:hAnsi="宋体" w:cs="宋体" w:eastAsia="宋体" w:hint="default"/>
                            <w:sz w:val="21"/>
                            <w:szCs w:val="21"/>
                          </w:rPr>
                          <w:t>号：</w:t>
                        </w:r>
                        <w:r>
                          <w:rPr>
                            <w:rFonts w:ascii="宋体" w:hAnsi="宋体" w:cs="宋体" w:eastAsia="宋体" w:hint="default"/>
                            <w:sz w:val="21"/>
                            <w:szCs w:val="21"/>
                          </w:rPr>
                          <w:t>2018-035</w:t>
                        </w:r>
                        <w:r>
                          <w:rPr>
                            <w:rFonts w:ascii="宋体" w:hAnsi="宋体" w:cs="宋体" w:eastAsia="宋体" w:hint="default"/>
                            <w:sz w:val="21"/>
                            <w:szCs w:val="21"/>
                          </w:rPr>
                          <w:t>）。</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0" w:right="100"/>
                          <w:jc w:val="both"/>
                          <w:rPr>
                            <w:rFonts w:ascii="宋体" w:hAnsi="宋体" w:cs="宋体" w:eastAsia="宋体" w:hint="default"/>
                            <w:sz w:val="21"/>
                            <w:szCs w:val="21"/>
                          </w:rPr>
                        </w:pPr>
                        <w:r>
                          <w:rPr>
                            <w:rFonts w:ascii="宋体" w:hAnsi="宋体" w:cs="宋体" w:eastAsia="宋体" w:hint="default"/>
                            <w:sz w:val="21"/>
                            <w:szCs w:val="21"/>
                          </w:rPr>
                          <w:t>本次会计政策变更，</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是对资产负债表及利</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润表列报项目进行列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报调整，为了提高信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息在会计期间的可比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性，提供与理解当期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财务报表更加相关的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比较数据，同时对可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比会计期间的比较数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据进行调整。对公司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财务状况、经营成果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和现金流量不产生影</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响。</w:t>
                        </w:r>
                      </w:p>
                    </w:tc>
                  </w:tr>
                </w:tbl>
                <w:p>
                  <w:pPr/>
                </w:p>
              </w:txbxContent>
            </v:textbox>
            <w10:wrap type="none"/>
          </v:shape>
        </w:pict>
      </w:r>
      <w:r>
        <w:rPr>
          <w:rFonts w:ascii="宋体" w:hAnsi="宋体" w:cs="宋体" w:eastAsia="宋体" w:hint="default"/>
        </w:rPr>
        <w:t>1</w:t>
      </w:r>
      <w:r>
        <w:rPr/>
        <w:t>、</w:t>
      </w:r>
      <w:r>
        <w:rPr>
          <w:rFonts w:ascii="宋体" w:hAnsi="宋体" w:cs="宋体" w:eastAsia="宋体" w:hint="default"/>
        </w:rPr>
        <w:t>2018</w:t>
      </w:r>
      <w:r>
        <w:rPr>
          <w:rFonts w:ascii="宋体" w:hAnsi="宋体" w:cs="宋体" w:eastAsia="宋体" w:hint="default"/>
          <w:spacing w:val="-47"/>
        </w:rPr>
        <w:t> </w:t>
      </w:r>
      <w:r>
        <w:rPr/>
        <w:t>年</w:t>
      </w:r>
      <w:r>
        <w:rPr>
          <w:spacing w:val="-44"/>
        </w:rPr>
        <w:t> </w:t>
      </w:r>
      <w:r>
        <w:rPr>
          <w:rFonts w:ascii="宋体" w:hAnsi="宋体" w:cs="宋体" w:eastAsia="宋体" w:hint="default"/>
        </w:rPr>
        <w:t>6</w:t>
      </w:r>
      <w:r>
        <w:rPr>
          <w:rFonts w:ascii="宋体" w:hAnsi="宋体" w:cs="宋体" w:eastAsia="宋体" w:hint="default"/>
          <w:spacing w:val="-46"/>
        </w:rPr>
        <w:t> </w:t>
      </w:r>
      <w:r>
        <w:rPr/>
        <w:t>月</w:t>
      </w:r>
      <w:r>
        <w:rPr>
          <w:spacing w:val="-44"/>
        </w:rPr>
        <w:t> </w:t>
      </w:r>
      <w:r>
        <w:rPr>
          <w:rFonts w:ascii="宋体" w:hAnsi="宋体" w:cs="宋体" w:eastAsia="宋体" w:hint="default"/>
        </w:rPr>
        <w:t>15</w:t>
      </w:r>
      <w:r>
        <w:rPr>
          <w:rFonts w:ascii="宋体" w:hAnsi="宋体" w:cs="宋体" w:eastAsia="宋体" w:hint="default"/>
          <w:spacing w:val="-43"/>
        </w:rPr>
        <w:t> </w:t>
      </w:r>
      <w:r>
        <w:rPr/>
        <w:t>日，财政部发布了《关于修订印发</w:t>
      </w:r>
      <w:r>
        <w:rPr>
          <w:spacing w:val="-44"/>
        </w:rPr>
        <w:t> </w:t>
      </w:r>
      <w:r>
        <w:rPr>
          <w:rFonts w:ascii="宋体" w:hAnsi="宋体" w:cs="宋体" w:eastAsia="宋体" w:hint="default"/>
        </w:rPr>
        <w:t>2018</w:t>
      </w:r>
      <w:r>
        <w:rPr>
          <w:rFonts w:ascii="宋体" w:hAnsi="宋体" w:cs="宋体" w:eastAsia="宋体" w:hint="default"/>
          <w:spacing w:val="-44"/>
        </w:rPr>
        <w:t> </w:t>
      </w:r>
      <w:r>
        <w:rPr/>
        <w:t>年度一般企业财务报表格式的通</w:t>
      </w:r>
      <w:r>
        <w:rPr>
          <w:w w:val="100"/>
        </w:rPr>
        <w:t> </w:t>
      </w:r>
      <w:r>
        <w:rPr>
          <w:spacing w:val="-6"/>
        </w:rPr>
        <w:t>知》（财会</w:t>
      </w:r>
      <w:r>
        <w:rPr>
          <w:rFonts w:ascii="宋体" w:hAnsi="宋体" w:cs="宋体" w:eastAsia="宋体" w:hint="default"/>
          <w:spacing w:val="-6"/>
        </w:rPr>
        <w:t>[2018]15 </w:t>
      </w:r>
      <w:r>
        <w:rPr>
          <w:spacing w:val="-7"/>
        </w:rPr>
        <w:t>号），以下简称“《修订通知》”），对一般企业财务报表格式进行了修订。</w:t>
      </w:r>
      <w:r>
        <w:rPr>
          <w:spacing w:val="-96"/>
        </w:rPr>
        <w:t> </w:t>
      </w:r>
      <w:r>
        <w:rPr>
          <w:spacing w:val="-96"/>
        </w:rPr>
      </w:r>
      <w:r>
        <w:rPr/>
        <w:t>根据上述修订要求，公司对相关会计政策内容进行了调整，并按照《修订通知》附件</w:t>
      </w:r>
      <w:r>
        <w:rPr>
          <w:spacing w:val="-50"/>
        </w:rPr>
        <w:t> </w:t>
      </w:r>
      <w:r>
        <w:rPr>
          <w:rFonts w:ascii="宋体" w:hAnsi="宋体" w:cs="宋体" w:eastAsia="宋体" w:hint="default"/>
        </w:rPr>
        <w:t>1</w:t>
      </w:r>
      <w:r>
        <w:rPr>
          <w:rFonts w:ascii="宋体" w:hAnsi="宋体" w:cs="宋体" w:eastAsia="宋体" w:hint="default"/>
          <w:spacing w:val="-50"/>
        </w:rPr>
        <w:t> </w:t>
      </w:r>
      <w:r>
        <w:rPr/>
        <w:t>规定的一</w:t>
      </w:r>
      <w:r>
        <w:rPr>
          <w:w w:val="100"/>
        </w:rPr>
        <w:t> </w:t>
      </w:r>
      <w:r>
        <w:rPr>
          <w:spacing w:val="-1"/>
        </w:rPr>
        <w:t>般企业财务报表格式（适用于尚未执行新金融准则和新收入准则的企业）的要求编制公司的财务</w:t>
      </w:r>
      <w:r>
        <w:rPr>
          <w:spacing w:val="-55"/>
        </w:rPr>
        <w:t> </w:t>
      </w:r>
      <w:r>
        <w:rPr>
          <w:spacing w:val="-55"/>
        </w:rPr>
      </w:r>
      <w:r>
        <w:rPr/>
        <w:t>报表。会计政策变更及审批程序等具体内容如下：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before="36"/>
        <w:ind w:left="638" w:right="124"/>
        <w:jc w:val="left"/>
      </w:pPr>
      <w:r>
        <w:rPr>
          <w:rFonts w:ascii="宋体" w:hAnsi="宋体" w:cs="宋体" w:eastAsia="宋体" w:hint="default"/>
          <w:spacing w:val="-5"/>
        </w:rPr>
        <w:t>2</w:t>
      </w:r>
      <w:r>
        <w:rPr>
          <w:spacing w:val="-5"/>
        </w:rPr>
        <w:t>、财政部于</w:t>
      </w:r>
      <w:r>
        <w:rPr>
          <w:spacing w:val="-40"/>
        </w:rPr>
        <w:t> </w:t>
      </w:r>
      <w:r>
        <w:rPr>
          <w:rFonts w:ascii="宋体" w:hAnsi="宋体" w:cs="宋体" w:eastAsia="宋体" w:hint="default"/>
        </w:rPr>
        <w:t>2017</w:t>
      </w:r>
      <w:r>
        <w:rPr>
          <w:rFonts w:ascii="宋体" w:hAnsi="宋体" w:cs="宋体" w:eastAsia="宋体" w:hint="default"/>
          <w:spacing w:val="-38"/>
        </w:rPr>
        <w:t> </w:t>
      </w:r>
      <w:r>
        <w:rPr>
          <w:spacing w:val="-3"/>
        </w:rPr>
        <w:t>年修订发布了《企业会计准则第</w:t>
      </w:r>
      <w:r>
        <w:rPr>
          <w:spacing w:val="-40"/>
        </w:rPr>
        <w:t> </w:t>
      </w:r>
      <w:r>
        <w:rPr>
          <w:rFonts w:ascii="宋体" w:hAnsi="宋体" w:cs="宋体" w:eastAsia="宋体" w:hint="default"/>
        </w:rPr>
        <w:t>22</w:t>
      </w:r>
      <w:r>
        <w:rPr>
          <w:rFonts w:ascii="宋体" w:hAnsi="宋体" w:cs="宋体" w:eastAsia="宋体" w:hint="default"/>
          <w:spacing w:val="-40"/>
        </w:rPr>
        <w:t> </w:t>
      </w:r>
      <w:r>
        <w:rPr>
          <w:spacing w:val="-5"/>
        </w:rPr>
        <w:t>号——金融工具确认和计量》、《企业</w:t>
      </w:r>
    </w:p>
    <w:p>
      <w:pPr>
        <w:pStyle w:val="BodyText"/>
        <w:spacing w:line="240" w:lineRule="auto" w:before="85"/>
        <w:ind w:right="124"/>
        <w:jc w:val="left"/>
      </w:pPr>
      <w:r>
        <w:rPr/>
        <w:t>会计准则第</w:t>
      </w:r>
      <w:r>
        <w:rPr>
          <w:spacing w:val="-51"/>
        </w:rPr>
        <w:t> </w:t>
      </w:r>
      <w:r>
        <w:rPr>
          <w:rFonts w:ascii="宋体" w:hAnsi="宋体" w:cs="宋体" w:eastAsia="宋体" w:hint="default"/>
        </w:rPr>
        <w:t>23</w:t>
      </w:r>
      <w:r>
        <w:rPr>
          <w:rFonts w:ascii="宋体" w:hAnsi="宋体" w:cs="宋体" w:eastAsia="宋体" w:hint="default"/>
          <w:spacing w:val="-54"/>
        </w:rPr>
        <w:t> </w:t>
      </w:r>
      <w:r>
        <w:rPr/>
        <w:t>号——金融资产转移》、《企业会计准则第</w:t>
      </w:r>
      <w:r>
        <w:rPr>
          <w:spacing w:val="-51"/>
        </w:rPr>
        <w:t> </w:t>
      </w:r>
      <w:r>
        <w:rPr>
          <w:rFonts w:ascii="宋体" w:hAnsi="宋体" w:cs="宋体" w:eastAsia="宋体" w:hint="default"/>
        </w:rPr>
        <w:t>24</w:t>
      </w:r>
      <w:r>
        <w:rPr>
          <w:rFonts w:ascii="宋体" w:hAnsi="宋体" w:cs="宋体" w:eastAsia="宋体" w:hint="default"/>
          <w:spacing w:val="-51"/>
        </w:rPr>
        <w:t> </w:t>
      </w:r>
      <w:r>
        <w:rPr/>
        <w:t>号——套期会计》、《企业会计准</w:t>
      </w:r>
    </w:p>
    <w:p>
      <w:pPr>
        <w:spacing w:after="0" w:line="240" w:lineRule="auto"/>
        <w:jc w:val="left"/>
        <w:sectPr>
          <w:headerReference w:type="default" r:id="rId29"/>
          <w:footerReference w:type="default" r:id="rId30"/>
          <w:pgSz w:w="11910" w:h="16840"/>
          <w:pgMar w:header="880" w:footer="1195" w:top="1120" w:bottom="1380" w:left="1580" w:right="1040"/>
          <w:pgNumType w:start="3"/>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right="226"/>
        <w:jc w:val="left"/>
      </w:pPr>
      <w:r>
        <w:rPr/>
        <w:pict>
          <v:shape style="position:absolute;margin-left:84.264pt;margin-top:33.863659pt;width:453.2pt;height:437.1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18"/>
                    <w:gridCol w:w="2107"/>
                    <w:gridCol w:w="2125"/>
                  </w:tblGrid>
                  <w:tr>
                    <w:trPr>
                      <w:trHeight w:val="44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54"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w:t>
                        </w:r>
                        <w:r>
                          <w:rPr>
                            <w:rFonts w:ascii="宋体" w:hAnsi="宋体" w:cs="宋体" w:eastAsia="宋体" w:hint="default"/>
                            <w:sz w:val="21"/>
                            <w:szCs w:val="21"/>
                          </w:rPr>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26" w:right="0"/>
                          <w:jc w:val="left"/>
                          <w:rPr>
                            <w:rFonts w:ascii="宋体" w:hAnsi="宋体" w:cs="宋体" w:eastAsia="宋体" w:hint="default"/>
                            <w:sz w:val="21"/>
                            <w:szCs w:val="21"/>
                          </w:rPr>
                        </w:pPr>
                        <w:r>
                          <w:rPr>
                            <w:rFonts w:ascii="宋体" w:hAnsi="宋体" w:cs="宋体" w:eastAsia="宋体" w:hint="default"/>
                            <w:b/>
                            <w:bCs/>
                            <w:sz w:val="21"/>
                            <w:szCs w:val="21"/>
                          </w:rPr>
                          <w:t>审批程序</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影响内容说明</w:t>
                        </w:r>
                        <w:r>
                          <w:rPr>
                            <w:rFonts w:ascii="宋体" w:hAnsi="宋体" w:cs="宋体" w:eastAsia="宋体" w:hint="default"/>
                            <w:sz w:val="21"/>
                            <w:szCs w:val="21"/>
                          </w:rPr>
                        </w:r>
                      </w:p>
                    </w:tc>
                  </w:tr>
                  <w:tr>
                    <w:trPr>
                      <w:trHeight w:val="8291"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77" w:firstLine="419"/>
                          <w:jc w:val="both"/>
                          <w:rPr>
                            <w:rFonts w:ascii="宋体" w:hAnsi="宋体" w:cs="宋体" w:eastAsia="宋体" w:hint="default"/>
                            <w:sz w:val="21"/>
                            <w:szCs w:val="21"/>
                          </w:rPr>
                        </w:pPr>
                        <w:r>
                          <w:rPr>
                            <w:rFonts w:ascii="宋体" w:hAnsi="宋体" w:cs="宋体" w:eastAsia="宋体" w:hint="default"/>
                            <w:spacing w:val="-2"/>
                            <w:sz w:val="21"/>
                            <w:szCs w:val="21"/>
                          </w:rPr>
                          <w:t>根据财政部新修订的金融工具相关会计准则，</w:t>
                        </w:r>
                        <w:r>
                          <w:rPr>
                            <w:rFonts w:ascii="宋体" w:hAnsi="宋体" w:cs="宋体" w:eastAsia="宋体" w:hint="default"/>
                            <w:w w:val="100"/>
                            <w:sz w:val="21"/>
                            <w:szCs w:val="21"/>
                          </w:rPr>
                          <w:t> </w:t>
                        </w:r>
                        <w:r>
                          <w:rPr>
                            <w:rFonts w:ascii="宋体" w:hAnsi="宋体" w:cs="宋体" w:eastAsia="宋体" w:hint="default"/>
                            <w:sz w:val="21"/>
                            <w:szCs w:val="21"/>
                          </w:rPr>
                          <w:t>会计政策变更内容主要包括：</w:t>
                        </w:r>
                      </w:p>
                      <w:p>
                        <w:pPr>
                          <w:pStyle w:val="TableParagraph"/>
                          <w:spacing w:line="314" w:lineRule="auto" w:before="20"/>
                          <w:ind w:left="103" w:right="96" w:firstLine="419"/>
                          <w:jc w:val="both"/>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、金融资产分类由现行“四分类”改为“三</w:t>
                        </w:r>
                        <w:r>
                          <w:rPr>
                            <w:rFonts w:ascii="宋体" w:hAnsi="宋体" w:cs="宋体" w:eastAsia="宋体" w:hint="default"/>
                            <w:w w:val="100"/>
                            <w:sz w:val="21"/>
                            <w:szCs w:val="21"/>
                          </w:rPr>
                          <w:t> </w:t>
                        </w:r>
                        <w:r>
                          <w:rPr>
                            <w:rFonts w:ascii="宋体" w:hAnsi="宋体" w:cs="宋体" w:eastAsia="宋体" w:hint="default"/>
                            <w:spacing w:val="-3"/>
                            <w:sz w:val="21"/>
                            <w:szCs w:val="21"/>
                          </w:rPr>
                          <w:t>分类”，企业按照管理金融资产的业务模式和金融</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资产的合同现金流量特征，分为“以摊余成本计量</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的金融资产”“以公允价值计量且其变动计入其他</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综合收益的金融资产”和“以公允价值计量且其变</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动计入当期损益的金融资产”三类；</w:t>
                        </w:r>
                      </w:p>
                      <w:p>
                        <w:pPr>
                          <w:pStyle w:val="TableParagraph"/>
                          <w:spacing w:line="314" w:lineRule="auto" w:before="20"/>
                          <w:ind w:left="103" w:right="77" w:firstLine="419"/>
                          <w:jc w:val="both"/>
                          <w:rPr>
                            <w:rFonts w:ascii="宋体" w:hAnsi="宋体" w:cs="宋体" w:eastAsia="宋体" w:hint="default"/>
                            <w:sz w:val="21"/>
                            <w:szCs w:val="21"/>
                          </w:rPr>
                        </w:pPr>
                        <w:r>
                          <w:rPr>
                            <w:rFonts w:ascii="宋体" w:hAnsi="宋体" w:cs="宋体" w:eastAsia="宋体" w:hint="default"/>
                            <w:spacing w:val="7"/>
                            <w:sz w:val="21"/>
                            <w:szCs w:val="21"/>
                          </w:rPr>
                          <w:t>其中，调整非交易性权益工具投资的会计处</w:t>
                        </w:r>
                        <w:r>
                          <w:rPr>
                            <w:rFonts w:ascii="宋体" w:hAnsi="宋体" w:cs="宋体" w:eastAsia="宋体" w:hint="default"/>
                            <w:spacing w:val="9"/>
                            <w:w w:val="100"/>
                            <w:sz w:val="21"/>
                            <w:szCs w:val="21"/>
                          </w:rPr>
                          <w:t> </w:t>
                        </w:r>
                        <w:r>
                          <w:rPr>
                            <w:rFonts w:ascii="宋体" w:hAnsi="宋体" w:cs="宋体" w:eastAsia="宋体" w:hint="default"/>
                            <w:spacing w:val="-3"/>
                            <w:sz w:val="21"/>
                            <w:szCs w:val="21"/>
                          </w:rPr>
                          <w:t>理，允许企业将非交易性权益工具投资指定为以公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2"/>
                            <w:sz w:val="21"/>
                            <w:szCs w:val="21"/>
                          </w:rPr>
                          <w:t>允价值计量且其变动计入其他综合收益进行处理，</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3"/>
                            <w:sz w:val="21"/>
                            <w:szCs w:val="21"/>
                          </w:rPr>
                          <w:t>但该指定不可撤销，且在处置时不得将原计入其他</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6"/>
                            <w:sz w:val="21"/>
                            <w:szCs w:val="21"/>
                          </w:rPr>
                          <w:t>综合收益的累计公允价值变动额结转计入当期损</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益。</w:t>
                        </w:r>
                      </w:p>
                      <w:p>
                        <w:pPr>
                          <w:pStyle w:val="TableParagraph"/>
                          <w:spacing w:line="314" w:lineRule="auto" w:before="20"/>
                          <w:ind w:left="103" w:right="96" w:firstLine="419"/>
                          <w:jc w:val="both"/>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、将金融资产减值会计处理由“已发生损失</w:t>
                        </w:r>
                        <w:r>
                          <w:rPr>
                            <w:rFonts w:ascii="宋体" w:hAnsi="宋体" w:cs="宋体" w:eastAsia="宋体" w:hint="default"/>
                            <w:w w:val="100"/>
                            <w:sz w:val="21"/>
                            <w:szCs w:val="21"/>
                          </w:rPr>
                          <w:t> </w:t>
                        </w:r>
                        <w:r>
                          <w:rPr>
                            <w:rFonts w:ascii="宋体" w:hAnsi="宋体" w:cs="宋体" w:eastAsia="宋体" w:hint="default"/>
                            <w:spacing w:val="-3"/>
                            <w:sz w:val="21"/>
                            <w:szCs w:val="21"/>
                          </w:rPr>
                          <w:t>法”修改为“预期损失法”，要求考虑金融资产未</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3"/>
                            <w:sz w:val="21"/>
                            <w:szCs w:val="21"/>
                          </w:rPr>
                          <w:t>来预期信用损失情况，从而更加及时、足额地计提</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金融资产减值准备。</w:t>
                        </w:r>
                      </w:p>
                      <w:p>
                        <w:pPr>
                          <w:pStyle w:val="TableParagraph"/>
                          <w:spacing w:line="314" w:lineRule="auto" w:before="20"/>
                          <w:ind w:left="103" w:right="101" w:firstLine="419"/>
                          <w:jc w:val="both"/>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、拓宽套期工具和被套期项目的范围，使套</w:t>
                        </w:r>
                        <w:r>
                          <w:rPr>
                            <w:rFonts w:ascii="宋体" w:hAnsi="宋体" w:cs="宋体" w:eastAsia="宋体" w:hint="default"/>
                            <w:w w:val="100"/>
                            <w:sz w:val="21"/>
                            <w:szCs w:val="21"/>
                          </w:rPr>
                          <w:t> </w:t>
                        </w:r>
                        <w:r>
                          <w:rPr>
                            <w:rFonts w:ascii="宋体" w:hAnsi="宋体" w:cs="宋体" w:eastAsia="宋体" w:hint="default"/>
                            <w:sz w:val="21"/>
                            <w:szCs w:val="21"/>
                          </w:rPr>
                          <w:t>期会计更加如实地反映企业的风险管理活动。</w:t>
                        </w:r>
                      </w:p>
                      <w:p>
                        <w:pPr>
                          <w:pStyle w:val="TableParagraph"/>
                          <w:spacing w:line="314" w:lineRule="auto" w:before="20"/>
                          <w:ind w:left="103" w:right="96" w:firstLine="419"/>
                          <w:jc w:val="both"/>
                          <w:rPr>
                            <w:rFonts w:ascii="宋体" w:hAnsi="宋体" w:cs="宋体" w:eastAsia="宋体" w:hint="default"/>
                            <w:sz w:val="21"/>
                            <w:szCs w:val="21"/>
                          </w:rPr>
                        </w:pPr>
                        <w:r>
                          <w:rPr>
                            <w:rFonts w:ascii="宋体" w:hAnsi="宋体" w:cs="宋体" w:eastAsia="宋体" w:hint="default"/>
                            <w:spacing w:val="-3"/>
                            <w:sz w:val="21"/>
                            <w:szCs w:val="21"/>
                          </w:rPr>
                          <w:t>此外，在明确金融资产转移的判断原则及其会</w:t>
                        </w:r>
                        <w:r>
                          <w:rPr>
                            <w:rFonts w:ascii="宋体" w:hAnsi="宋体" w:cs="宋体" w:eastAsia="宋体" w:hint="default"/>
                            <w:w w:val="100"/>
                            <w:sz w:val="21"/>
                            <w:szCs w:val="21"/>
                          </w:rPr>
                          <w:t> </w:t>
                        </w:r>
                        <w:r>
                          <w:rPr>
                            <w:rFonts w:ascii="宋体" w:hAnsi="宋体" w:cs="宋体" w:eastAsia="宋体" w:hint="default"/>
                            <w:spacing w:val="-3"/>
                            <w:sz w:val="21"/>
                            <w:szCs w:val="21"/>
                          </w:rPr>
                          <w:t>计处理等方面做了调整和完善，金融工具披露要求</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也相应调整。</w:t>
                        </w:r>
                      </w:p>
                    </w:tc>
                    <w:tc>
                      <w:tcPr>
                        <w:tcW w:w="21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both"/>
                          <w:rPr>
                            <w:rFonts w:ascii="宋体" w:hAnsi="宋体" w:cs="宋体" w:eastAsia="宋体" w:hint="default"/>
                            <w:sz w:val="21"/>
                            <w:szCs w:val="21"/>
                          </w:rPr>
                        </w:pPr>
                        <w:r>
                          <w:rPr>
                            <w:rFonts w:ascii="宋体" w:hAnsi="宋体" w:cs="宋体" w:eastAsia="宋体" w:hint="default"/>
                            <w:sz w:val="21"/>
                            <w:szCs w:val="21"/>
                          </w:rPr>
                          <w:t>相关会计政策变更已</w:t>
                        </w:r>
                        <w:r>
                          <w:rPr>
                            <w:rFonts w:ascii="宋体" w:hAnsi="宋体" w:cs="宋体" w:eastAsia="宋体" w:hint="default"/>
                            <w:w w:val="100"/>
                            <w:sz w:val="21"/>
                            <w:szCs w:val="21"/>
                          </w:rPr>
                          <w:t> </w:t>
                        </w:r>
                        <w:r>
                          <w:rPr>
                            <w:rFonts w:ascii="宋体" w:hAnsi="宋体" w:cs="宋体" w:eastAsia="宋体" w:hint="default"/>
                            <w:sz w:val="21"/>
                            <w:szCs w:val="21"/>
                          </w:rPr>
                          <w:t>经公司第三届董事会</w:t>
                        </w:r>
                        <w:r>
                          <w:rPr>
                            <w:rFonts w:ascii="宋体" w:hAnsi="宋体" w:cs="宋体" w:eastAsia="宋体" w:hint="default"/>
                            <w:w w:val="100"/>
                            <w:sz w:val="21"/>
                            <w:szCs w:val="21"/>
                          </w:rPr>
                          <w:t> </w:t>
                        </w:r>
                        <w:r>
                          <w:rPr>
                            <w:rFonts w:ascii="宋体" w:hAnsi="宋体" w:cs="宋体" w:eastAsia="宋体" w:hint="default"/>
                            <w:sz w:val="21"/>
                            <w:szCs w:val="21"/>
                          </w:rPr>
                          <w:t>第十一次（临时）会</w:t>
                        </w:r>
                        <w:r>
                          <w:rPr>
                            <w:rFonts w:ascii="宋体" w:hAnsi="宋体" w:cs="宋体" w:eastAsia="宋体" w:hint="default"/>
                            <w:w w:val="100"/>
                            <w:sz w:val="21"/>
                            <w:szCs w:val="21"/>
                          </w:rPr>
                          <w:t> </w:t>
                        </w:r>
                        <w:r>
                          <w:rPr>
                            <w:rFonts w:ascii="宋体" w:hAnsi="宋体" w:cs="宋体" w:eastAsia="宋体" w:hint="default"/>
                            <w:sz w:val="21"/>
                            <w:szCs w:val="21"/>
                          </w:rPr>
                          <w:t>议、第三届监事会第</w:t>
                        </w:r>
                        <w:r>
                          <w:rPr>
                            <w:rFonts w:ascii="宋体" w:hAnsi="宋体" w:cs="宋体" w:eastAsia="宋体" w:hint="default"/>
                            <w:w w:val="100"/>
                            <w:sz w:val="21"/>
                            <w:szCs w:val="21"/>
                          </w:rPr>
                          <w:t> </w:t>
                        </w:r>
                        <w:r>
                          <w:rPr>
                            <w:rFonts w:ascii="宋体" w:hAnsi="宋体" w:cs="宋体" w:eastAsia="宋体" w:hint="default"/>
                            <w:sz w:val="21"/>
                            <w:szCs w:val="21"/>
                          </w:rPr>
                          <w:t>八次（临时）会议和</w:t>
                        </w:r>
                        <w:r>
                          <w:rPr>
                            <w:rFonts w:ascii="宋体" w:hAnsi="宋体" w:cs="宋体" w:eastAsia="宋体" w:hint="default"/>
                            <w:w w:val="100"/>
                            <w:sz w:val="21"/>
                            <w:szCs w:val="21"/>
                          </w:rPr>
                          <w:t> </w:t>
                        </w:r>
                        <w:r>
                          <w:rPr>
                            <w:rFonts w:ascii="宋体" w:hAnsi="宋体" w:cs="宋体" w:eastAsia="宋体" w:hint="default"/>
                            <w:sz w:val="21"/>
                            <w:szCs w:val="21"/>
                          </w:rPr>
                          <w:t>第三届董事会审计委</w:t>
                        </w:r>
                        <w:r>
                          <w:rPr>
                            <w:rFonts w:ascii="宋体" w:hAnsi="宋体" w:cs="宋体" w:eastAsia="宋体" w:hint="default"/>
                            <w:w w:val="100"/>
                            <w:sz w:val="21"/>
                            <w:szCs w:val="21"/>
                          </w:rPr>
                          <w:t> </w:t>
                        </w:r>
                        <w:r>
                          <w:rPr>
                            <w:rFonts w:ascii="宋体" w:hAnsi="宋体" w:cs="宋体" w:eastAsia="宋体" w:hint="default"/>
                            <w:spacing w:val="-8"/>
                            <w:sz w:val="21"/>
                            <w:szCs w:val="21"/>
                          </w:rPr>
                          <w:t>员会议（</w:t>
                        </w:r>
                        <w:r>
                          <w:rPr>
                            <w:rFonts w:ascii="宋体" w:hAnsi="宋体" w:cs="宋体" w:eastAsia="宋体" w:hint="default"/>
                            <w:spacing w:val="-8"/>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年第八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次）审议通过。具体</w:t>
                        </w:r>
                        <w:r>
                          <w:rPr>
                            <w:rFonts w:ascii="宋体" w:hAnsi="宋体" w:cs="宋体" w:eastAsia="宋体" w:hint="default"/>
                            <w:w w:val="100"/>
                            <w:sz w:val="21"/>
                            <w:szCs w:val="21"/>
                          </w:rPr>
                          <w:t> </w:t>
                        </w:r>
                        <w:r>
                          <w:rPr>
                            <w:rFonts w:ascii="宋体" w:hAnsi="宋体" w:cs="宋体" w:eastAsia="宋体" w:hint="default"/>
                            <w:sz w:val="21"/>
                            <w:szCs w:val="21"/>
                          </w:rPr>
                          <w:t>内容详见</w:t>
                        </w:r>
                        <w:r>
                          <w:rPr>
                            <w:rFonts w:ascii="宋体" w:hAnsi="宋体" w:cs="宋体" w:eastAsia="宋体" w:hint="default"/>
                            <w:spacing w:val="-35"/>
                            <w:sz w:val="21"/>
                            <w:szCs w:val="21"/>
                          </w:rPr>
                          <w:t> </w:t>
                        </w:r>
                        <w:r>
                          <w:rPr>
                            <w:rFonts w:ascii="宋体" w:hAnsi="宋体" w:cs="宋体" w:eastAsia="宋体" w:hint="default"/>
                            <w:sz w:val="21"/>
                            <w:szCs w:val="21"/>
                          </w:rPr>
                          <w:t>2018</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5"/>
                            <w:sz w:val="21"/>
                            <w:szCs w:val="21"/>
                          </w:rPr>
                          <w:t> </w:t>
                        </w:r>
                        <w:r>
                          <w:rPr>
                            <w:rFonts w:ascii="宋体" w:hAnsi="宋体" w:cs="宋体" w:eastAsia="宋体" w:hint="default"/>
                            <w:sz w:val="21"/>
                            <w:szCs w:val="21"/>
                          </w:rPr>
                          <w:t>12</w:t>
                        </w:r>
                      </w:p>
                      <w:p>
                        <w:pPr>
                          <w:pStyle w:val="TableParagraph"/>
                          <w:spacing w:line="314" w:lineRule="auto" w:before="20"/>
                          <w:ind w:left="103" w:right="98"/>
                          <w:jc w:val="both"/>
                          <w:rPr>
                            <w:rFonts w:ascii="宋体" w:hAnsi="宋体" w:cs="宋体" w:eastAsia="宋体" w:hint="default"/>
                            <w:sz w:val="21"/>
                            <w:szCs w:val="21"/>
                          </w:rPr>
                        </w:pPr>
                        <w:r>
                          <w:rPr>
                            <w:rFonts w:ascii="宋体" w:hAnsi="宋体" w:cs="宋体" w:eastAsia="宋体" w:hint="default"/>
                            <w:sz w:val="21"/>
                            <w:szCs w:val="21"/>
                          </w:rPr>
                          <w:t>月 </w:t>
                        </w:r>
                        <w:r>
                          <w:rPr>
                            <w:rFonts w:ascii="宋体" w:hAnsi="宋体" w:cs="宋体" w:eastAsia="宋体" w:hint="default"/>
                            <w:sz w:val="21"/>
                            <w:szCs w:val="21"/>
                          </w:rPr>
                          <w:t>27</w:t>
                        </w:r>
                        <w:r>
                          <w:rPr>
                            <w:rFonts w:ascii="宋体" w:hAnsi="宋体" w:cs="宋体" w:eastAsia="宋体" w:hint="default"/>
                            <w:spacing w:val="1"/>
                            <w:sz w:val="21"/>
                            <w:szCs w:val="21"/>
                          </w:rPr>
                          <w:t> </w:t>
                        </w:r>
                        <w:r>
                          <w:rPr>
                            <w:rFonts w:ascii="宋体" w:hAnsi="宋体" w:cs="宋体" w:eastAsia="宋体" w:hint="default"/>
                            <w:sz w:val="21"/>
                            <w:szCs w:val="21"/>
                          </w:rPr>
                          <w:t>日刊登在上海</w:t>
                        </w:r>
                        <w:r>
                          <w:rPr>
                            <w:rFonts w:ascii="宋体" w:hAnsi="宋体" w:cs="宋体" w:eastAsia="宋体" w:hint="default"/>
                            <w:w w:val="100"/>
                            <w:sz w:val="21"/>
                            <w:szCs w:val="21"/>
                          </w:rPr>
                          <w:t> </w:t>
                        </w:r>
                        <w:r>
                          <w:rPr>
                            <w:rFonts w:ascii="宋体" w:hAnsi="宋体" w:cs="宋体" w:eastAsia="宋体" w:hint="default"/>
                            <w:sz w:val="21"/>
                            <w:szCs w:val="21"/>
                          </w:rPr>
                          <w:t>证 券 交 易 网</w:t>
                        </w:r>
                        <w:r>
                          <w:rPr>
                            <w:rFonts w:ascii="宋体" w:hAnsi="宋体" w:cs="宋体" w:eastAsia="宋体" w:hint="default"/>
                            <w:spacing w:val="104"/>
                            <w:sz w:val="21"/>
                            <w:szCs w:val="21"/>
                          </w:rPr>
                          <w:t> </w:t>
                        </w:r>
                        <w:r>
                          <w:rPr>
                            <w:rFonts w:ascii="宋体" w:hAnsi="宋体" w:cs="宋体" w:eastAsia="宋体" w:hint="default"/>
                            <w:sz w:val="21"/>
                            <w:szCs w:val="21"/>
                          </w:rPr>
                          <w:t>站</w:t>
                        </w:r>
                      </w:p>
                      <w:p>
                        <w:pPr>
                          <w:pStyle w:val="TableParagraph"/>
                          <w:spacing w:line="314" w:lineRule="auto" w:before="20"/>
                          <w:ind w:left="103" w:right="98"/>
                          <w:jc w:val="both"/>
                          <w:rPr>
                            <w:rFonts w:ascii="宋体" w:hAnsi="宋体" w:cs="宋体" w:eastAsia="宋体" w:hint="default"/>
                            <w:sz w:val="21"/>
                            <w:szCs w:val="21"/>
                          </w:rPr>
                        </w:pPr>
                        <w:r>
                          <w:rPr>
                            <w:rFonts w:ascii="宋体" w:hAnsi="宋体" w:cs="宋体" w:eastAsia="宋体" w:hint="default"/>
                            <w:sz w:val="21"/>
                            <w:szCs w:val="21"/>
                          </w:rPr>
                          <w:t>（</w:t>
                        </w:r>
                        <w:hyperlink r:id="rId10">
                          <w:r>
                            <w:rPr>
                              <w:rFonts w:ascii="宋体" w:hAnsi="宋体" w:cs="宋体" w:eastAsia="宋体" w:hint="default"/>
                              <w:sz w:val="21"/>
                              <w:szCs w:val="21"/>
                            </w:rPr>
                            <w:t>www.sse.com.cn</w:t>
                          </w:r>
                        </w:hyperlink>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的《新华网股份有限</w:t>
                        </w:r>
                        <w:r>
                          <w:rPr>
                            <w:rFonts w:ascii="宋体" w:hAnsi="宋体" w:cs="宋体" w:eastAsia="宋体" w:hint="default"/>
                            <w:w w:val="100"/>
                            <w:sz w:val="21"/>
                            <w:szCs w:val="21"/>
                          </w:rPr>
                          <w:t> </w:t>
                        </w:r>
                        <w:r>
                          <w:rPr>
                            <w:rFonts w:ascii="宋体" w:hAnsi="宋体" w:cs="宋体" w:eastAsia="宋体" w:hint="default"/>
                            <w:sz w:val="21"/>
                            <w:szCs w:val="21"/>
                          </w:rPr>
                          <w:t>公司关于会计政策变</w:t>
                        </w:r>
                        <w:r>
                          <w:rPr>
                            <w:rFonts w:ascii="宋体" w:hAnsi="宋体" w:cs="宋体" w:eastAsia="宋体" w:hint="default"/>
                            <w:w w:val="100"/>
                            <w:sz w:val="21"/>
                            <w:szCs w:val="21"/>
                          </w:rPr>
                          <w:t> </w:t>
                        </w:r>
                        <w:r>
                          <w:rPr>
                            <w:rFonts w:ascii="宋体" w:hAnsi="宋体" w:cs="宋体" w:eastAsia="宋体" w:hint="default"/>
                            <w:sz w:val="21"/>
                            <w:szCs w:val="21"/>
                          </w:rPr>
                          <w:t>更的公告》（公告编</w:t>
                        </w:r>
                        <w:r>
                          <w:rPr>
                            <w:rFonts w:ascii="宋体" w:hAnsi="宋体" w:cs="宋体" w:eastAsia="宋体" w:hint="default"/>
                            <w:w w:val="100"/>
                            <w:sz w:val="21"/>
                            <w:szCs w:val="21"/>
                          </w:rPr>
                          <w:t> </w:t>
                        </w:r>
                        <w:r>
                          <w:rPr>
                            <w:rFonts w:ascii="宋体" w:hAnsi="宋体" w:cs="宋体" w:eastAsia="宋体" w:hint="default"/>
                            <w:sz w:val="21"/>
                            <w:szCs w:val="21"/>
                          </w:rPr>
                          <w:t>号：</w:t>
                        </w:r>
                        <w:r>
                          <w:rPr>
                            <w:rFonts w:ascii="宋体" w:hAnsi="宋体" w:cs="宋体" w:eastAsia="宋体" w:hint="default"/>
                            <w:sz w:val="21"/>
                            <w:szCs w:val="21"/>
                          </w:rPr>
                          <w:t>2018-043</w:t>
                        </w:r>
                        <w:r>
                          <w:rPr>
                            <w:rFonts w:ascii="宋体" w:hAnsi="宋体" w:cs="宋体" w:eastAsia="宋体" w:hint="default"/>
                            <w:sz w:val="21"/>
                            <w:szCs w:val="21"/>
                          </w:rPr>
                          <w:t>）。</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96"/>
                          <w:jc w:val="both"/>
                          <w:rPr>
                            <w:rFonts w:ascii="宋体" w:hAnsi="宋体" w:cs="宋体" w:eastAsia="宋体" w:hint="default"/>
                            <w:sz w:val="21"/>
                            <w:szCs w:val="21"/>
                          </w:rPr>
                        </w:pPr>
                        <w:r>
                          <w:rPr>
                            <w:rFonts w:ascii="宋体" w:hAnsi="宋体" w:cs="宋体" w:eastAsia="宋体" w:hint="default"/>
                            <w:sz w:val="21"/>
                            <w:szCs w:val="21"/>
                          </w:rPr>
                          <w:t>根据准则衔接规定，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企业应当按照新金融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工具准则的要求列报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相关信息，比较财务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报表列报的信息与新</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准则要求不一致的，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无须调整。新金融工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具准则的执行，预计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对公司 </w:t>
                        </w:r>
                        <w:r>
                          <w:rPr>
                            <w:rFonts w:ascii="宋体" w:hAnsi="宋体" w:cs="宋体" w:eastAsia="宋体" w:hint="default"/>
                            <w:sz w:val="21"/>
                            <w:szCs w:val="21"/>
                          </w:rPr>
                          <w:t>2019</w:t>
                        </w:r>
                        <w:r>
                          <w:rPr>
                            <w:rFonts w:ascii="宋体" w:hAnsi="宋体" w:cs="宋体" w:eastAsia="宋体" w:hint="default"/>
                            <w:spacing w:val="15"/>
                            <w:sz w:val="21"/>
                            <w:szCs w:val="21"/>
                          </w:rPr>
                          <w:t> </w:t>
                        </w:r>
                        <w:r>
                          <w:rPr>
                            <w:rFonts w:ascii="宋体" w:hAnsi="宋体" w:cs="宋体" w:eastAsia="宋体" w:hint="default"/>
                            <w:spacing w:val="2"/>
                            <w:sz w:val="21"/>
                            <w:szCs w:val="21"/>
                          </w:rPr>
                          <w:t>年财务</w:t>
                        </w:r>
                        <w:r>
                          <w:rPr>
                            <w:rFonts w:ascii="宋体" w:hAnsi="宋体" w:cs="宋体" w:eastAsia="宋体" w:hint="default"/>
                            <w:spacing w:val="2"/>
                            <w:w w:val="100"/>
                            <w:sz w:val="21"/>
                            <w:szCs w:val="21"/>
                          </w:rPr>
                          <w:t> </w:t>
                        </w:r>
                        <w:r>
                          <w:rPr>
                            <w:rFonts w:ascii="宋体" w:hAnsi="宋体" w:cs="宋体" w:eastAsia="宋体" w:hint="default"/>
                            <w:sz w:val="21"/>
                            <w:szCs w:val="21"/>
                          </w:rPr>
                          <w:t>报表产生一定影响。</w:t>
                        </w:r>
                      </w:p>
                    </w:tc>
                  </w:tr>
                </w:tbl>
                <w:p>
                  <w:pPr/>
                </w:p>
              </w:txbxContent>
            </v:textbox>
            <w10:wrap type="none"/>
          </v:shape>
        </w:pict>
      </w:r>
      <w:r>
        <w:rPr/>
        <w:t>则第</w:t>
      </w:r>
      <w:r>
        <w:rPr>
          <w:spacing w:val="-53"/>
        </w:rPr>
        <w:t> </w:t>
      </w:r>
      <w:r>
        <w:rPr>
          <w:rFonts w:ascii="宋体" w:hAnsi="宋体" w:cs="宋体" w:eastAsia="宋体" w:hint="default"/>
        </w:rPr>
        <w:t>37</w:t>
      </w:r>
      <w:r>
        <w:rPr>
          <w:rFonts w:ascii="宋体" w:hAnsi="宋体" w:cs="宋体" w:eastAsia="宋体" w:hint="default"/>
          <w:spacing w:val="-53"/>
        </w:rPr>
        <w:t> </w:t>
      </w:r>
      <w:r>
        <w:rPr/>
        <w:t>号——金融工具列报》，并要求境内上市的企业自</w:t>
      </w:r>
      <w:r>
        <w:rPr>
          <w:spacing w:val="-50"/>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0"/>
        </w:rPr>
        <w:t> </w:t>
      </w:r>
      <w:r>
        <w:rPr/>
        <w:t>日起施行新金融工具相</w:t>
      </w:r>
      <w:r>
        <w:rPr>
          <w:w w:val="100"/>
        </w:rPr>
        <w:t> </w:t>
      </w:r>
      <w:r>
        <w:rPr/>
        <w:t>关会计准则。会计政策变更及审批程序等具体内容如下：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Heading2"/>
        <w:tabs>
          <w:tab w:pos="1057" w:val="left" w:leader="none"/>
        </w:tabs>
        <w:spacing w:line="240" w:lineRule="auto"/>
        <w:ind w:right="0"/>
        <w:jc w:val="left"/>
        <w:rPr>
          <w:b w:val="0"/>
          <w:bCs w:val="0"/>
        </w:rPr>
      </w:pPr>
      <w:r>
        <w:rPr/>
        <w:t>（二）</w:t>
        <w:tab/>
      </w:r>
      <w:r>
        <w:rPr>
          <w:spacing w:val="-1"/>
        </w:rPr>
        <w:t>公司对重大会计差错更正原因及影响的分析说明</w:t>
      </w:r>
      <w:r>
        <w:rPr>
          <w:b w:val="0"/>
          <w:bCs w:val="0"/>
          <w:spacing w:val="-1"/>
        </w:rPr>
      </w:r>
    </w:p>
    <w:p>
      <w:pPr>
        <w:pStyle w:val="BodyText"/>
        <w:tabs>
          <w:tab w:pos="1060" w:val="left" w:leader="none"/>
        </w:tabs>
        <w:spacing w:line="240" w:lineRule="auto" w:before="56"/>
        <w:ind w:right="0"/>
        <w:jc w:val="left"/>
      </w:pPr>
      <w:r>
        <w:rPr>
          <w:spacing w:val="-1"/>
        </w:rPr>
        <w:t>□适用</w:t>
        <w:tab/>
      </w:r>
      <w:r>
        <w:rPr>
          <w:spacing w:val="-2"/>
        </w:rPr>
        <w:t>√不适用</w:t>
      </w:r>
    </w:p>
    <w:p>
      <w:pPr>
        <w:pStyle w:val="Heading2"/>
        <w:tabs>
          <w:tab w:pos="1057" w:val="left" w:leader="none"/>
        </w:tabs>
        <w:spacing w:line="240" w:lineRule="auto" w:before="58"/>
        <w:ind w:right="0"/>
        <w:jc w:val="left"/>
        <w:rPr>
          <w:b w:val="0"/>
          <w:bCs w:val="0"/>
        </w:rPr>
      </w:pPr>
      <w:r>
        <w:rPr/>
        <w:t>（三）</w:t>
        <w:tab/>
        <w:t>与前任会计师事务所进行的沟通情况</w:t>
      </w:r>
      <w:r>
        <w:rPr>
          <w:b w:val="0"/>
          <w:bCs w:val="0"/>
        </w:rPr>
      </w:r>
    </w:p>
    <w:p>
      <w:pPr>
        <w:pStyle w:val="BodyText"/>
        <w:tabs>
          <w:tab w:pos="1060" w:val="left" w:leader="none"/>
        </w:tabs>
        <w:spacing w:line="240" w:lineRule="auto" w:before="56"/>
        <w:ind w:right="0"/>
        <w:jc w:val="left"/>
      </w:pPr>
      <w:r>
        <w:rPr>
          <w:spacing w:val="-1"/>
        </w:rPr>
        <w:t>□适用</w:t>
        <w:tab/>
      </w:r>
      <w:r>
        <w:rPr>
          <w:spacing w:val="-2"/>
        </w:rPr>
        <w:t>√不适用</w:t>
      </w:r>
    </w:p>
    <w:p>
      <w:pPr>
        <w:pStyle w:val="Heading2"/>
        <w:tabs>
          <w:tab w:pos="1057" w:val="left" w:leader="none"/>
        </w:tabs>
        <w:spacing w:line="240" w:lineRule="auto" w:before="56"/>
        <w:ind w:right="0"/>
        <w:jc w:val="left"/>
        <w:rPr>
          <w:b w:val="0"/>
          <w:bCs w:val="0"/>
        </w:rPr>
      </w:pPr>
      <w:r>
        <w:rPr/>
        <w:t>（四）</w:t>
        <w:tab/>
        <w:t>其他说明</w:t>
      </w:r>
      <w:r>
        <w:rPr>
          <w:b w:val="0"/>
          <w:bCs w:val="0"/>
        </w:rPr>
      </w:r>
    </w:p>
    <w:p>
      <w:pPr>
        <w:tabs>
          <w:tab w:pos="1060" w:val="left" w:leader="none"/>
        </w:tabs>
        <w:spacing w:line="290" w:lineRule="auto" w:before="58"/>
        <w:ind w:left="218" w:right="210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六、聘任、解聘会计师事务所情况</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5487" w:space="823"/>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4037"/>
        <w:gridCol w:w="1995"/>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25</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p>
        </w:tc>
        <w:tc>
          <w:tcPr>
            <w:tcW w:w="4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中国国际金融股份有限公司</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pStyle w:val="BodyText"/>
        <w:spacing w:line="239" w:lineRule="exact"/>
        <w:ind w:right="3319"/>
        <w:jc w:val="left"/>
      </w:pPr>
      <w:r>
        <w:rPr/>
        <w:t>聘任、解聘会计师事务所的情况说明</w:t>
      </w:r>
    </w:p>
    <w:p>
      <w:pPr>
        <w:pStyle w:val="BodyText"/>
        <w:spacing w:line="272" w:lineRule="exact" w:before="26"/>
        <w:ind w:right="4688"/>
        <w:jc w:val="left"/>
      </w:pPr>
      <w:r>
        <w:rPr/>
        <w:t>□适用</w:t>
      </w:r>
      <w:r>
        <w:rPr>
          <w:spacing w:val="-2"/>
        </w:rPr>
        <w:t> </w:t>
      </w:r>
      <w:r>
        <w:rPr/>
        <w:t>√不适用</w:t>
      </w:r>
      <w:r>
        <w:rPr>
          <w:w w:val="100"/>
        </w:rPr>
        <w:t> </w:t>
      </w:r>
      <w:r>
        <w:rPr>
          <w:spacing w:val="-2"/>
        </w:rPr>
        <w:t>审计期间改聘会计师事务所的情况说明</w:t>
      </w:r>
    </w:p>
    <w:p>
      <w:pPr>
        <w:pStyle w:val="BodyText"/>
        <w:tabs>
          <w:tab w:pos="1060" w:val="left" w:leader="none"/>
        </w:tabs>
        <w:spacing w:line="249" w:lineRule="exact"/>
        <w:ind w:right="3319"/>
        <w:jc w:val="left"/>
      </w:pPr>
      <w:r>
        <w:rPr>
          <w:spacing w:val="-1"/>
        </w:rPr>
        <w:t>□适用</w:t>
        <w:tab/>
      </w:r>
      <w:r>
        <w:rPr>
          <w:spacing w:val="-2"/>
        </w:rPr>
        <w:t>√不适用</w:t>
      </w:r>
    </w:p>
    <w:p>
      <w:pPr>
        <w:pStyle w:val="Heading2"/>
        <w:tabs>
          <w:tab w:pos="1057" w:val="left" w:leader="none"/>
        </w:tabs>
        <w:spacing w:line="290" w:lineRule="auto" w:before="56"/>
        <w:ind w:right="6323"/>
        <w:jc w:val="left"/>
        <w:rPr>
          <w:b w:val="0"/>
          <w:bCs w:val="0"/>
        </w:rPr>
      </w:pPr>
      <w:r>
        <w:rPr/>
        <w:t>七、面临暂停上市风险的情况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t>导致暂停上市的原因</w:t>
      </w:r>
      <w:r>
        <w:rPr>
          <w:b w:val="0"/>
          <w:bCs w:val="0"/>
        </w:rPr>
      </w:r>
    </w:p>
    <w:p>
      <w:pPr>
        <w:pStyle w:val="BodyText"/>
        <w:tabs>
          <w:tab w:pos="1060" w:val="left" w:leader="none"/>
        </w:tabs>
        <w:spacing w:line="240" w:lineRule="auto" w:before="12"/>
        <w:ind w:right="3319"/>
        <w:jc w:val="left"/>
      </w:pPr>
      <w:r>
        <w:rPr>
          <w:spacing w:val="-1"/>
        </w:rPr>
        <w:t>□适用</w:t>
        <w:tab/>
      </w:r>
      <w:r>
        <w:rPr>
          <w:spacing w:val="-2"/>
        </w:rPr>
        <w:t>√不适用</w:t>
      </w:r>
    </w:p>
    <w:p>
      <w:pPr>
        <w:pStyle w:val="Heading2"/>
        <w:tabs>
          <w:tab w:pos="1057" w:val="left" w:leader="none"/>
        </w:tabs>
        <w:spacing w:line="240" w:lineRule="auto" w:before="58"/>
        <w:ind w:right="3319"/>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公司拟采取的应对措施</w:t>
      </w:r>
      <w:r>
        <w:rPr>
          <w:b w:val="0"/>
          <w:bCs w:val="0"/>
          <w:spacing w:val="-1"/>
        </w:rPr>
      </w:r>
    </w:p>
    <w:p>
      <w:pPr>
        <w:spacing w:line="290" w:lineRule="auto" w:before="57"/>
        <w:ind w:left="218" w:right="611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八、面临终止上市的情况和原因</w:t>
      </w:r>
      <w:r>
        <w:rPr>
          <w:rFonts w:ascii="宋体" w:hAnsi="宋体" w:cs="宋体" w:eastAsia="宋体" w:hint="default"/>
          <w:spacing w:val="-1"/>
          <w:sz w:val="21"/>
          <w:szCs w:val="21"/>
        </w:rPr>
      </w:r>
    </w:p>
    <w:p>
      <w:pPr>
        <w:tabs>
          <w:tab w:pos="1060" w:val="left" w:leader="none"/>
        </w:tabs>
        <w:spacing w:line="290" w:lineRule="auto" w:before="12"/>
        <w:ind w:left="218" w:right="695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九、破产重整相关事项</w:t>
      </w:r>
      <w:r>
        <w:rPr>
          <w:rFonts w:ascii="宋体" w:hAnsi="宋体" w:cs="宋体" w:eastAsia="宋体" w:hint="default"/>
          <w:sz w:val="21"/>
          <w:szCs w:val="21"/>
        </w:rPr>
      </w:r>
    </w:p>
    <w:p>
      <w:pPr>
        <w:spacing w:line="290" w:lineRule="auto" w:before="12"/>
        <w:ind w:left="218" w:right="672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十、重大诉讼、仲裁事项</w:t>
      </w:r>
      <w:r>
        <w:rPr>
          <w:rFonts w:ascii="宋体" w:hAnsi="宋体" w:cs="宋体" w:eastAsia="宋体" w:hint="default"/>
          <w:sz w:val="21"/>
          <w:szCs w:val="21"/>
        </w:rPr>
      </w:r>
    </w:p>
    <w:p>
      <w:pPr>
        <w:spacing w:line="290" w:lineRule="auto" w:before="12"/>
        <w:ind w:left="218" w:right="217" w:firstLine="0"/>
        <w:jc w:val="left"/>
        <w:rPr>
          <w:rFonts w:ascii="宋体" w:hAnsi="宋体" w:cs="宋体" w:eastAsia="宋体" w:hint="default"/>
          <w:sz w:val="21"/>
          <w:szCs w:val="21"/>
        </w:rPr>
      </w:pPr>
      <w:r>
        <w:rPr>
          <w:rFonts w:ascii="宋体" w:hAnsi="宋体" w:cs="宋体" w:eastAsia="宋体" w:hint="default"/>
          <w:sz w:val="21"/>
          <w:szCs w:val="21"/>
        </w:rPr>
        <w:t>□本年度公司有重大诉讼、仲裁事项</w:t>
      </w:r>
      <w:r>
        <w:rPr>
          <w:rFonts w:ascii="宋体" w:hAnsi="宋体" w:cs="宋体" w:eastAsia="宋体" w:hint="default"/>
          <w:spacing w:val="-3"/>
          <w:sz w:val="21"/>
          <w:szCs w:val="21"/>
        </w:rPr>
        <w:t> </w:t>
      </w:r>
      <w:r>
        <w:rPr>
          <w:rFonts w:ascii="宋体" w:hAnsi="宋体" w:cs="宋体" w:eastAsia="宋体" w:hint="default"/>
          <w:sz w:val="21"/>
          <w:szCs w:val="21"/>
        </w:rPr>
        <w:t>√本年度公司无重大诉讼、仲裁事项</w:t>
      </w:r>
      <w:r>
        <w:rPr>
          <w:rFonts w:ascii="宋体" w:hAnsi="宋体" w:cs="宋体" w:eastAsia="宋体" w:hint="default"/>
          <w:w w:val="100"/>
          <w:sz w:val="21"/>
          <w:szCs w:val="21"/>
        </w:rPr>
        <w:t> </w:t>
      </w:r>
      <w:r>
        <w:rPr>
          <w:rFonts w:ascii="宋体" w:hAnsi="宋体" w:cs="宋体" w:eastAsia="宋体" w:hint="default"/>
          <w:b/>
          <w:bCs/>
          <w:spacing w:val="-1"/>
          <w:sz w:val="21"/>
          <w:szCs w:val="21"/>
        </w:rPr>
        <w:t>十一、上市公司及其董事、监事、高级管理人员、控股股东、实际控制人、收购人处罚及整改情</w:t>
      </w:r>
      <w:r>
        <w:rPr>
          <w:rFonts w:ascii="宋体" w:hAnsi="宋体" w:cs="宋体" w:eastAsia="宋体" w:hint="default"/>
          <w:spacing w:val="-1"/>
          <w:sz w:val="21"/>
          <w:szCs w:val="21"/>
        </w:rPr>
      </w:r>
    </w:p>
    <w:p>
      <w:pPr>
        <w:pStyle w:val="Heading2"/>
        <w:spacing w:line="227" w:lineRule="exact" w:before="0"/>
        <w:ind w:left="638" w:right="3319"/>
        <w:jc w:val="left"/>
        <w:rPr>
          <w:b w:val="0"/>
          <w:bCs w:val="0"/>
        </w:rPr>
      </w:pPr>
      <w:r>
        <w:rPr>
          <w:w w:val="100"/>
        </w:rPr>
        <w:t>况</w:t>
      </w:r>
      <w:r>
        <w:rPr>
          <w:b w:val="0"/>
          <w:bCs w:val="0"/>
          <w:w w:val="100"/>
        </w:rPr>
      </w:r>
    </w:p>
    <w:p>
      <w:pPr>
        <w:spacing w:line="290" w:lineRule="auto" w:before="58"/>
        <w:ind w:left="218" w:right="296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十二、报告期内公司及其控股股东、实际控制人诚信状况的说明</w:t>
      </w:r>
      <w:r>
        <w:rPr>
          <w:rFonts w:ascii="宋体" w:hAnsi="宋体" w:cs="宋体" w:eastAsia="宋体" w:hint="default"/>
          <w:spacing w:val="-1"/>
          <w:sz w:val="21"/>
          <w:szCs w:val="21"/>
        </w:rPr>
      </w:r>
    </w:p>
    <w:p>
      <w:pPr>
        <w:pStyle w:val="BodyText"/>
        <w:tabs>
          <w:tab w:pos="1060" w:val="left" w:leader="none"/>
        </w:tabs>
        <w:spacing w:line="304" w:lineRule="auto" w:before="14"/>
        <w:ind w:left="638" w:right="234" w:hanging="420"/>
        <w:jc w:val="left"/>
      </w:pPr>
      <w:r>
        <w:rPr>
          <w:spacing w:val="-1"/>
        </w:rPr>
        <w:t>√适用</w:t>
        <w:tab/>
      </w:r>
      <w:r>
        <w:rPr>
          <w:spacing w:val="-2"/>
        </w:rPr>
        <w:t>□不适用</w:t>
      </w:r>
      <w:r>
        <w:rPr>
          <w:spacing w:val="-99"/>
        </w:rPr>
        <w:t> </w:t>
      </w:r>
      <w:r>
        <w:rPr>
          <w:spacing w:val="-99"/>
        </w:rPr>
      </w:r>
      <w:r>
        <w:rPr>
          <w:spacing w:val="-2"/>
        </w:rPr>
        <w:t>报告期内公司及其控股股东、实际控制人的诚信状况良好，不存在重大失信情况，包括但不</w:t>
      </w:r>
    </w:p>
    <w:p>
      <w:pPr>
        <w:spacing w:line="307" w:lineRule="auto" w:before="28"/>
        <w:ind w:left="218" w:right="227" w:firstLine="0"/>
        <w:jc w:val="left"/>
        <w:rPr>
          <w:rFonts w:ascii="宋体" w:hAnsi="宋体" w:cs="宋体" w:eastAsia="宋体" w:hint="default"/>
          <w:sz w:val="21"/>
          <w:szCs w:val="21"/>
        </w:rPr>
      </w:pPr>
      <w:r>
        <w:rPr>
          <w:rFonts w:ascii="宋体" w:hAnsi="宋体" w:cs="宋体" w:eastAsia="宋体" w:hint="default"/>
          <w:spacing w:val="-1"/>
          <w:sz w:val="21"/>
          <w:szCs w:val="21"/>
        </w:rPr>
        <w:t>限于未履行法院生效判决、未按期偿还大额债务、未履行承诺、被证监会采取行政监管措施或受</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到证券交易所纪律处分的情况等。</w:t>
      </w:r>
      <w:r>
        <w:rPr>
          <w:rFonts w:ascii="宋体" w:hAnsi="宋体" w:cs="宋体" w:eastAsia="宋体" w:hint="default"/>
          <w:w w:val="100"/>
          <w:sz w:val="21"/>
          <w:szCs w:val="21"/>
        </w:rPr>
        <w:t> </w:t>
      </w:r>
      <w:r>
        <w:rPr>
          <w:rFonts w:ascii="宋体" w:hAnsi="宋体" w:cs="宋体" w:eastAsia="宋体" w:hint="default"/>
          <w:b/>
          <w:bCs/>
          <w:sz w:val="21"/>
          <w:szCs w:val="21"/>
        </w:rPr>
        <w:t>十三、公司股权激励计划、员工持股计划或其他员工激励措施的情况及其影响</w:t>
      </w:r>
      <w:r>
        <w:rPr>
          <w:rFonts w:ascii="宋体" w:hAnsi="宋体" w:cs="宋体" w:eastAsia="宋体" w:hint="default"/>
          <w:sz w:val="21"/>
          <w:szCs w:val="21"/>
        </w:rPr>
      </w:r>
    </w:p>
    <w:p>
      <w:pPr>
        <w:pStyle w:val="Heading2"/>
        <w:spacing w:line="240" w:lineRule="auto" w:before="0"/>
        <w:ind w:right="227"/>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4"/>
        </w:rPr>
        <w:t> </w:t>
      </w:r>
      <w:r>
        <w:rPr/>
        <w:t>相关激励事项已在临时公告披露且后续实施无进展或变化的</w:t>
      </w:r>
      <w:r>
        <w:rPr>
          <w:b w:val="0"/>
          <w:bCs w:val="0"/>
        </w:rPr>
      </w:r>
    </w:p>
    <w:p>
      <w:pPr>
        <w:pStyle w:val="BodyText"/>
        <w:spacing w:line="240" w:lineRule="auto" w:before="56"/>
        <w:ind w:right="3319"/>
        <w:jc w:val="left"/>
      </w:pPr>
      <w:r>
        <w:rPr/>
        <w:t>□适用</w:t>
      </w:r>
      <w:r>
        <w:rPr>
          <w:spacing w:val="-1"/>
        </w:rPr>
        <w:t> </w:t>
      </w:r>
      <w:r>
        <w:rPr/>
        <w:t>√不适用</w:t>
      </w:r>
    </w:p>
    <w:p>
      <w:pPr>
        <w:spacing w:line="292" w:lineRule="auto" w:before="56"/>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4" w:lineRule="exact"/>
        <w:ind w:right="3319"/>
        <w:jc w:val="left"/>
      </w:pPr>
      <w:r>
        <w:rPr/>
        <w:t>□适用</w:t>
      </w:r>
      <w:r>
        <w:rPr>
          <w:spacing w:val="-1"/>
        </w:rPr>
        <w:t> </w:t>
      </w:r>
      <w:r>
        <w:rPr/>
        <w:t>√不适用</w:t>
      </w:r>
    </w:p>
    <w:p>
      <w:pPr>
        <w:pStyle w:val="BodyText"/>
        <w:spacing w:line="272" w:lineRule="exact"/>
        <w:ind w:right="3319"/>
        <w:jc w:val="left"/>
      </w:pPr>
      <w:r>
        <w:rPr/>
        <w:t>其他说明</w:t>
      </w:r>
    </w:p>
    <w:p>
      <w:pPr>
        <w:pStyle w:val="BodyText"/>
        <w:tabs>
          <w:tab w:pos="1060" w:val="left" w:leader="none"/>
        </w:tabs>
        <w:spacing w:line="240" w:lineRule="auto"/>
        <w:ind w:right="7383"/>
        <w:jc w:val="left"/>
      </w:pPr>
      <w:r>
        <w:rPr>
          <w:spacing w:val="-1"/>
        </w:rPr>
        <w:t>□适用</w:t>
        <w:tab/>
      </w:r>
      <w:r>
        <w:rPr>
          <w:spacing w:val="-2"/>
        </w:rPr>
        <w:t>√不适用</w:t>
      </w:r>
      <w:r>
        <w:rPr>
          <w:spacing w:val="-99"/>
        </w:rPr>
        <w:t> </w:t>
      </w:r>
      <w:r>
        <w:rPr>
          <w:spacing w:val="-99"/>
        </w:rPr>
      </w:r>
      <w:r>
        <w:rPr>
          <w:spacing w:val="-2"/>
        </w:rPr>
        <w:t>员工持股计划情况</w:t>
      </w:r>
    </w:p>
    <w:p>
      <w:pPr>
        <w:pStyle w:val="BodyText"/>
        <w:tabs>
          <w:tab w:pos="1060" w:val="left" w:leader="none"/>
        </w:tabs>
        <w:spacing w:line="274" w:lineRule="exact" w:before="22"/>
        <w:ind w:right="7383"/>
        <w:jc w:val="left"/>
      </w:pPr>
      <w:r>
        <w:rPr>
          <w:spacing w:val="-1"/>
        </w:rPr>
        <w:t>□适用</w:t>
        <w:tab/>
      </w:r>
      <w:r>
        <w:rPr>
          <w:spacing w:val="-2"/>
        </w:rPr>
        <w:t>√不适用</w:t>
      </w:r>
      <w:r>
        <w:rPr>
          <w:spacing w:val="-99"/>
        </w:rPr>
        <w:t> </w:t>
      </w:r>
      <w:r>
        <w:rPr>
          <w:spacing w:val="-99"/>
        </w:rPr>
      </w:r>
      <w:r>
        <w:rPr/>
        <w:t>其他激励措施</w:t>
      </w:r>
    </w:p>
    <w:p>
      <w:pPr>
        <w:pStyle w:val="BodyText"/>
        <w:spacing w:line="246" w:lineRule="exact"/>
        <w:ind w:right="3319"/>
        <w:jc w:val="left"/>
      </w:pPr>
      <w:r>
        <w:rPr/>
        <w:t>□适用</w:t>
      </w:r>
      <w:r>
        <w:rPr>
          <w:spacing w:val="-1"/>
        </w:rPr>
        <w:t> </w:t>
      </w:r>
      <w:r>
        <w:rPr/>
        <w:t>√不适用</w:t>
      </w:r>
    </w:p>
    <w:p>
      <w:pPr>
        <w:pStyle w:val="Heading2"/>
        <w:spacing w:line="240" w:lineRule="auto" w:before="58"/>
        <w:ind w:right="3319"/>
        <w:jc w:val="left"/>
        <w:rPr>
          <w:b w:val="0"/>
          <w:bCs w:val="0"/>
        </w:rPr>
      </w:pPr>
      <w:r>
        <w:rPr/>
        <w:t>十四、重大关联交易</w:t>
      </w:r>
      <w:r>
        <w:rPr>
          <w:b w:val="0"/>
          <w:bCs w:val="0"/>
        </w:rPr>
      </w:r>
    </w:p>
    <w:p>
      <w:pPr>
        <w:pStyle w:val="Heading2"/>
        <w:spacing w:line="240" w:lineRule="auto" w:before="56"/>
        <w:ind w:right="33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right="3319"/>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3319"/>
        <w:jc w:val="left"/>
      </w:pPr>
      <w:r>
        <w:rPr/>
        <w:t>□适用</w:t>
      </w:r>
      <w:r>
        <w:rPr>
          <w:spacing w:val="-1"/>
        </w:rPr>
        <w:t> </w:t>
      </w:r>
      <w:r>
        <w:rPr/>
        <w:t>√不适用</w:t>
      </w:r>
    </w:p>
    <w:p>
      <w:pPr>
        <w:pStyle w:val="Heading2"/>
        <w:spacing w:line="240" w:lineRule="auto" w:before="59"/>
        <w:ind w:right="3319"/>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060" w:val="left" w:leader="none"/>
        </w:tabs>
        <w:spacing w:line="240" w:lineRule="auto" w:before="56"/>
        <w:ind w:right="3319"/>
        <w:jc w:val="left"/>
      </w:pPr>
      <w:r>
        <w:rPr>
          <w:spacing w:val="-1"/>
        </w:rPr>
        <w:t>√适用</w:t>
        <w:tab/>
      </w:r>
      <w:r>
        <w:rPr>
          <w:spacing w:val="-2"/>
        </w:rPr>
        <w:t>□不适用</w:t>
      </w:r>
    </w:p>
    <w:p>
      <w:pPr>
        <w:spacing w:after="0" w:line="240" w:lineRule="auto"/>
        <w:jc w:val="left"/>
        <w:sectPr>
          <w:footerReference w:type="default" r:id="rId31"/>
          <w:pgSz w:w="11910" w:h="16840"/>
          <w:pgMar w:footer="1195" w:header="880" w:top="1120" w:bottom="1380" w:left="1580" w:right="1040"/>
          <w:pgNumType w:start="4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7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217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both"/>
              <w:rPr>
                <w:rFonts w:ascii="宋体" w:hAnsi="宋体" w:cs="宋体" w:eastAsia="宋体" w:hint="default"/>
                <w:sz w:val="21"/>
                <w:szCs w:val="21"/>
              </w:rPr>
            </w:pPr>
            <w:r>
              <w:rPr>
                <w:rFonts w:ascii="宋体" w:hAnsi="宋体" w:cs="宋体" w:eastAsia="宋体" w:hint="default"/>
                <w:sz w:val="21"/>
                <w:szCs w:val="21"/>
              </w:rPr>
              <w:t>公司分别于</w:t>
            </w:r>
            <w:r>
              <w:rPr>
                <w:rFonts w:ascii="宋体" w:hAnsi="宋体" w:cs="宋体" w:eastAsia="宋体" w:hint="default"/>
                <w:spacing w:val="-59"/>
                <w:sz w:val="21"/>
                <w:szCs w:val="21"/>
              </w:rPr>
              <w:t> </w:t>
            </w:r>
            <w:r>
              <w:rPr>
                <w:rFonts w:ascii="宋体" w:hAnsi="宋体" w:cs="宋体" w:eastAsia="宋体" w:hint="default"/>
                <w:sz w:val="21"/>
                <w:szCs w:val="21"/>
              </w:rPr>
              <w:t>2018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17</w:t>
            </w:r>
            <w:r>
              <w:rPr>
                <w:rFonts w:ascii="宋体" w:hAnsi="宋体" w:cs="宋体" w:eastAsia="宋体" w:hint="default"/>
                <w:spacing w:val="-56"/>
                <w:sz w:val="21"/>
                <w:szCs w:val="21"/>
              </w:rPr>
              <w:t> </w:t>
            </w:r>
            <w:r>
              <w:rPr>
                <w:rFonts w:ascii="宋体" w:hAnsi="宋体" w:cs="宋体" w:eastAsia="宋体" w:hint="default"/>
                <w:sz w:val="21"/>
                <w:szCs w:val="21"/>
              </w:rPr>
              <w:t>日和</w:t>
            </w:r>
            <w:r>
              <w:rPr>
                <w:rFonts w:ascii="宋体" w:hAnsi="宋体" w:cs="宋体" w:eastAsia="宋体" w:hint="default"/>
                <w:spacing w:val="-56"/>
                <w:sz w:val="21"/>
                <w:szCs w:val="21"/>
              </w:rPr>
              <w:t> </w:t>
            </w:r>
            <w:r>
              <w:rPr>
                <w:rFonts w:ascii="宋体" w:hAnsi="宋体" w:cs="宋体" w:eastAsia="宋体" w:hint="default"/>
                <w:sz w:val="21"/>
                <w:szCs w:val="21"/>
              </w:rPr>
              <w:t>2018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18</w:t>
            </w:r>
          </w:p>
          <w:p>
            <w:pPr>
              <w:pStyle w:val="TableParagraph"/>
              <w:spacing w:line="314" w:lineRule="auto" w:before="85"/>
              <w:ind w:left="103" w:right="96"/>
              <w:jc w:val="both"/>
              <w:rPr>
                <w:rFonts w:ascii="宋体" w:hAnsi="宋体" w:cs="宋体" w:eastAsia="宋体" w:hint="default"/>
                <w:sz w:val="21"/>
                <w:szCs w:val="21"/>
              </w:rPr>
            </w:pPr>
            <w:r>
              <w:rPr>
                <w:rFonts w:ascii="宋体" w:hAnsi="宋体" w:cs="宋体" w:eastAsia="宋体" w:hint="default"/>
                <w:sz w:val="21"/>
                <w:szCs w:val="21"/>
              </w:rPr>
              <w:t>日召开的第三届董事会第五次会议以及</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7"/>
                <w:w w:val="100"/>
                <w:sz w:val="21"/>
                <w:szCs w:val="21"/>
              </w:rPr>
              <w:t>年度股东大会审议通过了《新华网股份有限公司</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关于公司</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年度日常关联交易履行情况及提</w:t>
            </w:r>
          </w:p>
          <w:p>
            <w:pPr>
              <w:pStyle w:val="TableParagraph"/>
              <w:spacing w:line="314" w:lineRule="auto" w:before="20"/>
              <w:ind w:left="103" w:right="96"/>
              <w:jc w:val="both"/>
              <w:rPr>
                <w:rFonts w:ascii="宋体" w:hAnsi="宋体" w:cs="宋体" w:eastAsia="宋体" w:hint="default"/>
                <w:sz w:val="21"/>
                <w:szCs w:val="21"/>
              </w:rPr>
            </w:pPr>
            <w:r>
              <w:rPr>
                <w:rFonts w:ascii="宋体" w:hAnsi="宋体" w:cs="宋体" w:eastAsia="宋体" w:hint="default"/>
                <w:sz w:val="21"/>
                <w:szCs w:val="21"/>
              </w:rPr>
              <w:t>请股东大会授权</w:t>
            </w:r>
            <w:r>
              <w:rPr>
                <w:rFonts w:ascii="宋体" w:hAnsi="宋体" w:cs="宋体" w:eastAsia="宋体" w:hint="default"/>
                <w:spacing w:val="-51"/>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年度日常关联交易预计额</w:t>
            </w:r>
            <w:r>
              <w:rPr>
                <w:rFonts w:ascii="宋体" w:hAnsi="宋体" w:cs="宋体" w:eastAsia="宋体" w:hint="default"/>
                <w:w w:val="100"/>
                <w:sz w:val="21"/>
                <w:szCs w:val="21"/>
              </w:rPr>
              <w:t> </w:t>
            </w:r>
            <w:r>
              <w:rPr>
                <w:rFonts w:ascii="宋体" w:hAnsi="宋体" w:cs="宋体" w:eastAsia="宋体" w:hint="default"/>
                <w:sz w:val="21"/>
                <w:szCs w:val="21"/>
              </w:rPr>
              <w:t>度的议案》。</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103" w:right="96"/>
              <w:jc w:val="both"/>
              <w:rPr>
                <w:rFonts w:ascii="宋体" w:hAnsi="宋体" w:cs="宋体" w:eastAsia="宋体" w:hint="default"/>
                <w:sz w:val="21"/>
                <w:szCs w:val="21"/>
              </w:rPr>
            </w:pPr>
            <w:r>
              <w:rPr>
                <w:rFonts w:ascii="宋体" w:hAnsi="宋体" w:cs="宋体" w:eastAsia="宋体" w:hint="default"/>
                <w:sz w:val="21"/>
                <w:szCs w:val="21"/>
              </w:rPr>
              <w:t>具体内容详见公司于</w:t>
            </w:r>
            <w:r>
              <w:rPr>
                <w:rFonts w:ascii="宋体" w:hAnsi="宋体" w:cs="宋体" w:eastAsia="宋体" w:hint="default"/>
                <w:spacing w:val="-69"/>
                <w:sz w:val="21"/>
                <w:szCs w:val="21"/>
              </w:rPr>
              <w:t> </w:t>
            </w:r>
            <w:r>
              <w:rPr>
                <w:rFonts w:ascii="宋体" w:hAnsi="宋体" w:cs="宋体" w:eastAsia="宋体" w:hint="default"/>
                <w:sz w:val="21"/>
                <w:szCs w:val="21"/>
              </w:rPr>
              <w:t>2018</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4</w:t>
            </w:r>
            <w:r>
              <w:rPr>
                <w:rFonts w:ascii="宋体" w:hAnsi="宋体" w:cs="宋体" w:eastAsia="宋体" w:hint="default"/>
                <w:spacing w:val="-72"/>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18</w:t>
            </w:r>
            <w:r>
              <w:rPr>
                <w:rFonts w:ascii="宋体" w:hAnsi="宋体" w:cs="宋体" w:eastAsia="宋体" w:hint="default"/>
                <w:spacing w:val="-72"/>
                <w:sz w:val="21"/>
                <w:szCs w:val="21"/>
              </w:rPr>
              <w:t> </w:t>
            </w:r>
            <w:r>
              <w:rPr>
                <w:rFonts w:ascii="宋体" w:hAnsi="宋体" w:cs="宋体" w:eastAsia="宋体" w:hint="default"/>
                <w:sz w:val="21"/>
                <w:szCs w:val="21"/>
              </w:rPr>
              <w:t>日刊登在上</w:t>
            </w:r>
            <w:r>
              <w:rPr>
                <w:rFonts w:ascii="宋体" w:hAnsi="宋体" w:cs="宋体" w:eastAsia="宋体" w:hint="default"/>
                <w:w w:val="100"/>
                <w:sz w:val="21"/>
                <w:szCs w:val="21"/>
              </w:rPr>
              <w:t> </w:t>
            </w:r>
            <w:r>
              <w:rPr>
                <w:rFonts w:ascii="宋体" w:hAnsi="宋体" w:cs="宋体" w:eastAsia="宋体" w:hint="default"/>
                <w:spacing w:val="-7"/>
                <w:w w:val="100"/>
                <w:sz w:val="21"/>
                <w:szCs w:val="21"/>
              </w:rPr>
              <w:t>海证券交易所网站上《新华网股份有限公司关于</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年度日常关联交易履行情况及提请股</w:t>
            </w:r>
          </w:p>
          <w:p>
            <w:pPr>
              <w:pStyle w:val="TableParagraph"/>
              <w:spacing w:line="314" w:lineRule="auto" w:before="20"/>
              <w:ind w:left="103" w:right="96"/>
              <w:jc w:val="both"/>
              <w:rPr>
                <w:rFonts w:ascii="宋体" w:hAnsi="宋体" w:cs="宋体" w:eastAsia="宋体" w:hint="default"/>
                <w:sz w:val="21"/>
                <w:szCs w:val="21"/>
              </w:rPr>
            </w:pPr>
            <w:r>
              <w:rPr>
                <w:rFonts w:ascii="宋体" w:hAnsi="宋体" w:cs="宋体" w:eastAsia="宋体" w:hint="default"/>
                <w:sz w:val="21"/>
                <w:szCs w:val="21"/>
              </w:rPr>
              <w:t>东大会授权</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年度日常关联交易预计额度的</w:t>
            </w:r>
            <w:r>
              <w:rPr>
                <w:rFonts w:ascii="宋体" w:hAnsi="宋体" w:cs="宋体" w:eastAsia="宋体" w:hint="default"/>
                <w:w w:val="100"/>
                <w:sz w:val="21"/>
                <w:szCs w:val="21"/>
              </w:rPr>
              <w:t> </w:t>
            </w:r>
            <w:r>
              <w:rPr>
                <w:rFonts w:ascii="宋体" w:hAnsi="宋体" w:cs="宋体" w:eastAsia="宋体" w:hint="default"/>
                <w:sz w:val="21"/>
                <w:szCs w:val="21"/>
              </w:rPr>
              <w:t>公告》（公告编号：</w:t>
            </w:r>
            <w:r>
              <w:rPr>
                <w:rFonts w:ascii="宋体" w:hAnsi="宋体" w:cs="宋体" w:eastAsia="宋体" w:hint="default"/>
                <w:sz w:val="21"/>
                <w:szCs w:val="21"/>
              </w:rPr>
              <w:t>2018-013</w:t>
            </w:r>
            <w:r>
              <w:rPr>
                <w:rFonts w:ascii="宋体" w:hAnsi="宋体" w:cs="宋体" w:eastAsia="宋体" w:hint="default"/>
                <w:sz w:val="21"/>
                <w:szCs w:val="21"/>
              </w:rPr>
              <w:t>）。</w:t>
            </w:r>
          </w:p>
        </w:tc>
      </w:tr>
      <w:tr>
        <w:trPr>
          <w:trHeight w:val="145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103" w:right="96"/>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日召开的第三届董事会</w:t>
            </w:r>
            <w:r>
              <w:rPr>
                <w:rFonts w:ascii="宋体" w:hAnsi="宋体" w:cs="宋体" w:eastAsia="宋体" w:hint="default"/>
                <w:w w:val="100"/>
                <w:sz w:val="21"/>
                <w:szCs w:val="21"/>
              </w:rPr>
              <w:t> </w:t>
            </w:r>
            <w:r>
              <w:rPr>
                <w:rFonts w:ascii="宋体" w:hAnsi="宋体" w:cs="宋体" w:eastAsia="宋体" w:hint="default"/>
                <w:spacing w:val="-7"/>
                <w:sz w:val="21"/>
                <w:szCs w:val="21"/>
              </w:rPr>
              <w:t>第十一次（临时）会议审议通过了《关于调整日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常关联交易额度的议案》。</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3"/>
              <w:jc w:val="left"/>
              <w:rPr>
                <w:rFonts w:ascii="宋体" w:hAnsi="宋体" w:cs="宋体" w:eastAsia="宋体" w:hint="default"/>
                <w:sz w:val="21"/>
                <w:szCs w:val="21"/>
              </w:rPr>
            </w:pPr>
            <w:r>
              <w:rPr>
                <w:rFonts w:ascii="宋体" w:hAnsi="宋体" w:cs="宋体" w:eastAsia="宋体" w:hint="default"/>
                <w:sz w:val="21"/>
                <w:szCs w:val="21"/>
              </w:rPr>
              <w:t>具体内容详见公司于</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z w:val="21"/>
                <w:szCs w:val="21"/>
              </w:rPr>
              <w:t>日刊登在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w w:val="100"/>
                <w:sz w:val="21"/>
                <w:szCs w:val="21"/>
              </w:rPr>
              <w:t>上海证券交易所网站上《新华网股份有限公司关</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2"/>
                <w:sz w:val="21"/>
                <w:szCs w:val="21"/>
              </w:rPr>
              <w:t>于调整日常关联交易额度的公告》（公告编号：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2018-044</w:t>
            </w:r>
            <w:r>
              <w:rPr>
                <w:rFonts w:ascii="宋体" w:hAnsi="宋体" w:cs="宋体" w:eastAsia="宋体" w:hint="default"/>
                <w:sz w:val="21"/>
                <w:szCs w:val="21"/>
              </w:rPr>
              <w:t>）。</w:t>
            </w:r>
          </w:p>
        </w:tc>
      </w:tr>
    </w:tbl>
    <w:p>
      <w:pPr>
        <w:pStyle w:val="BodyText"/>
        <w:spacing w:line="314" w:lineRule="auto" w:before="42"/>
        <w:ind w:right="227" w:firstLine="419"/>
        <w:jc w:val="left"/>
      </w:pPr>
      <w:r>
        <w:rPr>
          <w:spacing w:val="-2"/>
        </w:rPr>
        <w:t>注：关于日常关联交易后续实际履行情况，请参见本报告“第十一节、财务报告之关联方及</w:t>
      </w:r>
      <w:r>
        <w:rPr>
          <w:w w:val="100"/>
        </w:rPr>
        <w:t> </w:t>
      </w:r>
      <w:r>
        <w:rPr/>
        <w:t>关联交易”。</w:t>
      </w:r>
    </w:p>
    <w:p>
      <w:pPr>
        <w:pStyle w:val="Heading2"/>
        <w:spacing w:line="240" w:lineRule="auto" w:before="3"/>
        <w:ind w:right="0"/>
        <w:jc w:val="both"/>
        <w:rPr>
          <w:b w:val="0"/>
          <w:bCs w:val="0"/>
        </w:rPr>
      </w:pPr>
      <w:r>
        <w:rPr>
          <w:rFonts w:ascii="宋体" w:hAnsi="宋体" w:cs="宋体" w:eastAsia="宋体" w:hint="default"/>
        </w:rPr>
        <w:t>3</w:t>
      </w:r>
      <w:r>
        <w:rPr/>
        <w:t>、</w:t>
      </w:r>
      <w:r>
        <w:rPr>
          <w:spacing w:val="-3"/>
        </w:rPr>
        <w:t> </w:t>
      </w:r>
      <w:r>
        <w:rPr/>
        <w:t>临时公告未披露的事项</w:t>
      </w:r>
      <w:r>
        <w:rPr>
          <w:b w:val="0"/>
          <w:bCs w:val="0"/>
        </w:rPr>
      </w:r>
    </w:p>
    <w:p>
      <w:pPr>
        <w:spacing w:line="290" w:lineRule="auto" w:before="58"/>
        <w:ind w:left="218" w:right="504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Heading2"/>
        <w:spacing w:line="240" w:lineRule="auto" w:before="14"/>
        <w:ind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both"/>
      </w:pPr>
      <w:r>
        <w:rPr/>
        <w:t>□适用</w:t>
      </w:r>
      <w:r>
        <w:rPr>
          <w:spacing w:val="-1"/>
        </w:rPr>
        <w:t> </w:t>
      </w:r>
      <w:r>
        <w:rPr/>
        <w:t>√不适用</w:t>
      </w:r>
    </w:p>
    <w:p>
      <w:pPr>
        <w:pStyle w:val="Heading2"/>
        <w:spacing w:line="240" w:lineRule="auto" w:before="56"/>
        <w:ind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8"/>
        <w:ind w:right="0"/>
        <w:jc w:val="both"/>
      </w:pPr>
      <w:r>
        <w:rPr/>
        <w:t>□适用</w:t>
      </w:r>
      <w:r>
        <w:rPr>
          <w:spacing w:val="104"/>
        </w:rPr>
        <w:t> </w:t>
      </w:r>
      <w:r>
        <w:rPr/>
        <w:t>√不适用</w:t>
      </w:r>
    </w:p>
    <w:p>
      <w:pPr>
        <w:pStyle w:val="Heading2"/>
        <w:spacing w:line="240" w:lineRule="auto" w:before="56"/>
        <w:ind w:right="0"/>
        <w:jc w:val="both"/>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right="0"/>
        <w:jc w:val="both"/>
      </w:pPr>
      <w:r>
        <w:rPr/>
        <w:t>□适用</w:t>
      </w:r>
      <w:r>
        <w:rPr>
          <w:spacing w:val="-1"/>
        </w:rPr>
        <w:t> </w:t>
      </w:r>
      <w:r>
        <w:rPr/>
        <w:t>√不适用</w:t>
      </w:r>
    </w:p>
    <w:p>
      <w:pPr>
        <w:pStyle w:val="Heading2"/>
        <w:spacing w:line="240" w:lineRule="auto" w:before="56"/>
        <w:ind w:right="0"/>
        <w:jc w:val="both"/>
        <w:rPr>
          <w:b w:val="0"/>
          <w:bCs w:val="0"/>
        </w:rPr>
      </w:pPr>
      <w:r>
        <w:rPr>
          <w:rFonts w:ascii="宋体" w:hAnsi="宋体" w:cs="宋体" w:eastAsia="宋体" w:hint="default"/>
        </w:rPr>
        <w:t>4</w:t>
      </w:r>
      <w:r>
        <w:rPr/>
        <w:t>、</w:t>
      </w:r>
      <w:r>
        <w:rPr>
          <w:spacing w:val="-7"/>
        </w:rPr>
        <w:t> </w:t>
      </w:r>
      <w:r>
        <w:rPr/>
        <w:t>涉及业绩约定的，应当披露报告期内的业绩实现情况</w:t>
      </w:r>
      <w:r>
        <w:rPr>
          <w:b w:val="0"/>
          <w:bCs w:val="0"/>
        </w:rPr>
      </w:r>
    </w:p>
    <w:p>
      <w:pPr>
        <w:pStyle w:val="BodyText"/>
        <w:spacing w:line="240" w:lineRule="auto" w:before="58"/>
        <w:ind w:right="0"/>
        <w:jc w:val="both"/>
      </w:pPr>
      <w:r>
        <w:rPr/>
        <w:t>□适用</w:t>
      </w:r>
      <w:r>
        <w:rPr>
          <w:spacing w:val="104"/>
        </w:rPr>
        <w:t> </w:t>
      </w:r>
      <w:r>
        <w:rPr/>
        <w:t>√不适用</w:t>
      </w:r>
    </w:p>
    <w:p>
      <w:pPr>
        <w:pStyle w:val="Heading2"/>
        <w:spacing w:line="240" w:lineRule="auto" w:before="56"/>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32"/>
        <w:ind w:right="0"/>
        <w:jc w:val="both"/>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right="0"/>
        <w:jc w:val="both"/>
      </w:pPr>
      <w:r>
        <w:rPr/>
        <w:t>□适用</w:t>
      </w:r>
      <w:r>
        <w:rPr>
          <w:spacing w:val="-1"/>
        </w:rPr>
        <w:t> </w:t>
      </w:r>
      <w:r>
        <w:rPr/>
        <w:t>√不适用</w:t>
      </w:r>
    </w:p>
    <w:p>
      <w:pPr>
        <w:pStyle w:val="Heading2"/>
        <w:spacing w:line="240" w:lineRule="auto" w:before="59"/>
        <w:ind w:right="0"/>
        <w:jc w:val="both"/>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spacing w:line="240" w:lineRule="auto" w:before="56"/>
        <w:ind w:right="0"/>
        <w:jc w:val="both"/>
      </w:pPr>
      <w:r>
        <w:rPr/>
        <w:t>√适用</w:t>
      </w:r>
      <w:r>
        <w:rPr>
          <w:spacing w:val="104"/>
        </w:rPr>
        <w:t> </w:t>
      </w:r>
      <w:r>
        <w:rPr/>
        <w:t>□不适用</w:t>
      </w:r>
    </w:p>
    <w:p>
      <w:pPr>
        <w:pStyle w:val="BodyText"/>
        <w:spacing w:line="240" w:lineRule="auto" w:before="75"/>
        <w:ind w:left="638" w:right="124"/>
        <w:jc w:val="left"/>
      </w:pPr>
      <w:r>
        <w:rPr/>
        <w:t>公司于</w:t>
      </w:r>
      <w:r>
        <w:rPr>
          <w:spacing w:val="-47"/>
        </w:rPr>
        <w:t> </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4</w:t>
      </w:r>
      <w:r>
        <w:rPr>
          <w:rFonts w:ascii="宋体" w:hAnsi="宋体" w:cs="宋体" w:eastAsia="宋体" w:hint="default"/>
          <w:spacing w:val="-46"/>
        </w:rPr>
        <w:t> </w:t>
      </w:r>
      <w:r>
        <w:rPr/>
        <w:t>月</w:t>
      </w:r>
      <w:r>
        <w:rPr>
          <w:spacing w:val="-47"/>
        </w:rPr>
        <w:t> </w:t>
      </w:r>
      <w:r>
        <w:rPr>
          <w:rFonts w:ascii="宋体" w:hAnsi="宋体" w:cs="宋体" w:eastAsia="宋体" w:hint="default"/>
        </w:rPr>
        <w:t>11</w:t>
      </w:r>
      <w:r>
        <w:rPr>
          <w:rFonts w:ascii="宋体" w:hAnsi="宋体" w:cs="宋体" w:eastAsia="宋体" w:hint="default"/>
          <w:spacing w:val="-49"/>
        </w:rPr>
        <w:t> </w:t>
      </w:r>
      <w:r>
        <w:rPr/>
        <w:t>日、</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5</w:t>
      </w:r>
      <w:r>
        <w:rPr>
          <w:rFonts w:ascii="宋体" w:hAnsi="宋体" w:cs="宋体" w:eastAsia="宋体" w:hint="default"/>
          <w:spacing w:val="-47"/>
        </w:rPr>
        <w:t> </w:t>
      </w:r>
      <w:r>
        <w:rPr/>
        <w:t>月</w:t>
      </w:r>
      <w:r>
        <w:rPr>
          <w:spacing w:val="-49"/>
        </w:rPr>
        <w:t> </w:t>
      </w:r>
      <w:r>
        <w:rPr>
          <w:rFonts w:ascii="宋体" w:hAnsi="宋体" w:cs="宋体" w:eastAsia="宋体" w:hint="default"/>
        </w:rPr>
        <w:t>11</w:t>
      </w:r>
      <w:r>
        <w:rPr>
          <w:rFonts w:ascii="宋体" w:hAnsi="宋体" w:cs="宋体" w:eastAsia="宋体" w:hint="default"/>
          <w:spacing w:val="-47"/>
        </w:rPr>
        <w:t> </w:t>
      </w:r>
      <w:r>
        <w:rPr/>
        <w:t>日召开的第二届董事会第十九次（临时）会议以</w:t>
      </w:r>
    </w:p>
    <w:p>
      <w:pPr>
        <w:pStyle w:val="BodyText"/>
        <w:spacing w:line="314" w:lineRule="auto" w:before="85"/>
        <w:ind w:left="638" w:right="124" w:hanging="420"/>
        <w:jc w:val="left"/>
      </w:pPr>
      <w:r>
        <w:rPr/>
        <w:t>及</w:t>
      </w:r>
      <w:r>
        <w:rPr>
          <w:spacing w:val="-53"/>
        </w:rPr>
        <w:t> </w:t>
      </w:r>
      <w:r>
        <w:rPr>
          <w:rFonts w:ascii="宋体" w:hAnsi="宋体" w:cs="宋体" w:eastAsia="宋体" w:hint="default"/>
        </w:rPr>
        <w:t>2016</w:t>
      </w:r>
      <w:r>
        <w:rPr>
          <w:rFonts w:ascii="宋体" w:hAnsi="宋体" w:cs="宋体" w:eastAsia="宋体" w:hint="default"/>
          <w:spacing w:val="-53"/>
        </w:rPr>
        <w:t> </w:t>
      </w:r>
      <w:r>
        <w:rPr/>
        <w:t>年年度股东大会审议通过了《关于公司对外投资参股设立合资公司暨关联交易的议案》。</w:t>
      </w:r>
      <w:r>
        <w:rPr>
          <w:w w:val="100"/>
        </w:rPr>
        <w:t> </w:t>
      </w:r>
      <w:r>
        <w:rPr/>
        <w:t>新华网、新媒文化、中经社、阿里以及数问云共同设立新华智云科技有限公司，新华智云科</w:t>
      </w:r>
    </w:p>
    <w:p>
      <w:pPr>
        <w:pStyle w:val="BodyText"/>
        <w:spacing w:line="240" w:lineRule="auto" w:before="20"/>
        <w:ind w:right="0"/>
        <w:jc w:val="both"/>
      </w:pPr>
      <w:r>
        <w:rPr/>
        <w:t>技有限公司的注册资本为人民币</w:t>
      </w:r>
      <w:r>
        <w:rPr>
          <w:spacing w:val="-46"/>
        </w:rPr>
        <w:t> </w:t>
      </w:r>
      <w:r>
        <w:rPr>
          <w:rFonts w:ascii="宋体" w:hAnsi="宋体" w:cs="宋体" w:eastAsia="宋体" w:hint="default"/>
        </w:rPr>
        <w:t>49,019.6079</w:t>
      </w:r>
      <w:r>
        <w:rPr>
          <w:rFonts w:ascii="宋体" w:hAnsi="宋体" w:cs="宋体" w:eastAsia="宋体" w:hint="default"/>
          <w:spacing w:val="-48"/>
        </w:rPr>
        <w:t> </w:t>
      </w:r>
      <w:r>
        <w:rPr>
          <w:spacing w:val="-5"/>
        </w:rPr>
        <w:t>万元，其中新华网认缴出资人民币</w:t>
      </w:r>
      <w:r>
        <w:rPr>
          <w:spacing w:val="-45"/>
        </w:rPr>
        <w:t> </w:t>
      </w:r>
      <w:r>
        <w:rPr>
          <w:rFonts w:ascii="宋体" w:hAnsi="宋体" w:cs="宋体" w:eastAsia="宋体" w:hint="default"/>
        </w:rPr>
        <w:t>20,000</w:t>
      </w:r>
      <w:r>
        <w:rPr>
          <w:rFonts w:ascii="宋体" w:hAnsi="宋体" w:cs="宋体" w:eastAsia="宋体" w:hint="default"/>
          <w:spacing w:val="-46"/>
        </w:rPr>
        <w:t> </w:t>
      </w:r>
      <w:r>
        <w:rPr>
          <w:spacing w:val="-13"/>
        </w:rPr>
        <w:t>万元，持</w:t>
      </w:r>
    </w:p>
    <w:p>
      <w:pPr>
        <w:pStyle w:val="BodyText"/>
        <w:spacing w:line="240" w:lineRule="auto" w:before="85"/>
        <w:ind w:right="0"/>
        <w:jc w:val="both"/>
      </w:pPr>
      <w:r>
        <w:rPr/>
        <w:t>股比例为</w:t>
      </w:r>
      <w:r>
        <w:rPr>
          <w:spacing w:val="-49"/>
        </w:rPr>
        <w:t> </w:t>
      </w:r>
      <w:r>
        <w:rPr>
          <w:rFonts w:ascii="宋体" w:hAnsi="宋体" w:cs="宋体" w:eastAsia="宋体" w:hint="default"/>
          <w:spacing w:val="-6"/>
        </w:rPr>
        <w:t>40.8%</w:t>
      </w:r>
      <w:r>
        <w:rPr>
          <w:spacing w:val="-6"/>
        </w:rPr>
        <w:t>。报告期内，新华网已实缴出资人民币</w:t>
      </w:r>
      <w:r>
        <w:rPr>
          <w:spacing w:val="-48"/>
        </w:rPr>
        <w:t> </w:t>
      </w:r>
      <w:r>
        <w:rPr>
          <w:rFonts w:ascii="宋体" w:hAnsi="宋体" w:cs="宋体" w:eastAsia="宋体" w:hint="default"/>
        </w:rPr>
        <w:t>3,000.00</w:t>
      </w:r>
      <w:r>
        <w:rPr>
          <w:rFonts w:ascii="宋体" w:hAnsi="宋体" w:cs="宋体" w:eastAsia="宋体" w:hint="default"/>
          <w:spacing w:val="-49"/>
        </w:rPr>
        <w:t> </w:t>
      </w:r>
      <w:r>
        <w:rPr>
          <w:spacing w:val="-11"/>
        </w:rPr>
        <w:t>万元，截至</w:t>
      </w:r>
      <w:r>
        <w:rPr>
          <w:spacing w:val="-51"/>
        </w:rPr>
        <w:t> </w:t>
      </w:r>
      <w:r>
        <w:rPr>
          <w:rFonts w:ascii="宋体" w:hAnsi="宋体" w:cs="宋体" w:eastAsia="宋体" w:hint="default"/>
        </w:rPr>
        <w:t>2018</w:t>
      </w:r>
      <w:r>
        <w:rPr>
          <w:rFonts w:ascii="宋体" w:hAnsi="宋体" w:cs="宋体" w:eastAsia="宋体" w:hint="default"/>
          <w:spacing w:val="-48"/>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w:t>
      </w:r>
    </w:p>
    <w:p>
      <w:pPr>
        <w:pStyle w:val="BodyText"/>
        <w:spacing w:line="240" w:lineRule="auto" w:before="85"/>
        <w:ind w:right="0"/>
        <w:jc w:val="both"/>
      </w:pPr>
      <w:r>
        <w:rPr/>
        <w:t>新华网累计已实缴出资人民币</w:t>
      </w:r>
      <w:r>
        <w:rPr>
          <w:spacing w:val="-48"/>
        </w:rPr>
        <w:t> </w:t>
      </w:r>
      <w:r>
        <w:rPr>
          <w:rFonts w:ascii="宋体" w:hAnsi="宋体" w:cs="宋体" w:eastAsia="宋体" w:hint="default"/>
        </w:rPr>
        <w:t>1.60</w:t>
      </w:r>
      <w:r>
        <w:rPr>
          <w:rFonts w:ascii="宋体" w:hAnsi="宋体" w:cs="宋体" w:eastAsia="宋体" w:hint="default"/>
          <w:spacing w:val="-50"/>
        </w:rPr>
        <w:t> </w:t>
      </w:r>
      <w:r>
        <w:rPr/>
        <w:t>亿元。具体内容详见公司于</w:t>
      </w:r>
      <w:r>
        <w:rPr>
          <w:spacing w:val="-48"/>
        </w:rPr>
        <w:t> </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12</w:t>
      </w:r>
      <w:r>
        <w:rPr>
          <w:rFonts w:ascii="宋体" w:hAnsi="宋体" w:cs="宋体" w:eastAsia="宋体" w:hint="default"/>
          <w:spacing w:val="-47"/>
        </w:rPr>
        <w:t> </w:t>
      </w:r>
      <w:r>
        <w:rPr/>
        <w:t>日、</w:t>
      </w:r>
      <w:r>
        <w:rPr>
          <w:rFonts w:ascii="宋体" w:hAnsi="宋体" w:cs="宋体" w:eastAsia="宋体" w:hint="default"/>
        </w:rPr>
        <w:t>2017</w:t>
      </w:r>
      <w:r>
        <w:rPr>
          <w:rFonts w:ascii="宋体" w:hAnsi="宋体" w:cs="宋体" w:eastAsia="宋体" w:hint="default"/>
          <w:spacing w:val="-48"/>
        </w:rPr>
        <w:t> </w:t>
      </w:r>
      <w:r>
        <w:rPr/>
        <w:t>年</w:t>
      </w:r>
      <w:r>
        <w:rPr>
          <w:spacing w:val="-48"/>
        </w:rPr>
        <w:t> </w:t>
      </w:r>
      <w:r>
        <w:rPr>
          <w:rFonts w:ascii="宋体" w:hAnsi="宋体" w:cs="宋体" w:eastAsia="宋体" w:hint="default"/>
        </w:rPr>
        <w:t>6</w:t>
      </w:r>
      <w:r>
        <w:rPr>
          <w:rFonts w:ascii="宋体" w:hAnsi="宋体" w:cs="宋体" w:eastAsia="宋体" w:hint="default"/>
          <w:spacing w:val="-48"/>
        </w:rPr>
        <w:t> </w:t>
      </w:r>
      <w:r>
        <w:rPr/>
        <w:t>月</w:t>
      </w:r>
    </w:p>
    <w:p>
      <w:pPr>
        <w:pStyle w:val="BodyText"/>
        <w:spacing w:line="314" w:lineRule="auto" w:before="85"/>
        <w:ind w:right="229"/>
        <w:jc w:val="both"/>
      </w:pPr>
      <w:r>
        <w:rPr>
          <w:rFonts w:ascii="宋体" w:hAnsi="宋体" w:cs="宋体" w:eastAsia="宋体" w:hint="default"/>
        </w:rPr>
        <w:t>14 </w:t>
      </w:r>
      <w:r>
        <w:rPr>
          <w:spacing w:val="-3"/>
        </w:rPr>
        <w:t>日刊登在上海证券交易所网站（</w:t>
      </w:r>
      <w:hyperlink r:id="rId10">
        <w:r>
          <w:rPr>
            <w:rFonts w:ascii="宋体" w:hAnsi="宋体" w:cs="宋体" w:eastAsia="宋体" w:hint="default"/>
            <w:spacing w:val="-3"/>
          </w:rPr>
          <w:t>www.sse.com.cn</w:t>
        </w:r>
      </w:hyperlink>
      <w:r>
        <w:rPr>
          <w:spacing w:val="-3"/>
        </w:rPr>
        <w:t>）的《新华网股份有限公司对外投资参股设立</w:t>
      </w:r>
      <w:r>
        <w:rPr>
          <w:spacing w:val="-64"/>
        </w:rPr>
        <w:t> </w:t>
      </w:r>
      <w:r>
        <w:rPr>
          <w:spacing w:val="-64"/>
        </w:rPr>
      </w:r>
      <w:r>
        <w:rPr>
          <w:spacing w:val="-1"/>
        </w:rPr>
        <w:t>合资公司暨关联交易的公告》（公告编号：</w:t>
      </w:r>
      <w:r>
        <w:rPr>
          <w:rFonts w:ascii="宋体" w:hAnsi="宋体" w:cs="宋体" w:eastAsia="宋体" w:hint="default"/>
          <w:spacing w:val="-1"/>
        </w:rPr>
        <w:t>2017-008</w:t>
      </w:r>
      <w:r>
        <w:rPr>
          <w:spacing w:val="-1"/>
        </w:rPr>
        <w:t>）及《新华网股份有限公司关于参股公司完</w:t>
      </w:r>
      <w:r>
        <w:rPr>
          <w:spacing w:val="-55"/>
        </w:rPr>
        <w:t> </w:t>
      </w:r>
      <w:r>
        <w:rPr>
          <w:spacing w:val="-55"/>
        </w:rPr>
      </w:r>
      <w:r>
        <w:rPr/>
        <w:t>成工商注册登记的公告》（公告编号：</w:t>
      </w:r>
      <w:r>
        <w:rPr>
          <w:rFonts w:ascii="宋体" w:hAnsi="宋体" w:cs="宋体" w:eastAsia="宋体" w:hint="default"/>
        </w:rPr>
        <w:t>2017-030</w:t>
      </w:r>
      <w:r>
        <w:rPr/>
        <w:t>）。</w:t>
      </w:r>
    </w:p>
    <w:p>
      <w:pPr>
        <w:spacing w:after="0" w:line="314" w:lineRule="auto"/>
        <w:jc w:val="both"/>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220" w:right="680"/>
        </w:sectPr>
      </w:pPr>
    </w:p>
    <w:p>
      <w:pPr>
        <w:pStyle w:val="Heading2"/>
        <w:spacing w:line="240" w:lineRule="auto"/>
        <w:ind w:left="578" w:right="-1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8"/>
        <w:ind w:left="578" w:right="-17"/>
        <w:jc w:val="left"/>
      </w:pPr>
      <w:r>
        <w:rPr/>
        <w:t>□适用</w:t>
      </w:r>
      <w:r>
        <w:rPr>
          <w:spacing w:val="-1"/>
        </w:rPr>
        <w:t> </w:t>
      </w:r>
      <w:r>
        <w:rPr/>
        <w:t>√不适用</w:t>
      </w:r>
    </w:p>
    <w:p>
      <w:pPr>
        <w:pStyle w:val="Heading2"/>
        <w:spacing w:line="240" w:lineRule="auto" w:before="56"/>
        <w:ind w:left="578" w:right="-17"/>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32"/>
        <w:ind w:left="578" w:right="-17"/>
        <w:jc w:val="left"/>
        <w:rPr>
          <w:b w:val="0"/>
          <w:bCs w:val="0"/>
        </w:rPr>
      </w:pPr>
      <w:r>
        <w:rPr>
          <w:rFonts w:ascii="宋体" w:hAnsi="宋体" w:cs="宋体" w:eastAsia="宋体" w:hint="default"/>
        </w:rPr>
        <w:t>1</w:t>
      </w:r>
      <w:r>
        <w:rPr/>
        <w:t>、</w:t>
      </w:r>
      <w:r>
        <w:rPr>
          <w:spacing w:val="-4"/>
        </w:rPr>
        <w:t> </w:t>
      </w:r>
      <w:r>
        <w:rPr/>
        <w:t>已在临时公告披露且后续实施无进展或变化的事项</w:t>
      </w:r>
      <w:r>
        <w:rPr>
          <w:b w:val="0"/>
          <w:bCs w:val="0"/>
        </w:rPr>
      </w:r>
    </w:p>
    <w:p>
      <w:pPr>
        <w:pStyle w:val="BodyText"/>
        <w:spacing w:line="240" w:lineRule="auto" w:before="56"/>
        <w:ind w:left="578" w:right="-17"/>
        <w:jc w:val="left"/>
      </w:pPr>
      <w:r>
        <w:rPr/>
        <w:t>□适用</w:t>
      </w:r>
      <w:r>
        <w:rPr>
          <w:spacing w:val="-1"/>
        </w:rPr>
        <w:t> </w:t>
      </w:r>
      <w:r>
        <w:rPr/>
        <w:t>√不适用</w:t>
      </w:r>
    </w:p>
    <w:p>
      <w:pPr>
        <w:pStyle w:val="Heading2"/>
        <w:spacing w:line="240" w:lineRule="auto" w:before="58"/>
        <w:ind w:left="578" w:right="-17"/>
        <w:jc w:val="left"/>
        <w:rPr>
          <w:b w:val="0"/>
          <w:bCs w:val="0"/>
        </w:rPr>
      </w:pPr>
      <w:r>
        <w:rPr>
          <w:rFonts w:ascii="宋体" w:hAnsi="宋体" w:cs="宋体" w:eastAsia="宋体" w:hint="default"/>
        </w:rPr>
        <w:t>2</w:t>
      </w:r>
      <w:r>
        <w:rPr/>
        <w:t>、</w:t>
      </w:r>
      <w:r>
        <w:rPr>
          <w:spacing w:val="-6"/>
        </w:rPr>
        <w:t> </w:t>
      </w:r>
      <w:r>
        <w:rPr/>
        <w:t>已在临时公告披露，但有后续实施的进展或变化的事项</w:t>
      </w:r>
      <w:r>
        <w:rPr>
          <w:b w:val="0"/>
          <w:bCs w:val="0"/>
        </w:rPr>
      </w:r>
    </w:p>
    <w:p>
      <w:pPr>
        <w:pStyle w:val="BodyText"/>
        <w:tabs>
          <w:tab w:pos="1420" w:val="left" w:leader="none"/>
        </w:tabs>
        <w:spacing w:line="240" w:lineRule="auto" w:before="56"/>
        <w:ind w:left="578" w:right="-17"/>
        <w:jc w:val="left"/>
      </w:pPr>
      <w:r>
        <w:rPr>
          <w:spacing w:val="-1"/>
        </w:rPr>
        <w:t>□适用</w:t>
        <w:tab/>
      </w:r>
      <w:r>
        <w:rPr>
          <w:spacing w:val="-2"/>
        </w:rPr>
        <w:t>√不适用</w:t>
      </w:r>
    </w:p>
    <w:p>
      <w:pPr>
        <w:pStyle w:val="Heading2"/>
        <w:spacing w:line="240" w:lineRule="auto" w:before="58"/>
        <w:ind w:left="578" w:right="-17"/>
        <w:jc w:val="left"/>
        <w:rPr>
          <w:b w:val="0"/>
          <w:bCs w:val="0"/>
        </w:rPr>
      </w:pPr>
      <w:r>
        <w:rPr>
          <w:rFonts w:ascii="宋体" w:hAnsi="宋体" w:cs="宋体" w:eastAsia="宋体" w:hint="default"/>
        </w:rPr>
        <w:t>3</w:t>
      </w:r>
      <w:r>
        <w:rPr/>
        <w:t>、</w:t>
      </w:r>
      <w:r>
        <w:rPr>
          <w:spacing w:val="-3"/>
        </w:rPr>
        <w:t> </w:t>
      </w:r>
      <w:r>
        <w:rPr/>
        <w:t>临时公告未披露的事项</w:t>
      </w:r>
      <w:r>
        <w:rPr>
          <w:b w:val="0"/>
          <w:bCs w:val="0"/>
        </w:rPr>
      </w:r>
    </w:p>
    <w:p>
      <w:pPr>
        <w:pStyle w:val="BodyText"/>
        <w:spacing w:line="240" w:lineRule="auto" w:before="56"/>
        <w:ind w:left="578" w:right="-17"/>
        <w:jc w:val="left"/>
      </w:pPr>
      <w:r>
        <w:rPr/>
        <w:t>□适用</w:t>
      </w:r>
      <w:r>
        <w:rPr>
          <w:spacing w:val="-1"/>
        </w:rPr>
        <w:t> </w:t>
      </w:r>
      <w:r>
        <w:rPr/>
        <w:t>√不适用</w:t>
      </w:r>
    </w:p>
    <w:p>
      <w:pPr>
        <w:pStyle w:val="Heading2"/>
        <w:spacing w:line="240" w:lineRule="auto" w:before="58"/>
        <w:ind w:left="578" w:right="-17"/>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Heading2"/>
        <w:tabs>
          <w:tab w:pos="1417" w:val="left" w:leader="none"/>
        </w:tabs>
        <w:spacing w:line="290" w:lineRule="auto" w:before="30"/>
        <w:ind w:left="578" w:right="2527"/>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2"/>
        </w:rPr>
        <w:t> </w:t>
      </w:r>
      <w:r>
        <w:rPr/>
        <w:t>托管情况</w:t>
      </w:r>
      <w:r>
        <w:rPr>
          <w:b w:val="0"/>
          <w:bCs w:val="0"/>
        </w:rPr>
      </w:r>
    </w:p>
    <w:p>
      <w:pPr>
        <w:spacing w:line="290" w:lineRule="auto" w:before="12"/>
        <w:ind w:left="578" w:right="3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90" w:lineRule="auto" w:before="12"/>
        <w:ind w:left="578" w:right="38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pStyle w:val="BodyText"/>
        <w:spacing w:line="240" w:lineRule="auto" w:before="12"/>
        <w:ind w:left="57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tabs>
          <w:tab w:pos="1524" w:val="left" w:leader="none"/>
        </w:tabs>
        <w:spacing w:line="240" w:lineRule="auto"/>
        <w:ind w:left="57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220" w:right="680"/>
          <w:cols w:num="2" w:equalWidth="0">
            <w:col w:w="6058" w:space="675"/>
            <w:col w:w="327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58"/>
        <w:gridCol w:w="871"/>
        <w:gridCol w:w="1157"/>
        <w:gridCol w:w="1582"/>
        <w:gridCol w:w="1162"/>
        <w:gridCol w:w="1159"/>
        <w:gridCol w:w="502"/>
        <w:gridCol w:w="500"/>
        <w:gridCol w:w="499"/>
        <w:gridCol w:w="502"/>
        <w:gridCol w:w="888"/>
      </w:tblGrid>
      <w:tr>
        <w:trPr>
          <w:trHeight w:val="246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61" w:right="156" w:hanging="106"/>
              <w:jc w:val="left"/>
              <w:rPr>
                <w:rFonts w:ascii="宋体" w:hAnsi="宋体" w:cs="宋体" w:eastAsia="宋体" w:hint="default"/>
                <w:sz w:val="21"/>
                <w:szCs w:val="21"/>
              </w:rPr>
            </w:pPr>
            <w:r>
              <w:rPr>
                <w:rFonts w:ascii="宋体" w:hAnsi="宋体" w:cs="宋体" w:eastAsia="宋体" w:hint="default"/>
                <w:sz w:val="21"/>
                <w:szCs w:val="21"/>
              </w:rPr>
              <w:t>出租方</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18" w:right="113" w:hanging="106"/>
              <w:jc w:val="left"/>
              <w:rPr>
                <w:rFonts w:ascii="宋体" w:hAnsi="宋体" w:cs="宋体" w:eastAsia="宋体" w:hint="default"/>
                <w:sz w:val="21"/>
                <w:szCs w:val="21"/>
              </w:rPr>
            </w:pPr>
            <w:r>
              <w:rPr>
                <w:rFonts w:ascii="宋体" w:hAnsi="宋体" w:cs="宋体" w:eastAsia="宋体" w:hint="default"/>
                <w:sz w:val="21"/>
                <w:szCs w:val="21"/>
              </w:rPr>
              <w:t>租赁方</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362" w:right="149" w:hanging="209"/>
              <w:jc w:val="left"/>
              <w:rPr>
                <w:rFonts w:ascii="宋体" w:hAnsi="宋体" w:cs="宋体" w:eastAsia="宋体" w:hint="default"/>
                <w:sz w:val="21"/>
                <w:szCs w:val="21"/>
              </w:rPr>
            </w:pPr>
            <w:r>
              <w:rPr>
                <w:rFonts w:ascii="宋体" w:hAnsi="宋体" w:cs="宋体" w:eastAsia="宋体" w:hint="default"/>
                <w:sz w:val="21"/>
                <w:szCs w:val="21"/>
              </w:rPr>
              <w:t>租赁资产</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576" w:right="151" w:hanging="420"/>
              <w:jc w:val="left"/>
              <w:rPr>
                <w:rFonts w:ascii="宋体" w:hAnsi="宋体" w:cs="宋体" w:eastAsia="宋体" w:hint="default"/>
                <w:sz w:val="21"/>
                <w:szCs w:val="21"/>
              </w:rPr>
            </w:pPr>
            <w:r>
              <w:rPr>
                <w:rFonts w:ascii="宋体" w:hAnsi="宋体" w:cs="宋体" w:eastAsia="宋体" w:hint="default"/>
                <w:sz w:val="21"/>
                <w:szCs w:val="21"/>
              </w:rPr>
              <w:t>租赁资产涉及</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470" w:right="151" w:hanging="315"/>
              <w:jc w:val="left"/>
              <w:rPr>
                <w:rFonts w:ascii="宋体" w:hAnsi="宋体" w:cs="宋体" w:eastAsia="宋体" w:hint="default"/>
                <w:sz w:val="21"/>
                <w:szCs w:val="21"/>
              </w:rPr>
            </w:pPr>
            <w:r>
              <w:rPr>
                <w:rFonts w:ascii="宋体" w:hAnsi="宋体" w:cs="宋体" w:eastAsia="宋体" w:hint="default"/>
                <w:sz w:val="21"/>
                <w:szCs w:val="21"/>
              </w:rPr>
              <w:t>租赁起始</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467" w:right="151" w:hanging="315"/>
              <w:jc w:val="left"/>
              <w:rPr>
                <w:rFonts w:ascii="宋体" w:hAnsi="宋体" w:cs="宋体" w:eastAsia="宋体" w:hint="default"/>
                <w:sz w:val="21"/>
                <w:szCs w:val="21"/>
              </w:rPr>
            </w:pPr>
            <w:r>
              <w:rPr>
                <w:rFonts w:ascii="宋体" w:hAnsi="宋体" w:cs="宋体" w:eastAsia="宋体" w:hint="default"/>
                <w:sz w:val="21"/>
                <w:szCs w:val="21"/>
              </w:rPr>
              <w:t>租赁终止</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39" w:right="139"/>
              <w:jc w:val="both"/>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w w:val="100"/>
                <w:sz w:val="21"/>
                <w:szCs w:val="21"/>
              </w:rPr>
              <w:t> </w:t>
            </w:r>
            <w:r>
              <w:rPr>
                <w:rFonts w:ascii="宋体" w:hAnsi="宋体" w:cs="宋体" w:eastAsia="宋体" w:hint="default"/>
                <w:sz w:val="21"/>
                <w:szCs w:val="21"/>
              </w:rPr>
              <w:t>赁</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5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6" w:right="140"/>
              <w:jc w:val="both"/>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w w:val="100"/>
                <w:sz w:val="21"/>
                <w:szCs w:val="21"/>
              </w:rPr>
              <w:t> </w:t>
            </w:r>
            <w:r>
              <w:rPr>
                <w:rFonts w:ascii="宋体" w:hAnsi="宋体" w:cs="宋体" w:eastAsia="宋体" w:hint="default"/>
                <w:sz w:val="21"/>
                <w:szCs w:val="21"/>
              </w:rPr>
              <w:t>赁</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both"/>
              <w:rPr>
                <w:rFonts w:ascii="宋体" w:hAnsi="宋体" w:cs="宋体" w:eastAsia="宋体" w:hint="default"/>
                <w:sz w:val="21"/>
                <w:szCs w:val="21"/>
              </w:rPr>
            </w:pPr>
            <w:r>
              <w:rPr>
                <w:rFonts w:ascii="宋体" w:hAnsi="宋体" w:cs="宋体" w:eastAsia="宋体" w:hint="default"/>
                <w:w w:val="100"/>
                <w:sz w:val="21"/>
                <w:szCs w:val="21"/>
              </w:rPr>
              <w:t>租</w:t>
            </w:r>
          </w:p>
          <w:p>
            <w:pPr>
              <w:pStyle w:val="TableParagraph"/>
              <w:spacing w:line="237" w:lineRule="auto" w:before="2"/>
              <w:ind w:left="139" w:right="137"/>
              <w:jc w:val="both"/>
              <w:rPr>
                <w:rFonts w:ascii="宋体" w:hAnsi="宋体" w:cs="宋体" w:eastAsia="宋体" w:hint="default"/>
                <w:sz w:val="21"/>
                <w:szCs w:val="21"/>
              </w:rPr>
            </w:pPr>
            <w:r>
              <w:rPr>
                <w:rFonts w:ascii="宋体" w:hAnsi="宋体" w:cs="宋体" w:eastAsia="宋体" w:hint="default"/>
                <w:sz w:val="21"/>
                <w:szCs w:val="21"/>
              </w:rPr>
              <w:t>赁</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对</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响</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9"/>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331" w:right="122" w:hanging="212"/>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r>
      <w:tr>
        <w:trPr>
          <w:trHeight w:val="218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50"/>
                <w:sz w:val="21"/>
                <w:szCs w:val="21"/>
              </w:rPr>
              <w:t> </w:t>
            </w:r>
            <w:r>
              <w:rPr>
                <w:rFonts w:ascii="宋体" w:hAnsi="宋体" w:cs="宋体" w:eastAsia="宋体" w:hint="default"/>
                <w:sz w:val="21"/>
                <w:szCs w:val="21"/>
              </w:rPr>
              <w:t>京</w:t>
            </w:r>
            <w:r>
              <w:rPr>
                <w:rFonts w:ascii="宋体" w:hAnsi="宋体" w:cs="宋体" w:eastAsia="宋体" w:hint="default"/>
                <w:spacing w:val="-52"/>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隅</w:t>
            </w:r>
            <w:r>
              <w:rPr>
                <w:rFonts w:ascii="宋体" w:hAnsi="宋体" w:cs="宋体" w:eastAsia="宋体" w:hint="default"/>
                <w:spacing w:val="-50"/>
                <w:sz w:val="21"/>
                <w:szCs w:val="21"/>
              </w:rPr>
              <w:t> </w:t>
            </w:r>
            <w:r>
              <w:rPr>
                <w:rFonts w:ascii="宋体" w:hAnsi="宋体" w:cs="宋体" w:eastAsia="宋体" w:hint="default"/>
                <w:sz w:val="21"/>
                <w:szCs w:val="21"/>
              </w:rPr>
              <w:t>股</w:t>
            </w:r>
            <w:r>
              <w:rPr>
                <w:rFonts w:ascii="宋体" w:hAnsi="宋体" w:cs="宋体" w:eastAsia="宋体" w:hint="default"/>
                <w:spacing w:val="-52"/>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50"/>
                <w:sz w:val="21"/>
                <w:szCs w:val="21"/>
              </w:rPr>
              <w:t> </w:t>
            </w:r>
            <w:r>
              <w:rPr>
                <w:rFonts w:ascii="宋体" w:hAnsi="宋体" w:cs="宋体" w:eastAsia="宋体" w:hint="default"/>
                <w:sz w:val="21"/>
                <w:szCs w:val="21"/>
              </w:rPr>
              <w:t>限</w:t>
            </w:r>
            <w:r>
              <w:rPr>
                <w:rFonts w:ascii="宋体" w:hAnsi="宋体" w:cs="宋体" w:eastAsia="宋体" w:hint="default"/>
                <w:spacing w:val="-5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pacing w:val="7"/>
                <w:sz w:val="21"/>
                <w:szCs w:val="21"/>
              </w:rPr>
              <w:t>新华网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股份有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1"/>
                <w:sz w:val="21"/>
                <w:szCs w:val="21"/>
              </w:rPr>
              <w:t> </w:t>
            </w:r>
            <w:r>
              <w:rPr>
                <w:rFonts w:ascii="宋体" w:hAnsi="宋体" w:cs="宋体" w:eastAsia="宋体" w:hint="default"/>
                <w:sz w:val="21"/>
                <w:szCs w:val="21"/>
              </w:rPr>
              <w:t>京</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西</w:t>
            </w:r>
          </w:p>
          <w:p>
            <w:pPr>
              <w:pStyle w:val="TableParagraph"/>
              <w:spacing w:line="237" w:lineRule="auto"/>
              <w:ind w:left="103" w:right="50"/>
              <w:jc w:val="both"/>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pacing w:val="-71"/>
                <w:sz w:val="21"/>
                <w:szCs w:val="21"/>
              </w:rPr>
              <w:t> </w:t>
            </w:r>
            <w:r>
              <w:rPr>
                <w:rFonts w:ascii="宋体" w:hAnsi="宋体" w:cs="宋体" w:eastAsia="宋体" w:hint="default"/>
                <w:sz w:val="21"/>
                <w:szCs w:val="21"/>
              </w:rPr>
              <w:t>区</w:t>
            </w:r>
            <w:r>
              <w:rPr>
                <w:rFonts w:ascii="宋体" w:hAnsi="宋体" w:cs="宋体" w:eastAsia="宋体" w:hint="default"/>
                <w:spacing w:val="-74"/>
                <w:sz w:val="21"/>
                <w:szCs w:val="21"/>
              </w:rPr>
              <w:t> </w:t>
            </w:r>
            <w:r>
              <w:rPr>
                <w:rFonts w:ascii="宋体" w:hAnsi="宋体" w:cs="宋体" w:eastAsia="宋体" w:hint="default"/>
                <w:sz w:val="21"/>
                <w:szCs w:val="21"/>
              </w:rPr>
              <w:t>宣</w:t>
            </w:r>
            <w:r>
              <w:rPr>
                <w:rFonts w:ascii="宋体" w:hAnsi="宋体" w:cs="宋体" w:eastAsia="宋体" w:hint="default"/>
                <w:spacing w:val="-71"/>
                <w:sz w:val="21"/>
                <w:szCs w:val="21"/>
              </w:rPr>
              <w:t> </w:t>
            </w:r>
            <w:r>
              <w:rPr>
                <w:rFonts w:ascii="宋体" w:hAnsi="宋体" w:cs="宋体" w:eastAsia="宋体" w:hint="default"/>
                <w:sz w:val="21"/>
                <w:szCs w:val="21"/>
              </w:rPr>
              <w:t>武</w:t>
            </w:r>
            <w:r>
              <w:rPr>
                <w:rFonts w:ascii="宋体" w:hAnsi="宋体" w:cs="宋体" w:eastAsia="宋体" w:hint="default"/>
                <w:w w:val="100"/>
                <w:sz w:val="21"/>
                <w:szCs w:val="21"/>
              </w:rPr>
              <w:t> </w:t>
            </w:r>
            <w:r>
              <w:rPr>
                <w:rFonts w:ascii="宋体" w:hAnsi="宋体" w:cs="宋体" w:eastAsia="宋体" w:hint="default"/>
                <w:sz w:val="21"/>
                <w:szCs w:val="21"/>
              </w:rPr>
              <w:t>门</w:t>
            </w:r>
            <w:r>
              <w:rPr>
                <w:rFonts w:ascii="宋体" w:hAnsi="宋体" w:cs="宋体" w:eastAsia="宋体" w:hint="default"/>
                <w:spacing w:val="-71"/>
                <w:sz w:val="21"/>
                <w:szCs w:val="21"/>
              </w:rPr>
              <w:t> </w:t>
            </w:r>
            <w:r>
              <w:rPr>
                <w:rFonts w:ascii="宋体" w:hAnsi="宋体" w:cs="宋体" w:eastAsia="宋体" w:hint="default"/>
                <w:sz w:val="21"/>
                <w:szCs w:val="21"/>
              </w:rPr>
              <w:t>西</w:t>
            </w:r>
            <w:r>
              <w:rPr>
                <w:rFonts w:ascii="宋体" w:hAnsi="宋体" w:cs="宋体" w:eastAsia="宋体" w:hint="default"/>
                <w:spacing w:val="-74"/>
                <w:sz w:val="21"/>
                <w:szCs w:val="21"/>
              </w:rPr>
              <w:t> </w:t>
            </w:r>
            <w:r>
              <w:rPr>
                <w:rFonts w:ascii="宋体" w:hAnsi="宋体" w:cs="宋体" w:eastAsia="宋体" w:hint="default"/>
                <w:sz w:val="21"/>
                <w:szCs w:val="21"/>
              </w:rPr>
              <w:t>大</w:t>
            </w:r>
            <w:r>
              <w:rPr>
                <w:rFonts w:ascii="宋体" w:hAnsi="宋体" w:cs="宋体" w:eastAsia="宋体" w:hint="default"/>
                <w:spacing w:val="-71"/>
                <w:sz w:val="21"/>
                <w:szCs w:val="21"/>
              </w:rPr>
              <w:t> </w:t>
            </w:r>
            <w:r>
              <w:rPr>
                <w:rFonts w:ascii="宋体" w:hAnsi="宋体" w:cs="宋体" w:eastAsia="宋体" w:hint="default"/>
                <w:sz w:val="21"/>
                <w:szCs w:val="21"/>
              </w:rPr>
              <w:t>街</w:t>
            </w:r>
            <w:r>
              <w:rPr>
                <w:rFonts w:ascii="宋体" w:hAnsi="宋体" w:cs="宋体" w:eastAsia="宋体" w:hint="default"/>
                <w:w w:val="100"/>
                <w:sz w:val="21"/>
                <w:szCs w:val="21"/>
              </w:rPr>
              <w:t> </w:t>
            </w:r>
            <w:r>
              <w:rPr>
                <w:rFonts w:ascii="宋体" w:hAnsi="宋体" w:cs="宋体" w:eastAsia="宋体" w:hint="default"/>
                <w:sz w:val="21"/>
                <w:szCs w:val="21"/>
              </w:rPr>
              <w:t>129</w:t>
            </w:r>
            <w:r>
              <w:rPr>
                <w:rFonts w:ascii="宋体" w:hAnsi="宋体" w:cs="宋体" w:eastAsia="宋体" w:hint="default"/>
                <w:spacing w:val="52"/>
                <w:sz w:val="21"/>
                <w:szCs w:val="21"/>
              </w:rPr>
              <w:t> </w:t>
            </w:r>
            <w:r>
              <w:rPr>
                <w:rFonts w:ascii="宋体" w:hAnsi="宋体" w:cs="宋体" w:eastAsia="宋体" w:hint="default"/>
                <w:spacing w:val="24"/>
                <w:sz w:val="21"/>
                <w:szCs w:val="21"/>
              </w:rPr>
              <w:t>号金</w:t>
            </w:r>
            <w:r>
              <w:rPr>
                <w:rFonts w:ascii="宋体" w:hAnsi="宋体" w:cs="宋体" w:eastAsia="宋体" w:hint="default"/>
                <w:spacing w:val="-55"/>
                <w:sz w:val="21"/>
                <w:szCs w:val="21"/>
              </w:rPr>
              <w:t> </w:t>
            </w:r>
            <w:r>
              <w:rPr>
                <w:rFonts w:ascii="宋体" w:hAnsi="宋体" w:cs="宋体" w:eastAsia="宋体" w:hint="default"/>
                <w:sz w:val="21"/>
                <w:szCs w:val="21"/>
              </w:rPr>
              <w:t>隅 大</w:t>
            </w:r>
            <w:r>
              <w:rPr>
                <w:rFonts w:ascii="宋体" w:hAnsi="宋体" w:cs="宋体" w:eastAsia="宋体" w:hint="default"/>
                <w:spacing w:val="100"/>
                <w:sz w:val="21"/>
                <w:szCs w:val="21"/>
              </w:rPr>
              <w:t> </w:t>
            </w:r>
            <w:r>
              <w:rPr>
                <w:rFonts w:ascii="宋体" w:hAnsi="宋体" w:cs="宋体" w:eastAsia="宋体" w:hint="default"/>
                <w:sz w:val="21"/>
                <w:szCs w:val="21"/>
              </w:rPr>
              <w:t>厦</w:t>
            </w:r>
            <w:r>
              <w:rPr>
                <w:rFonts w:ascii="宋体" w:hAnsi="宋体" w:cs="宋体" w:eastAsia="宋体" w:hint="default"/>
                <w:w w:val="100"/>
                <w:sz w:val="21"/>
                <w:szCs w:val="21"/>
              </w:rPr>
              <w:t> </w:t>
            </w:r>
            <w:r>
              <w:rPr>
                <w:rFonts w:ascii="宋体" w:hAnsi="宋体" w:cs="宋体" w:eastAsia="宋体" w:hint="default"/>
                <w:sz w:val="21"/>
                <w:szCs w:val="21"/>
              </w:rPr>
              <w:t>4-8</w:t>
            </w:r>
            <w:r>
              <w:rPr>
                <w:rFonts w:ascii="宋体" w:hAnsi="宋体" w:cs="宋体" w:eastAsia="宋体" w:hint="default"/>
                <w:spacing w:val="-48"/>
                <w:sz w:val="21"/>
                <w:szCs w:val="21"/>
              </w:rPr>
              <w:t> </w:t>
            </w:r>
            <w:r>
              <w:rPr>
                <w:rFonts w:ascii="宋体" w:hAnsi="宋体" w:cs="宋体" w:eastAsia="宋体" w:hint="default"/>
                <w:spacing w:val="-15"/>
                <w:sz w:val="21"/>
                <w:szCs w:val="21"/>
              </w:rPr>
              <w:t>层、</w:t>
            </w:r>
            <w:r>
              <w:rPr>
                <w:rFonts w:ascii="宋体" w:hAnsi="宋体" w:cs="宋体" w:eastAsia="宋体" w:hint="default"/>
                <w:spacing w:val="-15"/>
                <w:sz w:val="21"/>
                <w:szCs w:val="21"/>
              </w:rPr>
              <w:t>10</w:t>
            </w:r>
          </w:p>
          <w:p>
            <w:pPr>
              <w:pStyle w:val="TableParagraph"/>
              <w:spacing w:line="274" w:lineRule="exact" w:before="22"/>
              <w:ind w:left="103" w:right="95"/>
              <w:jc w:val="both"/>
              <w:rPr>
                <w:rFonts w:ascii="宋体" w:hAnsi="宋体" w:cs="宋体" w:eastAsia="宋体" w:hint="default"/>
                <w:sz w:val="21"/>
                <w:szCs w:val="21"/>
              </w:rPr>
            </w:pPr>
            <w:r>
              <w:rPr>
                <w:rFonts w:ascii="宋体" w:hAnsi="宋体" w:cs="宋体" w:eastAsia="宋体" w:hint="default"/>
                <w:sz w:val="21"/>
                <w:szCs w:val="21"/>
              </w:rPr>
              <w:t>层、</w:t>
            </w:r>
            <w:r>
              <w:rPr>
                <w:rFonts w:ascii="宋体" w:hAnsi="宋体" w:cs="宋体" w:eastAsia="宋体" w:hint="default"/>
                <w:sz w:val="21"/>
                <w:szCs w:val="21"/>
              </w:rPr>
              <w:t>15A</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层</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98"/>
              <w:jc w:val="right"/>
              <w:rPr>
                <w:rFonts w:ascii="宋体" w:hAnsi="宋体" w:cs="宋体" w:eastAsia="宋体" w:hint="default"/>
                <w:sz w:val="21"/>
                <w:szCs w:val="21"/>
              </w:rPr>
            </w:pPr>
            <w:r>
              <w:rPr>
                <w:rFonts w:ascii="宋体"/>
                <w:spacing w:val="-1"/>
                <w:sz w:val="21"/>
              </w:rPr>
              <w:t>43,747,320.86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01"/>
              <w:jc w:val="center"/>
              <w:rPr>
                <w:rFonts w:ascii="宋体" w:hAnsi="宋体" w:cs="宋体" w:eastAsia="宋体" w:hint="default"/>
                <w:sz w:val="21"/>
                <w:szCs w:val="21"/>
              </w:rPr>
            </w:pPr>
            <w:r>
              <w:rPr>
                <w:rFonts w:ascii="宋体"/>
                <w:sz w:val="21"/>
              </w:rPr>
              <w:t>2014-9-1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sz w:val="21"/>
              </w:rPr>
              <w:t>2022-8-31</w:t>
            </w:r>
          </w:p>
        </w:tc>
        <w:tc>
          <w:tcPr>
            <w:tcW w:w="502"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88"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50"/>
                <w:sz w:val="21"/>
                <w:szCs w:val="21"/>
              </w:rPr>
              <w:t> </w:t>
            </w:r>
            <w:r>
              <w:rPr>
                <w:rFonts w:ascii="宋体" w:hAnsi="宋体" w:cs="宋体" w:eastAsia="宋体" w:hint="default"/>
                <w:sz w:val="21"/>
                <w:szCs w:val="21"/>
              </w:rPr>
              <w:t>华</w:t>
            </w:r>
            <w:r>
              <w:rPr>
                <w:rFonts w:ascii="宋体" w:hAnsi="宋体" w:cs="宋体" w:eastAsia="宋体" w:hint="default"/>
                <w:spacing w:val="-52"/>
                <w:sz w:val="21"/>
                <w:szCs w:val="21"/>
              </w:rPr>
              <w:t> </w:t>
            </w:r>
            <w:r>
              <w:rPr>
                <w:rFonts w:ascii="宋体" w:hAnsi="宋体" w:cs="宋体" w:eastAsia="宋体" w:hint="default"/>
                <w:sz w:val="21"/>
                <w:szCs w:val="21"/>
              </w:rPr>
              <w:t>社</w:t>
            </w:r>
            <w:r>
              <w:rPr>
                <w:rFonts w:ascii="宋体" w:hAnsi="宋体" w:cs="宋体" w:eastAsia="宋体" w:hint="default"/>
                <w:w w:val="100"/>
                <w:sz w:val="21"/>
                <w:szCs w:val="21"/>
              </w:rPr>
              <w:t> </w:t>
            </w:r>
            <w:r>
              <w:rPr>
                <w:rFonts w:ascii="宋体" w:hAnsi="宋体" w:cs="宋体" w:eastAsia="宋体" w:hint="default"/>
                <w:sz w:val="21"/>
                <w:szCs w:val="21"/>
              </w:rPr>
              <w:t>印</w:t>
            </w:r>
            <w:r>
              <w:rPr>
                <w:rFonts w:ascii="宋体" w:hAnsi="宋体" w:cs="宋体" w:eastAsia="宋体" w:hint="default"/>
                <w:spacing w:val="-50"/>
                <w:sz w:val="21"/>
                <w:szCs w:val="21"/>
              </w:rPr>
              <w:t> </w:t>
            </w:r>
            <w:r>
              <w:rPr>
                <w:rFonts w:ascii="宋体" w:hAnsi="宋体" w:cs="宋体" w:eastAsia="宋体" w:hint="default"/>
                <w:sz w:val="21"/>
                <w:szCs w:val="21"/>
              </w:rPr>
              <w:t>务</w:t>
            </w:r>
            <w:r>
              <w:rPr>
                <w:rFonts w:ascii="宋体" w:hAnsi="宋体" w:cs="宋体" w:eastAsia="宋体" w:hint="default"/>
                <w:spacing w:val="-5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pacing w:val="-50"/>
                <w:sz w:val="21"/>
                <w:szCs w:val="21"/>
              </w:rPr>
              <w:t> </w:t>
            </w:r>
            <w:r>
              <w:rPr>
                <w:rFonts w:ascii="宋体" w:hAnsi="宋体" w:cs="宋体" w:eastAsia="宋体" w:hint="default"/>
                <w:sz w:val="21"/>
                <w:szCs w:val="21"/>
              </w:rPr>
              <w:t>责</w:t>
            </w:r>
            <w:r>
              <w:rPr>
                <w:rFonts w:ascii="宋体" w:hAnsi="宋体" w:cs="宋体" w:eastAsia="宋体" w:hint="default"/>
                <w:spacing w:val="-52"/>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pacing w:val="7"/>
                <w:sz w:val="21"/>
                <w:szCs w:val="21"/>
              </w:rPr>
              <w:t>新华网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股份有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1"/>
                <w:sz w:val="21"/>
                <w:szCs w:val="21"/>
              </w:rPr>
              <w:t> </w:t>
            </w:r>
            <w:r>
              <w:rPr>
                <w:rFonts w:ascii="宋体" w:hAnsi="宋体" w:cs="宋体" w:eastAsia="宋体" w:hint="default"/>
                <w:sz w:val="21"/>
                <w:szCs w:val="21"/>
              </w:rPr>
              <w:t>京</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西</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pacing w:val="-71"/>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宣</w:t>
            </w:r>
            <w:r>
              <w:rPr>
                <w:rFonts w:ascii="宋体" w:hAnsi="宋体" w:cs="宋体" w:eastAsia="宋体" w:hint="default"/>
                <w:spacing w:val="-71"/>
                <w:sz w:val="21"/>
                <w:szCs w:val="21"/>
              </w:rPr>
              <w:t> </w:t>
            </w:r>
            <w:r>
              <w:rPr>
                <w:rFonts w:ascii="宋体" w:hAnsi="宋体" w:cs="宋体" w:eastAsia="宋体" w:hint="default"/>
                <w:sz w:val="21"/>
                <w:szCs w:val="21"/>
              </w:rPr>
              <w:t>武</w:t>
            </w:r>
            <w:r>
              <w:rPr>
                <w:rFonts w:ascii="宋体" w:hAnsi="宋体" w:cs="宋体" w:eastAsia="宋体" w:hint="default"/>
                <w:w w:val="100"/>
                <w:sz w:val="21"/>
                <w:szCs w:val="21"/>
              </w:rPr>
              <w:t> </w:t>
            </w:r>
            <w:r>
              <w:rPr>
                <w:rFonts w:ascii="宋体" w:hAnsi="宋体" w:cs="宋体" w:eastAsia="宋体" w:hint="default"/>
                <w:sz w:val="21"/>
                <w:szCs w:val="21"/>
              </w:rPr>
              <w:t>门</w:t>
            </w:r>
            <w:r>
              <w:rPr>
                <w:rFonts w:ascii="宋体" w:hAnsi="宋体" w:cs="宋体" w:eastAsia="宋体" w:hint="default"/>
                <w:spacing w:val="-71"/>
                <w:sz w:val="21"/>
                <w:szCs w:val="21"/>
              </w:rPr>
              <w:t> </w:t>
            </w:r>
            <w:r>
              <w:rPr>
                <w:rFonts w:ascii="宋体" w:hAnsi="宋体" w:cs="宋体" w:eastAsia="宋体" w:hint="default"/>
                <w:sz w:val="21"/>
                <w:szCs w:val="21"/>
              </w:rPr>
              <w:t>西</w:t>
            </w:r>
            <w:r>
              <w:rPr>
                <w:rFonts w:ascii="宋体" w:hAnsi="宋体" w:cs="宋体" w:eastAsia="宋体" w:hint="default"/>
                <w:spacing w:val="-73"/>
                <w:sz w:val="21"/>
                <w:szCs w:val="21"/>
              </w:rPr>
              <w:t> </w:t>
            </w:r>
            <w:r>
              <w:rPr>
                <w:rFonts w:ascii="宋体" w:hAnsi="宋体" w:cs="宋体" w:eastAsia="宋体" w:hint="default"/>
                <w:sz w:val="21"/>
                <w:szCs w:val="21"/>
              </w:rPr>
              <w:t>大</w:t>
            </w:r>
            <w:r>
              <w:rPr>
                <w:rFonts w:ascii="宋体" w:hAnsi="宋体" w:cs="宋体" w:eastAsia="宋体" w:hint="default"/>
                <w:spacing w:val="-71"/>
                <w:sz w:val="21"/>
                <w:szCs w:val="21"/>
              </w:rPr>
              <w:t> </w:t>
            </w:r>
            <w:r>
              <w:rPr>
                <w:rFonts w:ascii="宋体" w:hAnsi="宋体" w:cs="宋体" w:eastAsia="宋体" w:hint="default"/>
                <w:sz w:val="21"/>
                <w:szCs w:val="21"/>
              </w:rPr>
              <w:t>街</w:t>
            </w:r>
            <w:r>
              <w:rPr>
                <w:rFonts w:ascii="宋体" w:hAnsi="宋体" w:cs="宋体" w:eastAsia="宋体" w:hint="default"/>
                <w:w w:val="100"/>
                <w:sz w:val="21"/>
                <w:szCs w:val="21"/>
              </w:rPr>
              <w:t> </w:t>
            </w:r>
            <w:r>
              <w:rPr>
                <w:rFonts w:ascii="宋体" w:hAnsi="宋体" w:cs="宋体" w:eastAsia="宋体" w:hint="default"/>
                <w:sz w:val="21"/>
                <w:szCs w:val="21"/>
              </w:rPr>
              <w:t>97</w:t>
            </w:r>
            <w:r>
              <w:rPr>
                <w:rFonts w:ascii="宋体" w:hAnsi="宋体" w:cs="宋体" w:eastAsia="宋体" w:hint="default"/>
                <w:spacing w:val="-4"/>
                <w:sz w:val="21"/>
                <w:szCs w:val="21"/>
              </w:rPr>
              <w:t> </w:t>
            </w:r>
            <w:r>
              <w:rPr>
                <w:rFonts w:ascii="宋体" w:hAnsi="宋体" w:cs="宋体" w:eastAsia="宋体" w:hint="default"/>
                <w:sz w:val="21"/>
                <w:szCs w:val="21"/>
              </w:rPr>
              <w:t>号南楼</w:t>
            </w:r>
            <w:r>
              <w:rPr>
                <w:rFonts w:ascii="宋体" w:hAnsi="宋体" w:cs="宋体" w:eastAsia="宋体" w:hint="default"/>
                <w:w w:val="100"/>
                <w:sz w:val="21"/>
                <w:szCs w:val="21"/>
              </w:rPr>
              <w:t> </w:t>
            </w:r>
            <w:r>
              <w:rPr>
                <w:rFonts w:ascii="宋体" w:hAnsi="宋体" w:cs="宋体" w:eastAsia="宋体" w:hint="default"/>
                <w:sz w:val="21"/>
                <w:szCs w:val="21"/>
              </w:rPr>
              <w:t>三、四层</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6,854,645.61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2012-7-15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2020-7-14</w:t>
            </w:r>
          </w:p>
        </w:tc>
        <w:tc>
          <w:tcPr>
            <w:tcW w:w="502"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0" w:right="122"/>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的全资</w:t>
            </w:r>
            <w:r>
              <w:rPr>
                <w:rFonts w:ascii="宋体" w:hAnsi="宋体" w:cs="宋体" w:eastAsia="宋体" w:hint="default"/>
                <w:spacing w:val="-102"/>
                <w:sz w:val="21"/>
                <w:szCs w:val="21"/>
              </w:rPr>
              <w:t> </w:t>
            </w:r>
            <w:r>
              <w:rPr>
                <w:rFonts w:ascii="宋体" w:hAnsi="宋体" w:cs="宋体" w:eastAsia="宋体" w:hint="default"/>
                <w:sz w:val="21"/>
                <w:szCs w:val="21"/>
              </w:rPr>
              <w:t>子公司</w:t>
            </w:r>
          </w:p>
        </w:tc>
      </w:tr>
      <w:tr>
        <w:trPr>
          <w:trHeight w:val="110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50"/>
                <w:sz w:val="21"/>
                <w:szCs w:val="21"/>
              </w:rPr>
              <w:t> </w:t>
            </w:r>
            <w:r>
              <w:rPr>
                <w:rFonts w:ascii="宋体" w:hAnsi="宋体" w:cs="宋体" w:eastAsia="宋体" w:hint="default"/>
                <w:sz w:val="21"/>
                <w:szCs w:val="21"/>
              </w:rPr>
              <w:t>京</w:t>
            </w:r>
            <w:r>
              <w:rPr>
                <w:rFonts w:ascii="宋体" w:hAnsi="宋体" w:cs="宋体" w:eastAsia="宋体" w:hint="default"/>
                <w:spacing w:val="-52"/>
                <w:sz w:val="21"/>
                <w:szCs w:val="21"/>
              </w:rPr>
              <w:t> </w:t>
            </w:r>
            <w:r>
              <w:rPr>
                <w:rFonts w:ascii="宋体" w:hAnsi="宋体" w:cs="宋体" w:eastAsia="宋体" w:hint="default"/>
                <w:sz w:val="21"/>
                <w:szCs w:val="21"/>
              </w:rPr>
              <w:t>天</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宁</w:t>
            </w:r>
            <w:r>
              <w:rPr>
                <w:rFonts w:ascii="宋体" w:hAnsi="宋体" w:cs="宋体" w:eastAsia="宋体" w:hint="default"/>
                <w:spacing w:val="-50"/>
                <w:sz w:val="21"/>
                <w:szCs w:val="21"/>
              </w:rPr>
              <w:t> </w:t>
            </w:r>
            <w:r>
              <w:rPr>
                <w:rFonts w:ascii="宋体" w:hAnsi="宋体" w:cs="宋体" w:eastAsia="宋体" w:hint="default"/>
                <w:sz w:val="21"/>
                <w:szCs w:val="21"/>
              </w:rPr>
              <w:t>华</w:t>
            </w:r>
            <w:r>
              <w:rPr>
                <w:rFonts w:ascii="宋体" w:hAnsi="宋体" w:cs="宋体" w:eastAsia="宋体" w:hint="default"/>
                <w:spacing w:val="-52"/>
                <w:sz w:val="21"/>
                <w:szCs w:val="21"/>
              </w:rPr>
              <w:t> </w:t>
            </w:r>
            <w:r>
              <w:rPr>
                <w:rFonts w:ascii="宋体" w:hAnsi="宋体" w:cs="宋体" w:eastAsia="宋体" w:hint="default"/>
                <w:sz w:val="21"/>
                <w:szCs w:val="21"/>
              </w:rPr>
              <w:t>韵</w:t>
            </w:r>
            <w:r>
              <w:rPr>
                <w:rFonts w:ascii="宋体" w:hAnsi="宋体" w:cs="宋体" w:eastAsia="宋体" w:hint="default"/>
                <w:w w:val="100"/>
                <w:sz w:val="21"/>
                <w:szCs w:val="21"/>
              </w:rPr>
              <w:t> </w:t>
            </w:r>
            <w:r>
              <w:rPr>
                <w:rFonts w:ascii="宋体" w:hAnsi="宋体" w:cs="宋体" w:eastAsia="宋体" w:hint="default"/>
                <w:sz w:val="21"/>
                <w:szCs w:val="21"/>
              </w:rPr>
              <w:t>文</w:t>
            </w:r>
            <w:r>
              <w:rPr>
                <w:rFonts w:ascii="宋体" w:hAnsi="宋体" w:cs="宋体" w:eastAsia="宋体" w:hint="default"/>
                <w:spacing w:val="-50"/>
                <w:sz w:val="21"/>
                <w:szCs w:val="21"/>
              </w:rPr>
              <w:t> </w:t>
            </w:r>
            <w:r>
              <w:rPr>
                <w:rFonts w:ascii="宋体" w:hAnsi="宋体" w:cs="宋体" w:eastAsia="宋体" w:hint="default"/>
                <w:sz w:val="21"/>
                <w:szCs w:val="21"/>
              </w:rPr>
              <w:t>化</w:t>
            </w:r>
            <w:r>
              <w:rPr>
                <w:rFonts w:ascii="宋体" w:hAnsi="宋体" w:cs="宋体" w:eastAsia="宋体" w:hint="default"/>
                <w:spacing w:val="-52"/>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50"/>
                <w:sz w:val="21"/>
                <w:szCs w:val="21"/>
              </w:rPr>
              <w:t> </w:t>
            </w:r>
            <w:r>
              <w:rPr>
                <w:rFonts w:ascii="宋体" w:hAnsi="宋体" w:cs="宋体" w:eastAsia="宋体" w:hint="default"/>
                <w:sz w:val="21"/>
                <w:szCs w:val="21"/>
              </w:rPr>
              <w:t>有</w:t>
            </w:r>
            <w:r>
              <w:rPr>
                <w:rFonts w:ascii="宋体" w:hAnsi="宋体" w:cs="宋体" w:eastAsia="宋体" w:hint="default"/>
                <w:spacing w:val="-52"/>
                <w:sz w:val="21"/>
                <w:szCs w:val="21"/>
              </w:rPr>
              <w:t> </w:t>
            </w:r>
            <w:r>
              <w:rPr>
                <w:rFonts w:ascii="宋体" w:hAnsi="宋体" w:cs="宋体" w:eastAsia="宋体" w:hint="default"/>
                <w:sz w:val="21"/>
                <w:szCs w:val="21"/>
              </w:rPr>
              <w:t>限</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99"/>
              <w:jc w:val="both"/>
              <w:rPr>
                <w:rFonts w:ascii="宋体" w:hAnsi="宋体" w:cs="宋体" w:eastAsia="宋体" w:hint="default"/>
                <w:sz w:val="21"/>
                <w:szCs w:val="21"/>
              </w:rPr>
            </w:pPr>
            <w:r>
              <w:rPr>
                <w:rFonts w:ascii="宋体" w:hAnsi="宋体" w:cs="宋体" w:eastAsia="宋体" w:hint="default"/>
                <w:spacing w:val="7"/>
                <w:sz w:val="21"/>
                <w:szCs w:val="21"/>
              </w:rPr>
              <w:t>新华网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7"/>
                <w:sz w:val="21"/>
                <w:szCs w:val="21"/>
              </w:rPr>
              <w:t>股份有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1"/>
                <w:sz w:val="21"/>
                <w:szCs w:val="21"/>
              </w:rPr>
              <w:t> </w:t>
            </w:r>
            <w:r>
              <w:rPr>
                <w:rFonts w:ascii="宋体" w:hAnsi="宋体" w:cs="宋体" w:eastAsia="宋体" w:hint="default"/>
                <w:sz w:val="21"/>
                <w:szCs w:val="21"/>
              </w:rPr>
              <w:t>京</w:t>
            </w:r>
            <w:r>
              <w:rPr>
                <w:rFonts w:ascii="宋体" w:hAnsi="宋体" w:cs="宋体" w:eastAsia="宋体" w:hint="default"/>
                <w:spacing w:val="-73"/>
                <w:sz w:val="21"/>
                <w:szCs w:val="21"/>
              </w:rPr>
              <w:t> </w:t>
            </w: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西</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pacing w:val="-71"/>
                <w:sz w:val="21"/>
                <w:szCs w:val="21"/>
              </w:rPr>
              <w:t> </w:t>
            </w:r>
            <w:r>
              <w:rPr>
                <w:rFonts w:ascii="宋体" w:hAnsi="宋体" w:cs="宋体" w:eastAsia="宋体" w:hint="default"/>
                <w:sz w:val="21"/>
                <w:szCs w:val="21"/>
              </w:rPr>
              <w:t>区</w:t>
            </w:r>
            <w:r>
              <w:rPr>
                <w:rFonts w:ascii="宋体" w:hAnsi="宋体" w:cs="宋体" w:eastAsia="宋体" w:hint="default"/>
                <w:spacing w:val="-73"/>
                <w:sz w:val="21"/>
                <w:szCs w:val="21"/>
              </w:rPr>
              <w:t> </w:t>
            </w:r>
            <w:r>
              <w:rPr>
                <w:rFonts w:ascii="宋体" w:hAnsi="宋体" w:cs="宋体" w:eastAsia="宋体" w:hint="default"/>
                <w:sz w:val="21"/>
                <w:szCs w:val="21"/>
              </w:rPr>
              <w:t>莲</w:t>
            </w:r>
            <w:r>
              <w:rPr>
                <w:rFonts w:ascii="宋体" w:hAnsi="宋体" w:cs="宋体" w:eastAsia="宋体" w:hint="default"/>
                <w:spacing w:val="-71"/>
                <w:sz w:val="21"/>
                <w:szCs w:val="21"/>
              </w:rPr>
              <w:t> </w:t>
            </w:r>
            <w:r>
              <w:rPr>
                <w:rFonts w:ascii="宋体" w:hAnsi="宋体" w:cs="宋体" w:eastAsia="宋体" w:hint="default"/>
                <w:sz w:val="21"/>
                <w:szCs w:val="21"/>
              </w:rPr>
              <w:t>花</w:t>
            </w:r>
            <w:r>
              <w:rPr>
                <w:rFonts w:ascii="宋体" w:hAnsi="宋体" w:cs="宋体" w:eastAsia="宋体" w:hint="default"/>
                <w:w w:val="100"/>
                <w:sz w:val="21"/>
                <w:szCs w:val="21"/>
              </w:rPr>
              <w:t> </w:t>
            </w:r>
            <w:r>
              <w:rPr>
                <w:rFonts w:ascii="宋体" w:hAnsi="宋体" w:cs="宋体" w:eastAsia="宋体" w:hint="default"/>
                <w:sz w:val="21"/>
                <w:szCs w:val="21"/>
              </w:rPr>
              <w:t>池东路</w:t>
            </w:r>
            <w:r>
              <w:rPr>
                <w:rFonts w:ascii="宋体" w:hAnsi="宋体" w:cs="宋体" w:eastAsia="宋体" w:hint="default"/>
                <w:spacing w:val="-3"/>
                <w:sz w:val="21"/>
                <w:szCs w:val="21"/>
              </w:rPr>
              <w:t> </w:t>
            </w:r>
            <w:r>
              <w:rPr>
                <w:rFonts w:ascii="宋体" w:hAnsi="宋体" w:cs="宋体" w:eastAsia="宋体" w:hint="default"/>
                <w:sz w:val="21"/>
                <w:szCs w:val="21"/>
              </w:rPr>
              <w:t>16</w:t>
            </w:r>
            <w:r>
              <w:rPr>
                <w:rFonts w:ascii="宋体" w:hAnsi="宋体" w:cs="宋体" w:eastAsia="宋体" w:hint="default"/>
                <w:w w:val="100"/>
                <w:sz w:val="21"/>
                <w:szCs w:val="21"/>
              </w:rPr>
              <w:t> </w:t>
            </w:r>
            <w:r>
              <w:rPr>
                <w:rFonts w:ascii="宋体" w:hAnsi="宋体" w:cs="宋体" w:eastAsia="宋体" w:hint="default"/>
                <w:sz w:val="21"/>
                <w:szCs w:val="21"/>
              </w:rPr>
              <w:t>号</w:t>
            </w:r>
            <w:r>
              <w:rPr>
                <w:rFonts w:ascii="宋体" w:hAnsi="宋体" w:cs="宋体" w:eastAsia="宋体" w:hint="default"/>
                <w:spacing w:val="-72"/>
                <w:sz w:val="21"/>
                <w:szCs w:val="21"/>
              </w:rPr>
              <w:t> </w:t>
            </w:r>
            <w:r>
              <w:rPr>
                <w:rFonts w:ascii="宋体" w:hAnsi="宋体" w:cs="宋体" w:eastAsia="宋体" w:hint="default"/>
                <w:sz w:val="21"/>
                <w:szCs w:val="21"/>
              </w:rPr>
              <w:t>天</w:t>
            </w:r>
            <w:r>
              <w:rPr>
                <w:rFonts w:ascii="宋体" w:hAnsi="宋体" w:cs="宋体" w:eastAsia="宋体" w:hint="default"/>
                <w:spacing w:val="-74"/>
                <w:sz w:val="21"/>
                <w:szCs w:val="21"/>
              </w:rPr>
              <w:t> </w:t>
            </w:r>
            <w:r>
              <w:rPr>
                <w:rFonts w:ascii="宋体" w:hAnsi="宋体" w:cs="宋体" w:eastAsia="宋体" w:hint="default"/>
                <w:sz w:val="21"/>
                <w:szCs w:val="21"/>
              </w:rPr>
              <w:t>宁</w:t>
            </w:r>
            <w:r>
              <w:rPr>
                <w:rFonts w:ascii="宋体" w:hAnsi="宋体" w:cs="宋体" w:eastAsia="宋体" w:hint="default"/>
                <w:spacing w:val="37"/>
                <w:sz w:val="21"/>
                <w:szCs w:val="21"/>
              </w:rPr>
              <w:t> </w:t>
            </w:r>
            <w:r>
              <w:rPr>
                <w:rFonts w:ascii="宋体" w:hAnsi="宋体" w:cs="宋体" w:eastAsia="宋体" w:hint="default"/>
                <w:sz w:val="21"/>
                <w:szCs w:val="21"/>
              </w:rPr>
              <w:t>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5,843,681.02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center"/>
              <w:rPr>
                <w:rFonts w:ascii="宋体" w:hAnsi="宋体" w:cs="宋体" w:eastAsia="宋体" w:hint="default"/>
                <w:sz w:val="21"/>
                <w:szCs w:val="21"/>
              </w:rPr>
            </w:pPr>
            <w:r>
              <w:rPr>
                <w:rFonts w:ascii="宋体"/>
                <w:sz w:val="21"/>
              </w:rPr>
              <w:t>2017-9-1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2020-8-31</w:t>
            </w:r>
          </w:p>
        </w:tc>
        <w:tc>
          <w:tcPr>
            <w:tcW w:w="502"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8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20" w:right="6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958"/>
        <w:gridCol w:w="871"/>
        <w:gridCol w:w="1157"/>
        <w:gridCol w:w="1582"/>
        <w:gridCol w:w="1162"/>
        <w:gridCol w:w="1159"/>
        <w:gridCol w:w="502"/>
        <w:gridCol w:w="500"/>
        <w:gridCol w:w="499"/>
        <w:gridCol w:w="502"/>
        <w:gridCol w:w="888"/>
      </w:tblGrid>
      <w:tr>
        <w:trPr>
          <w:trHeight w:val="110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87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71"/>
                <w:sz w:val="21"/>
                <w:szCs w:val="21"/>
              </w:rPr>
              <w:t> </w:t>
            </w:r>
            <w:r>
              <w:rPr>
                <w:rFonts w:ascii="宋体" w:hAnsi="宋体" w:cs="宋体" w:eastAsia="宋体" w:hint="default"/>
                <w:sz w:val="21"/>
                <w:szCs w:val="21"/>
              </w:rPr>
              <w:t>文</w:t>
            </w:r>
            <w:r>
              <w:rPr>
                <w:rFonts w:ascii="宋体" w:hAnsi="宋体" w:cs="宋体" w:eastAsia="宋体" w:hint="default"/>
                <w:spacing w:val="-73"/>
                <w:sz w:val="21"/>
                <w:szCs w:val="21"/>
              </w:rPr>
              <w:t> </w:t>
            </w:r>
            <w:r>
              <w:rPr>
                <w:rFonts w:ascii="宋体" w:hAnsi="宋体" w:cs="宋体" w:eastAsia="宋体" w:hint="default"/>
                <w:sz w:val="21"/>
                <w:szCs w:val="21"/>
              </w:rPr>
              <w:t>化</w:t>
            </w:r>
            <w:r>
              <w:rPr>
                <w:rFonts w:ascii="宋体" w:hAnsi="宋体" w:cs="宋体" w:eastAsia="宋体" w:hint="default"/>
                <w:spacing w:val="-71"/>
                <w:sz w:val="21"/>
                <w:szCs w:val="21"/>
              </w:rPr>
              <w:t> </w:t>
            </w:r>
            <w:r>
              <w:rPr>
                <w:rFonts w:ascii="宋体" w:hAnsi="宋体" w:cs="宋体" w:eastAsia="宋体" w:hint="default"/>
                <w:sz w:val="21"/>
                <w:szCs w:val="21"/>
              </w:rPr>
              <w:t>科</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创</w:t>
            </w:r>
            <w:r>
              <w:rPr>
                <w:rFonts w:ascii="宋体" w:hAnsi="宋体" w:cs="宋体" w:eastAsia="宋体" w:hint="default"/>
                <w:spacing w:val="-73"/>
                <w:sz w:val="21"/>
                <w:szCs w:val="21"/>
              </w:rPr>
              <w:t> </w:t>
            </w:r>
            <w:r>
              <w:rPr>
                <w:rFonts w:ascii="宋体" w:hAnsi="宋体" w:cs="宋体" w:eastAsia="宋体" w:hint="default"/>
                <w:sz w:val="21"/>
                <w:szCs w:val="21"/>
              </w:rPr>
              <w:t>新</w:t>
            </w:r>
            <w:r>
              <w:rPr>
                <w:rFonts w:ascii="宋体" w:hAnsi="宋体" w:cs="宋体" w:eastAsia="宋体" w:hint="default"/>
                <w:spacing w:val="-71"/>
                <w:sz w:val="21"/>
                <w:szCs w:val="21"/>
              </w:rPr>
              <w:t> </w:t>
            </w:r>
            <w:r>
              <w:rPr>
                <w:rFonts w:ascii="宋体" w:hAnsi="宋体" w:cs="宋体" w:eastAsia="宋体" w:hint="default"/>
                <w:sz w:val="21"/>
                <w:szCs w:val="21"/>
              </w:rPr>
              <w:t>园</w:t>
            </w:r>
            <w:r>
              <w:rPr>
                <w:rFonts w:ascii="宋体" w:hAnsi="宋体" w:cs="宋体" w:eastAsia="宋体" w:hint="default"/>
                <w:w w:val="100"/>
                <w:sz w:val="21"/>
                <w:szCs w:val="21"/>
              </w:rPr>
              <w:t> </w:t>
            </w:r>
            <w:r>
              <w:rPr>
                <w:rFonts w:ascii="宋体" w:hAnsi="宋体" w:cs="宋体" w:eastAsia="宋体" w:hint="default"/>
                <w:sz w:val="21"/>
                <w:szCs w:val="21"/>
              </w:rPr>
              <w:t>33</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2"/>
                <w:sz w:val="21"/>
                <w:szCs w:val="21"/>
              </w:rPr>
              <w:t> </w:t>
            </w:r>
            <w:r>
              <w:rPr>
                <w:rFonts w:ascii="宋体" w:hAnsi="宋体" w:cs="宋体" w:eastAsia="宋体" w:hint="default"/>
                <w:sz w:val="21"/>
                <w:szCs w:val="21"/>
              </w:rPr>
              <w:t>35</w:t>
            </w:r>
            <w:r>
              <w:rPr>
                <w:rFonts w:ascii="宋体" w:hAnsi="宋体" w:cs="宋体" w:eastAsia="宋体" w:hint="default"/>
                <w:spacing w:val="-71"/>
                <w:sz w:val="21"/>
                <w:szCs w:val="21"/>
              </w:rPr>
              <w:t> </w:t>
            </w:r>
            <w:r>
              <w:rPr>
                <w:rFonts w:ascii="宋体" w:hAnsi="宋体" w:cs="宋体" w:eastAsia="宋体" w:hint="default"/>
                <w:sz w:val="21"/>
                <w:szCs w:val="21"/>
              </w:rPr>
              <w:t>、</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36</w:t>
            </w:r>
            <w:r>
              <w:rPr>
                <w:rFonts w:ascii="宋体" w:hAnsi="宋体" w:cs="宋体" w:eastAsia="宋体" w:hint="default"/>
                <w:spacing w:val="-50"/>
                <w:sz w:val="21"/>
                <w:szCs w:val="21"/>
              </w:rPr>
              <w:t> </w:t>
            </w:r>
            <w:r>
              <w:rPr>
                <w:rFonts w:ascii="宋体" w:hAnsi="宋体" w:cs="宋体" w:eastAsia="宋体" w:hint="default"/>
                <w:spacing w:val="-3"/>
                <w:sz w:val="21"/>
                <w:szCs w:val="21"/>
              </w:rPr>
              <w:t>号楼</w:t>
            </w:r>
            <w:r>
              <w:rPr>
                <w:rFonts w:ascii="宋体" w:hAnsi="宋体" w:cs="宋体" w:eastAsia="宋体"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00"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578" w:right="0"/>
        <w:jc w:val="left"/>
      </w:pPr>
      <w:r>
        <w:rPr/>
        <w:t>租赁情况说明</w:t>
      </w:r>
    </w:p>
    <w:p>
      <w:pPr>
        <w:pStyle w:val="BodyText"/>
        <w:spacing w:line="240" w:lineRule="auto" w:before="133"/>
        <w:ind w:left="998" w:right="0"/>
        <w:jc w:val="left"/>
        <w:rPr>
          <w:rFonts w:ascii="宋体" w:hAnsi="宋体" w:cs="宋体" w:eastAsia="宋体" w:hint="default"/>
        </w:rPr>
      </w:pPr>
      <w:r>
        <w:rPr>
          <w:rFonts w:ascii="宋体" w:hAnsi="宋体" w:cs="宋体" w:eastAsia="宋体" w:hint="default"/>
          <w:w w:val="100"/>
        </w:rPr>
        <w:t>1</w:t>
      </w:r>
      <w:r>
        <w:rPr>
          <w:spacing w:val="-106"/>
          <w:w w:val="100"/>
        </w:rPr>
        <w:t>、</w:t>
      </w:r>
      <w:r>
        <w:rPr>
          <w:w w:val="100"/>
        </w:rPr>
        <w:t>北</w:t>
      </w:r>
      <w:r>
        <w:rPr>
          <w:spacing w:val="-3"/>
          <w:w w:val="100"/>
        </w:rPr>
        <w:t>京</w:t>
      </w:r>
      <w:r>
        <w:rPr>
          <w:w w:val="100"/>
        </w:rPr>
        <w:t>金</w:t>
      </w:r>
      <w:r>
        <w:rPr>
          <w:spacing w:val="-3"/>
          <w:w w:val="100"/>
        </w:rPr>
        <w:t>隅</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的租</w:t>
      </w:r>
      <w:r>
        <w:rPr>
          <w:spacing w:val="-3"/>
          <w:w w:val="100"/>
        </w:rPr>
        <w:t>赁</w:t>
      </w:r>
      <w:r>
        <w:rPr>
          <w:w w:val="100"/>
        </w:rPr>
        <w:t>资</w:t>
      </w:r>
      <w:r>
        <w:rPr>
          <w:spacing w:val="-3"/>
          <w:w w:val="100"/>
        </w:rPr>
        <w:t>产</w:t>
      </w:r>
      <w:r>
        <w:rPr>
          <w:w w:val="100"/>
        </w:rPr>
        <w:t>涉</w:t>
      </w:r>
      <w:r>
        <w:rPr>
          <w:spacing w:val="-3"/>
          <w:w w:val="100"/>
        </w:rPr>
        <w:t>及</w:t>
      </w:r>
      <w:r>
        <w:rPr>
          <w:w w:val="100"/>
        </w:rPr>
        <w:t>金</w:t>
      </w:r>
      <w:r>
        <w:rPr>
          <w:spacing w:val="-3"/>
          <w:w w:val="100"/>
        </w:rPr>
        <w:t>额</w:t>
      </w:r>
      <w:r>
        <w:rPr>
          <w:w w:val="100"/>
        </w:rPr>
        <w:t>为</w:t>
      </w:r>
      <w:r>
        <w:rPr>
          <w:spacing w:val="-67"/>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67"/>
        </w:rPr>
        <w:t> </w:t>
      </w:r>
      <w:r>
        <w:rPr>
          <w:w w:val="100"/>
        </w:rPr>
        <w:t>年度</w:t>
      </w:r>
      <w:r>
        <w:rPr>
          <w:spacing w:val="-3"/>
          <w:w w:val="100"/>
        </w:rPr>
        <w:t>北</w:t>
      </w:r>
      <w:r>
        <w:rPr>
          <w:w w:val="100"/>
        </w:rPr>
        <w:t>京</w:t>
      </w:r>
      <w:r>
        <w:rPr>
          <w:spacing w:val="-3"/>
          <w:w w:val="100"/>
        </w:rPr>
        <w:t>市</w:t>
      </w:r>
      <w:r>
        <w:rPr>
          <w:w w:val="100"/>
        </w:rPr>
        <w:t>西</w:t>
      </w:r>
      <w:r>
        <w:rPr>
          <w:spacing w:val="-3"/>
          <w:w w:val="100"/>
        </w:rPr>
        <w:t>城</w:t>
      </w:r>
      <w:r>
        <w:rPr>
          <w:w w:val="100"/>
        </w:rPr>
        <w:t>区</w:t>
      </w:r>
      <w:r>
        <w:rPr>
          <w:spacing w:val="-3"/>
          <w:w w:val="100"/>
        </w:rPr>
        <w:t>宣</w:t>
      </w:r>
      <w:r>
        <w:rPr>
          <w:w w:val="100"/>
        </w:rPr>
        <w:t>武</w:t>
      </w:r>
      <w:r>
        <w:rPr>
          <w:spacing w:val="-3"/>
          <w:w w:val="100"/>
        </w:rPr>
        <w:t>门</w:t>
      </w:r>
      <w:r>
        <w:rPr>
          <w:w w:val="100"/>
        </w:rPr>
        <w:t>西大</w:t>
      </w:r>
      <w:r>
        <w:rPr>
          <w:spacing w:val="-3"/>
          <w:w w:val="100"/>
        </w:rPr>
        <w:t>街</w:t>
      </w:r>
      <w:r>
        <w:rPr>
          <w:w w:val="100"/>
        </w:rPr>
        <w:t>甲</w:t>
      </w:r>
      <w:r>
        <w:rPr>
          <w:spacing w:val="-67"/>
        </w:rPr>
        <w:t> </w:t>
      </w:r>
      <w:r>
        <w:rPr>
          <w:rFonts w:ascii="宋体" w:hAnsi="宋体" w:cs="宋体" w:eastAsia="宋体" w:hint="default"/>
          <w:w w:val="100"/>
        </w:rPr>
        <w:t>1</w:t>
      </w:r>
      <w:r>
        <w:rPr>
          <w:rFonts w:ascii="宋体" w:hAnsi="宋体" w:cs="宋体" w:eastAsia="宋体" w:hint="default"/>
          <w:spacing w:val="-3"/>
          <w:w w:val="100"/>
        </w:rPr>
        <w:t>2</w:t>
      </w:r>
      <w:r>
        <w:rPr>
          <w:rFonts w:ascii="宋体" w:hAnsi="宋体" w:cs="宋体" w:eastAsia="宋体" w:hint="default"/>
          <w:w w:val="100"/>
        </w:rPr>
        <w:t>9</w:t>
      </w:r>
    </w:p>
    <w:p>
      <w:pPr>
        <w:pStyle w:val="BodyText"/>
        <w:spacing w:line="240" w:lineRule="auto" w:before="133"/>
        <w:ind w:left="578" w:right="0"/>
        <w:jc w:val="left"/>
      </w:pPr>
      <w:r>
        <w:rPr/>
        <w:t>号金隅大厦</w:t>
      </w:r>
      <w:r>
        <w:rPr>
          <w:spacing w:val="-53"/>
        </w:rPr>
        <w:t> </w:t>
      </w:r>
      <w:r>
        <w:rPr>
          <w:rFonts w:ascii="宋体" w:hAnsi="宋体" w:cs="宋体" w:eastAsia="宋体" w:hint="default"/>
        </w:rPr>
        <w:t>4</w:t>
      </w:r>
      <w:r>
        <w:rPr>
          <w:rFonts w:ascii="宋体" w:hAnsi="宋体" w:cs="宋体" w:eastAsia="宋体" w:hint="default"/>
          <w:spacing w:val="-53"/>
        </w:rPr>
        <w:t> </w:t>
      </w:r>
      <w:r>
        <w:rPr/>
        <w:t>层至</w:t>
      </w:r>
      <w:r>
        <w:rPr>
          <w:spacing w:val="-53"/>
        </w:rPr>
        <w:t> </w:t>
      </w:r>
      <w:r>
        <w:rPr>
          <w:rFonts w:ascii="宋体" w:hAnsi="宋体" w:cs="宋体" w:eastAsia="宋体" w:hint="default"/>
        </w:rPr>
        <w:t>8</w:t>
      </w:r>
      <w:r>
        <w:rPr>
          <w:rFonts w:ascii="宋体" w:hAnsi="宋体" w:cs="宋体" w:eastAsia="宋体" w:hint="default"/>
          <w:spacing w:val="-55"/>
        </w:rPr>
        <w:t> </w:t>
      </w:r>
      <w:r>
        <w:rPr/>
        <w:t>层、</w:t>
      </w:r>
      <w:r>
        <w:rPr>
          <w:rFonts w:ascii="宋体" w:hAnsi="宋体" w:cs="宋体" w:eastAsia="宋体" w:hint="default"/>
        </w:rPr>
        <w:t>10</w:t>
      </w:r>
      <w:r>
        <w:rPr>
          <w:rFonts w:ascii="宋体" w:hAnsi="宋体" w:cs="宋体" w:eastAsia="宋体" w:hint="default"/>
          <w:spacing w:val="-53"/>
        </w:rPr>
        <w:t> </w:t>
      </w:r>
      <w:r>
        <w:rPr/>
        <w:t>层、</w:t>
      </w:r>
      <w:r>
        <w:rPr>
          <w:rFonts w:ascii="宋体" w:hAnsi="宋体" w:cs="宋体" w:eastAsia="宋体" w:hint="default"/>
        </w:rPr>
        <w:t>15A</w:t>
      </w:r>
      <w:r>
        <w:rPr>
          <w:rFonts w:ascii="宋体" w:hAnsi="宋体" w:cs="宋体" w:eastAsia="宋体" w:hint="default"/>
          <w:spacing w:val="-55"/>
        </w:rPr>
        <w:t> </w:t>
      </w:r>
      <w:r>
        <w:rPr/>
        <w:t>及</w:t>
      </w:r>
      <w:r>
        <w:rPr>
          <w:spacing w:val="-53"/>
        </w:rPr>
        <w:t> </w:t>
      </w:r>
      <w:r>
        <w:rPr>
          <w:rFonts w:ascii="宋体" w:hAnsi="宋体" w:cs="宋体" w:eastAsia="宋体" w:hint="default"/>
        </w:rPr>
        <w:t>16</w:t>
      </w:r>
      <w:r>
        <w:rPr>
          <w:rFonts w:ascii="宋体" w:hAnsi="宋体" w:cs="宋体" w:eastAsia="宋体" w:hint="default"/>
          <w:spacing w:val="-55"/>
        </w:rPr>
        <w:t> </w:t>
      </w:r>
      <w:r>
        <w:rPr/>
        <w:t>层应支付租赁费金额。</w:t>
      </w:r>
    </w:p>
    <w:p>
      <w:pPr>
        <w:pStyle w:val="BodyText"/>
        <w:spacing w:line="357" w:lineRule="auto" w:before="133"/>
        <w:ind w:left="578" w:right="598" w:firstLine="419"/>
        <w:jc w:val="left"/>
      </w:pPr>
      <w:r>
        <w:rPr>
          <w:rFonts w:ascii="宋体" w:hAnsi="宋体" w:cs="宋体" w:eastAsia="宋体" w:hint="default"/>
        </w:rPr>
        <w:t>2</w:t>
      </w:r>
      <w:r>
        <w:rPr/>
        <w:t>、北京天宁华韵文化科技有限公司的租赁资产涉及金额为</w:t>
      </w:r>
      <w:r>
        <w:rPr>
          <w:spacing w:val="-57"/>
        </w:rPr>
        <w:t> </w:t>
      </w:r>
      <w:r>
        <w:rPr>
          <w:rFonts w:ascii="宋体" w:hAnsi="宋体" w:cs="宋体" w:eastAsia="宋体" w:hint="default"/>
        </w:rPr>
        <w:t>2018</w:t>
      </w:r>
      <w:r>
        <w:rPr>
          <w:rFonts w:ascii="宋体" w:hAnsi="宋体" w:cs="宋体" w:eastAsia="宋体" w:hint="default"/>
          <w:spacing w:val="-57"/>
        </w:rPr>
        <w:t> </w:t>
      </w:r>
      <w:r>
        <w:rPr/>
        <w:t>年度北京市西城区莲花池东</w:t>
      </w:r>
      <w:r>
        <w:rPr>
          <w:w w:val="100"/>
        </w:rPr>
        <w:t> </w:t>
      </w:r>
      <w:r>
        <w:rPr/>
        <w:t>路</w:t>
      </w:r>
      <w:r>
        <w:rPr>
          <w:spacing w:val="-54"/>
        </w:rPr>
        <w:t> </w:t>
      </w:r>
      <w:r>
        <w:rPr>
          <w:rFonts w:ascii="宋体" w:hAnsi="宋体" w:cs="宋体" w:eastAsia="宋体" w:hint="default"/>
        </w:rPr>
        <w:t>16</w:t>
      </w:r>
      <w:r>
        <w:rPr>
          <w:rFonts w:ascii="宋体" w:hAnsi="宋体" w:cs="宋体" w:eastAsia="宋体" w:hint="default"/>
          <w:spacing w:val="-56"/>
        </w:rPr>
        <w:t> </w:t>
      </w:r>
      <w:r>
        <w:rPr/>
        <w:t>号天宁</w:t>
      </w:r>
      <w:r>
        <w:rPr>
          <w:spacing w:val="-54"/>
        </w:rPr>
        <w:t> </w:t>
      </w:r>
      <w:r>
        <w:rPr>
          <w:rFonts w:ascii="宋体" w:hAnsi="宋体" w:cs="宋体" w:eastAsia="宋体" w:hint="default"/>
        </w:rPr>
        <w:t>1</w:t>
      </w:r>
      <w:r>
        <w:rPr>
          <w:rFonts w:ascii="宋体" w:hAnsi="宋体" w:cs="宋体" w:eastAsia="宋体" w:hint="default"/>
          <w:spacing w:val="-56"/>
        </w:rPr>
        <w:t> </w:t>
      </w:r>
      <w:r>
        <w:rPr/>
        <w:t>号文化科技创新园</w:t>
      </w:r>
      <w:r>
        <w:rPr>
          <w:spacing w:val="-53"/>
        </w:rPr>
        <w:t> </w:t>
      </w:r>
      <w:r>
        <w:rPr>
          <w:rFonts w:ascii="宋体" w:hAnsi="宋体" w:cs="宋体" w:eastAsia="宋体" w:hint="default"/>
        </w:rPr>
        <w:t>33</w:t>
      </w:r>
      <w:r>
        <w:rPr/>
        <w:t>、</w:t>
      </w:r>
      <w:r>
        <w:rPr>
          <w:rFonts w:ascii="宋体" w:hAnsi="宋体" w:cs="宋体" w:eastAsia="宋体" w:hint="default"/>
        </w:rPr>
        <w:t>35</w:t>
      </w:r>
      <w:r>
        <w:rPr/>
        <w:t>、</w:t>
      </w:r>
      <w:r>
        <w:rPr>
          <w:rFonts w:ascii="宋体" w:hAnsi="宋体" w:cs="宋体" w:eastAsia="宋体" w:hint="default"/>
        </w:rPr>
        <w:t>36</w:t>
      </w:r>
      <w:r>
        <w:rPr>
          <w:rFonts w:ascii="宋体" w:hAnsi="宋体" w:cs="宋体" w:eastAsia="宋体" w:hint="default"/>
          <w:spacing w:val="-56"/>
        </w:rPr>
        <w:t> </w:t>
      </w:r>
      <w:r>
        <w:rPr/>
        <w:t>号楼应支付租赁费金额。</w:t>
      </w:r>
    </w:p>
    <w:p>
      <w:pPr>
        <w:spacing w:after="0" w:line="357" w:lineRule="auto"/>
        <w:jc w:val="left"/>
        <w:sectPr>
          <w:pgSz w:w="11910" w:h="16840"/>
          <w:pgMar w:header="880" w:footer="1195" w:top="1120" w:bottom="1380" w:left="1220" w:right="680"/>
        </w:sectPr>
      </w:pPr>
    </w:p>
    <w:p>
      <w:pPr>
        <w:pStyle w:val="Heading2"/>
        <w:tabs>
          <w:tab w:pos="1417" w:val="left" w:leader="none"/>
        </w:tabs>
        <w:spacing w:line="240" w:lineRule="auto" w:before="91"/>
        <w:ind w:left="57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left="578" w:right="0"/>
        <w:jc w:val="left"/>
      </w:pPr>
      <w:r>
        <w:rPr/>
        <w:t>□适用</w:t>
      </w:r>
      <w:r>
        <w:rPr>
          <w:spacing w:val="-1"/>
        </w:rPr>
        <w:t> </w:t>
      </w:r>
      <w:r>
        <w:rPr/>
        <w:t>√不适用</w:t>
      </w:r>
    </w:p>
    <w:p>
      <w:pPr>
        <w:pStyle w:val="Heading2"/>
        <w:tabs>
          <w:tab w:pos="1002" w:val="left" w:leader="none"/>
          <w:tab w:pos="1417" w:val="left" w:leader="none"/>
        </w:tabs>
        <w:spacing w:line="290" w:lineRule="auto" w:before="58"/>
        <w:ind w:left="57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b w:val="0"/>
          <w:bCs w:val="0"/>
        </w:rPr>
      </w:r>
    </w:p>
    <w:p>
      <w:pPr>
        <w:pStyle w:val="Heading2"/>
        <w:spacing w:line="240" w:lineRule="auto" w:before="14"/>
        <w:ind w:left="57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1420" w:val="left" w:leader="none"/>
        </w:tabs>
        <w:spacing w:line="240" w:lineRule="auto" w:before="56"/>
        <w:ind w:left="578"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tabs>
          <w:tab w:pos="1629" w:val="left" w:leader="none"/>
        </w:tabs>
        <w:spacing w:line="240" w:lineRule="auto"/>
        <w:ind w:left="578" w:right="0"/>
        <w:jc w:val="left"/>
      </w:pPr>
      <w:r>
        <w:rPr>
          <w:spacing w:val="-1"/>
        </w:rPr>
        <w:t>单位：元</w:t>
        <w:tab/>
      </w:r>
      <w:r>
        <w:rPr>
          <w:spacing w:val="-2"/>
        </w:rPr>
        <w:t>币种：人民币</w:t>
      </w:r>
    </w:p>
    <w:p>
      <w:pPr>
        <w:spacing w:after="0" w:line="240" w:lineRule="auto"/>
        <w:jc w:val="left"/>
        <w:sectPr>
          <w:type w:val="continuous"/>
          <w:pgSz w:w="11910" w:h="16840"/>
          <w:pgMar w:top="1120" w:bottom="1380" w:left="1220" w:right="680"/>
          <w:cols w:num="2" w:equalWidth="0">
            <w:col w:w="4582" w:space="1940"/>
            <w:col w:w="3488"/>
          </w:cols>
        </w:sectPr>
      </w:pPr>
    </w:p>
    <w:p>
      <w:pPr>
        <w:spacing w:line="240" w:lineRule="auto" w:before="4"/>
        <w:rPr>
          <w:rFonts w:ascii="宋体" w:hAnsi="宋体" w:cs="宋体" w:eastAsia="宋体" w:hint="default"/>
          <w:sz w:val="2"/>
          <w:szCs w:val="2"/>
        </w:rPr>
      </w:pPr>
    </w:p>
    <w:tbl>
      <w:tblPr>
        <w:tblW w:w="0" w:type="auto"/>
        <w:jc w:val="left"/>
        <w:tblInd w:w="170" w:type="dxa"/>
        <w:tblLayout w:type="fixed"/>
        <w:tblCellMar>
          <w:top w:w="0" w:type="dxa"/>
          <w:left w:w="0" w:type="dxa"/>
          <w:bottom w:w="0" w:type="dxa"/>
          <w:right w:w="0" w:type="dxa"/>
        </w:tblCellMar>
        <w:tblLook w:val="01E0"/>
      </w:tblPr>
      <w:tblGrid>
        <w:gridCol w:w="1987"/>
        <w:gridCol w:w="1700"/>
        <w:gridCol w:w="1702"/>
        <w:gridCol w:w="1702"/>
        <w:gridCol w:w="2549"/>
      </w:tblGrid>
      <w:tr>
        <w:trPr>
          <w:trHeight w:val="350"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38"/>
              <w:jc w:val="right"/>
              <w:rPr>
                <w:rFonts w:ascii="宋体" w:hAnsi="宋体" w:cs="宋体" w:eastAsia="宋体" w:hint="default"/>
                <w:sz w:val="21"/>
                <w:szCs w:val="21"/>
              </w:rPr>
            </w:pPr>
            <w:r>
              <w:rPr>
                <w:rFonts w:ascii="宋体" w:hAnsi="宋体" w:cs="宋体" w:eastAsia="宋体" w:hint="default"/>
                <w:sz w:val="21"/>
                <w:szCs w:val="21"/>
              </w:rPr>
              <w:t>类型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33"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350"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12"/>
              <w:jc w:val="right"/>
              <w:rPr>
                <w:rFonts w:ascii="宋体" w:hAnsi="宋体" w:cs="宋体" w:eastAsia="宋体" w:hint="default"/>
                <w:sz w:val="21"/>
                <w:szCs w:val="21"/>
              </w:rPr>
            </w:pPr>
            <w:r>
              <w:rPr>
                <w:rFonts w:ascii="宋体" w:hAnsi="宋体" w:cs="宋体" w:eastAsia="宋体" w:hint="default"/>
                <w:spacing w:val="-1"/>
                <w:sz w:val="21"/>
                <w:szCs w:val="21"/>
              </w:rPr>
              <w:t>银行理财产品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440,000,000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r>
      <w:tr>
        <w:trPr>
          <w:trHeight w:val="350"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12"/>
              <w:jc w:val="right"/>
              <w:rPr>
                <w:rFonts w:ascii="宋体" w:hAnsi="宋体" w:cs="宋体" w:eastAsia="宋体" w:hint="default"/>
                <w:sz w:val="21"/>
                <w:szCs w:val="21"/>
              </w:rPr>
            </w:pPr>
            <w:r>
              <w:rPr>
                <w:rFonts w:ascii="宋体" w:hAnsi="宋体" w:cs="宋体" w:eastAsia="宋体" w:hint="default"/>
                <w:spacing w:val="-1"/>
                <w:sz w:val="21"/>
                <w:szCs w:val="21"/>
              </w:rPr>
              <w:t>银行理财产品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5"/>
        <w:rPr>
          <w:rFonts w:ascii="宋体" w:hAnsi="宋体" w:cs="宋体" w:eastAsia="宋体" w:hint="default"/>
          <w:sz w:val="15"/>
          <w:szCs w:val="15"/>
        </w:rPr>
      </w:pPr>
    </w:p>
    <w:p>
      <w:pPr>
        <w:pStyle w:val="Heading2"/>
        <w:spacing w:line="274" w:lineRule="exact"/>
        <w:ind w:left="578" w:right="0"/>
        <w:jc w:val="left"/>
        <w:rPr>
          <w:b w:val="0"/>
          <w:bCs w:val="0"/>
        </w:rPr>
      </w:pPr>
      <w:r>
        <w:rPr/>
        <w:t>其他情况</w:t>
      </w:r>
      <w:r>
        <w:rPr>
          <w:b w:val="0"/>
          <w:bCs w:val="0"/>
        </w:rPr>
      </w:r>
    </w:p>
    <w:p>
      <w:pPr>
        <w:pStyle w:val="BodyText"/>
        <w:tabs>
          <w:tab w:pos="1420" w:val="left" w:leader="none"/>
        </w:tabs>
        <w:spacing w:line="274" w:lineRule="exact"/>
        <w:ind w:left="578" w:right="0"/>
        <w:jc w:val="left"/>
      </w:pPr>
      <w:r>
        <w:rPr>
          <w:spacing w:val="-1"/>
        </w:rPr>
        <w:t>□适用</w:t>
        <w:tab/>
      </w:r>
      <w:r>
        <w:rPr>
          <w:spacing w:val="-2"/>
        </w:rPr>
        <w:t>√不适用</w:t>
      </w:r>
    </w:p>
    <w:p>
      <w:pPr>
        <w:spacing w:after="0" w:line="274" w:lineRule="exact"/>
        <w:jc w:val="left"/>
        <w:sectPr>
          <w:type w:val="continuous"/>
          <w:pgSz w:w="11910" w:h="16840"/>
          <w:pgMar w:top="1120" w:bottom="1380" w:left="122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2"/>
          <w:footerReference w:type="default" r:id="rId33"/>
          <w:pgSz w:w="16840" w:h="11910" w:orient="landscape"/>
          <w:pgMar w:header="880" w:footer="1195" w:top="1120" w:bottom="1380" w:left="1040" w:right="260"/>
          <w:pgNumType w:start="45"/>
        </w:sectPr>
      </w:pPr>
    </w:p>
    <w:p>
      <w:pPr>
        <w:spacing w:line="240" w:lineRule="auto" w:before="4"/>
        <w:rPr>
          <w:rFonts w:ascii="宋体" w:hAnsi="宋体" w:cs="宋体" w:eastAsia="宋体" w:hint="default"/>
          <w:sz w:val="14"/>
          <w:szCs w:val="14"/>
        </w:rPr>
      </w:pPr>
    </w:p>
    <w:p>
      <w:pPr>
        <w:pStyle w:val="Heading2"/>
        <w:spacing w:line="240" w:lineRule="auto" w:before="0"/>
        <w:ind w:left="400" w:right="-19"/>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1242" w:val="left" w:leader="none"/>
        </w:tabs>
        <w:spacing w:line="240" w:lineRule="auto" w:before="58"/>
        <w:ind w:left="40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tabs>
          <w:tab w:pos="1451" w:val="left" w:leader="none"/>
        </w:tabs>
        <w:spacing w:line="240" w:lineRule="auto"/>
        <w:ind w:left="400" w:right="0"/>
        <w:jc w:val="left"/>
      </w:pPr>
      <w:r>
        <w:rPr>
          <w:spacing w:val="-1"/>
        </w:rPr>
        <w:t>单位：元</w:t>
        <w:tab/>
        <w:t>币种：人民币</w:t>
      </w:r>
    </w:p>
    <w:p>
      <w:pPr>
        <w:spacing w:after="0" w:line="240" w:lineRule="auto"/>
        <w:jc w:val="left"/>
        <w:sectPr>
          <w:type w:val="continuous"/>
          <w:pgSz w:w="16840" w:h="11910" w:orient="landscape"/>
          <w:pgMar w:top="1120" w:bottom="1380" w:left="1040" w:right="260"/>
          <w:cols w:num="2" w:equalWidth="0">
            <w:col w:w="2451" w:space="9112"/>
            <w:col w:w="397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36"/>
        <w:gridCol w:w="708"/>
        <w:gridCol w:w="1702"/>
        <w:gridCol w:w="850"/>
        <w:gridCol w:w="852"/>
        <w:gridCol w:w="708"/>
        <w:gridCol w:w="2693"/>
        <w:gridCol w:w="566"/>
        <w:gridCol w:w="850"/>
        <w:gridCol w:w="711"/>
        <w:gridCol w:w="1558"/>
        <w:gridCol w:w="852"/>
        <w:gridCol w:w="708"/>
        <w:gridCol w:w="708"/>
        <w:gridCol w:w="710"/>
      </w:tblGrid>
      <w:tr>
        <w:trPr>
          <w:trHeight w:val="164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受托人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委托理财金额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财起始</w:t>
            </w:r>
            <w:r>
              <w:rPr>
                <w:rFonts w:ascii="宋体" w:hAnsi="宋体" w:cs="宋体" w:eastAsia="宋体" w:hint="default"/>
                <w:spacing w:val="-102"/>
                <w:sz w:val="21"/>
                <w:szCs w:val="21"/>
              </w:rPr>
              <w:t> </w:t>
            </w:r>
            <w:r>
              <w:rPr>
                <w:rFonts w:ascii="宋体" w:hAnsi="宋体" w:cs="宋体" w:eastAsia="宋体" w:hint="default"/>
                <w:sz w:val="21"/>
                <w:szCs w:val="21"/>
              </w:rPr>
              <w:t>日期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5" w:right="101"/>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财终止</w:t>
            </w:r>
            <w:r>
              <w:rPr>
                <w:rFonts w:ascii="宋体" w:hAnsi="宋体" w:cs="宋体" w:eastAsia="宋体" w:hint="default"/>
                <w:spacing w:val="-102"/>
                <w:sz w:val="21"/>
                <w:szCs w:val="21"/>
              </w:rPr>
              <w:t> </w:t>
            </w:r>
            <w:r>
              <w:rPr>
                <w:rFonts w:ascii="宋体" w:hAnsi="宋体" w:cs="宋体" w:eastAsia="宋体" w:hint="default"/>
                <w:sz w:val="21"/>
                <w:szCs w:val="21"/>
              </w:rPr>
              <w:t>日期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28" w:right="1130"/>
              <w:jc w:val="center"/>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w w:val="100"/>
                <w:sz w:val="21"/>
                <w:szCs w:val="21"/>
              </w:rPr>
              <w:t> </w:t>
            </w:r>
            <w:r>
              <w:rPr>
                <w:rFonts w:ascii="宋体" w:hAnsi="宋体" w:cs="宋体" w:eastAsia="宋体" w:hint="default"/>
                <w:sz w:val="21"/>
                <w:szCs w:val="21"/>
              </w:rPr>
              <w:t>投向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报</w:t>
            </w: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酬</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1" w:firstLine="105"/>
              <w:jc w:val="left"/>
              <w:rPr>
                <w:rFonts w:ascii="宋体" w:hAnsi="宋体" w:cs="宋体" w:eastAsia="宋体" w:hint="default"/>
                <w:sz w:val="21"/>
                <w:szCs w:val="21"/>
              </w:rPr>
            </w:pP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z w:val="21"/>
                <w:szCs w:val="21"/>
              </w:rPr>
              <w:t>收益率</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7"/>
              <w:jc w:val="both"/>
              <w:rPr>
                <w:rFonts w:ascii="宋体" w:hAnsi="宋体" w:cs="宋体" w:eastAsia="宋体" w:hint="default"/>
                <w:sz w:val="21"/>
                <w:szCs w:val="21"/>
              </w:rPr>
            </w:pPr>
            <w:r>
              <w:rPr>
                <w:rFonts w:ascii="宋体" w:hAnsi="宋体" w:cs="宋体" w:eastAsia="宋体" w:hint="default"/>
                <w:sz w:val="21"/>
                <w:szCs w:val="21"/>
              </w:rPr>
              <w:t>预期</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1" w:lineRule="exact"/>
              <w:ind w:left="192"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49" w:right="242" w:firstLine="314"/>
              <w:jc w:val="left"/>
              <w:rPr>
                <w:rFonts w:ascii="宋体" w:hAnsi="宋体" w:cs="宋体" w:eastAsia="宋体" w:hint="default"/>
                <w:sz w:val="21"/>
                <w:szCs w:val="21"/>
              </w:rPr>
            </w:pPr>
            <w:r>
              <w:rPr>
                <w:rFonts w:ascii="宋体" w:hAnsi="宋体" w:cs="宋体" w:eastAsia="宋体" w:hint="default"/>
                <w:sz w:val="21"/>
                <w:szCs w:val="21"/>
              </w:rPr>
              <w:t>实际</w:t>
            </w:r>
            <w:r>
              <w:rPr>
                <w:rFonts w:ascii="宋体" w:hAnsi="宋体" w:cs="宋体" w:eastAsia="宋体" w:hint="default"/>
                <w:w w:val="100"/>
                <w:sz w:val="21"/>
                <w:szCs w:val="21"/>
              </w:rPr>
              <w:t> </w:t>
            </w:r>
            <w:r>
              <w:rPr>
                <w:rFonts w:ascii="宋体" w:hAnsi="宋体" w:cs="宋体" w:eastAsia="宋体" w:hint="default"/>
                <w:sz w:val="21"/>
                <w:szCs w:val="21"/>
              </w:rPr>
              <w:t>收益或损失</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5" w:right="101"/>
              <w:jc w:val="left"/>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回情况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9" w:right="13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经过</w:t>
            </w:r>
            <w:r>
              <w:rPr>
                <w:rFonts w:ascii="宋体" w:hAnsi="宋体" w:cs="宋体" w:eastAsia="宋体" w:hint="default"/>
                <w:spacing w:val="-103"/>
                <w:sz w:val="21"/>
                <w:szCs w:val="21"/>
              </w:rPr>
              <w:t> </w:t>
            </w:r>
            <w:r>
              <w:rPr>
                <w:rFonts w:ascii="宋体" w:hAnsi="宋体" w:cs="宋体" w:eastAsia="宋体" w:hint="default"/>
                <w:sz w:val="21"/>
                <w:szCs w:val="21"/>
              </w:rPr>
              <w:t>法定</w:t>
            </w:r>
            <w:r>
              <w:rPr>
                <w:rFonts w:ascii="宋体" w:hAnsi="宋体" w:cs="宋体" w:eastAsia="宋体" w:hint="default"/>
                <w:spacing w:val="-103"/>
                <w:sz w:val="21"/>
                <w:szCs w:val="21"/>
              </w:rPr>
              <w:t> </w:t>
            </w:r>
            <w:r>
              <w:rPr>
                <w:rFonts w:ascii="宋体" w:hAnsi="宋体" w:cs="宋体" w:eastAsia="宋体" w:hint="default"/>
                <w:sz w:val="21"/>
                <w:szCs w:val="21"/>
              </w:rPr>
              <w:t>程序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未来</w:t>
            </w: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有委</w:t>
            </w:r>
            <w:r>
              <w:rPr>
                <w:rFonts w:ascii="宋体" w:hAnsi="宋体" w:cs="宋体" w:eastAsia="宋体" w:hint="default"/>
                <w:spacing w:val="-103"/>
                <w:sz w:val="21"/>
                <w:szCs w:val="21"/>
              </w:rPr>
              <w:t> </w:t>
            </w:r>
            <w:r>
              <w:rPr>
                <w:rFonts w:ascii="宋体" w:hAnsi="宋体" w:cs="宋体" w:eastAsia="宋体" w:hint="default"/>
                <w:sz w:val="21"/>
                <w:szCs w:val="21"/>
              </w:rPr>
              <w:t>托理</w:t>
            </w:r>
            <w:r>
              <w:rPr>
                <w:rFonts w:ascii="宋体" w:hAnsi="宋体" w:cs="宋体" w:eastAsia="宋体" w:hint="default"/>
                <w:spacing w:val="-103"/>
                <w:sz w:val="21"/>
                <w:szCs w:val="21"/>
              </w:rPr>
              <w:t> </w:t>
            </w:r>
            <w:r>
              <w:rPr>
                <w:rFonts w:ascii="宋体" w:hAnsi="宋体" w:cs="宋体" w:eastAsia="宋体" w:hint="default"/>
                <w:sz w:val="21"/>
                <w:szCs w:val="21"/>
              </w:rPr>
              <w:t>财计</w:t>
            </w:r>
            <w:r>
              <w:rPr>
                <w:rFonts w:ascii="宋体" w:hAnsi="宋体" w:cs="宋体" w:eastAsia="宋体" w:hint="default"/>
                <w:spacing w:val="-103"/>
                <w:sz w:val="21"/>
                <w:szCs w:val="21"/>
              </w:rPr>
              <w:t> </w:t>
            </w:r>
            <w:r>
              <w:rPr>
                <w:rFonts w:ascii="宋体" w:hAnsi="宋体" w:cs="宋体" w:eastAsia="宋体" w:hint="default"/>
                <w:sz w:val="21"/>
                <w:szCs w:val="21"/>
              </w:rPr>
              <w:t>划</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ind w:left="139" w:right="137"/>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如</w:t>
            </w:r>
          </w:p>
          <w:p>
            <w:pPr>
              <w:pStyle w:val="TableParagraph"/>
              <w:spacing w:line="271" w:lineRule="exact"/>
              <w:ind w:left="191" w:right="0"/>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z w:val="21"/>
                <w:szCs w:val="21"/>
              </w:rPr>
              <w:t>)</w:t>
            </w:r>
          </w:p>
        </w:tc>
      </w:tr>
      <w:tr>
        <w:trPr>
          <w:trHeight w:val="327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03" w:right="178"/>
              <w:jc w:val="both"/>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公司北京</w:t>
            </w:r>
            <w:r>
              <w:rPr>
                <w:rFonts w:ascii="宋体" w:hAnsi="宋体" w:cs="宋体" w:eastAsia="宋体" w:hint="default"/>
                <w:w w:val="100"/>
                <w:sz w:val="21"/>
                <w:szCs w:val="21"/>
              </w:rPr>
              <w:t> </w:t>
            </w:r>
            <w:r>
              <w:rPr>
                <w:rFonts w:ascii="宋体" w:hAnsi="宋体" w:cs="宋体" w:eastAsia="宋体" w:hint="default"/>
                <w:sz w:val="21"/>
                <w:szCs w:val="21"/>
              </w:rPr>
              <w:t>望京支行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5"/>
              <w:ind w:left="139" w:right="134"/>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3"/>
              <w:ind w:right="0"/>
              <w:jc w:val="center"/>
              <w:rPr>
                <w:rFonts w:ascii="宋体" w:hAnsi="宋体" w:cs="宋体" w:eastAsia="宋体" w:hint="default"/>
                <w:sz w:val="21"/>
                <w:szCs w:val="21"/>
              </w:rPr>
            </w:pPr>
            <w:r>
              <w:rPr>
                <w:rFonts w:ascii="宋体"/>
                <w:sz w:val="21"/>
              </w:rPr>
              <w:t>2018</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3"/>
              <w:ind w:left="2" w:right="0"/>
              <w:jc w:val="center"/>
              <w:rPr>
                <w:rFonts w:ascii="宋体" w:hAnsi="宋体" w:cs="宋体" w:eastAsia="宋体" w:hint="default"/>
                <w:sz w:val="21"/>
                <w:szCs w:val="21"/>
              </w:rPr>
            </w:pPr>
            <w:r>
              <w:rPr>
                <w:rFonts w:ascii="宋体"/>
                <w:sz w:val="21"/>
              </w:rPr>
              <w:t>2018</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银行间市场信用级别较高、</w:t>
            </w:r>
          </w:p>
          <w:p>
            <w:pPr>
              <w:pStyle w:val="TableParagraph"/>
              <w:spacing w:line="237" w:lineRule="auto"/>
              <w:ind w:left="100" w:right="-3"/>
              <w:jc w:val="left"/>
              <w:rPr>
                <w:rFonts w:ascii="宋体" w:hAnsi="宋体" w:cs="宋体" w:eastAsia="宋体" w:hint="default"/>
                <w:sz w:val="21"/>
                <w:szCs w:val="21"/>
              </w:rPr>
            </w:pPr>
            <w:r>
              <w:rPr>
                <w:rFonts w:ascii="宋体" w:hAnsi="宋体" w:cs="宋体" w:eastAsia="宋体" w:hint="default"/>
                <w:spacing w:val="-5"/>
                <w:sz w:val="21"/>
                <w:szCs w:val="21"/>
              </w:rPr>
              <w:t>流动性较好的金融资产，包</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括但不限于国债、金融债、</w:t>
            </w:r>
            <w:r>
              <w:rPr>
                <w:rFonts w:ascii="宋体" w:hAnsi="宋体" w:cs="宋体" w:eastAsia="宋体" w:hint="default"/>
                <w:w w:val="100"/>
                <w:sz w:val="21"/>
                <w:szCs w:val="21"/>
              </w:rPr>
              <w:t> </w:t>
            </w:r>
            <w:r>
              <w:rPr>
                <w:rFonts w:ascii="宋体" w:hAnsi="宋体" w:cs="宋体" w:eastAsia="宋体" w:hint="default"/>
                <w:spacing w:val="-5"/>
                <w:sz w:val="21"/>
                <w:szCs w:val="21"/>
              </w:rPr>
              <w:t>央行票据、债券回购、资金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拆借、银行存款以及高信用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级别的企业债、公司债、短</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期融资券、中期票据、资产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支持证券、次级债等其他金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融资产，并可投资于可转换</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债券、可分离债、新股申购、</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2"/>
                <w:sz w:val="21"/>
                <w:szCs w:val="21"/>
              </w:rPr>
              <w:t>交易所债券等其他金融资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产。</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0"/>
              <w:jc w:val="center"/>
              <w:rPr>
                <w:rFonts w:ascii="宋体" w:hAnsi="宋体" w:cs="宋体" w:eastAsia="宋体" w:hint="default"/>
                <w:sz w:val="21"/>
                <w:szCs w:val="21"/>
              </w:rPr>
            </w:pPr>
            <w:r>
              <w:rPr>
                <w:rFonts w:ascii="宋体"/>
                <w:sz w:val="21"/>
              </w:rPr>
              <w:t>4.5%</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785,330.00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246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178"/>
              <w:jc w:val="both"/>
              <w:rPr>
                <w:rFonts w:ascii="宋体" w:hAnsi="宋体" w:cs="宋体" w:eastAsia="宋体" w:hint="default"/>
                <w:sz w:val="21"/>
                <w:szCs w:val="21"/>
              </w:rPr>
            </w:pPr>
            <w:r>
              <w:rPr>
                <w:rFonts w:ascii="宋体" w:hAnsi="宋体" w:cs="宋体" w:eastAsia="宋体" w:hint="default"/>
                <w:sz w:val="21"/>
                <w:szCs w:val="21"/>
              </w:rPr>
              <w:t>中国建设</w:t>
            </w:r>
            <w:r>
              <w:rPr>
                <w:rFonts w:ascii="宋体" w:hAnsi="宋体" w:cs="宋体" w:eastAsia="宋体" w:hint="default"/>
                <w:w w:val="100"/>
                <w:sz w:val="21"/>
                <w:szCs w:val="21"/>
              </w:rPr>
              <w:t> </w:t>
            </w:r>
            <w:r>
              <w:rPr>
                <w:rFonts w:ascii="宋体" w:hAnsi="宋体" w:cs="宋体" w:eastAsia="宋体" w:hint="default"/>
                <w:sz w:val="21"/>
                <w:szCs w:val="21"/>
              </w:rPr>
              <w:t>银行股份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北京东方</w:t>
            </w:r>
            <w:r>
              <w:rPr>
                <w:rFonts w:ascii="宋体" w:hAnsi="宋体" w:cs="宋体" w:eastAsia="宋体" w:hint="default"/>
                <w:w w:val="100"/>
                <w:sz w:val="21"/>
                <w:szCs w:val="21"/>
              </w:rPr>
              <w:t> </w:t>
            </w:r>
            <w:r>
              <w:rPr>
                <w:rFonts w:ascii="宋体" w:hAnsi="宋体" w:cs="宋体" w:eastAsia="宋体" w:hint="default"/>
                <w:sz w:val="21"/>
                <w:szCs w:val="21"/>
              </w:rPr>
              <w:t>广场支行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4" w:lineRule="exact"/>
              <w:ind w:right="0"/>
              <w:jc w:val="center"/>
              <w:rPr>
                <w:rFonts w:ascii="宋体" w:hAnsi="宋体" w:cs="宋体" w:eastAsia="宋体" w:hint="default"/>
                <w:sz w:val="21"/>
                <w:szCs w:val="21"/>
              </w:rPr>
            </w:pPr>
            <w:r>
              <w:rPr>
                <w:rFonts w:ascii="宋体"/>
                <w:sz w:val="21"/>
              </w:rPr>
              <w:t>2018</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4" w:lineRule="exact"/>
              <w:ind w:left="2" w:right="0"/>
              <w:jc w:val="center"/>
              <w:rPr>
                <w:rFonts w:ascii="宋体" w:hAnsi="宋体" w:cs="宋体" w:eastAsia="宋体" w:hint="default"/>
                <w:sz w:val="21"/>
                <w:szCs w:val="21"/>
              </w:rPr>
            </w:pPr>
            <w:r>
              <w:rPr>
                <w:rFonts w:ascii="宋体"/>
                <w:sz w:val="21"/>
              </w:rPr>
              <w:t>2018</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2"/>
              <w:ind w:left="139" w:right="134"/>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国债、金融债、央行票据、</w:t>
            </w:r>
          </w:p>
          <w:p>
            <w:pPr>
              <w:pStyle w:val="TableParagraph"/>
              <w:spacing w:line="237" w:lineRule="auto"/>
              <w:ind w:left="100" w:right="58"/>
              <w:jc w:val="both"/>
              <w:rPr>
                <w:rFonts w:ascii="宋体" w:hAnsi="宋体" w:cs="宋体" w:eastAsia="宋体" w:hint="default"/>
                <w:sz w:val="21"/>
                <w:szCs w:val="21"/>
              </w:rPr>
            </w:pPr>
            <w:r>
              <w:rPr>
                <w:rFonts w:ascii="宋体" w:hAnsi="宋体" w:cs="宋体" w:eastAsia="宋体" w:hint="default"/>
                <w:spacing w:val="-5"/>
                <w:sz w:val="21"/>
                <w:szCs w:val="21"/>
              </w:rPr>
              <w:t>企业短期融资券、超短期融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资券、中期票据、企业债、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5"/>
                <w:sz w:val="21"/>
                <w:szCs w:val="21"/>
              </w:rPr>
              <w:t>公司债、私募债、债券逆回</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购、资金拆借、存放同业等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债券和货币市场工具类资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5"/>
                <w:sz w:val="21"/>
                <w:szCs w:val="21"/>
              </w:rPr>
              <w:t>产，债权类资产，以及其他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2"/>
                <w:sz w:val="21"/>
                <w:szCs w:val="21"/>
              </w:rPr>
              <w:t>监管机构允许交易的金融</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工具。</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4.2%</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1,081,643.84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040" w:right="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136"/>
        <w:gridCol w:w="708"/>
        <w:gridCol w:w="1702"/>
        <w:gridCol w:w="850"/>
        <w:gridCol w:w="852"/>
        <w:gridCol w:w="708"/>
        <w:gridCol w:w="2693"/>
        <w:gridCol w:w="566"/>
        <w:gridCol w:w="850"/>
        <w:gridCol w:w="711"/>
        <w:gridCol w:w="1558"/>
        <w:gridCol w:w="852"/>
        <w:gridCol w:w="708"/>
        <w:gridCol w:w="708"/>
        <w:gridCol w:w="710"/>
      </w:tblGrid>
      <w:tr>
        <w:trPr>
          <w:trHeight w:val="327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03" w:right="178"/>
              <w:jc w:val="both"/>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公司北京</w:t>
            </w:r>
            <w:r>
              <w:rPr>
                <w:rFonts w:ascii="宋体" w:hAnsi="宋体" w:cs="宋体" w:eastAsia="宋体" w:hint="default"/>
                <w:w w:val="100"/>
                <w:sz w:val="21"/>
                <w:szCs w:val="21"/>
              </w:rPr>
              <w:t> </w:t>
            </w:r>
            <w:r>
              <w:rPr>
                <w:rFonts w:ascii="宋体" w:hAnsi="宋体" w:cs="宋体" w:eastAsia="宋体" w:hint="default"/>
                <w:sz w:val="21"/>
                <w:szCs w:val="21"/>
              </w:rPr>
              <w:t>望京支行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80,000,000.00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3" w:lineRule="exact"/>
              <w:ind w:right="0"/>
              <w:jc w:val="center"/>
              <w:rPr>
                <w:rFonts w:ascii="宋体" w:hAnsi="宋体" w:cs="宋体" w:eastAsia="宋体" w:hint="default"/>
                <w:sz w:val="21"/>
                <w:szCs w:val="21"/>
              </w:rPr>
            </w:pPr>
            <w:r>
              <w:rPr>
                <w:rFonts w:ascii="宋体"/>
                <w:sz w:val="21"/>
              </w:rPr>
              <w:t>2018</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3" w:lineRule="exact"/>
              <w:ind w:left="2" w:right="0"/>
              <w:jc w:val="center"/>
              <w:rPr>
                <w:rFonts w:ascii="宋体" w:hAnsi="宋体" w:cs="宋体" w:eastAsia="宋体" w:hint="default"/>
                <w:sz w:val="21"/>
                <w:szCs w:val="21"/>
              </w:rPr>
            </w:pPr>
            <w:r>
              <w:rPr>
                <w:rFonts w:ascii="宋体"/>
                <w:sz w:val="21"/>
              </w:rPr>
              <w:t>2018</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银行间市场信用级别较高、</w:t>
            </w:r>
          </w:p>
          <w:p>
            <w:pPr>
              <w:pStyle w:val="TableParagraph"/>
              <w:spacing w:line="237" w:lineRule="auto"/>
              <w:ind w:left="100" w:right="-3"/>
              <w:jc w:val="left"/>
              <w:rPr>
                <w:rFonts w:ascii="宋体" w:hAnsi="宋体" w:cs="宋体" w:eastAsia="宋体" w:hint="default"/>
                <w:sz w:val="21"/>
                <w:szCs w:val="21"/>
              </w:rPr>
            </w:pPr>
            <w:r>
              <w:rPr>
                <w:rFonts w:ascii="宋体" w:hAnsi="宋体" w:cs="宋体" w:eastAsia="宋体" w:hint="default"/>
                <w:spacing w:val="-5"/>
                <w:sz w:val="21"/>
                <w:szCs w:val="21"/>
              </w:rPr>
              <w:t>流动性较好的金融资产，包</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括但不限于国债、金融债、</w:t>
            </w:r>
            <w:r>
              <w:rPr>
                <w:rFonts w:ascii="宋体" w:hAnsi="宋体" w:cs="宋体" w:eastAsia="宋体" w:hint="default"/>
                <w:w w:val="100"/>
                <w:sz w:val="21"/>
                <w:szCs w:val="21"/>
              </w:rPr>
              <w:t> </w:t>
            </w:r>
            <w:r>
              <w:rPr>
                <w:rFonts w:ascii="宋体" w:hAnsi="宋体" w:cs="宋体" w:eastAsia="宋体" w:hint="default"/>
                <w:spacing w:val="-5"/>
                <w:sz w:val="21"/>
                <w:szCs w:val="21"/>
              </w:rPr>
              <w:t>央行票据、债券回购、资金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拆借、银行存款以及高信用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级别的企业债、公司债、短</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期融资券、中期票据、资产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支持证券、次级债等其他金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融资产，并可投资于可转换</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债券、可分离债、新股申购、</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2"/>
                <w:sz w:val="21"/>
                <w:szCs w:val="21"/>
              </w:rPr>
              <w:t>交易所债券等其他金融资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产。</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4.5%</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1,587,920.00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南京银行</w:t>
            </w:r>
          </w:p>
          <w:p>
            <w:pPr>
              <w:pStyle w:val="TableParagraph"/>
              <w:spacing w:line="237" w:lineRule="auto"/>
              <w:ind w:left="103" w:right="178"/>
              <w:jc w:val="both"/>
              <w:rPr>
                <w:rFonts w:ascii="宋体" w:hAnsi="宋体" w:cs="宋体" w:eastAsia="宋体" w:hint="default"/>
                <w:sz w:val="21"/>
                <w:szCs w:val="21"/>
              </w:rPr>
            </w:pP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公司北京</w:t>
            </w:r>
            <w:r>
              <w:rPr>
                <w:rFonts w:ascii="宋体" w:hAnsi="宋体" w:cs="宋体" w:eastAsia="宋体" w:hint="default"/>
                <w:w w:val="100"/>
                <w:sz w:val="21"/>
                <w:szCs w:val="21"/>
              </w:rPr>
              <w:t> </w:t>
            </w:r>
            <w:r>
              <w:rPr>
                <w:rFonts w:ascii="宋体" w:hAnsi="宋体" w:cs="宋体" w:eastAsia="宋体" w:hint="default"/>
                <w:sz w:val="21"/>
                <w:szCs w:val="21"/>
              </w:rPr>
              <w:t>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9" w:right="134"/>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8"/>
              <w:jc w:val="right"/>
              <w:rPr>
                <w:rFonts w:ascii="宋体" w:hAnsi="宋体" w:cs="宋体" w:eastAsia="宋体" w:hint="default"/>
                <w:sz w:val="21"/>
                <w:szCs w:val="21"/>
              </w:rPr>
            </w:pPr>
            <w:r>
              <w:rPr>
                <w:rFonts w:ascii="宋体"/>
                <w:spacing w:val="-1"/>
                <w:sz w:val="21"/>
              </w:rPr>
              <w:t>50,000,000.00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sz w:val="21"/>
              </w:rPr>
              <w:t>2018</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 w:right="0"/>
              <w:jc w:val="center"/>
              <w:rPr>
                <w:rFonts w:ascii="宋体" w:hAnsi="宋体" w:cs="宋体" w:eastAsia="宋体" w:hint="default"/>
                <w:sz w:val="21"/>
                <w:szCs w:val="21"/>
              </w:rPr>
            </w:pPr>
            <w:r>
              <w:rPr>
                <w:rFonts w:ascii="宋体"/>
                <w:sz w:val="21"/>
              </w:rPr>
              <w:t>2018</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3.35%</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423,402.78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327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03" w:right="178"/>
              <w:jc w:val="both"/>
              <w:rPr>
                <w:rFonts w:ascii="宋体" w:hAnsi="宋体" w:cs="宋体" w:eastAsia="宋体" w:hint="default"/>
                <w:sz w:val="21"/>
                <w:szCs w:val="21"/>
              </w:rPr>
            </w:pPr>
            <w:r>
              <w:rPr>
                <w:rFonts w:ascii="宋体" w:hAnsi="宋体" w:cs="宋体" w:eastAsia="宋体" w:hint="default"/>
                <w:sz w:val="21"/>
                <w:szCs w:val="21"/>
              </w:rPr>
              <w:t>招商银行</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公司北京</w:t>
            </w:r>
            <w:r>
              <w:rPr>
                <w:rFonts w:ascii="宋体" w:hAnsi="宋体" w:cs="宋体" w:eastAsia="宋体" w:hint="default"/>
                <w:w w:val="100"/>
                <w:sz w:val="21"/>
                <w:szCs w:val="21"/>
              </w:rPr>
              <w:t> </w:t>
            </w:r>
            <w:r>
              <w:rPr>
                <w:rFonts w:ascii="宋体" w:hAnsi="宋体" w:cs="宋体" w:eastAsia="宋体" w:hint="default"/>
                <w:sz w:val="21"/>
                <w:szCs w:val="21"/>
              </w:rPr>
              <w:t>望京支行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72" w:lineRule="exact"/>
              <w:ind w:left="139" w:right="134"/>
              <w:jc w:val="both"/>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pacing w:val="-103"/>
                <w:sz w:val="21"/>
                <w:szCs w:val="21"/>
              </w:rPr>
              <w:t> </w:t>
            </w: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3" w:lineRule="exact"/>
              <w:ind w:right="0"/>
              <w:jc w:val="center"/>
              <w:rPr>
                <w:rFonts w:ascii="宋体" w:hAnsi="宋体" w:cs="宋体" w:eastAsia="宋体" w:hint="default"/>
                <w:sz w:val="21"/>
                <w:szCs w:val="21"/>
              </w:rPr>
            </w:pPr>
            <w:r>
              <w:rPr>
                <w:rFonts w:ascii="宋体"/>
                <w:sz w:val="21"/>
              </w:rPr>
              <w:t>2018</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73" w:lineRule="exact"/>
              <w:ind w:left="2" w:right="0"/>
              <w:jc w:val="center"/>
              <w:rPr>
                <w:rFonts w:ascii="宋体" w:hAnsi="宋体" w:cs="宋体" w:eastAsia="宋体" w:hint="default"/>
                <w:sz w:val="21"/>
                <w:szCs w:val="21"/>
              </w:rPr>
            </w:pPr>
            <w:r>
              <w:rPr>
                <w:rFonts w:ascii="宋体"/>
                <w:sz w:val="21"/>
              </w:rPr>
              <w:t>2018</w:t>
            </w:r>
          </w:p>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39" w:right="134"/>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银行间市场信用级别较高、</w:t>
            </w:r>
          </w:p>
          <w:p>
            <w:pPr>
              <w:pStyle w:val="TableParagraph"/>
              <w:spacing w:line="237" w:lineRule="auto"/>
              <w:ind w:left="100" w:right="-3"/>
              <w:jc w:val="left"/>
              <w:rPr>
                <w:rFonts w:ascii="宋体" w:hAnsi="宋体" w:cs="宋体" w:eastAsia="宋体" w:hint="default"/>
                <w:sz w:val="21"/>
                <w:szCs w:val="21"/>
              </w:rPr>
            </w:pPr>
            <w:r>
              <w:rPr>
                <w:rFonts w:ascii="宋体" w:hAnsi="宋体" w:cs="宋体" w:eastAsia="宋体" w:hint="default"/>
                <w:spacing w:val="-5"/>
                <w:sz w:val="21"/>
                <w:szCs w:val="21"/>
              </w:rPr>
              <w:t>流动性较好的金融资产，包</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括但不限于国债、金融债、</w:t>
            </w:r>
            <w:r>
              <w:rPr>
                <w:rFonts w:ascii="宋体" w:hAnsi="宋体" w:cs="宋体" w:eastAsia="宋体" w:hint="default"/>
                <w:w w:val="100"/>
                <w:sz w:val="21"/>
                <w:szCs w:val="21"/>
              </w:rPr>
              <w:t> </w:t>
            </w:r>
            <w:r>
              <w:rPr>
                <w:rFonts w:ascii="宋体" w:hAnsi="宋体" w:cs="宋体" w:eastAsia="宋体" w:hint="default"/>
                <w:spacing w:val="-5"/>
                <w:sz w:val="21"/>
                <w:szCs w:val="21"/>
              </w:rPr>
              <w:t>央行票据、债券回购、资金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拆借、银行存款以及高信用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级别的企业债、公司债、短</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期融资券、中期票据、资产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支持证券、次级债等其他金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融资产，并可投资于可转换</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债券、可分离债、新股申购、</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2"/>
                <w:sz w:val="21"/>
                <w:szCs w:val="21"/>
              </w:rPr>
              <w:t>交易所债券等其他金融资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产。</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sz w:val="21"/>
              </w:rPr>
              <w:t>4.6%</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1,134,200.00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招商银行</w:t>
            </w:r>
          </w:p>
          <w:p>
            <w:pPr>
              <w:pStyle w:val="TableParagraph"/>
              <w:spacing w:line="240" w:lineRule="auto"/>
              <w:ind w:left="103" w:right="178"/>
              <w:jc w:val="left"/>
              <w:rPr>
                <w:rFonts w:ascii="宋体" w:hAnsi="宋体" w:cs="宋体" w:eastAsia="宋体" w:hint="default"/>
                <w:sz w:val="21"/>
                <w:szCs w:val="21"/>
              </w:rPr>
            </w:pP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公司北京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银行</w:t>
            </w: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理财</w:t>
            </w:r>
            <w:r>
              <w:rPr>
                <w:rFonts w:ascii="宋体" w:hAnsi="宋体" w:cs="宋体" w:eastAsia="宋体" w:hint="default"/>
                <w:spacing w:val="-103"/>
                <w:sz w:val="21"/>
                <w:szCs w:val="21"/>
              </w:rPr>
              <w:t> </w:t>
            </w:r>
            <w:r>
              <w:rPr>
                <w:rFonts w:ascii="宋体" w:hAnsi="宋体" w:cs="宋体" w:eastAsia="宋体" w:hint="default"/>
                <w:sz w:val="21"/>
                <w:szCs w:val="21"/>
              </w:rPr>
              <w:t>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sz w:val="21"/>
              </w:rPr>
              <w:t>2018</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2018</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银行间市场信用级别较高、</w:t>
            </w:r>
          </w:p>
          <w:p>
            <w:pPr>
              <w:pStyle w:val="TableParagraph"/>
              <w:spacing w:line="240" w:lineRule="auto"/>
              <w:ind w:left="100" w:right="58"/>
              <w:jc w:val="left"/>
              <w:rPr>
                <w:rFonts w:ascii="宋体" w:hAnsi="宋体" w:cs="宋体" w:eastAsia="宋体" w:hint="default"/>
                <w:sz w:val="21"/>
                <w:szCs w:val="21"/>
              </w:rPr>
            </w:pPr>
            <w:r>
              <w:rPr>
                <w:rFonts w:ascii="宋体" w:hAnsi="宋体" w:cs="宋体" w:eastAsia="宋体" w:hint="default"/>
                <w:spacing w:val="-5"/>
                <w:sz w:val="21"/>
                <w:szCs w:val="21"/>
              </w:rPr>
              <w:t>流动性较好的金融资产，包</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括但不限于国债、金融债、</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4.3%</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577,290.00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040" w:right="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136"/>
        <w:gridCol w:w="708"/>
        <w:gridCol w:w="1702"/>
        <w:gridCol w:w="850"/>
        <w:gridCol w:w="852"/>
        <w:gridCol w:w="708"/>
        <w:gridCol w:w="2693"/>
        <w:gridCol w:w="566"/>
        <w:gridCol w:w="850"/>
        <w:gridCol w:w="711"/>
        <w:gridCol w:w="1558"/>
        <w:gridCol w:w="852"/>
        <w:gridCol w:w="708"/>
        <w:gridCol w:w="708"/>
        <w:gridCol w:w="710"/>
      </w:tblGrid>
      <w:tr>
        <w:trPr>
          <w:trHeight w:val="246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望京支行</w:t>
            </w:r>
          </w:p>
        </w:tc>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央行票据、债券回购、资金</w:t>
            </w:r>
          </w:p>
          <w:p>
            <w:pPr>
              <w:pStyle w:val="TableParagraph"/>
              <w:spacing w:line="237" w:lineRule="auto"/>
              <w:ind w:left="100" w:right="-3"/>
              <w:jc w:val="left"/>
              <w:rPr>
                <w:rFonts w:ascii="宋体" w:hAnsi="宋体" w:cs="宋体" w:eastAsia="宋体" w:hint="default"/>
                <w:sz w:val="21"/>
                <w:szCs w:val="21"/>
              </w:rPr>
            </w:pPr>
            <w:r>
              <w:rPr>
                <w:rFonts w:ascii="宋体" w:hAnsi="宋体" w:cs="宋体" w:eastAsia="宋体" w:hint="default"/>
                <w:spacing w:val="-5"/>
                <w:sz w:val="21"/>
                <w:szCs w:val="21"/>
              </w:rPr>
              <w:t>拆借、银行存款以及高信用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级别的企业债、公司债、短</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期融资券、中期票据、资产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支持证券、次级债等其他金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5"/>
                <w:sz w:val="21"/>
                <w:szCs w:val="21"/>
              </w:rPr>
              <w:t>融资产，并可投资于可转换</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13"/>
                <w:sz w:val="21"/>
                <w:szCs w:val="21"/>
              </w:rPr>
              <w:t>债券、可分离债、新股申购、</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2"/>
                <w:sz w:val="21"/>
                <w:szCs w:val="21"/>
              </w:rPr>
              <w:t>交易所债券等其他金融资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产。</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南京银行</w:t>
            </w:r>
          </w:p>
          <w:p>
            <w:pPr>
              <w:pStyle w:val="TableParagraph"/>
              <w:spacing w:line="237" w:lineRule="auto" w:before="2"/>
              <w:ind w:left="103" w:right="178"/>
              <w:jc w:val="both"/>
              <w:rPr>
                <w:rFonts w:ascii="宋体" w:hAnsi="宋体" w:cs="宋体" w:eastAsia="宋体" w:hint="default"/>
                <w:sz w:val="21"/>
                <w:szCs w:val="21"/>
              </w:rPr>
            </w:pP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公司北京</w:t>
            </w:r>
            <w:r>
              <w:rPr>
                <w:rFonts w:ascii="宋体" w:hAnsi="宋体" w:cs="宋体" w:eastAsia="宋体" w:hint="default"/>
                <w:w w:val="100"/>
                <w:sz w:val="21"/>
                <w:szCs w:val="21"/>
              </w:rPr>
              <w:t> </w:t>
            </w:r>
            <w:r>
              <w:rPr>
                <w:rFonts w:ascii="宋体" w:hAnsi="宋体" w:cs="宋体" w:eastAsia="宋体" w:hint="default"/>
                <w:sz w:val="21"/>
                <w:szCs w:val="21"/>
              </w:rPr>
              <w:t>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100,000,000.00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sz w:val="21"/>
              </w:rPr>
              <w:t>2018</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2018</w:t>
            </w:r>
          </w:p>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40" w:lineRule="auto"/>
              <w:ind w:left="314" w:right="180"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39" w:right="134"/>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23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sz w:val="21"/>
              </w:rPr>
              <w:t>4.62%</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6"/>
              <w:jc w:val="right"/>
              <w:rPr>
                <w:rFonts w:ascii="宋体" w:hAnsi="宋体" w:cs="宋体" w:eastAsia="宋体" w:hint="default"/>
                <w:sz w:val="21"/>
                <w:szCs w:val="21"/>
              </w:rPr>
            </w:pPr>
            <w:r>
              <w:rPr>
                <w:rFonts w:ascii="宋体"/>
                <w:spacing w:val="-1"/>
                <w:sz w:val="21"/>
              </w:rPr>
              <w:t>2,348,500.00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南京银行</w:t>
            </w:r>
          </w:p>
          <w:p>
            <w:pPr>
              <w:pStyle w:val="TableParagraph"/>
              <w:spacing w:line="237" w:lineRule="auto" w:before="2"/>
              <w:ind w:left="103" w:right="178"/>
              <w:jc w:val="both"/>
              <w:rPr>
                <w:rFonts w:ascii="宋体" w:hAnsi="宋体" w:cs="宋体" w:eastAsia="宋体" w:hint="default"/>
                <w:sz w:val="21"/>
                <w:szCs w:val="21"/>
              </w:rPr>
            </w:pP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公司北京</w:t>
            </w:r>
            <w:r>
              <w:rPr>
                <w:rFonts w:ascii="宋体" w:hAnsi="宋体" w:cs="宋体" w:eastAsia="宋体" w:hint="default"/>
                <w:w w:val="100"/>
                <w:sz w:val="21"/>
                <w:szCs w:val="21"/>
              </w:rPr>
              <w:t> </w:t>
            </w:r>
            <w:r>
              <w:rPr>
                <w:rFonts w:ascii="宋体" w:hAnsi="宋体" w:cs="宋体" w:eastAsia="宋体" w:hint="default"/>
                <w:sz w:val="21"/>
                <w:szCs w:val="21"/>
              </w:rPr>
              <w:t>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50,000,000.00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sz w:val="21"/>
              </w:rPr>
              <w:t>2018</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 w:right="0"/>
              <w:jc w:val="center"/>
              <w:rPr>
                <w:rFonts w:ascii="宋体" w:hAnsi="宋体" w:cs="宋体" w:eastAsia="宋体" w:hint="default"/>
                <w:sz w:val="21"/>
                <w:szCs w:val="21"/>
              </w:rPr>
            </w:pPr>
            <w:r>
              <w:rPr>
                <w:rFonts w:ascii="宋体"/>
                <w:sz w:val="21"/>
              </w:rPr>
              <w:t>2018</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23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sz w:val="21"/>
              </w:rPr>
              <w:t>3.35%</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6"/>
              <w:jc w:val="right"/>
              <w:rPr>
                <w:rFonts w:ascii="宋体" w:hAnsi="宋体" w:cs="宋体" w:eastAsia="宋体" w:hint="default"/>
                <w:sz w:val="21"/>
                <w:szCs w:val="21"/>
              </w:rPr>
            </w:pPr>
            <w:r>
              <w:rPr>
                <w:rFonts w:ascii="宋体"/>
                <w:spacing w:val="-1"/>
                <w:sz w:val="21"/>
              </w:rPr>
              <w:t>424,861.11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中国光大</w:t>
            </w:r>
          </w:p>
          <w:p>
            <w:pPr>
              <w:pStyle w:val="TableParagraph"/>
              <w:spacing w:line="237" w:lineRule="auto"/>
              <w:ind w:left="103" w:right="178"/>
              <w:jc w:val="both"/>
              <w:rPr>
                <w:rFonts w:ascii="宋体" w:hAnsi="宋体" w:cs="宋体" w:eastAsia="宋体" w:hint="default"/>
                <w:sz w:val="21"/>
                <w:szCs w:val="21"/>
              </w:rPr>
            </w:pPr>
            <w:r>
              <w:rPr>
                <w:rFonts w:ascii="宋体" w:hAnsi="宋体" w:cs="宋体" w:eastAsia="宋体" w:hint="default"/>
                <w:sz w:val="21"/>
                <w:szCs w:val="21"/>
              </w:rPr>
              <w:t>银行股份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北京分行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100,000,000.00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sz w:val="21"/>
              </w:rPr>
              <w:t>2018</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 w:right="0"/>
              <w:jc w:val="center"/>
              <w:rPr>
                <w:rFonts w:ascii="宋体" w:hAnsi="宋体" w:cs="宋体" w:eastAsia="宋体" w:hint="default"/>
                <w:sz w:val="21"/>
                <w:szCs w:val="21"/>
              </w:rPr>
            </w:pPr>
            <w:r>
              <w:rPr>
                <w:rFonts w:ascii="宋体"/>
                <w:sz w:val="21"/>
              </w:rPr>
              <w:t>2018</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39" w:right="134"/>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23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sz w:val="21"/>
              </w:rPr>
              <w:t>4.6%</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6"/>
              <w:jc w:val="right"/>
              <w:rPr>
                <w:rFonts w:ascii="宋体" w:hAnsi="宋体" w:cs="宋体" w:eastAsia="宋体" w:hint="default"/>
                <w:sz w:val="21"/>
                <w:szCs w:val="21"/>
              </w:rPr>
            </w:pPr>
            <w:r>
              <w:rPr>
                <w:rFonts w:ascii="宋体"/>
                <w:spacing w:val="-1"/>
                <w:sz w:val="21"/>
              </w:rPr>
              <w:t>1,533,333.33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招商银行</w:t>
            </w:r>
          </w:p>
          <w:p>
            <w:pPr>
              <w:pStyle w:val="TableParagraph"/>
              <w:spacing w:line="237" w:lineRule="auto"/>
              <w:ind w:left="103" w:right="178"/>
              <w:jc w:val="both"/>
              <w:rPr>
                <w:rFonts w:ascii="宋体" w:hAnsi="宋体" w:cs="宋体" w:eastAsia="宋体" w:hint="default"/>
                <w:sz w:val="21"/>
                <w:szCs w:val="21"/>
              </w:rPr>
            </w:pP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公司北京</w:t>
            </w:r>
            <w:r>
              <w:rPr>
                <w:rFonts w:ascii="宋体" w:hAnsi="宋体" w:cs="宋体" w:eastAsia="宋体" w:hint="default"/>
                <w:w w:val="100"/>
                <w:sz w:val="21"/>
                <w:szCs w:val="21"/>
              </w:rPr>
              <w:t> </w:t>
            </w:r>
            <w:r>
              <w:rPr>
                <w:rFonts w:ascii="宋体" w:hAnsi="宋体" w:cs="宋体" w:eastAsia="宋体" w:hint="default"/>
                <w:sz w:val="21"/>
                <w:szCs w:val="21"/>
              </w:rPr>
              <w:t>望京支行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8"/>
              <w:jc w:val="right"/>
              <w:rPr>
                <w:rFonts w:ascii="宋体" w:hAnsi="宋体" w:cs="宋体" w:eastAsia="宋体" w:hint="default"/>
                <w:sz w:val="21"/>
                <w:szCs w:val="21"/>
              </w:rPr>
            </w:pPr>
            <w:r>
              <w:rPr>
                <w:rFonts w:ascii="宋体"/>
                <w:spacing w:val="-1"/>
                <w:sz w:val="21"/>
              </w:rPr>
              <w:t>75,000,000.00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right="0"/>
              <w:jc w:val="center"/>
              <w:rPr>
                <w:rFonts w:ascii="宋体" w:hAnsi="宋体" w:cs="宋体" w:eastAsia="宋体" w:hint="default"/>
                <w:sz w:val="21"/>
                <w:szCs w:val="21"/>
              </w:rPr>
            </w:pPr>
            <w:r>
              <w:rPr>
                <w:rFonts w:ascii="宋体"/>
                <w:sz w:val="21"/>
              </w:rPr>
              <w:t>2018</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2018</w:t>
            </w:r>
          </w:p>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2" w:lineRule="exact" w:before="27"/>
              <w:ind w:left="314" w:right="180"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23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sz w:val="21"/>
              </w:rPr>
              <w:t>4.85%</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96"/>
              <w:jc w:val="right"/>
              <w:rPr>
                <w:rFonts w:ascii="宋体" w:hAnsi="宋体" w:cs="宋体" w:eastAsia="宋体" w:hint="default"/>
                <w:sz w:val="21"/>
                <w:szCs w:val="21"/>
              </w:rPr>
            </w:pPr>
            <w:r>
              <w:rPr>
                <w:rFonts w:ascii="宋体"/>
                <w:spacing w:val="-1"/>
                <w:sz w:val="21"/>
              </w:rPr>
              <w:t>1,245,719.18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1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78"/>
              <w:jc w:val="both"/>
              <w:rPr>
                <w:rFonts w:ascii="宋体" w:hAnsi="宋体" w:cs="宋体" w:eastAsia="宋体" w:hint="default"/>
                <w:sz w:val="21"/>
                <w:szCs w:val="21"/>
              </w:rPr>
            </w:pPr>
            <w:r>
              <w:rPr>
                <w:rFonts w:ascii="宋体" w:hAnsi="宋体" w:cs="宋体" w:eastAsia="宋体" w:hint="default"/>
                <w:sz w:val="21"/>
                <w:szCs w:val="21"/>
              </w:rPr>
              <w:t>中国建设</w:t>
            </w:r>
            <w:r>
              <w:rPr>
                <w:rFonts w:ascii="宋体" w:hAnsi="宋体" w:cs="宋体" w:eastAsia="宋体" w:hint="default"/>
                <w:w w:val="100"/>
                <w:sz w:val="21"/>
                <w:szCs w:val="21"/>
              </w:rPr>
              <w:t> </w:t>
            </w:r>
            <w:r>
              <w:rPr>
                <w:rFonts w:ascii="宋体" w:hAnsi="宋体" w:cs="宋体" w:eastAsia="宋体" w:hint="default"/>
                <w:sz w:val="21"/>
                <w:szCs w:val="21"/>
              </w:rPr>
              <w:t>银行北京</w:t>
            </w:r>
            <w:r>
              <w:rPr>
                <w:rFonts w:ascii="宋体" w:hAnsi="宋体" w:cs="宋体" w:eastAsia="宋体" w:hint="default"/>
                <w:w w:val="100"/>
                <w:sz w:val="21"/>
                <w:szCs w:val="21"/>
              </w:rPr>
              <w:t> </w:t>
            </w:r>
            <w:r>
              <w:rPr>
                <w:rFonts w:ascii="宋体" w:hAnsi="宋体" w:cs="宋体" w:eastAsia="宋体" w:hint="default"/>
                <w:sz w:val="21"/>
                <w:szCs w:val="21"/>
              </w:rPr>
              <w:t>东四支行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98"/>
              <w:jc w:val="right"/>
              <w:rPr>
                <w:rFonts w:ascii="宋体" w:hAnsi="宋体" w:cs="宋体" w:eastAsia="宋体" w:hint="default"/>
                <w:sz w:val="21"/>
                <w:szCs w:val="21"/>
              </w:rPr>
            </w:pPr>
            <w:r>
              <w:rPr>
                <w:rFonts w:ascii="宋体"/>
                <w:spacing w:val="-1"/>
                <w:sz w:val="21"/>
              </w:rPr>
              <w:t>75,000,000.00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right="0"/>
              <w:jc w:val="center"/>
              <w:rPr>
                <w:rFonts w:ascii="宋体" w:hAnsi="宋体" w:cs="宋体" w:eastAsia="宋体" w:hint="default"/>
                <w:sz w:val="21"/>
                <w:szCs w:val="21"/>
              </w:rPr>
            </w:pPr>
            <w:r>
              <w:rPr>
                <w:rFonts w:ascii="宋体"/>
                <w:sz w:val="21"/>
              </w:rPr>
              <w:t>2018</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11" w:right="0"/>
              <w:jc w:val="left"/>
              <w:rPr>
                <w:rFonts w:ascii="宋体" w:hAnsi="宋体" w:cs="宋体" w:eastAsia="宋体" w:hint="default"/>
                <w:sz w:val="21"/>
                <w:szCs w:val="21"/>
              </w:rPr>
            </w:pPr>
            <w:r>
              <w:rPr>
                <w:rFonts w:ascii="宋体"/>
                <w:sz w:val="21"/>
              </w:rPr>
              <w:t>2018</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2" w:lineRule="exact" w:before="27"/>
              <w:ind w:left="314" w:right="180"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23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0"/>
              <w:jc w:val="center"/>
              <w:rPr>
                <w:rFonts w:ascii="宋体" w:hAnsi="宋体" w:cs="宋体" w:eastAsia="宋体" w:hint="default"/>
                <w:sz w:val="21"/>
                <w:szCs w:val="21"/>
              </w:rPr>
            </w:pPr>
            <w:r>
              <w:rPr>
                <w:rFonts w:ascii="宋体"/>
                <w:sz w:val="21"/>
              </w:rPr>
              <w:t>4.85%</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96"/>
              <w:jc w:val="right"/>
              <w:rPr>
                <w:rFonts w:ascii="宋体" w:hAnsi="宋体" w:cs="宋体" w:eastAsia="宋体" w:hint="default"/>
                <w:sz w:val="21"/>
                <w:szCs w:val="21"/>
              </w:rPr>
            </w:pPr>
            <w:r>
              <w:rPr>
                <w:rFonts w:ascii="宋体"/>
                <w:spacing w:val="-1"/>
                <w:sz w:val="21"/>
              </w:rPr>
              <w:t>1,215,821.92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南京银行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结构</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性存</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35,000,000.00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sz w:val="21"/>
              </w:rPr>
              <w:t>2018</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0"/>
              <w:jc w:val="left"/>
              <w:rPr>
                <w:rFonts w:ascii="宋体" w:hAnsi="宋体" w:cs="宋体" w:eastAsia="宋体" w:hint="default"/>
                <w:sz w:val="21"/>
                <w:szCs w:val="21"/>
              </w:rPr>
            </w:pPr>
            <w:r>
              <w:rPr>
                <w:rFonts w:ascii="宋体"/>
                <w:sz w:val="21"/>
              </w:rPr>
              <w:t>2018</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募集</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3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3.35%</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214,958.33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040" w:right="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1136"/>
        <w:gridCol w:w="708"/>
        <w:gridCol w:w="1702"/>
        <w:gridCol w:w="850"/>
        <w:gridCol w:w="852"/>
        <w:gridCol w:w="708"/>
        <w:gridCol w:w="2693"/>
        <w:gridCol w:w="566"/>
        <w:gridCol w:w="850"/>
        <w:gridCol w:w="711"/>
        <w:gridCol w:w="1558"/>
        <w:gridCol w:w="852"/>
        <w:gridCol w:w="708"/>
        <w:gridCol w:w="708"/>
        <w:gridCol w:w="710"/>
      </w:tblGrid>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公司北京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款</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22</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南京银行</w:t>
            </w:r>
          </w:p>
          <w:p>
            <w:pPr>
              <w:pStyle w:val="TableParagraph"/>
              <w:spacing w:line="272" w:lineRule="exact" w:before="27"/>
              <w:ind w:left="103" w:right="178"/>
              <w:jc w:val="both"/>
              <w:rPr>
                <w:rFonts w:ascii="宋体" w:hAnsi="宋体" w:cs="宋体" w:eastAsia="宋体" w:hint="default"/>
                <w:sz w:val="21"/>
                <w:szCs w:val="21"/>
              </w:rPr>
            </w:pP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公司北京</w:t>
            </w:r>
            <w:r>
              <w:rPr>
                <w:rFonts w:ascii="宋体" w:hAnsi="宋体" w:cs="宋体" w:eastAsia="宋体" w:hint="default"/>
                <w:w w:val="100"/>
                <w:sz w:val="21"/>
                <w:szCs w:val="21"/>
              </w:rPr>
              <w:t> </w:t>
            </w:r>
            <w:r>
              <w:rPr>
                <w:rFonts w:ascii="宋体" w:hAnsi="宋体" w:cs="宋体" w:eastAsia="宋体" w:hint="default"/>
                <w:sz w:val="21"/>
                <w:szCs w:val="21"/>
              </w:rPr>
              <w:t>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17" w:right="0"/>
              <w:jc w:val="left"/>
              <w:rPr>
                <w:rFonts w:ascii="宋体" w:hAnsi="宋体" w:cs="宋体" w:eastAsia="宋体" w:hint="default"/>
                <w:sz w:val="21"/>
                <w:szCs w:val="21"/>
              </w:rPr>
            </w:pPr>
            <w:r>
              <w:rPr>
                <w:rFonts w:ascii="宋体"/>
                <w:sz w:val="21"/>
              </w:rPr>
              <w:t>100,000,000.00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sz w:val="21"/>
              </w:rPr>
              <w:t>2018</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2018</w:t>
            </w:r>
          </w:p>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2" w:lineRule="exact" w:before="26"/>
              <w:ind w:left="314" w:right="180"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39" w:right="134"/>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23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4.00%</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455,555.56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中国光大</w:t>
            </w:r>
          </w:p>
          <w:p>
            <w:pPr>
              <w:pStyle w:val="TableParagraph"/>
              <w:spacing w:line="237" w:lineRule="auto" w:before="2"/>
              <w:ind w:left="103" w:right="178"/>
              <w:jc w:val="both"/>
              <w:rPr>
                <w:rFonts w:ascii="宋体" w:hAnsi="宋体" w:cs="宋体" w:eastAsia="宋体" w:hint="default"/>
                <w:sz w:val="21"/>
                <w:szCs w:val="21"/>
              </w:rPr>
            </w:pPr>
            <w:r>
              <w:rPr>
                <w:rFonts w:ascii="宋体" w:hAnsi="宋体" w:cs="宋体" w:eastAsia="宋体" w:hint="default"/>
                <w:sz w:val="21"/>
                <w:szCs w:val="21"/>
              </w:rPr>
              <w:t>银行股份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北京分行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17" w:right="0"/>
              <w:jc w:val="left"/>
              <w:rPr>
                <w:rFonts w:ascii="宋体" w:hAnsi="宋体" w:cs="宋体" w:eastAsia="宋体" w:hint="default"/>
                <w:sz w:val="21"/>
                <w:szCs w:val="21"/>
              </w:rPr>
            </w:pPr>
            <w:r>
              <w:rPr>
                <w:rFonts w:ascii="宋体"/>
                <w:sz w:val="21"/>
              </w:rPr>
              <w:t>190,000,000.00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3"/>
              <w:ind w:right="0"/>
              <w:jc w:val="center"/>
              <w:rPr>
                <w:rFonts w:ascii="宋体" w:hAnsi="宋体" w:cs="宋体" w:eastAsia="宋体" w:hint="default"/>
                <w:sz w:val="21"/>
                <w:szCs w:val="21"/>
              </w:rPr>
            </w:pPr>
            <w:r>
              <w:rPr>
                <w:rFonts w:ascii="宋体"/>
                <w:sz w:val="21"/>
              </w:rPr>
              <w:t>2018</w:t>
            </w:r>
          </w:p>
          <w:p>
            <w:pPr>
              <w:pStyle w:val="TableParagraph"/>
              <w:spacing w:line="272" w:lineRule="exact"/>
              <w:ind w:left="18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2018</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ind w:left="314" w:right="180"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23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3.72%</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922,766.67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中国光大</w:t>
            </w:r>
          </w:p>
          <w:p>
            <w:pPr>
              <w:pStyle w:val="TableParagraph"/>
              <w:spacing w:line="237" w:lineRule="auto" w:before="2"/>
              <w:ind w:left="103" w:right="178"/>
              <w:jc w:val="both"/>
              <w:rPr>
                <w:rFonts w:ascii="宋体" w:hAnsi="宋体" w:cs="宋体" w:eastAsia="宋体" w:hint="default"/>
                <w:sz w:val="21"/>
                <w:szCs w:val="21"/>
              </w:rPr>
            </w:pPr>
            <w:r>
              <w:rPr>
                <w:rFonts w:ascii="宋体" w:hAnsi="宋体" w:cs="宋体" w:eastAsia="宋体" w:hint="default"/>
                <w:sz w:val="21"/>
                <w:szCs w:val="21"/>
              </w:rPr>
              <w:t>银行股份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北京分行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17" w:right="0"/>
              <w:jc w:val="left"/>
              <w:rPr>
                <w:rFonts w:ascii="宋体" w:hAnsi="宋体" w:cs="宋体" w:eastAsia="宋体" w:hint="default"/>
                <w:sz w:val="21"/>
                <w:szCs w:val="21"/>
              </w:rPr>
            </w:pPr>
            <w:r>
              <w:rPr>
                <w:rFonts w:ascii="宋体"/>
                <w:sz w:val="21"/>
              </w:rPr>
              <w:t>200,000,000.00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sz w:val="21"/>
              </w:rPr>
              <w:t>2018</w:t>
            </w:r>
          </w:p>
          <w:p>
            <w:pPr>
              <w:pStyle w:val="TableParagraph"/>
              <w:spacing w:line="272" w:lineRule="exact"/>
              <w:ind w:left="18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2018</w:t>
            </w:r>
          </w:p>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ind w:left="314" w:right="180"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39" w:right="134"/>
              <w:jc w:val="left"/>
              <w:rPr>
                <w:rFonts w:ascii="宋体" w:hAnsi="宋体" w:cs="宋体" w:eastAsia="宋体" w:hint="default"/>
                <w:sz w:val="21"/>
                <w:szCs w:val="21"/>
              </w:rPr>
            </w:pP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23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3.72%</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971,333.33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南京银行</w:t>
            </w:r>
          </w:p>
          <w:p>
            <w:pPr>
              <w:pStyle w:val="TableParagraph"/>
              <w:spacing w:line="237" w:lineRule="auto" w:before="2"/>
              <w:ind w:left="103" w:right="178"/>
              <w:jc w:val="both"/>
              <w:rPr>
                <w:rFonts w:ascii="宋体" w:hAnsi="宋体" w:cs="宋体" w:eastAsia="宋体" w:hint="default"/>
                <w:sz w:val="21"/>
                <w:szCs w:val="21"/>
              </w:rPr>
            </w:pP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公司北京</w:t>
            </w:r>
            <w:r>
              <w:rPr>
                <w:rFonts w:ascii="宋体" w:hAnsi="宋体" w:cs="宋体" w:eastAsia="宋体" w:hint="default"/>
                <w:w w:val="100"/>
                <w:sz w:val="21"/>
                <w:szCs w:val="21"/>
              </w:rPr>
              <w:t> </w:t>
            </w:r>
            <w:r>
              <w:rPr>
                <w:rFonts w:ascii="宋体" w:hAnsi="宋体" w:cs="宋体" w:eastAsia="宋体" w:hint="default"/>
                <w:sz w:val="21"/>
                <w:szCs w:val="21"/>
              </w:rPr>
              <w:t>分行</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4"/>
              <w:jc w:val="both"/>
              <w:rPr>
                <w:rFonts w:ascii="宋体" w:hAnsi="宋体" w:cs="宋体" w:eastAsia="宋体" w:hint="default"/>
                <w:sz w:val="21"/>
                <w:szCs w:val="21"/>
              </w:rPr>
            </w:pPr>
            <w:r>
              <w:rPr>
                <w:rFonts w:ascii="宋体" w:hAnsi="宋体" w:cs="宋体" w:eastAsia="宋体" w:hint="default"/>
                <w:sz w:val="21"/>
                <w:szCs w:val="21"/>
              </w:rPr>
              <w:t>结构</w:t>
            </w:r>
            <w:r>
              <w:rPr>
                <w:rFonts w:ascii="宋体" w:hAnsi="宋体" w:cs="宋体" w:eastAsia="宋体" w:hint="default"/>
                <w:spacing w:val="-103"/>
                <w:sz w:val="21"/>
                <w:szCs w:val="21"/>
              </w:rPr>
              <w:t> </w:t>
            </w:r>
            <w:r>
              <w:rPr>
                <w:rFonts w:ascii="宋体" w:hAnsi="宋体" w:cs="宋体" w:eastAsia="宋体" w:hint="default"/>
                <w:sz w:val="21"/>
                <w:szCs w:val="21"/>
              </w:rPr>
              <w:t>性存</w:t>
            </w:r>
            <w:r>
              <w:rPr>
                <w:rFonts w:ascii="宋体" w:hAnsi="宋体" w:cs="宋体" w:eastAsia="宋体" w:hint="default"/>
                <w:spacing w:val="-103"/>
                <w:sz w:val="21"/>
                <w:szCs w:val="21"/>
              </w:rPr>
              <w:t> </w:t>
            </w:r>
            <w:r>
              <w:rPr>
                <w:rFonts w:ascii="宋体" w:hAnsi="宋体" w:cs="宋体" w:eastAsia="宋体" w:hint="default"/>
                <w:sz w:val="21"/>
                <w:szCs w:val="21"/>
              </w:rPr>
              <w:t>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17" w:right="0"/>
              <w:jc w:val="left"/>
              <w:rPr>
                <w:rFonts w:ascii="宋体" w:hAnsi="宋体" w:cs="宋体" w:eastAsia="宋体" w:hint="default"/>
                <w:sz w:val="21"/>
                <w:szCs w:val="21"/>
              </w:rPr>
            </w:pPr>
            <w:r>
              <w:rPr>
                <w:rFonts w:ascii="宋体"/>
                <w:sz w:val="21"/>
              </w:rPr>
              <w:t>250,000,000.00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sz w:val="21"/>
              </w:rPr>
              <w:t>2018</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2018</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40" w:lineRule="auto"/>
              <w:ind w:left="314" w:right="180" w:hanging="13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39" w:right="134"/>
              <w:jc w:val="left"/>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234"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sz w:val="21"/>
              </w:rPr>
              <w:t>3.50%</w:t>
            </w:r>
          </w:p>
        </w:tc>
        <w:tc>
          <w:tcPr>
            <w:tcW w:w="71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534,722.22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已收回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0" w:footer="1195" w:top="1120" w:bottom="1380" w:left="1040" w:right="260"/>
        </w:sectPr>
      </w:pPr>
    </w:p>
    <w:p>
      <w:pPr>
        <w:spacing w:line="240" w:lineRule="auto" w:before="9"/>
        <w:rPr>
          <w:rFonts w:ascii="Times New Roman" w:hAnsi="Times New Roman" w:cs="Times New Roman" w:eastAsia="Times New Roman" w:hint="default"/>
          <w:sz w:val="28"/>
          <w:szCs w:val="28"/>
        </w:rPr>
      </w:pPr>
    </w:p>
    <w:p>
      <w:pPr>
        <w:pStyle w:val="Heading2"/>
        <w:spacing w:line="274" w:lineRule="exact"/>
        <w:ind w:left="138" w:right="125"/>
        <w:jc w:val="left"/>
        <w:rPr>
          <w:b w:val="0"/>
          <w:bCs w:val="0"/>
        </w:rPr>
      </w:pPr>
      <w:r>
        <w:rPr/>
        <w:t>其他情况</w:t>
      </w:r>
      <w:r>
        <w:rPr>
          <w:b w:val="0"/>
          <w:bCs w:val="0"/>
        </w:rPr>
      </w:r>
    </w:p>
    <w:p>
      <w:pPr>
        <w:pStyle w:val="BodyText"/>
        <w:tabs>
          <w:tab w:pos="980" w:val="left" w:leader="none"/>
        </w:tabs>
        <w:spacing w:line="274" w:lineRule="exact"/>
        <w:ind w:left="138" w:right="125"/>
        <w:jc w:val="left"/>
      </w:pPr>
      <w:r>
        <w:rPr>
          <w:spacing w:val="-1"/>
        </w:rPr>
        <w:t>□适用</w:t>
        <w:tab/>
      </w:r>
      <w:r>
        <w:rPr>
          <w:spacing w:val="-2"/>
        </w:rPr>
        <w:t>√不适用</w:t>
      </w:r>
    </w:p>
    <w:p>
      <w:pPr>
        <w:pStyle w:val="Heading2"/>
        <w:spacing w:line="240" w:lineRule="auto" w:before="56"/>
        <w:ind w:left="138" w:right="125"/>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tabs>
          <w:tab w:pos="562" w:val="left" w:leader="none"/>
          <w:tab w:pos="980" w:val="left" w:leader="none"/>
        </w:tabs>
        <w:spacing w:line="290" w:lineRule="auto" w:before="58"/>
        <w:ind w:left="138" w:right="727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w w:val="95"/>
          <w:sz w:val="21"/>
          <w:szCs w:val="21"/>
        </w:rPr>
        <w:t>2.</w:t>
        <w:tab/>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Heading2"/>
        <w:spacing w:line="240" w:lineRule="auto" w:before="14"/>
        <w:ind w:left="138" w:right="125"/>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980" w:val="left" w:leader="none"/>
        </w:tabs>
        <w:spacing w:before="56"/>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71" w:lineRule="exact"/>
        <w:ind w:left="138" w:right="125"/>
        <w:jc w:val="left"/>
      </w:pPr>
      <w:r>
        <w:rPr>
          <w:spacing w:val="-1"/>
        </w:rPr>
        <w:t>□适用</w:t>
        <w:tab/>
      </w:r>
      <w:r>
        <w:rPr>
          <w:spacing w:val="-2"/>
        </w:rPr>
        <w:t>√不适用</w:t>
      </w:r>
    </w:p>
    <w:p>
      <w:pPr>
        <w:pStyle w:val="Heading2"/>
        <w:spacing w:line="240" w:lineRule="auto" w:before="58"/>
        <w:ind w:left="138" w:right="125"/>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980" w:val="left" w:leader="none"/>
        </w:tabs>
        <w:spacing w:before="56"/>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71" w:lineRule="exact"/>
        <w:ind w:left="138" w:right="125"/>
        <w:jc w:val="left"/>
      </w:pPr>
      <w:r>
        <w:rPr>
          <w:spacing w:val="-1"/>
        </w:rPr>
        <w:t>□适用</w:t>
        <w:tab/>
      </w:r>
      <w:r>
        <w:rPr>
          <w:spacing w:val="-2"/>
        </w:rPr>
        <w:t>√不适用</w:t>
      </w:r>
    </w:p>
    <w:p>
      <w:pPr>
        <w:pStyle w:val="Heading2"/>
        <w:spacing w:line="240" w:lineRule="auto" w:before="58"/>
        <w:ind w:left="138" w:right="125"/>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tabs>
          <w:tab w:pos="562" w:val="left" w:leader="none"/>
          <w:tab w:pos="980" w:val="left" w:leader="none"/>
        </w:tabs>
        <w:spacing w:line="290" w:lineRule="auto" w:before="56"/>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w w:val="95"/>
          <w:sz w:val="21"/>
          <w:szCs w:val="21"/>
        </w:rPr>
        <w:t>3.</w:t>
        <w:tab/>
      </w:r>
      <w:r>
        <w:rPr>
          <w:rFonts w:ascii="宋体" w:hAnsi="宋体" w:cs="宋体" w:eastAsia="宋体" w:hint="default"/>
          <w:b/>
          <w:bCs/>
          <w:sz w:val="21"/>
          <w:szCs w:val="21"/>
        </w:rPr>
        <w:t>其他情况</w:t>
      </w:r>
      <w:r>
        <w:rPr>
          <w:rFonts w:ascii="宋体" w:hAnsi="宋体" w:cs="宋体" w:eastAsia="宋体" w:hint="default"/>
          <w:sz w:val="21"/>
          <w:szCs w:val="21"/>
        </w:rPr>
      </w:r>
    </w:p>
    <w:p>
      <w:pPr>
        <w:pStyle w:val="BodyText"/>
        <w:tabs>
          <w:tab w:pos="980" w:val="left" w:leader="none"/>
        </w:tabs>
        <w:spacing w:line="240" w:lineRule="auto" w:before="12"/>
        <w:ind w:left="138" w:right="125"/>
        <w:jc w:val="left"/>
      </w:pPr>
      <w:r>
        <w:rPr>
          <w:spacing w:val="-1"/>
        </w:rPr>
        <w:t>□适用</w:t>
        <w:tab/>
      </w:r>
      <w:r>
        <w:rPr>
          <w:spacing w:val="-2"/>
        </w:rPr>
        <w:t>√不适用</w:t>
      </w:r>
    </w:p>
    <w:p>
      <w:pPr>
        <w:pStyle w:val="Heading2"/>
        <w:tabs>
          <w:tab w:pos="977" w:val="left" w:leader="none"/>
        </w:tabs>
        <w:spacing w:line="240" w:lineRule="auto" w:before="58"/>
        <w:ind w:left="138" w:right="125"/>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tabs>
          <w:tab w:pos="980" w:val="left" w:leader="none"/>
        </w:tabs>
        <w:spacing w:line="290" w:lineRule="auto" w:before="56"/>
        <w:ind w:left="138" w:right="643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十六、其他重大事项的说明</w:t>
      </w:r>
      <w:r>
        <w:rPr>
          <w:rFonts w:ascii="宋体" w:hAnsi="宋体" w:cs="宋体" w:eastAsia="宋体" w:hint="default"/>
          <w:sz w:val="21"/>
          <w:szCs w:val="21"/>
        </w:rPr>
      </w:r>
    </w:p>
    <w:p>
      <w:pPr>
        <w:tabs>
          <w:tab w:pos="989" w:val="left" w:leader="none"/>
        </w:tabs>
        <w:spacing w:line="290" w:lineRule="auto" w:before="14"/>
        <w:ind w:left="138" w:right="55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十七、积极履行社会责任的工作情况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上市公司扶贫工作情况</w:t>
      </w:r>
      <w:r>
        <w:rPr>
          <w:rFonts w:ascii="宋体" w:hAnsi="宋体" w:cs="宋体" w:eastAsia="宋体" w:hint="default"/>
          <w:spacing w:val="-1"/>
          <w:sz w:val="21"/>
          <w:szCs w:val="21"/>
        </w:rPr>
      </w:r>
    </w:p>
    <w:p>
      <w:pPr>
        <w:tabs>
          <w:tab w:pos="562" w:val="left" w:leader="none"/>
        </w:tabs>
        <w:spacing w:line="290" w:lineRule="auto" w:before="12"/>
        <w:ind w:left="138" w:right="72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sz w:val="21"/>
          <w:szCs w:val="21"/>
        </w:rPr>
      </w:r>
    </w:p>
    <w:p>
      <w:pPr>
        <w:pStyle w:val="BodyText"/>
        <w:spacing w:line="307" w:lineRule="auto" w:before="12"/>
        <w:ind w:left="558" w:right="125" w:hanging="420"/>
        <w:jc w:val="left"/>
      </w:pPr>
      <w:r>
        <w:rPr/>
        <w:t>√适用</w:t>
      </w:r>
      <w:r>
        <w:rPr>
          <w:spacing w:val="-2"/>
        </w:rPr>
        <w:t> </w:t>
      </w:r>
      <w:r>
        <w:rPr/>
        <w:t>□不适用</w:t>
      </w:r>
      <w:r>
        <w:rPr>
          <w:w w:val="100"/>
        </w:rPr>
        <w:t> </w:t>
      </w:r>
      <w:r>
        <w:rPr>
          <w:spacing w:val="-2"/>
        </w:rPr>
        <w:t>为深入贯彻落实中央扶贫开发战略和精神，推进精准扶贫，公司制订了如下总体扶贫规划：</w:t>
      </w:r>
    </w:p>
    <w:p>
      <w:pPr>
        <w:pStyle w:val="BodyText"/>
        <w:spacing w:line="314" w:lineRule="auto" w:before="26"/>
        <w:ind w:left="138" w:right="128"/>
        <w:jc w:val="both"/>
      </w:pPr>
      <w:r>
        <w:rPr>
          <w:spacing w:val="-1"/>
        </w:rPr>
        <w:t>一是加强对口扶贫县精准扶贫、精准脱贫报道，展现干部群众脱贫攻坚精气神；二是整合扶贫资</w:t>
      </w:r>
      <w:r>
        <w:rPr>
          <w:spacing w:val="-55"/>
        </w:rPr>
        <w:t> </w:t>
      </w:r>
      <w:r>
        <w:rPr>
          <w:spacing w:val="-55"/>
        </w:rPr>
      </w:r>
      <w:r>
        <w:rPr>
          <w:spacing w:val="-1"/>
        </w:rPr>
        <w:t>源，围绕“精准教育扶贫”和“精准送温暖扶贫”两个重点建立脱贫致富长效机制；三是发挥媒</w:t>
      </w:r>
      <w:r>
        <w:rPr>
          <w:spacing w:val="-56"/>
        </w:rPr>
        <w:t> </w:t>
      </w:r>
      <w:r>
        <w:rPr>
          <w:spacing w:val="-56"/>
        </w:rPr>
      </w:r>
      <w:r>
        <w:rPr>
          <w:spacing w:val="-1"/>
        </w:rPr>
        <w:t>体优势，加强对口扶贫县造血能力，帮助搭建优化政府网站和开展培训，从信息和人才等方面助</w:t>
      </w:r>
      <w:r>
        <w:rPr>
          <w:spacing w:val="-55"/>
        </w:rPr>
        <w:t> </w:t>
      </w:r>
      <w:r>
        <w:rPr>
          <w:spacing w:val="-55"/>
        </w:rPr>
      </w:r>
      <w:r>
        <w:rPr/>
        <w:t>力精准扶贫、精准脱贫。</w:t>
      </w:r>
    </w:p>
    <w:p>
      <w:pPr>
        <w:pStyle w:val="Heading2"/>
        <w:tabs>
          <w:tab w:pos="562" w:val="left" w:leader="none"/>
        </w:tabs>
        <w:spacing w:line="240" w:lineRule="auto" w:before="3"/>
        <w:ind w:left="138" w:right="125"/>
        <w:jc w:val="left"/>
        <w:rPr>
          <w:b w:val="0"/>
          <w:bCs w:val="0"/>
        </w:rPr>
      </w:pPr>
      <w:r>
        <w:rPr>
          <w:rFonts w:ascii="宋体" w:hAnsi="宋体" w:cs="宋体" w:eastAsia="宋体" w:hint="default"/>
          <w:w w:val="95"/>
        </w:rPr>
        <w:t>2.</w:t>
        <w:tab/>
      </w:r>
      <w:r>
        <w:rPr/>
        <w:t>年度精准扶贫概要</w:t>
      </w:r>
      <w:r>
        <w:rPr>
          <w:b w:val="0"/>
          <w:bCs w:val="0"/>
        </w:rPr>
      </w:r>
    </w:p>
    <w:p>
      <w:pPr>
        <w:pStyle w:val="BodyText"/>
        <w:spacing w:line="307" w:lineRule="auto" w:before="56"/>
        <w:ind w:left="558" w:right="125" w:hanging="420"/>
        <w:jc w:val="left"/>
      </w:pPr>
      <w:r>
        <w:rPr/>
        <w:t>√适用</w:t>
      </w:r>
      <w:r>
        <w:rPr>
          <w:spacing w:val="-2"/>
        </w:rPr>
        <w:t> </w:t>
      </w:r>
      <w:r>
        <w:rPr/>
        <w:t>□不适用</w:t>
      </w:r>
      <w:r>
        <w:rPr>
          <w:w w:val="100"/>
        </w:rPr>
        <w:t> </w:t>
      </w:r>
      <w:r>
        <w:rPr>
          <w:spacing w:val="-2"/>
        </w:rPr>
        <w:t>新华公益在线募捐服务平台发挥着新华网传播优势，将新华系全媒体传播矩阵与公益项目结</w:t>
      </w:r>
    </w:p>
    <w:p>
      <w:pPr>
        <w:pStyle w:val="BodyText"/>
        <w:spacing w:line="314" w:lineRule="auto" w:before="26"/>
        <w:ind w:left="138" w:right="125"/>
        <w:jc w:val="left"/>
      </w:pPr>
      <w:r>
        <w:rPr>
          <w:spacing w:val="-6"/>
        </w:rPr>
        <w:t>合，助推公益项目募集善款。自</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48"/>
        </w:rPr>
        <w:t> </w:t>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1</w:t>
      </w:r>
      <w:r>
        <w:rPr>
          <w:rFonts w:ascii="宋体" w:hAnsi="宋体" w:cs="宋体" w:eastAsia="宋体" w:hint="default"/>
          <w:spacing w:val="-50"/>
        </w:rPr>
        <w:t> </w:t>
      </w:r>
      <w:r>
        <w:rPr/>
        <w:t>日至</w:t>
      </w:r>
      <w:r>
        <w:rPr>
          <w:spacing w:val="-50"/>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spacing w:val="-4"/>
        </w:rPr>
        <w:t>日，新华公益在线募捐服务平台筹款</w:t>
      </w:r>
      <w:r>
        <w:rPr>
          <w:spacing w:val="-103"/>
        </w:rPr>
        <w:t> </w:t>
      </w:r>
      <w:r>
        <w:rPr>
          <w:spacing w:val="-103"/>
        </w:rPr>
      </w:r>
      <w:r>
        <w:rPr/>
        <w:t>总额：</w:t>
      </w:r>
      <w:r>
        <w:rPr>
          <w:rFonts w:ascii="宋体" w:hAnsi="宋体" w:cs="宋体" w:eastAsia="宋体" w:hint="default"/>
        </w:rPr>
        <w:t>6,109,872.82</w:t>
      </w:r>
      <w:r>
        <w:rPr>
          <w:rFonts w:ascii="宋体" w:hAnsi="宋体" w:cs="宋体" w:eastAsia="宋体" w:hint="default"/>
          <w:spacing w:val="-53"/>
        </w:rPr>
        <w:t> </w:t>
      </w:r>
      <w:r>
        <w:rPr/>
        <w:t>元，在线筹款项目</w:t>
      </w:r>
      <w:r>
        <w:rPr>
          <w:spacing w:val="-52"/>
        </w:rPr>
        <w:t> </w:t>
      </w:r>
      <w:r>
        <w:rPr>
          <w:rFonts w:ascii="宋体" w:hAnsi="宋体" w:cs="宋体" w:eastAsia="宋体" w:hint="default"/>
        </w:rPr>
        <w:t>356</w:t>
      </w:r>
      <w:r>
        <w:rPr>
          <w:rFonts w:ascii="宋体" w:hAnsi="宋体" w:cs="宋体" w:eastAsia="宋体" w:hint="default"/>
          <w:spacing w:val="-53"/>
        </w:rPr>
        <w:t> </w:t>
      </w:r>
      <w:r>
        <w:rPr/>
        <w:t>个，捐款人数：</w:t>
      </w:r>
      <w:r>
        <w:rPr>
          <w:rFonts w:ascii="宋体" w:hAnsi="宋体" w:cs="宋体" w:eastAsia="宋体" w:hint="default"/>
        </w:rPr>
        <w:t>185,697</w:t>
      </w:r>
      <w:r>
        <w:rPr>
          <w:rFonts w:ascii="宋体" w:hAnsi="宋体" w:cs="宋体" w:eastAsia="宋体" w:hint="default"/>
          <w:spacing w:val="-53"/>
        </w:rPr>
        <w:t> </w:t>
      </w:r>
      <w:r>
        <w:rPr>
          <w:spacing w:val="-3"/>
        </w:rPr>
        <w:t>人</w:t>
      </w:r>
      <w:r>
        <w:rPr>
          <w:rFonts w:ascii="宋体" w:hAnsi="宋体" w:cs="宋体" w:eastAsia="宋体" w:hint="default"/>
          <w:spacing w:val="-3"/>
        </w:rPr>
        <w:t>/</w:t>
      </w:r>
      <w:r>
        <w:rPr>
          <w:spacing w:val="-3"/>
        </w:rPr>
        <w:t>次。</w:t>
      </w:r>
      <w:r>
        <w:rPr/>
      </w:r>
    </w:p>
    <w:p>
      <w:pPr>
        <w:pStyle w:val="BodyText"/>
        <w:spacing w:line="314" w:lineRule="auto" w:before="20"/>
        <w:ind w:left="138" w:right="128" w:firstLine="419"/>
        <w:jc w:val="both"/>
      </w:pPr>
      <w:r>
        <w:rPr>
          <w:spacing w:val="-2"/>
        </w:rPr>
        <w:t>报告期内，公司积极落实扶贫工作，主要包括以下几个方面：一是新华公益在线募捐服务平</w:t>
      </w:r>
      <w:r>
        <w:rPr>
          <w:w w:val="100"/>
        </w:rPr>
        <w:t> </w:t>
      </w:r>
      <w:r>
        <w:rPr>
          <w:spacing w:val="-1"/>
        </w:rPr>
        <w:t>台联合公益项目发起了“过年吃上肉是孩子最单纯的渴望”项目，项目上线后，通过多渠道推广</w:t>
      </w:r>
      <w:r>
        <w:rPr>
          <w:spacing w:val="-55"/>
        </w:rPr>
        <w:t> </w:t>
      </w:r>
      <w:r>
        <w:rPr>
          <w:spacing w:val="-55"/>
        </w:rPr>
      </w:r>
      <w:r>
        <w:rPr>
          <w:spacing w:val="-1"/>
        </w:rPr>
        <w:t>传播，受到社会各界爱心人士的关注和支持，为困难家庭的孩子送上肉和面；二是依托“中国网</w:t>
      </w:r>
      <w:r>
        <w:rPr>
          <w:spacing w:val="-55"/>
        </w:rPr>
        <w:t> </w:t>
      </w:r>
      <w:r>
        <w:rPr>
          <w:spacing w:val="-55"/>
        </w:rPr>
      </w:r>
      <w:r>
        <w:rPr>
          <w:spacing w:val="-9"/>
        </w:rPr>
        <w:t>事•网络感动人物”评选活动，发起了为感动人物圆梦、提供持续关怀的公益项目“善举的力量”；</w:t>
      </w:r>
      <w:r>
        <w:rPr>
          <w:spacing w:val="-23"/>
        </w:rPr>
        <w:t> </w:t>
      </w:r>
      <w:r>
        <w:rPr>
          <w:spacing w:val="-23"/>
        </w:rPr>
      </w:r>
      <w:r>
        <w:rPr>
          <w:spacing w:val="-6"/>
        </w:rPr>
        <w:t>三是为配合新华社精准扶贫行动，协调社会组织、公益伙伴的项目资源，向扶贫县贵州省石阡县、</w:t>
      </w:r>
    </w:p>
    <w:p>
      <w:pPr>
        <w:spacing w:after="0" w:line="314" w:lineRule="auto"/>
        <w:jc w:val="both"/>
        <w:sectPr>
          <w:headerReference w:type="default" r:id="rId34"/>
          <w:footerReference w:type="default" r:id="rId35"/>
          <w:pgSz w:w="11910" w:h="16840"/>
          <w:pgMar w:header="880" w:footer="1195" w:top="1120" w:bottom="1380" w:left="1660" w:right="1140"/>
          <w:pgNumType w:start="4"/>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left"/>
      </w:pPr>
      <w:r>
        <w:rPr>
          <w:w w:val="100"/>
        </w:rPr>
        <w:t>河北</w:t>
      </w:r>
      <w:r>
        <w:rPr>
          <w:spacing w:val="-3"/>
          <w:w w:val="100"/>
        </w:rPr>
        <w:t>省</w:t>
      </w:r>
      <w:r>
        <w:rPr>
          <w:w w:val="100"/>
        </w:rPr>
        <w:t>新</w:t>
      </w:r>
      <w:r>
        <w:rPr>
          <w:spacing w:val="-3"/>
          <w:w w:val="100"/>
        </w:rPr>
        <w:t>河</w:t>
      </w:r>
      <w:r>
        <w:rPr>
          <w:w w:val="100"/>
        </w:rPr>
        <w:t>县</w:t>
      </w:r>
      <w:r>
        <w:rPr>
          <w:spacing w:val="-3"/>
          <w:w w:val="100"/>
        </w:rPr>
        <w:t>捐</w:t>
      </w:r>
      <w:r>
        <w:rPr>
          <w:w w:val="100"/>
        </w:rPr>
        <w:t>赠</w:t>
      </w:r>
      <w:r>
        <w:rPr>
          <w:spacing w:val="-3"/>
          <w:w w:val="100"/>
        </w:rPr>
        <w:t>扶</w:t>
      </w:r>
      <w:r>
        <w:rPr>
          <w:w w:val="100"/>
        </w:rPr>
        <w:t>贫</w:t>
      </w:r>
      <w:r>
        <w:rPr>
          <w:spacing w:val="-3"/>
          <w:w w:val="100"/>
        </w:rPr>
        <w:t>物</w:t>
      </w:r>
      <w:r>
        <w:rPr>
          <w:w w:val="100"/>
        </w:rPr>
        <w:t>资</w:t>
      </w:r>
      <w:r>
        <w:rPr>
          <w:spacing w:val="-106"/>
          <w:w w:val="100"/>
        </w:rPr>
        <w:t>，</w:t>
      </w:r>
      <w:r>
        <w:rPr>
          <w:spacing w:val="-3"/>
          <w:w w:val="100"/>
        </w:rPr>
        <w:t>其</w:t>
      </w:r>
      <w:r>
        <w:rPr>
          <w:w w:val="100"/>
        </w:rPr>
        <w:t>中</w:t>
      </w:r>
      <w:r>
        <w:rPr>
          <w:spacing w:val="-3"/>
          <w:w w:val="100"/>
        </w:rPr>
        <w:t>贵</w:t>
      </w:r>
      <w:r>
        <w:rPr>
          <w:w w:val="100"/>
        </w:rPr>
        <w:t>州</w:t>
      </w:r>
      <w:r>
        <w:rPr>
          <w:spacing w:val="-3"/>
          <w:w w:val="100"/>
        </w:rPr>
        <w:t>省</w:t>
      </w:r>
      <w:r>
        <w:rPr>
          <w:w w:val="100"/>
        </w:rPr>
        <w:t>石阡县</w:t>
      </w:r>
      <w:r>
        <w:rPr>
          <w:spacing w:val="-79"/>
        </w:rPr>
        <w:t> </w:t>
      </w:r>
      <w:r>
        <w:rPr>
          <w:rFonts w:ascii="宋体" w:hAnsi="宋体" w:cs="宋体" w:eastAsia="宋体" w:hint="default"/>
          <w:w w:val="100"/>
        </w:rPr>
        <w:t>800</w:t>
      </w:r>
      <w:r>
        <w:rPr>
          <w:rFonts w:ascii="宋体" w:hAnsi="宋体" w:cs="宋体" w:eastAsia="宋体" w:hint="default"/>
          <w:spacing w:val="-79"/>
        </w:rPr>
        <w:t> </w:t>
      </w:r>
      <w:r>
        <w:rPr>
          <w:w w:val="100"/>
        </w:rPr>
        <w:t>名建</w:t>
      </w:r>
      <w:r>
        <w:rPr>
          <w:spacing w:val="-3"/>
          <w:w w:val="100"/>
        </w:rPr>
        <w:t>档</w:t>
      </w:r>
      <w:r>
        <w:rPr>
          <w:w w:val="100"/>
        </w:rPr>
        <w:t>立</w:t>
      </w:r>
      <w:r>
        <w:rPr>
          <w:spacing w:val="-3"/>
          <w:w w:val="100"/>
        </w:rPr>
        <w:t>卡</w:t>
      </w:r>
      <w:r>
        <w:rPr>
          <w:w w:val="100"/>
        </w:rPr>
        <w:t>困</w:t>
      </w:r>
      <w:r>
        <w:rPr>
          <w:spacing w:val="-3"/>
          <w:w w:val="100"/>
        </w:rPr>
        <w:t>境</w:t>
      </w:r>
      <w:r>
        <w:rPr>
          <w:w w:val="100"/>
        </w:rPr>
        <w:t>少</w:t>
      </w:r>
      <w:r>
        <w:rPr>
          <w:spacing w:val="-3"/>
          <w:w w:val="100"/>
        </w:rPr>
        <w:t>年</w:t>
      </w:r>
      <w:r>
        <w:rPr>
          <w:w w:val="100"/>
        </w:rPr>
        <w:t>儿</w:t>
      </w:r>
      <w:r>
        <w:rPr>
          <w:spacing w:val="-3"/>
          <w:w w:val="100"/>
        </w:rPr>
        <w:t>童</w:t>
      </w:r>
      <w:r>
        <w:rPr>
          <w:w w:val="100"/>
        </w:rPr>
        <w:t>发放</w:t>
      </w:r>
      <w:r>
        <w:rPr>
          <w:spacing w:val="-3"/>
          <w:w w:val="100"/>
        </w:rPr>
        <w:t>助</w:t>
      </w:r>
      <w:r>
        <w:rPr>
          <w:w w:val="100"/>
        </w:rPr>
        <w:t>学金</w:t>
      </w:r>
      <w:r>
        <w:rPr>
          <w:spacing w:val="-77"/>
        </w:rPr>
        <w:t> </w:t>
      </w:r>
      <w:r>
        <w:rPr>
          <w:rFonts w:ascii="宋体" w:hAnsi="宋体" w:cs="宋体" w:eastAsia="宋体" w:hint="default"/>
          <w:w w:val="100"/>
        </w:rPr>
        <w:t>96</w:t>
      </w:r>
      <w:r>
        <w:rPr>
          <w:rFonts w:ascii="宋体" w:hAnsi="宋体" w:cs="宋体" w:eastAsia="宋体" w:hint="default"/>
          <w:spacing w:val="-79"/>
        </w:rPr>
        <w:t> </w:t>
      </w:r>
      <w:r>
        <w:rPr>
          <w:w w:val="100"/>
        </w:rPr>
        <w:t>万</w:t>
      </w:r>
      <w:r>
        <w:rPr>
          <w:spacing w:val="-3"/>
          <w:w w:val="100"/>
        </w:rPr>
        <w:t>元</w:t>
      </w:r>
      <w:r>
        <w:rPr>
          <w:w w:val="100"/>
        </w:rPr>
        <w:t>，</w:t>
      </w:r>
    </w:p>
    <w:p>
      <w:pPr>
        <w:pStyle w:val="BodyText"/>
        <w:spacing w:line="240" w:lineRule="auto" w:before="85"/>
        <w:ind w:right="124"/>
        <w:jc w:val="left"/>
      </w:pPr>
      <w:r>
        <w:rPr/>
        <w:t>河北省新河县援建大棚</w:t>
      </w:r>
      <w:r>
        <w:rPr>
          <w:spacing w:val="-40"/>
        </w:rPr>
        <w:t> </w:t>
      </w:r>
      <w:r>
        <w:rPr>
          <w:rFonts w:ascii="宋体" w:hAnsi="宋体" w:cs="宋体" w:eastAsia="宋体" w:hint="default"/>
        </w:rPr>
        <w:t>10</w:t>
      </w:r>
      <w:r>
        <w:rPr>
          <w:rFonts w:ascii="宋体" w:hAnsi="宋体" w:cs="宋体" w:eastAsia="宋体" w:hint="default"/>
          <w:spacing w:val="-44"/>
        </w:rPr>
        <w:t> </w:t>
      </w:r>
      <w:r>
        <w:rPr>
          <w:spacing w:val="-9"/>
        </w:rPr>
        <w:t>个，投入资金</w:t>
      </w:r>
      <w:r>
        <w:rPr>
          <w:spacing w:val="-41"/>
        </w:rPr>
        <w:t> </w:t>
      </w:r>
      <w:r>
        <w:rPr>
          <w:rFonts w:ascii="宋体" w:hAnsi="宋体" w:cs="宋体" w:eastAsia="宋体" w:hint="default"/>
        </w:rPr>
        <w:t>100</w:t>
      </w:r>
      <w:r>
        <w:rPr>
          <w:rFonts w:ascii="宋体" w:hAnsi="宋体" w:cs="宋体" w:eastAsia="宋体" w:hint="default"/>
          <w:spacing w:val="-44"/>
        </w:rPr>
        <w:t> </w:t>
      </w:r>
      <w:r>
        <w:rPr>
          <w:spacing w:val="-4"/>
        </w:rPr>
        <w:t>万元；四是新华网发起并联合主办“授渔计划”精准</w:t>
      </w:r>
      <w:r>
        <w:rPr/>
      </w:r>
    </w:p>
    <w:p>
      <w:pPr>
        <w:pStyle w:val="BodyText"/>
        <w:spacing w:line="240" w:lineRule="auto" w:before="85"/>
        <w:ind w:right="3319"/>
        <w:jc w:val="left"/>
      </w:pPr>
      <w:r>
        <w:rPr/>
        <w:t>扶贫助学行动，继续资助</w:t>
      </w:r>
      <w:r>
        <w:rPr>
          <w:spacing w:val="-57"/>
        </w:rPr>
        <w:t> </w:t>
      </w:r>
      <w:r>
        <w:rPr>
          <w:rFonts w:ascii="宋体" w:hAnsi="宋体" w:cs="宋体" w:eastAsia="宋体" w:hint="default"/>
        </w:rPr>
        <w:t>67</w:t>
      </w:r>
      <w:r>
        <w:rPr>
          <w:rFonts w:ascii="宋体" w:hAnsi="宋体" w:cs="宋体" w:eastAsia="宋体" w:hint="default"/>
          <w:spacing w:val="-55"/>
        </w:rPr>
        <w:t> </w:t>
      </w:r>
      <w:r>
        <w:rPr/>
        <w:t>名定点扶贫县学子完成学业。</w:t>
      </w:r>
    </w:p>
    <w:p>
      <w:pPr>
        <w:pStyle w:val="Heading2"/>
        <w:tabs>
          <w:tab w:pos="642" w:val="left" w:leader="none"/>
        </w:tabs>
        <w:spacing w:line="240" w:lineRule="auto" w:before="68"/>
        <w:ind w:right="3319"/>
        <w:jc w:val="left"/>
        <w:rPr>
          <w:b w:val="0"/>
          <w:bCs w:val="0"/>
        </w:rPr>
      </w:pPr>
      <w:r>
        <w:rPr>
          <w:rFonts w:ascii="宋体" w:hAnsi="宋体" w:cs="宋体" w:eastAsia="宋体" w:hint="default"/>
          <w:w w:val="95"/>
        </w:rPr>
        <w:t>3.</w:t>
        <w:tab/>
      </w:r>
      <w:r>
        <w:rPr/>
        <w:t>精准扶贫成效</w:t>
      </w:r>
      <w:r>
        <w:rPr>
          <w:b w:val="0"/>
          <w:bCs w:val="0"/>
        </w:rPr>
      </w:r>
    </w:p>
    <w:p>
      <w:pPr>
        <w:pStyle w:val="BodyText"/>
        <w:spacing w:line="240" w:lineRule="auto" w:before="58"/>
        <w:ind w:right="3319"/>
        <w:jc w:val="left"/>
      </w:pPr>
      <w:r>
        <w:rPr/>
        <w:t>√适用</w:t>
      </w:r>
      <w:r>
        <w:rPr>
          <w:spacing w:val="-1"/>
        </w:rPr>
        <w:t> </w:t>
      </w:r>
      <w:r>
        <w:rPr/>
        <w:t>□不适用</w:t>
      </w:r>
    </w:p>
    <w:p>
      <w:pPr>
        <w:pStyle w:val="BodyText"/>
        <w:tabs>
          <w:tab w:pos="1262" w:val="left" w:leader="none"/>
        </w:tabs>
        <w:spacing w:line="271" w:lineRule="exact"/>
        <w:ind w:left="0" w:right="2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tabs>
                <w:tab w:pos="633" w:val="left" w:leader="none"/>
              </w:tabs>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指</w:t>
              <w:tab/>
              <w:t>标</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627.04</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48.65</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200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产业扶贫项目类型</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农林产业扶贫</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 旅游扶贫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电商扶贫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资产收益扶贫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科技扶贫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产业扶贫项目个数（个）</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1</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产业扶贫项目投入金额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10.82</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帮助建档立卡贫困人口脱贫数（人）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200</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2.1</w:t>
            </w:r>
            <w:r>
              <w:rPr>
                <w:rFonts w:ascii="宋体" w:hAnsi="宋体" w:cs="宋体" w:eastAsia="宋体" w:hint="default"/>
                <w:spacing w:val="-53"/>
                <w:sz w:val="21"/>
                <w:szCs w:val="21"/>
              </w:rPr>
              <w:t> </w:t>
            </w:r>
            <w:r>
              <w:rPr>
                <w:rFonts w:ascii="宋体" w:hAnsi="宋体" w:cs="宋体" w:eastAsia="宋体" w:hint="default"/>
                <w:sz w:val="21"/>
                <w:szCs w:val="21"/>
              </w:rPr>
              <w:t>职业技能培训投入金额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8"/>
                <w:sz w:val="21"/>
                <w:szCs w:val="21"/>
              </w:rPr>
              <w:t> </w:t>
            </w:r>
            <w:r>
              <w:rPr>
                <w:rFonts w:ascii="宋体" w:hAnsi="宋体" w:cs="宋体" w:eastAsia="宋体" w:hint="default"/>
                <w:sz w:val="21"/>
                <w:szCs w:val="21"/>
              </w:rPr>
              <w:t>职业技能培训人数（人</w:t>
            </w:r>
            <w:r>
              <w:rPr>
                <w:rFonts w:ascii="宋体" w:hAnsi="宋体" w:cs="宋体" w:eastAsia="宋体" w:hint="default"/>
                <w:sz w:val="21"/>
                <w:szCs w:val="21"/>
              </w:rPr>
              <w:t>/</w:t>
            </w:r>
            <w:r>
              <w:rPr>
                <w:rFonts w:ascii="宋体" w:hAnsi="宋体" w:cs="宋体" w:eastAsia="宋体" w:hint="default"/>
                <w:sz w:val="21"/>
                <w:szCs w:val="21"/>
              </w:rPr>
              <w:t>次）</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100,200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4.1</w:t>
            </w:r>
            <w:r>
              <w:rPr>
                <w:rFonts w:ascii="宋体" w:hAnsi="宋体" w:cs="宋体" w:eastAsia="宋体" w:hint="default"/>
                <w:spacing w:val="-53"/>
                <w:sz w:val="21"/>
                <w:szCs w:val="21"/>
              </w:rPr>
              <w:t> </w:t>
            </w:r>
            <w:r>
              <w:rPr>
                <w:rFonts w:ascii="宋体" w:hAnsi="宋体" w:cs="宋体" w:eastAsia="宋体" w:hint="default"/>
                <w:sz w:val="21"/>
                <w:szCs w:val="21"/>
              </w:rPr>
              <w:t>资助贫困学生投入金额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110.84</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3"/>
                <w:sz w:val="21"/>
                <w:szCs w:val="21"/>
              </w:rPr>
              <w:t> </w:t>
            </w:r>
            <w:r>
              <w:rPr>
                <w:rFonts w:ascii="宋体" w:hAnsi="宋体" w:cs="宋体" w:eastAsia="宋体" w:hint="default"/>
                <w:sz w:val="21"/>
                <w:szCs w:val="21"/>
              </w:rPr>
              <w:t>资助贫困学生人数（人）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1,576</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4.3</w:t>
            </w:r>
            <w:r>
              <w:rPr>
                <w:rFonts w:ascii="宋体" w:hAnsi="宋体" w:cs="宋体" w:eastAsia="宋体" w:hint="default"/>
                <w:spacing w:val="-53"/>
                <w:sz w:val="21"/>
                <w:szCs w:val="21"/>
              </w:rPr>
              <w:t> </w:t>
            </w:r>
            <w:r>
              <w:rPr>
                <w:rFonts w:ascii="宋体" w:hAnsi="宋体" w:cs="宋体" w:eastAsia="宋体" w:hint="default"/>
                <w:sz w:val="21"/>
                <w:szCs w:val="21"/>
              </w:rPr>
              <w:t>改善贫困地区教育资源投入金额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4.54</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5.1</w:t>
            </w:r>
            <w:r>
              <w:rPr>
                <w:rFonts w:ascii="宋体" w:hAnsi="宋体" w:cs="宋体" w:eastAsia="宋体" w:hint="default"/>
                <w:spacing w:val="-54"/>
                <w:sz w:val="21"/>
                <w:szCs w:val="21"/>
              </w:rPr>
              <w:t> </w:t>
            </w:r>
            <w:r>
              <w:rPr>
                <w:rFonts w:ascii="宋体" w:hAnsi="宋体" w:cs="宋体" w:eastAsia="宋体" w:hint="default"/>
                <w:sz w:val="21"/>
                <w:szCs w:val="21"/>
              </w:rPr>
              <w:t>贫困地区医疗卫生资源投入金额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8.39</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6.1</w:t>
            </w:r>
            <w:r>
              <w:rPr>
                <w:rFonts w:ascii="宋体" w:hAnsi="宋体" w:cs="宋体" w:eastAsia="宋体" w:hint="default"/>
                <w:spacing w:val="-51"/>
                <w:sz w:val="21"/>
                <w:szCs w:val="21"/>
              </w:rPr>
              <w:t> </w:t>
            </w:r>
            <w:r>
              <w:rPr>
                <w:rFonts w:ascii="宋体" w:hAnsi="宋体" w:cs="宋体" w:eastAsia="宋体" w:hint="default"/>
                <w:sz w:val="21"/>
                <w:szCs w:val="21"/>
              </w:rPr>
              <w:t>项目名称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 开展生态保护与建设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建立生态保护补偿方式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设立生态公益岗位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pacing w:val="-3"/>
                <w:sz w:val="21"/>
                <w:szCs w:val="21"/>
              </w:rPr>
              <w:t>其他</w:t>
            </w:r>
            <w:r>
              <w:rPr>
                <w:rFonts w:ascii="宋体" w:hAnsi="宋体" w:cs="宋体" w:eastAsia="宋体" w:hint="default"/>
                <w:sz w:val="21"/>
                <w:szCs w:val="21"/>
              </w:rPr>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6.2</w:t>
            </w:r>
            <w:r>
              <w:rPr>
                <w:rFonts w:ascii="宋体" w:hAnsi="宋体" w:cs="宋体" w:eastAsia="宋体" w:hint="default"/>
                <w:spacing w:val="-53"/>
                <w:sz w:val="21"/>
                <w:szCs w:val="21"/>
              </w:rPr>
              <w:t> </w:t>
            </w:r>
            <w:r>
              <w:rPr>
                <w:rFonts w:ascii="宋体" w:hAnsi="宋体" w:cs="宋体" w:eastAsia="宋体" w:hint="default"/>
                <w:sz w:val="21"/>
                <w:szCs w:val="21"/>
              </w:rPr>
              <w:t>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3.12</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7.1</w:t>
            </w:r>
            <w:r>
              <w:rPr>
                <w:rFonts w:ascii="宋体" w:hAnsi="宋体" w:cs="宋体" w:eastAsia="宋体" w:hint="default"/>
                <w:spacing w:val="-52"/>
                <w:sz w:val="21"/>
                <w:szCs w:val="21"/>
              </w:rPr>
              <w:t> </w:t>
            </w:r>
            <w:r>
              <w:rPr>
                <w:rFonts w:ascii="宋体" w:hAnsi="宋体" w:cs="宋体" w:eastAsia="宋体" w:hint="default"/>
                <w:sz w:val="21"/>
                <w:szCs w:val="21"/>
              </w:rPr>
              <w:t>帮助“三留守”人员投入金额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22.41</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7.2</w:t>
            </w:r>
            <w:r>
              <w:rPr>
                <w:rFonts w:ascii="宋体" w:hAnsi="宋体" w:cs="宋体" w:eastAsia="宋体" w:hint="default"/>
                <w:spacing w:val="-54"/>
                <w:sz w:val="21"/>
                <w:szCs w:val="21"/>
              </w:rPr>
              <w:t> </w:t>
            </w:r>
            <w:r>
              <w:rPr>
                <w:rFonts w:ascii="宋体" w:hAnsi="宋体" w:cs="宋体" w:eastAsia="宋体" w:hint="default"/>
                <w:sz w:val="21"/>
                <w:szCs w:val="21"/>
              </w:rPr>
              <w:t>帮助“三留守”人员数（人）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1,320</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7.3</w:t>
            </w:r>
            <w:r>
              <w:rPr>
                <w:rFonts w:ascii="宋体" w:hAnsi="宋体" w:cs="宋体" w:eastAsia="宋体" w:hint="default"/>
                <w:spacing w:val="-53"/>
                <w:sz w:val="21"/>
                <w:szCs w:val="21"/>
              </w:rPr>
              <w:t> </w:t>
            </w:r>
            <w:r>
              <w:rPr>
                <w:rFonts w:ascii="宋体" w:hAnsi="宋体" w:cs="宋体" w:eastAsia="宋体" w:hint="default"/>
                <w:sz w:val="21"/>
                <w:szCs w:val="21"/>
              </w:rPr>
              <w:t>帮助贫困残疾人投入金额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15.95</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7.4</w:t>
            </w:r>
            <w:r>
              <w:rPr>
                <w:rFonts w:ascii="宋体" w:hAnsi="宋体" w:cs="宋体" w:eastAsia="宋体" w:hint="default"/>
                <w:spacing w:val="-53"/>
                <w:sz w:val="21"/>
                <w:szCs w:val="21"/>
              </w:rPr>
              <w:t> </w:t>
            </w:r>
            <w:r>
              <w:rPr>
                <w:rFonts w:ascii="宋体" w:hAnsi="宋体" w:cs="宋体" w:eastAsia="宋体" w:hint="default"/>
                <w:sz w:val="21"/>
                <w:szCs w:val="21"/>
              </w:rPr>
              <w:t>帮助贫困残疾人数（人）</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8.2</w:t>
            </w:r>
            <w:r>
              <w:rPr>
                <w:rFonts w:ascii="宋体" w:hAnsi="宋体" w:cs="宋体" w:eastAsia="宋体" w:hint="default"/>
                <w:spacing w:val="-55"/>
                <w:sz w:val="21"/>
                <w:szCs w:val="21"/>
              </w:rPr>
              <w:t> </w:t>
            </w:r>
            <w:r>
              <w:rPr>
                <w:rFonts w:ascii="宋体" w:hAnsi="宋体" w:cs="宋体" w:eastAsia="宋体" w:hint="default"/>
                <w:sz w:val="21"/>
                <w:szCs w:val="21"/>
              </w:rPr>
              <w:t>定点扶贫工作投入金额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z w:val="21"/>
              </w:rPr>
              <w:t>264.75</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9.1</w:t>
            </w:r>
            <w:r>
              <w:rPr>
                <w:rFonts w:ascii="宋体" w:hAnsi="宋体" w:cs="宋体" w:eastAsia="宋体" w:hint="default"/>
                <w:spacing w:val="-54"/>
                <w:sz w:val="21"/>
                <w:szCs w:val="21"/>
              </w:rPr>
              <w:t> </w:t>
            </w:r>
            <w:r>
              <w:rPr>
                <w:rFonts w:ascii="宋体" w:hAnsi="宋体" w:cs="宋体" w:eastAsia="宋体" w:hint="default"/>
                <w:sz w:val="21"/>
                <w:szCs w:val="21"/>
              </w:rPr>
              <w:t>项目个数（个）</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2</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9.2</w:t>
            </w:r>
            <w:r>
              <w:rPr>
                <w:rFonts w:ascii="宋体" w:hAnsi="宋体" w:cs="宋体" w:eastAsia="宋体" w:hint="default"/>
                <w:spacing w:val="-53"/>
                <w:sz w:val="21"/>
                <w:szCs w:val="21"/>
              </w:rPr>
              <w:t> </w:t>
            </w:r>
            <w:r>
              <w:rPr>
                <w:rFonts w:ascii="宋体" w:hAnsi="宋体" w:cs="宋体" w:eastAsia="宋体" w:hint="default"/>
                <w:sz w:val="21"/>
                <w:szCs w:val="21"/>
              </w:rPr>
              <w:t>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183.87</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9.4</w:t>
            </w:r>
            <w:r>
              <w:rPr>
                <w:rFonts w:ascii="宋体" w:hAnsi="宋体" w:cs="宋体" w:eastAsia="宋体" w:hint="default"/>
                <w:spacing w:val="-53"/>
                <w:sz w:val="21"/>
                <w:szCs w:val="21"/>
              </w:rPr>
              <w:t> </w:t>
            </w:r>
            <w:r>
              <w:rPr>
                <w:rFonts w:ascii="宋体" w:hAnsi="宋体" w:cs="宋体" w:eastAsia="宋体" w:hint="default"/>
                <w:sz w:val="21"/>
                <w:szCs w:val="21"/>
              </w:rPr>
              <w:t>其他项目说明</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募捐平台投入</w:t>
            </w:r>
            <w:r>
              <w:rPr>
                <w:rFonts w:ascii="宋体" w:hAnsi="宋体" w:cs="宋体" w:eastAsia="宋体" w:hint="default"/>
                <w:spacing w:val="-54"/>
                <w:sz w:val="21"/>
                <w:szCs w:val="21"/>
              </w:rPr>
              <w:t> </w:t>
            </w:r>
            <w:r>
              <w:rPr>
                <w:rFonts w:ascii="宋体" w:hAnsi="宋体" w:cs="宋体" w:eastAsia="宋体" w:hint="default"/>
                <w:sz w:val="21"/>
                <w:szCs w:val="21"/>
              </w:rPr>
              <w:t>180</w:t>
            </w:r>
            <w:r>
              <w:rPr>
                <w:rFonts w:ascii="宋体" w:hAnsi="宋体" w:cs="宋体" w:eastAsia="宋体" w:hint="default"/>
                <w:spacing w:val="-54"/>
                <w:sz w:val="21"/>
                <w:szCs w:val="21"/>
              </w:rPr>
              <w:t> </w:t>
            </w:r>
            <w:r>
              <w:rPr>
                <w:rFonts w:ascii="宋体" w:hAnsi="宋体" w:cs="宋体" w:eastAsia="宋体" w:hint="default"/>
                <w:sz w:val="21"/>
                <w:szCs w:val="21"/>
              </w:rPr>
              <w:t>万元、救灾救援投入</w:t>
            </w:r>
            <w:r>
              <w:rPr>
                <w:rFonts w:ascii="宋体" w:hAnsi="宋体" w:cs="宋体" w:eastAsia="宋体" w:hint="default"/>
                <w:spacing w:val="-53"/>
                <w:sz w:val="21"/>
                <w:szCs w:val="21"/>
              </w:rPr>
              <w:t> </w:t>
            </w:r>
            <w:r>
              <w:rPr>
                <w:rFonts w:ascii="宋体" w:hAnsi="宋体" w:cs="宋体" w:eastAsia="宋体" w:hint="default"/>
                <w:sz w:val="21"/>
                <w:szCs w:val="21"/>
              </w:rPr>
              <w:t>3.87</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4263"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、获得上海真爱梦想公益基金会颁发的“真爱特别奖”。</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4"/>
                <w:sz w:val="21"/>
                <w:szCs w:val="21"/>
              </w:rPr>
              <w:t>2</w:t>
            </w:r>
            <w:r>
              <w:rPr>
                <w:rFonts w:ascii="宋体" w:hAnsi="宋体" w:cs="宋体" w:eastAsia="宋体" w:hint="default"/>
                <w:spacing w:val="-4"/>
                <w:sz w:val="21"/>
                <w:szCs w:val="21"/>
              </w:rPr>
              <w:t>、《中国网事感动人物评选暨年度颁奖典礼》在中国电视艺术家协会主办的全国优秀公益电视节</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目推选活动中荣获公益特别节目最佳作品。</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、获得阿拉善</w:t>
            </w:r>
            <w:r>
              <w:rPr>
                <w:rFonts w:ascii="宋体" w:hAnsi="宋体" w:cs="宋体" w:eastAsia="宋体" w:hint="default"/>
                <w:spacing w:val="-55"/>
                <w:sz w:val="21"/>
                <w:szCs w:val="21"/>
              </w:rPr>
              <w:t> </w:t>
            </w:r>
            <w:r>
              <w:rPr>
                <w:rFonts w:ascii="宋体" w:hAnsi="宋体" w:cs="宋体" w:eastAsia="宋体" w:hint="default"/>
                <w:sz w:val="21"/>
                <w:szCs w:val="21"/>
              </w:rPr>
              <w:t>SEE</w:t>
            </w:r>
            <w:r>
              <w:rPr>
                <w:rFonts w:ascii="宋体" w:hAnsi="宋体" w:cs="宋体" w:eastAsia="宋体" w:hint="default"/>
                <w:spacing w:val="-55"/>
                <w:sz w:val="21"/>
                <w:szCs w:val="21"/>
              </w:rPr>
              <w:t> </w:t>
            </w:r>
            <w:r>
              <w:rPr>
                <w:rFonts w:ascii="宋体" w:hAnsi="宋体" w:cs="宋体" w:eastAsia="宋体" w:hint="default"/>
                <w:sz w:val="21"/>
                <w:szCs w:val="21"/>
              </w:rPr>
              <w:t>基金会颁发的“特别贡献奖”。</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、获得中华儿慈会颁发的“慈善推动力奖”。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、获得中国基金会发展论坛颁发的“战略媒体奖”。</w:t>
            </w:r>
          </w:p>
        </w:tc>
      </w:tr>
    </w:tbl>
    <w:p>
      <w:pPr>
        <w:pStyle w:val="Heading2"/>
        <w:tabs>
          <w:tab w:pos="642" w:val="left" w:leader="none"/>
        </w:tabs>
        <w:spacing w:line="240" w:lineRule="auto" w:before="26"/>
        <w:ind w:right="3319"/>
        <w:jc w:val="left"/>
        <w:rPr>
          <w:b w:val="0"/>
          <w:bCs w:val="0"/>
        </w:rPr>
      </w:pPr>
      <w:r>
        <w:rPr>
          <w:rFonts w:ascii="宋体" w:hAnsi="宋体" w:cs="宋体" w:eastAsia="宋体" w:hint="default"/>
          <w:w w:val="95"/>
        </w:rPr>
        <w:t>4.</w:t>
        <w:tab/>
      </w:r>
      <w:r>
        <w:rPr/>
        <w:t>后续精准扶贫计划</w:t>
      </w:r>
      <w:r>
        <w:rPr>
          <w:b w:val="0"/>
          <w:bCs w:val="0"/>
        </w:rPr>
      </w:r>
    </w:p>
    <w:p>
      <w:pPr>
        <w:pStyle w:val="BodyText"/>
        <w:spacing w:line="240" w:lineRule="auto" w:before="56"/>
        <w:ind w:right="3319"/>
        <w:jc w:val="left"/>
      </w:pPr>
      <w:r>
        <w:rPr/>
        <w:t>√适用</w:t>
      </w:r>
      <w:r>
        <w:rPr>
          <w:spacing w:val="-1"/>
        </w:rPr>
        <w:t> </w:t>
      </w:r>
      <w:r>
        <w:rPr/>
        <w:t>□不适用</w:t>
      </w:r>
    </w:p>
    <w:p>
      <w:pPr>
        <w:pStyle w:val="BodyText"/>
        <w:spacing w:line="240" w:lineRule="auto" w:before="75"/>
        <w:ind w:left="638" w:right="227"/>
        <w:jc w:val="left"/>
      </w:pPr>
      <w:r>
        <w:rPr/>
        <w:t>（一）协调社会组织、公益伙伴的项目资源、对定点扶贫地区进行物资援助。</w:t>
      </w:r>
    </w:p>
    <w:p>
      <w:pPr>
        <w:pStyle w:val="BodyText"/>
        <w:spacing w:line="240" w:lineRule="auto" w:before="85"/>
        <w:ind w:left="638" w:right="227"/>
        <w:jc w:val="left"/>
      </w:pPr>
      <w:r>
        <w:rPr/>
        <w:t>（二）向定点扶贫地区儿童捐赠衣物，心暖新衣，呵护童年。</w:t>
      </w:r>
    </w:p>
    <w:p>
      <w:pPr>
        <w:pStyle w:val="BodyText"/>
        <w:spacing w:line="314" w:lineRule="auto" w:before="85"/>
        <w:ind w:right="228" w:firstLine="419"/>
        <w:jc w:val="both"/>
      </w:pPr>
      <w:r>
        <w:rPr>
          <w:spacing w:val="-2"/>
        </w:rPr>
        <w:t>（三）资助已完成九年义务教育的适龄孤儿和特困家庭初中学历有计划地完成职业教育和成</w:t>
      </w:r>
      <w:r>
        <w:rPr>
          <w:w w:val="100"/>
        </w:rPr>
        <w:t> </w:t>
      </w:r>
      <w:r>
        <w:rPr>
          <w:spacing w:val="-1"/>
        </w:rPr>
        <w:t>人高等教育，资助贫困家庭的高中</w:t>
      </w:r>
      <w:r>
        <w:rPr>
          <w:rFonts w:ascii="宋体" w:hAnsi="宋体" w:cs="宋体" w:eastAsia="宋体" w:hint="default"/>
          <w:spacing w:val="-1"/>
        </w:rPr>
        <w:t>(</w:t>
      </w:r>
      <w:r>
        <w:rPr>
          <w:spacing w:val="-1"/>
        </w:rPr>
        <w:t>含职高、中专、技校</w:t>
      </w:r>
      <w:r>
        <w:rPr>
          <w:rFonts w:ascii="宋体" w:hAnsi="宋体" w:cs="宋体" w:eastAsia="宋体" w:hint="default"/>
          <w:spacing w:val="-1"/>
        </w:rPr>
        <w:t>)</w:t>
      </w:r>
      <w:r>
        <w:rPr>
          <w:spacing w:val="-1"/>
        </w:rPr>
        <w:t>毕业学生和具有同等学历的适龄孤儿有</w:t>
      </w:r>
      <w:r>
        <w:rPr>
          <w:spacing w:val="-54"/>
        </w:rPr>
        <w:t> </w:t>
      </w:r>
      <w:r>
        <w:rPr>
          <w:spacing w:val="-54"/>
        </w:rPr>
      </w:r>
      <w:r>
        <w:rPr>
          <w:spacing w:val="-1"/>
        </w:rPr>
        <w:t>计划地完成成人高等教育，为孤儿和贫困家庭学生搭建一个有保障、可持续全面成长成才的公益</w:t>
      </w:r>
      <w:r>
        <w:rPr>
          <w:spacing w:val="-55"/>
        </w:rPr>
        <w:t> </w:t>
      </w:r>
      <w:r>
        <w:rPr>
          <w:spacing w:val="-55"/>
        </w:rPr>
      </w:r>
      <w:r>
        <w:rPr/>
        <w:t>平台。</w:t>
      </w:r>
    </w:p>
    <w:p>
      <w:pPr>
        <w:pStyle w:val="BodyText"/>
        <w:spacing w:line="314" w:lineRule="auto" w:before="20"/>
        <w:ind w:right="227" w:firstLine="419"/>
        <w:jc w:val="left"/>
      </w:pPr>
      <w:r>
        <w:rPr>
          <w:spacing w:val="-2"/>
        </w:rPr>
        <w:t>（四）对定点扶贫地区乡村教师进行培训并发放教育物资，改善他们的物质生活，提升教学</w:t>
      </w:r>
      <w:r>
        <w:rPr>
          <w:w w:val="100"/>
        </w:rPr>
        <w:t> </w:t>
      </w:r>
      <w:r>
        <w:rPr/>
        <w:t>水平。</w:t>
      </w:r>
    </w:p>
    <w:p>
      <w:pPr>
        <w:pStyle w:val="BodyText"/>
        <w:spacing w:line="240" w:lineRule="auto" w:before="20"/>
        <w:ind w:left="638" w:right="124"/>
        <w:jc w:val="left"/>
      </w:pPr>
      <w:r>
        <w:rPr>
          <w:spacing w:val="-6"/>
        </w:rPr>
        <w:t>（五）加大产业扶贫投入，拟投资</w:t>
      </w:r>
      <w:r>
        <w:rPr>
          <w:spacing w:val="-42"/>
        </w:rPr>
        <w:t> </w:t>
      </w:r>
      <w:r>
        <w:rPr>
          <w:rFonts w:ascii="宋体" w:hAnsi="宋体" w:cs="宋体" w:eastAsia="宋体" w:hint="default"/>
        </w:rPr>
        <w:t>100</w:t>
      </w:r>
      <w:r>
        <w:rPr>
          <w:rFonts w:ascii="宋体" w:hAnsi="宋体" w:cs="宋体" w:eastAsia="宋体" w:hint="default"/>
          <w:spacing w:val="-44"/>
        </w:rPr>
        <w:t> </w:t>
      </w:r>
      <w:r>
        <w:rPr/>
        <w:t>万元为定点扶贫县建设</w:t>
      </w:r>
      <w:r>
        <w:rPr>
          <w:spacing w:val="-44"/>
        </w:rPr>
        <w:t> </w:t>
      </w:r>
      <w:r>
        <w:rPr>
          <w:rFonts w:ascii="宋体" w:hAnsi="宋体" w:cs="宋体" w:eastAsia="宋体" w:hint="default"/>
        </w:rPr>
        <w:t>10</w:t>
      </w:r>
      <w:r>
        <w:rPr>
          <w:rFonts w:ascii="宋体" w:hAnsi="宋体" w:cs="宋体" w:eastAsia="宋体" w:hint="default"/>
          <w:spacing w:val="-46"/>
        </w:rPr>
        <w:t> </w:t>
      </w:r>
      <w:r>
        <w:rPr>
          <w:spacing w:val="-4"/>
        </w:rPr>
        <w:t>个大棚，助力当地种植业发</w:t>
      </w:r>
    </w:p>
    <w:p>
      <w:pPr>
        <w:pStyle w:val="BodyText"/>
        <w:spacing w:line="240" w:lineRule="auto" w:before="85"/>
        <w:ind w:right="227"/>
        <w:jc w:val="left"/>
      </w:pPr>
      <w:r>
        <w:rPr/>
        <w:t>展，并根据当地需求发放牛，并由爱心企业高于市价</w:t>
      </w:r>
      <w:r>
        <w:rPr>
          <w:spacing w:val="-54"/>
        </w:rPr>
        <w:t> </w:t>
      </w:r>
      <w:r>
        <w:rPr>
          <w:rFonts w:ascii="宋体" w:hAnsi="宋体" w:cs="宋体" w:eastAsia="宋体" w:hint="default"/>
        </w:rPr>
        <w:t>3</w:t>
      </w:r>
      <w:r>
        <w:rPr>
          <w:rFonts w:ascii="宋体" w:hAnsi="宋体" w:cs="宋体" w:eastAsia="宋体" w:hint="default"/>
          <w:spacing w:val="-54"/>
        </w:rPr>
        <w:t> </w:t>
      </w:r>
      <w:r>
        <w:rPr/>
        <w:t>年内回收。</w:t>
      </w:r>
    </w:p>
    <w:p>
      <w:pPr>
        <w:tabs>
          <w:tab w:pos="861" w:val="left" w:leader="none"/>
        </w:tabs>
        <w:spacing w:line="300" w:lineRule="auto" w:before="85"/>
        <w:ind w:left="218" w:right="453" w:firstLine="419"/>
        <w:jc w:val="left"/>
        <w:rPr>
          <w:rFonts w:ascii="宋体" w:hAnsi="宋体" w:cs="宋体" w:eastAsia="宋体" w:hint="default"/>
          <w:sz w:val="21"/>
          <w:szCs w:val="21"/>
        </w:rPr>
      </w:pPr>
      <w:r>
        <w:rPr>
          <w:rFonts w:ascii="宋体" w:hAnsi="宋体" w:cs="宋体" w:eastAsia="宋体" w:hint="default"/>
          <w:sz w:val="21"/>
          <w:szCs w:val="21"/>
        </w:rPr>
        <w:t>（六）加大定点扶贫县医疗资源投入，拟发放乡村医生医疗助力车</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辆及医疗箱</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pacing w:val="-3"/>
          <w:sz w:val="21"/>
          <w:szCs w:val="21"/>
        </w:rPr>
        <w:t>个。</w:t>
      </w:r>
      <w:r>
        <w:rPr>
          <w:rFonts w:ascii="宋体" w:hAnsi="宋体" w:cs="宋体" w:eastAsia="宋体" w:hint="default"/>
          <w:spacing w:val="-3"/>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社会责任工作情况</w:t>
      </w:r>
      <w:r>
        <w:rPr>
          <w:rFonts w:ascii="宋体" w:hAnsi="宋体" w:cs="宋体" w:eastAsia="宋体" w:hint="default"/>
          <w:sz w:val="21"/>
          <w:szCs w:val="21"/>
        </w:rPr>
      </w:r>
    </w:p>
    <w:p>
      <w:pPr>
        <w:pStyle w:val="BodyText"/>
        <w:tabs>
          <w:tab w:pos="1060" w:val="left" w:leader="none"/>
        </w:tabs>
        <w:spacing w:line="240" w:lineRule="auto" w:before="4"/>
        <w:ind w:right="3319"/>
        <w:jc w:val="left"/>
      </w:pPr>
      <w:r>
        <w:rPr>
          <w:spacing w:val="-1"/>
        </w:rPr>
        <w:t>√适用</w:t>
        <w:tab/>
      </w:r>
      <w:r>
        <w:rPr>
          <w:spacing w:val="-2"/>
        </w:rPr>
        <w:t>□不适用</w:t>
      </w:r>
    </w:p>
    <w:p>
      <w:pPr>
        <w:pStyle w:val="BodyText"/>
        <w:spacing w:line="240" w:lineRule="auto" w:before="75"/>
        <w:ind w:left="638" w:right="227"/>
        <w:jc w:val="left"/>
      </w:pPr>
      <w:r>
        <w:rPr>
          <w:spacing w:val="14"/>
        </w:rPr>
        <w:t>公司报告期内履行社会责任的工作情况，请详见与本报告同时在上海证券交易所网站</w:t>
      </w:r>
      <w:r>
        <w:rPr/>
      </w:r>
    </w:p>
    <w:p>
      <w:pPr>
        <w:pStyle w:val="BodyText"/>
        <w:tabs>
          <w:tab w:pos="861" w:val="left" w:leader="none"/>
        </w:tabs>
        <w:spacing w:line="300" w:lineRule="auto" w:before="85"/>
        <w:ind w:right="1605"/>
        <w:jc w:val="left"/>
        <w:rPr>
          <w:rFonts w:ascii="宋体" w:hAnsi="宋体" w:cs="宋体" w:eastAsia="宋体" w:hint="default"/>
        </w:rPr>
      </w:pPr>
      <w:r>
        <w:rPr/>
        <w:t>（</w:t>
      </w:r>
      <w:hyperlink r:id="rId10">
        <w:r>
          <w:rPr>
            <w:rFonts w:ascii="宋体" w:hAnsi="宋体" w:cs="宋体" w:eastAsia="宋体" w:hint="default"/>
          </w:rPr>
          <w:t>www.sse.com.cn</w:t>
        </w:r>
      </w:hyperlink>
      <w:r>
        <w:rPr/>
        <w:t>）上披露的《新华网股份有限公司</w:t>
      </w:r>
      <w:r>
        <w:rPr>
          <w:spacing w:val="-56"/>
        </w:rPr>
        <w:t> </w:t>
      </w:r>
      <w:r>
        <w:rPr>
          <w:rFonts w:ascii="宋体" w:hAnsi="宋体" w:cs="宋体" w:eastAsia="宋体" w:hint="default"/>
        </w:rPr>
        <w:t>2018</w:t>
      </w:r>
      <w:r>
        <w:rPr>
          <w:rFonts w:ascii="宋体" w:hAnsi="宋体" w:cs="宋体" w:eastAsia="宋体" w:hint="default"/>
          <w:spacing w:val="-57"/>
        </w:rPr>
        <w:t> </w:t>
      </w:r>
      <w:r>
        <w:rPr/>
        <w:t>年度社会责任报告》。</w:t>
      </w:r>
      <w:r>
        <w:rPr>
          <w:w w:val="100"/>
        </w:rPr>
        <w:t> </w:t>
      </w:r>
      <w:r>
        <w:rPr>
          <w:rFonts w:ascii="宋体" w:hAnsi="宋体" w:cs="宋体" w:eastAsia="宋体" w:hint="default"/>
          <w:b/>
          <w:bCs/>
          <w:spacing w:val="-1"/>
        </w:rPr>
        <w:t>(</w:t>
      </w:r>
      <w:r>
        <w:rPr>
          <w:rFonts w:ascii="宋体" w:hAnsi="宋体" w:cs="宋体" w:eastAsia="宋体" w:hint="default"/>
          <w:b/>
          <w:bCs/>
          <w:spacing w:val="-1"/>
        </w:rPr>
        <w:t>三</w:t>
      </w:r>
      <w:r>
        <w:rPr>
          <w:rFonts w:ascii="宋体" w:hAnsi="宋体" w:cs="宋体" w:eastAsia="宋体" w:hint="default"/>
          <w:b/>
          <w:bCs/>
          <w:spacing w:val="-1"/>
        </w:rPr>
        <w:t>)</w:t>
        <w:tab/>
      </w:r>
      <w:r>
        <w:rPr>
          <w:rFonts w:ascii="宋体" w:hAnsi="宋体" w:cs="宋体" w:eastAsia="宋体" w:hint="default"/>
          <w:b/>
          <w:bCs/>
        </w:rPr>
        <w:t>环境信息情况</w:t>
      </w:r>
      <w:r>
        <w:rPr>
          <w:rFonts w:ascii="宋体" w:hAnsi="宋体" w:cs="宋体" w:eastAsia="宋体" w:hint="default"/>
        </w:rPr>
      </w:r>
    </w:p>
    <w:p>
      <w:pPr>
        <w:pStyle w:val="Heading2"/>
        <w:tabs>
          <w:tab w:pos="642" w:val="left" w:leader="none"/>
        </w:tabs>
        <w:spacing w:line="240" w:lineRule="auto" w:before="4"/>
        <w:ind w:right="227"/>
        <w:jc w:val="left"/>
        <w:rPr>
          <w:b w:val="0"/>
          <w:bCs w:val="0"/>
        </w:rPr>
      </w:pPr>
      <w:r>
        <w:rPr>
          <w:rFonts w:ascii="宋体" w:hAnsi="宋体" w:cs="宋体" w:eastAsia="宋体" w:hint="default"/>
          <w:w w:val="95"/>
        </w:rPr>
        <w:t>1.</w:t>
        <w:tab/>
      </w:r>
      <w:r>
        <w:rPr/>
        <w:t>属于环境保护部门公布的重点排污单位的公司及其重要子公司的环保情况说明</w:t>
      </w:r>
      <w:r>
        <w:rPr>
          <w:b w:val="0"/>
          <w:bCs w:val="0"/>
        </w:rPr>
      </w:r>
    </w:p>
    <w:p>
      <w:pPr>
        <w:pStyle w:val="BodyText"/>
        <w:spacing w:line="240" w:lineRule="auto" w:before="58"/>
        <w:ind w:right="3319"/>
        <w:jc w:val="left"/>
      </w:pPr>
      <w:r>
        <w:rPr/>
        <w:t>□适用</w:t>
      </w:r>
      <w:r>
        <w:rPr>
          <w:spacing w:val="-1"/>
        </w:rPr>
        <w:t> </w:t>
      </w:r>
      <w:r>
        <w:rPr/>
        <w:t>√不适用</w:t>
      </w:r>
    </w:p>
    <w:p>
      <w:pPr>
        <w:pStyle w:val="Heading2"/>
        <w:tabs>
          <w:tab w:pos="642" w:val="left" w:leader="none"/>
        </w:tabs>
        <w:spacing w:line="240" w:lineRule="auto" w:before="56"/>
        <w:ind w:right="3319"/>
        <w:jc w:val="left"/>
        <w:rPr>
          <w:b w:val="0"/>
          <w:bCs w:val="0"/>
        </w:rPr>
      </w:pPr>
      <w:r>
        <w:rPr>
          <w:rFonts w:ascii="宋体" w:hAnsi="宋体" w:cs="宋体" w:eastAsia="宋体" w:hint="default"/>
          <w:w w:val="95"/>
        </w:rPr>
        <w:t>2.</w:t>
        <w:tab/>
      </w:r>
      <w:r>
        <w:rPr/>
        <w:t>重点排污单位之外的公司的环保情况说明</w:t>
      </w:r>
      <w:r>
        <w:rPr>
          <w:b w:val="0"/>
          <w:bCs w:val="0"/>
        </w:rPr>
      </w:r>
    </w:p>
    <w:p>
      <w:pPr>
        <w:pStyle w:val="BodyText"/>
        <w:spacing w:line="240" w:lineRule="auto" w:before="58"/>
        <w:ind w:right="3319"/>
        <w:jc w:val="left"/>
      </w:pPr>
      <w:r>
        <w:rPr/>
        <w:t>□适用</w:t>
      </w:r>
      <w:r>
        <w:rPr>
          <w:spacing w:val="-1"/>
        </w:rPr>
        <w:t> </w:t>
      </w:r>
      <w:r>
        <w:rPr/>
        <w:t>√不适用</w:t>
      </w:r>
    </w:p>
    <w:p>
      <w:pPr>
        <w:pStyle w:val="Heading2"/>
        <w:tabs>
          <w:tab w:pos="642" w:val="left" w:leader="none"/>
        </w:tabs>
        <w:spacing w:line="240" w:lineRule="auto" w:before="57"/>
        <w:ind w:right="3319"/>
        <w:jc w:val="left"/>
        <w:rPr>
          <w:b w:val="0"/>
          <w:bCs w:val="0"/>
        </w:rPr>
      </w:pPr>
      <w:r>
        <w:rPr>
          <w:rFonts w:ascii="宋体" w:hAnsi="宋体" w:cs="宋体" w:eastAsia="宋体" w:hint="default"/>
          <w:w w:val="95"/>
        </w:rPr>
        <w:t>3.</w:t>
        <w:tab/>
      </w:r>
      <w:r>
        <w:rPr/>
        <w:t>重点排污单位之外的公司未披露环境信息的原因说明</w:t>
      </w:r>
      <w:r>
        <w:rPr>
          <w:b w:val="0"/>
          <w:bCs w:val="0"/>
        </w:rPr>
      </w:r>
    </w:p>
    <w:p>
      <w:pPr>
        <w:pStyle w:val="BodyText"/>
        <w:spacing w:line="240" w:lineRule="auto" w:before="58"/>
        <w:ind w:right="3319"/>
        <w:jc w:val="left"/>
      </w:pPr>
      <w:r>
        <w:rPr/>
        <w:t>□适用</w:t>
      </w:r>
      <w:r>
        <w:rPr>
          <w:spacing w:val="-1"/>
        </w:rPr>
        <w:t> </w:t>
      </w:r>
      <w:r>
        <w:rPr/>
        <w:t>√不适用</w:t>
      </w:r>
    </w:p>
    <w:p>
      <w:pPr>
        <w:pStyle w:val="Heading2"/>
        <w:tabs>
          <w:tab w:pos="642" w:val="left" w:leader="none"/>
        </w:tabs>
        <w:spacing w:line="240" w:lineRule="auto" w:before="56"/>
        <w:ind w:right="3319"/>
        <w:jc w:val="left"/>
        <w:rPr>
          <w:b w:val="0"/>
          <w:bCs w:val="0"/>
        </w:rPr>
      </w:pPr>
      <w:r>
        <w:rPr>
          <w:rFonts w:ascii="宋体" w:hAnsi="宋体" w:cs="宋体" w:eastAsia="宋体" w:hint="default"/>
          <w:w w:val="95"/>
        </w:rPr>
        <w:t>4.</w:t>
        <w:tab/>
      </w:r>
      <w:r>
        <w:rPr/>
        <w:t>报告期内披露环境信息内容的后续进展或变化情况的说明</w:t>
      </w:r>
      <w:r>
        <w:rPr>
          <w:b w:val="0"/>
          <w:bCs w:val="0"/>
        </w:rPr>
      </w:r>
    </w:p>
    <w:p>
      <w:pPr>
        <w:tabs>
          <w:tab w:pos="861" w:val="left" w:leader="none"/>
        </w:tabs>
        <w:spacing w:line="290" w:lineRule="auto" w:before="58"/>
        <w:ind w:left="218" w:right="748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四</w:t>
      </w:r>
      <w:r>
        <w:rPr>
          <w:rFonts w:ascii="宋体" w:hAnsi="宋体" w:cs="宋体" w:eastAsia="宋体" w:hint="default"/>
          <w:b/>
          <w:bCs/>
          <w:spacing w:val="-1"/>
          <w:sz w:val="21"/>
          <w:szCs w:val="21"/>
        </w:rPr>
        <w:t>)</w:t>
        <w:tab/>
      </w:r>
      <w:r>
        <w:rPr>
          <w:rFonts w:ascii="宋体" w:hAnsi="宋体" w:cs="宋体" w:eastAsia="宋体" w:hint="default"/>
          <w:b/>
          <w:bCs/>
          <w:sz w:val="21"/>
          <w:szCs w:val="21"/>
        </w:rPr>
        <w:t>其他说明</w:t>
      </w:r>
      <w:r>
        <w:rPr>
          <w:rFonts w:ascii="宋体" w:hAnsi="宋体" w:cs="宋体" w:eastAsia="宋体" w:hint="default"/>
          <w:sz w:val="21"/>
          <w:szCs w:val="21"/>
        </w:rPr>
      </w:r>
    </w:p>
    <w:p>
      <w:pPr>
        <w:tabs>
          <w:tab w:pos="1060" w:val="left" w:leader="none"/>
        </w:tabs>
        <w:spacing w:line="290" w:lineRule="auto" w:before="14"/>
        <w:ind w:left="218" w:right="653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十八、可转换公司债券情况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转债发行情况</w:t>
      </w:r>
      <w:r>
        <w:rPr>
          <w:rFonts w:ascii="宋体" w:hAnsi="宋体" w:cs="宋体" w:eastAsia="宋体" w:hint="default"/>
          <w:sz w:val="21"/>
          <w:szCs w:val="21"/>
        </w:rPr>
      </w:r>
    </w:p>
    <w:p>
      <w:pPr>
        <w:pStyle w:val="BodyText"/>
        <w:tabs>
          <w:tab w:pos="1060" w:val="left" w:leader="none"/>
        </w:tabs>
        <w:spacing w:line="251" w:lineRule="exact"/>
        <w:ind w:right="3319"/>
        <w:jc w:val="left"/>
      </w:pPr>
      <w:r>
        <w:rPr>
          <w:spacing w:val="-1"/>
        </w:rPr>
        <w:t>□适用</w:t>
        <w:tab/>
      </w:r>
      <w:r>
        <w:rPr>
          <w:spacing w:val="-2"/>
        </w:rPr>
        <w:t>√不适用</w:t>
      </w:r>
    </w:p>
    <w:p>
      <w:pPr>
        <w:pStyle w:val="Heading2"/>
        <w:spacing w:line="240" w:lineRule="auto" w:before="56"/>
        <w:ind w:right="331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right="3319"/>
        <w:jc w:val="left"/>
      </w:pPr>
      <w:r>
        <w:rPr/>
        <w:t>□适用</w:t>
      </w:r>
      <w:r>
        <w:rPr>
          <w:spacing w:val="-1"/>
        </w:rPr>
        <w:t> </w:t>
      </w:r>
      <w:r>
        <w:rPr/>
        <w:t>√不适用</w:t>
      </w:r>
    </w:p>
    <w:p>
      <w:pPr>
        <w:spacing w:after="0" w:line="240" w:lineRule="auto"/>
        <w:jc w:val="left"/>
        <w:sectPr>
          <w:footerReference w:type="default" r:id="rId36"/>
          <w:pgSz w:w="11910" w:h="16840"/>
          <w:pgMar w:footer="1195" w:header="880" w:top="1120" w:bottom="1380" w:left="1580" w:right="1040"/>
          <w:pgNumType w:start="51"/>
        </w:sectPr>
      </w:pPr>
    </w:p>
    <w:p>
      <w:pPr>
        <w:spacing w:line="240" w:lineRule="auto" w:before="4"/>
        <w:rPr>
          <w:rFonts w:ascii="宋体" w:hAnsi="宋体" w:cs="宋体" w:eastAsia="宋体" w:hint="default"/>
          <w:sz w:val="25"/>
          <w:szCs w:val="25"/>
        </w:rPr>
      </w:pPr>
    </w:p>
    <w:p>
      <w:pPr>
        <w:pStyle w:val="Heading2"/>
        <w:spacing w:line="240" w:lineRule="auto"/>
        <w:ind w:left="958" w:right="63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72" w:lineRule="exact" w:before="59"/>
        <w:ind w:left="958" w:right="6790"/>
        <w:jc w:val="left"/>
      </w:pPr>
      <w:r>
        <w:rPr/>
        <w:t>□适用</w:t>
      </w:r>
      <w:r>
        <w:rPr>
          <w:spacing w:val="-2"/>
        </w:rPr>
        <w:t> </w:t>
      </w:r>
      <w:r>
        <w:rPr/>
        <w:t>√不适用</w:t>
      </w:r>
      <w:r>
        <w:rPr>
          <w:w w:val="100"/>
        </w:rPr>
        <w:t> </w:t>
      </w:r>
      <w:r>
        <w:rPr>
          <w:spacing w:val="-2"/>
        </w:rPr>
        <w:t>报告期转债累计转股情况</w:t>
      </w:r>
    </w:p>
    <w:p>
      <w:pPr>
        <w:pStyle w:val="BodyText"/>
        <w:spacing w:line="249" w:lineRule="exact"/>
        <w:ind w:left="958" w:right="635"/>
        <w:jc w:val="left"/>
      </w:pPr>
      <w:r>
        <w:rPr/>
        <w:t>□适用</w:t>
      </w:r>
      <w:r>
        <w:rPr>
          <w:spacing w:val="-1"/>
        </w:rPr>
        <w:t> </w:t>
      </w:r>
      <w:r>
        <w:rPr/>
        <w:t>√不适用</w:t>
      </w:r>
    </w:p>
    <w:p>
      <w:pPr>
        <w:pStyle w:val="Heading2"/>
        <w:spacing w:line="240" w:lineRule="auto" w:before="56"/>
        <w:ind w:left="958" w:right="63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left="958" w:right="635"/>
        <w:jc w:val="left"/>
      </w:pPr>
      <w:r>
        <w:rPr/>
        <w:t>□适用</w:t>
      </w:r>
      <w:r>
        <w:rPr>
          <w:spacing w:val="-1"/>
        </w:rPr>
        <w:t> </w:t>
      </w:r>
      <w:r>
        <w:rPr/>
        <w:t>√不适用</w:t>
      </w:r>
    </w:p>
    <w:p>
      <w:pPr>
        <w:pStyle w:val="Heading2"/>
        <w:spacing w:line="240" w:lineRule="auto" w:before="56"/>
        <w:ind w:left="958" w:right="63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tabs>
          <w:tab w:pos="1800" w:val="left" w:leader="none"/>
        </w:tabs>
        <w:spacing w:line="240" w:lineRule="auto" w:before="32"/>
        <w:ind w:left="958" w:right="635"/>
        <w:jc w:val="left"/>
      </w:pPr>
      <w:r>
        <w:rPr>
          <w:spacing w:val="-1"/>
        </w:rPr>
        <w:t>□适用</w:t>
        <w:tab/>
      </w:r>
      <w:r>
        <w:rPr>
          <w:spacing w:val="-2"/>
        </w:rPr>
        <w:t>√不适用</w:t>
      </w:r>
    </w:p>
    <w:p>
      <w:pPr>
        <w:pStyle w:val="Heading2"/>
        <w:spacing w:line="240" w:lineRule="auto" w:before="56"/>
        <w:ind w:left="958" w:right="635"/>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tabs>
          <w:tab w:pos="1800" w:val="left" w:leader="none"/>
        </w:tabs>
        <w:spacing w:line="240" w:lineRule="auto" w:before="32"/>
        <w:ind w:left="958" w:right="635"/>
        <w:jc w:val="left"/>
      </w:pPr>
      <w:r>
        <w:rPr>
          <w:spacing w:val="-1"/>
        </w:rPr>
        <w:t>□适用</w:t>
        <w:tab/>
      </w:r>
      <w:r>
        <w:rPr>
          <w:spacing w:val="-2"/>
        </w:rPr>
        <w:t>√不适用</w:t>
      </w:r>
    </w:p>
    <w:p>
      <w:pPr>
        <w:pStyle w:val="Heading1"/>
        <w:tabs>
          <w:tab w:pos="1580" w:val="left" w:leader="none"/>
        </w:tabs>
        <w:spacing w:line="240" w:lineRule="auto" w:before="42"/>
        <w:ind w:left="320" w:right="0"/>
        <w:jc w:val="center"/>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2"/>
        <w:tabs>
          <w:tab w:pos="1524" w:val="left" w:leader="none"/>
        </w:tabs>
        <w:spacing w:line="278" w:lineRule="auto" w:before="0"/>
        <w:ind w:left="958" w:right="67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3"/>
        </w:rPr>
        <w:t> </w:t>
      </w:r>
      <w:r>
        <w:rPr/>
        <w:t>普通股股份变动情况表</w:t>
      </w:r>
      <w:r>
        <w:rPr>
          <w:b w:val="0"/>
          <w:bCs w:val="0"/>
        </w:rPr>
      </w:r>
    </w:p>
    <w:p>
      <w:pPr>
        <w:spacing w:line="290" w:lineRule="auto" w:before="25"/>
        <w:ind w:left="958" w:right="3971"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报告期内，公司普通股股份总数及股本结构未发生变化。</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普通股股份变动情况说明</w:t>
      </w:r>
      <w:r>
        <w:rPr>
          <w:rFonts w:ascii="宋体" w:hAnsi="宋体" w:cs="宋体" w:eastAsia="宋体" w:hint="default"/>
          <w:sz w:val="21"/>
          <w:szCs w:val="21"/>
        </w:rPr>
      </w:r>
    </w:p>
    <w:p>
      <w:pPr>
        <w:pStyle w:val="BodyText"/>
        <w:tabs>
          <w:tab w:pos="1800" w:val="left" w:leader="none"/>
        </w:tabs>
        <w:spacing w:line="240" w:lineRule="auto" w:before="14"/>
        <w:ind w:left="958" w:right="635"/>
        <w:jc w:val="left"/>
      </w:pPr>
      <w:r>
        <w:rPr>
          <w:spacing w:val="-1"/>
        </w:rPr>
        <w:t>□适用</w:t>
        <w:tab/>
      </w:r>
      <w:r>
        <w:rPr>
          <w:spacing w:val="-2"/>
        </w:rPr>
        <w:t>√不适用</w:t>
      </w:r>
    </w:p>
    <w:p>
      <w:pPr>
        <w:pStyle w:val="Heading2"/>
        <w:spacing w:line="240" w:lineRule="auto" w:before="56"/>
        <w:ind w:left="958" w:right="635"/>
        <w:jc w:val="left"/>
        <w:rPr>
          <w:b w:val="0"/>
          <w:bCs w:val="0"/>
        </w:rPr>
      </w:pPr>
      <w:r>
        <w:rPr>
          <w:rFonts w:ascii="宋体" w:hAnsi="宋体" w:cs="宋体" w:eastAsia="宋体" w:hint="default"/>
        </w:rPr>
        <w:t>3</w:t>
      </w:r>
      <w:r>
        <w:rPr/>
        <w:t>、</w:t>
      </w:r>
      <w:r>
        <w:rPr>
          <w:spacing w:val="-6"/>
        </w:rPr>
        <w:t> </w:t>
      </w:r>
      <w:r>
        <w:rPr/>
        <w:t>普通股股份变动对最近一年和最近一期每股收益、每股净资产等财务指标的影响（如有）</w:t>
      </w:r>
      <w:r>
        <w:rPr>
          <w:b w:val="0"/>
          <w:bCs w:val="0"/>
        </w:rPr>
      </w:r>
    </w:p>
    <w:p>
      <w:pPr>
        <w:pStyle w:val="BodyText"/>
        <w:tabs>
          <w:tab w:pos="1800" w:val="left" w:leader="none"/>
        </w:tabs>
        <w:spacing w:line="240" w:lineRule="auto" w:before="56"/>
        <w:ind w:left="958" w:right="635"/>
        <w:jc w:val="left"/>
      </w:pPr>
      <w:r>
        <w:rPr>
          <w:spacing w:val="-1"/>
        </w:rPr>
        <w:t>□适用</w:t>
        <w:tab/>
      </w:r>
      <w:r>
        <w:rPr>
          <w:spacing w:val="-2"/>
        </w:rPr>
        <w:t>√不适用</w:t>
      </w:r>
    </w:p>
    <w:p>
      <w:pPr>
        <w:pStyle w:val="Heading2"/>
        <w:spacing w:line="240" w:lineRule="auto" w:before="59"/>
        <w:ind w:left="958" w:right="635"/>
        <w:jc w:val="left"/>
        <w:rPr>
          <w:b w:val="0"/>
          <w:bCs w:val="0"/>
        </w:rPr>
      </w:pPr>
      <w:r>
        <w:rPr>
          <w:rFonts w:ascii="宋体" w:hAnsi="宋体" w:cs="宋体" w:eastAsia="宋体" w:hint="default"/>
        </w:rPr>
        <w:t>4</w:t>
      </w:r>
      <w:r>
        <w:rPr/>
        <w:t>、</w:t>
      </w:r>
      <w:r>
        <w:rPr>
          <w:spacing w:val="-4"/>
        </w:rPr>
        <w:t> </w:t>
      </w:r>
      <w:r>
        <w:rPr/>
        <w:t>公司认为必要或证券监管机构要求披露的其他内容</w:t>
      </w:r>
      <w:r>
        <w:rPr>
          <w:b w:val="0"/>
          <w:bCs w:val="0"/>
        </w:rPr>
      </w:r>
    </w:p>
    <w:p>
      <w:pPr>
        <w:pStyle w:val="BodyText"/>
        <w:tabs>
          <w:tab w:pos="1800" w:val="left" w:leader="none"/>
        </w:tabs>
        <w:spacing w:line="240" w:lineRule="auto" w:before="56"/>
        <w:ind w:left="958" w:right="635"/>
        <w:jc w:val="left"/>
      </w:pPr>
      <w:r>
        <w:rPr>
          <w:spacing w:val="-1"/>
        </w:rPr>
        <w:t>□适用</w:t>
        <w:tab/>
      </w:r>
      <w:r>
        <w:rPr>
          <w:spacing w:val="-2"/>
        </w:rPr>
        <w:t>√不适用</w:t>
      </w:r>
    </w:p>
    <w:p>
      <w:pPr>
        <w:pStyle w:val="Heading2"/>
        <w:tabs>
          <w:tab w:pos="1524" w:val="left" w:leader="none"/>
        </w:tabs>
        <w:spacing w:line="240" w:lineRule="auto" w:before="58"/>
        <w:ind w:left="958" w:right="635"/>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958" w:right="635"/>
        <w:jc w:val="left"/>
      </w:pPr>
      <w:r>
        <w:rPr/>
        <w:t>□适用</w:t>
      </w:r>
      <w:r>
        <w:rPr>
          <w:spacing w:val="-1"/>
        </w:rPr>
        <w:t> </w:t>
      </w:r>
      <w:r>
        <w:rPr/>
        <w:t>√不适用</w:t>
      </w:r>
    </w:p>
    <w:p>
      <w:pPr>
        <w:pStyle w:val="Heading2"/>
        <w:spacing w:line="290" w:lineRule="auto" w:before="58"/>
        <w:ind w:left="958" w:right="6496"/>
        <w:jc w:val="left"/>
        <w:rPr>
          <w:b w:val="0"/>
          <w:bCs w:val="0"/>
        </w:rPr>
      </w:pPr>
      <w:r>
        <w:rPr/>
        <w:t>二、</w:t>
      </w:r>
      <w:r>
        <w:rPr>
          <w:spacing w:val="-78"/>
        </w:rPr>
        <w:t> </w:t>
      </w:r>
      <w:r>
        <w:rPr/>
        <w:t>证券发行与上市情况</w:t>
      </w:r>
      <w:r>
        <w:rPr>
          <w:spacing w:val="-102"/>
        </w:rPr>
        <w:t> </w:t>
      </w:r>
      <w:r>
        <w:rPr>
          <w:spacing w:val="-102"/>
        </w:rPr>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left="958" w:right="635"/>
        <w:jc w:val="left"/>
      </w:pPr>
      <w:r>
        <w:rPr/>
        <w:t>□适用</w:t>
      </w:r>
      <w:r>
        <w:rPr>
          <w:spacing w:val="-2"/>
        </w:rPr>
        <w:t> </w:t>
      </w:r>
      <w:r>
        <w:rPr/>
        <w:t>√不适用</w:t>
      </w:r>
      <w:r>
        <w:rPr>
          <w:w w:val="100"/>
        </w:rPr>
        <w:t> </w:t>
      </w:r>
      <w:r>
        <w:rPr>
          <w:spacing w:val="-2"/>
        </w:rPr>
        <w:t>截至报告期内证券发行情况的说明（存续期内利率不同的债券，请分别说明）：</w:t>
      </w:r>
    </w:p>
    <w:p>
      <w:pPr>
        <w:pStyle w:val="BodyText"/>
        <w:tabs>
          <w:tab w:pos="1800" w:val="left" w:leader="none"/>
        </w:tabs>
        <w:spacing w:line="249" w:lineRule="exact"/>
        <w:ind w:left="958" w:right="635"/>
        <w:jc w:val="left"/>
      </w:pPr>
      <w:r>
        <w:rPr>
          <w:spacing w:val="-1"/>
        </w:rPr>
        <w:t>□适用</w:t>
        <w:tab/>
      </w:r>
      <w:r>
        <w:rPr>
          <w:spacing w:val="-2"/>
        </w:rPr>
        <w:t>√不适用</w:t>
      </w:r>
    </w:p>
    <w:p>
      <w:pPr>
        <w:pStyle w:val="Heading2"/>
        <w:spacing w:line="240" w:lineRule="auto" w:before="56"/>
        <w:ind w:left="958" w:right="635"/>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tabs>
          <w:tab w:pos="1800" w:val="left" w:leader="none"/>
        </w:tabs>
        <w:spacing w:line="290" w:lineRule="auto" w:before="59"/>
        <w:ind w:left="958" w:right="6931"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pStyle w:val="BodyText"/>
        <w:spacing w:line="240" w:lineRule="auto" w:before="14"/>
        <w:ind w:left="958" w:right="635"/>
        <w:jc w:val="left"/>
      </w:pPr>
      <w:r>
        <w:rPr/>
        <w:t>□适用</w:t>
      </w:r>
      <w:r>
        <w:rPr>
          <w:spacing w:val="-1"/>
        </w:rPr>
        <w:t> </w:t>
      </w:r>
      <w:r>
        <w:rPr/>
        <w:t>√不适用</w:t>
      </w:r>
    </w:p>
    <w:p>
      <w:pPr>
        <w:pStyle w:val="Heading2"/>
        <w:spacing w:line="240" w:lineRule="auto" w:before="56"/>
        <w:ind w:left="958" w:right="635"/>
        <w:jc w:val="left"/>
        <w:rPr>
          <w:b w:val="0"/>
          <w:bCs w:val="0"/>
        </w:rPr>
      </w:pPr>
      <w:r>
        <w:rPr/>
        <w:t>三、</w:t>
      </w:r>
      <w:r>
        <w:rPr>
          <w:spacing w:val="-80"/>
        </w:rPr>
        <w:t> </w:t>
      </w:r>
      <w:r>
        <w:rPr/>
        <w:t>股东和实际控制人情况</w:t>
      </w:r>
      <w:r>
        <w:rPr>
          <w:b w:val="0"/>
          <w:bCs w:val="0"/>
        </w:rPr>
      </w:r>
    </w:p>
    <w:p>
      <w:pPr>
        <w:pStyle w:val="Heading2"/>
        <w:spacing w:line="240" w:lineRule="auto" w:before="58"/>
        <w:ind w:left="958" w:right="63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0" w:type="dxa"/>
        <w:tblLayout w:type="fixed"/>
        <w:tblCellMar>
          <w:top w:w="0" w:type="dxa"/>
          <w:left w:w="0" w:type="dxa"/>
          <w:bottom w:w="0" w:type="dxa"/>
          <w:right w:w="0" w:type="dxa"/>
        </w:tblCellMar>
        <w:tblLook w:val="01E0"/>
      </w:tblPr>
      <w:tblGrid>
        <w:gridCol w:w="6097"/>
        <w:gridCol w:w="4112"/>
      </w:tblGrid>
      <w:tr>
        <w:trPr>
          <w:trHeight w:val="408"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30,315</w:t>
            </w:r>
          </w:p>
        </w:tc>
      </w:tr>
      <w:tr>
        <w:trPr>
          <w:trHeight w:val="406"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38,359</w:t>
            </w:r>
          </w:p>
        </w:tc>
      </w:tr>
      <w:tr>
        <w:trPr>
          <w:trHeight w:val="408"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w:t>
            </w:r>
          </w:p>
        </w:tc>
      </w:tr>
      <w:tr>
        <w:trPr>
          <w:trHeight w:val="408" w:hRule="exact"/>
        </w:trPr>
        <w:tc>
          <w:tcPr>
            <w:tcW w:w="6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w w:val="100"/>
                <w:sz w:val="21"/>
              </w:rPr>
              <w:t>/</w:t>
            </w:r>
          </w:p>
        </w:tc>
      </w:tr>
    </w:tbl>
    <w:p>
      <w:pPr>
        <w:spacing w:after="0" w:line="240" w:lineRule="auto"/>
        <w:jc w:val="right"/>
        <w:rPr>
          <w:rFonts w:ascii="宋体" w:hAnsi="宋体" w:cs="宋体" w:eastAsia="宋体" w:hint="default"/>
          <w:sz w:val="21"/>
          <w:szCs w:val="21"/>
        </w:rPr>
        <w:sectPr>
          <w:pgSz w:w="11910" w:h="16840"/>
          <w:pgMar w:header="880" w:footer="1195" w:top="1120" w:bottom="1380" w:left="840" w:right="640"/>
        </w:sectPr>
      </w:pP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80" w:footer="1195" w:top="1120" w:bottom="1380" w:left="840" w:right="640"/>
        </w:sectPr>
      </w:pPr>
    </w:p>
    <w:p>
      <w:pPr>
        <w:pStyle w:val="Heading2"/>
        <w:spacing w:line="240" w:lineRule="auto"/>
        <w:ind w:left="95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BodyText"/>
        <w:spacing w:line="240" w:lineRule="auto"/>
        <w:ind w:left="465"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840" w:right="640"/>
          <w:cols w:num="2" w:equalWidth="0">
            <w:col w:w="8553" w:space="40"/>
            <w:col w:w="1837"/>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12"/>
        <w:gridCol w:w="1275"/>
        <w:gridCol w:w="1418"/>
        <w:gridCol w:w="413"/>
        <w:gridCol w:w="437"/>
        <w:gridCol w:w="1277"/>
        <w:gridCol w:w="142"/>
        <w:gridCol w:w="992"/>
        <w:gridCol w:w="427"/>
        <w:gridCol w:w="283"/>
        <w:gridCol w:w="1133"/>
      </w:tblGrid>
      <w:tr>
        <w:trPr>
          <w:trHeight w:val="283" w:hRule="exact"/>
        </w:trPr>
        <w:tc>
          <w:tcPr>
            <w:tcW w:w="1020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2412" w:type="dxa"/>
            <w:vMerge w:val="restart"/>
            <w:tcBorders>
              <w:top w:val="single" w:sz="4" w:space="0" w:color="000000"/>
              <w:left w:val="single" w:sz="4" w:space="0" w:color="000000"/>
              <w:right w:val="single" w:sz="4" w:space="0" w:color="000000"/>
            </w:tcBorders>
          </w:tcPr>
          <w:p>
            <w:pPr>
              <w:pStyle w:val="TableParagraph"/>
              <w:spacing w:line="273" w:lineRule="exact" w:before="107"/>
              <w:ind w:left="780"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780"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275" w:type="dxa"/>
            <w:vMerge w:val="restart"/>
            <w:tcBorders>
              <w:top w:val="single" w:sz="4" w:space="0" w:color="000000"/>
              <w:left w:val="single" w:sz="4" w:space="0" w:color="000000"/>
              <w:right w:val="single" w:sz="4" w:space="0" w:color="000000"/>
            </w:tcBorders>
          </w:tcPr>
          <w:p>
            <w:pPr>
              <w:pStyle w:val="TableParagraph"/>
              <w:spacing w:line="272" w:lineRule="exact" w:before="135"/>
              <w:ind w:left="526" w:right="104" w:hanging="421"/>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18" w:type="dxa"/>
            <w:vMerge w:val="restart"/>
            <w:tcBorders>
              <w:top w:val="single" w:sz="4" w:space="0" w:color="000000"/>
              <w:left w:val="single" w:sz="4" w:space="0" w:color="000000"/>
              <w:right w:val="single" w:sz="4" w:space="0" w:color="000000"/>
            </w:tcBorders>
          </w:tcPr>
          <w:p>
            <w:pPr>
              <w:pStyle w:val="TableParagraph"/>
              <w:spacing w:line="272" w:lineRule="exact" w:before="135"/>
              <w:ind w:left="597" w:right="175"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850" w:type="dxa"/>
            <w:gridSpan w:val="2"/>
            <w:vMerge w:val="restart"/>
            <w:tcBorders>
              <w:top w:val="single" w:sz="4" w:space="0" w:color="000000"/>
              <w:left w:val="single" w:sz="4" w:space="0" w:color="000000"/>
              <w:right w:val="single" w:sz="4" w:space="0" w:color="000000"/>
            </w:tcBorders>
          </w:tcPr>
          <w:p>
            <w:pPr>
              <w:pStyle w:val="TableParagraph"/>
              <w:spacing w:line="272" w:lineRule="exact" w:before="135"/>
              <w:ind w:left="261" w:right="20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18" w:type="dxa"/>
            <w:gridSpan w:val="2"/>
            <w:vMerge w:val="restart"/>
            <w:tcBorders>
              <w:top w:val="single" w:sz="4" w:space="0" w:color="000000"/>
              <w:left w:val="single" w:sz="4" w:space="0" w:color="000000"/>
              <w:right w:val="single" w:sz="4" w:space="0" w:color="000000"/>
            </w:tcBorders>
          </w:tcPr>
          <w:p>
            <w:pPr>
              <w:pStyle w:val="TableParagraph"/>
              <w:spacing w:line="245" w:lineRule="exact"/>
              <w:ind w:left="177" w:right="0"/>
              <w:jc w:val="left"/>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72" w:lineRule="exact" w:before="27"/>
              <w:ind w:left="597" w:right="175" w:hanging="420"/>
              <w:jc w:val="left"/>
              <w:rPr>
                <w:rFonts w:ascii="宋体" w:hAnsi="宋体" w:cs="宋体" w:eastAsia="宋体" w:hint="default"/>
                <w:sz w:val="21"/>
                <w:szCs w:val="21"/>
              </w:rPr>
            </w:pPr>
            <w:r>
              <w:rPr>
                <w:rFonts w:ascii="宋体" w:hAnsi="宋体" w:cs="宋体" w:eastAsia="宋体" w:hint="default"/>
                <w:sz w:val="21"/>
                <w:szCs w:val="21"/>
              </w:rPr>
              <w:t>条件股份数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1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133" w:type="dxa"/>
            <w:vMerge w:val="restart"/>
            <w:tcBorders>
              <w:top w:val="single" w:sz="4" w:space="0" w:color="000000"/>
              <w:left w:val="single" w:sz="4" w:space="0" w:color="000000"/>
              <w:right w:val="single" w:sz="4" w:space="0" w:color="000000"/>
            </w:tcBorders>
          </w:tcPr>
          <w:p>
            <w:pPr>
              <w:pStyle w:val="TableParagraph"/>
              <w:spacing w:line="272" w:lineRule="exact" w:before="135"/>
              <w:ind w:left="350" w:right="348"/>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554" w:hRule="exact"/>
        </w:trPr>
        <w:tc>
          <w:tcPr>
            <w:tcW w:w="2412"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850" w:type="dxa"/>
            <w:gridSpan w:val="2"/>
            <w:vMerge/>
            <w:tcBorders>
              <w:left w:val="single" w:sz="4" w:space="0" w:color="000000"/>
              <w:bottom w:val="single" w:sz="4" w:space="0" w:color="000000"/>
              <w:right w:val="single" w:sz="4" w:space="0" w:color="000000"/>
            </w:tcBorders>
          </w:tcPr>
          <w:p>
            <w:pPr/>
          </w:p>
        </w:tc>
        <w:tc>
          <w:tcPr>
            <w:tcW w:w="1418" w:type="dxa"/>
            <w:gridSpan w:val="2"/>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0"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280"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133" w:type="dxa"/>
            <w:vMerge/>
            <w:tcBorders>
              <w:left w:val="single" w:sz="4" w:space="0" w:color="000000"/>
              <w:bottom w:val="single" w:sz="4" w:space="0" w:color="000000"/>
              <w:right w:val="single" w:sz="4" w:space="0" w:color="000000"/>
            </w:tcBorders>
          </w:tcPr>
          <w:p>
            <w:pPr/>
          </w:p>
        </w:tc>
      </w:tr>
      <w:tr>
        <w:trPr>
          <w:trHeight w:val="281"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310,302,420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59.79</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310,302,420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7"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全国社会保障基金理事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会转持一户</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12,847,925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7" w:right="0"/>
              <w:jc w:val="left"/>
              <w:rPr>
                <w:rFonts w:ascii="宋体" w:hAnsi="宋体" w:cs="宋体" w:eastAsia="宋体" w:hint="default"/>
                <w:sz w:val="21"/>
                <w:szCs w:val="21"/>
              </w:rPr>
            </w:pPr>
            <w:r>
              <w:rPr>
                <w:rFonts w:ascii="宋体"/>
                <w:sz w:val="21"/>
              </w:rPr>
              <w:t>2.48</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0"/>
              <w:jc w:val="left"/>
              <w:rPr>
                <w:rFonts w:ascii="宋体" w:hAnsi="宋体" w:cs="宋体" w:eastAsia="宋体" w:hint="default"/>
                <w:sz w:val="21"/>
                <w:szCs w:val="21"/>
              </w:rPr>
            </w:pPr>
            <w:r>
              <w:rPr>
                <w:rFonts w:ascii="宋体"/>
                <w:sz w:val="21"/>
              </w:rPr>
              <w:t>11,418,780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中国新闻发展深圳有限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11,288,890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7" w:right="0"/>
              <w:jc w:val="left"/>
              <w:rPr>
                <w:rFonts w:ascii="宋体" w:hAnsi="宋体" w:cs="宋体" w:eastAsia="宋体" w:hint="default"/>
                <w:sz w:val="21"/>
                <w:szCs w:val="21"/>
              </w:rPr>
            </w:pPr>
            <w:r>
              <w:rPr>
                <w:rFonts w:ascii="宋体"/>
                <w:sz w:val="21"/>
              </w:rPr>
              <w:t>2.18</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4" w:right="0"/>
              <w:jc w:val="left"/>
              <w:rPr>
                <w:rFonts w:ascii="宋体" w:hAnsi="宋体" w:cs="宋体" w:eastAsia="宋体" w:hint="default"/>
                <w:sz w:val="21"/>
                <w:szCs w:val="21"/>
              </w:rPr>
            </w:pPr>
            <w:r>
              <w:rPr>
                <w:rFonts w:ascii="宋体"/>
                <w:sz w:val="21"/>
              </w:rPr>
              <w:t>11,288,890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1100"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中信信托有限责任公司</w:t>
            </w:r>
          </w:p>
          <w:p>
            <w:pPr>
              <w:pStyle w:val="TableParagraph"/>
              <w:spacing w:line="237" w:lineRule="auto" w:before="1"/>
              <w:ind w:left="103" w:right="194"/>
              <w:jc w:val="both"/>
              <w:rPr>
                <w:rFonts w:ascii="宋体" w:hAnsi="宋体" w:cs="宋体" w:eastAsia="宋体" w:hint="default"/>
                <w:sz w:val="21"/>
                <w:szCs w:val="21"/>
              </w:rPr>
            </w:pPr>
            <w:r>
              <w:rPr>
                <w:rFonts w:ascii="宋体" w:hAnsi="宋体" w:cs="宋体" w:eastAsia="宋体" w:hint="default"/>
                <w:spacing w:val="-2"/>
                <w:sz w:val="21"/>
                <w:szCs w:val="21"/>
              </w:rPr>
              <w:t>－中信信托成泉汇涌八</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期金融投资集合资金信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托计划</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 w:right="0"/>
              <w:jc w:val="center"/>
              <w:rPr>
                <w:rFonts w:ascii="宋体" w:hAnsi="宋体" w:cs="宋体" w:eastAsia="宋体" w:hint="default"/>
                <w:sz w:val="21"/>
                <w:szCs w:val="21"/>
              </w:rPr>
            </w:pPr>
            <w:r>
              <w:rPr>
                <w:rFonts w:ascii="宋体"/>
                <w:sz w:val="21"/>
              </w:rPr>
              <w:t>10,205,009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10,205,009</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7" w:right="0"/>
              <w:jc w:val="left"/>
              <w:rPr>
                <w:rFonts w:ascii="宋体" w:hAnsi="宋体" w:cs="宋体" w:eastAsia="宋体" w:hint="default"/>
                <w:sz w:val="21"/>
                <w:szCs w:val="21"/>
              </w:rPr>
            </w:pPr>
            <w:r>
              <w:rPr>
                <w:rFonts w:ascii="宋体"/>
                <w:sz w:val="21"/>
              </w:rPr>
              <w:t>1.97</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中国经济信息社有限公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9,549,290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7" w:right="0"/>
              <w:jc w:val="left"/>
              <w:rPr>
                <w:rFonts w:ascii="宋体" w:hAnsi="宋体" w:cs="宋体" w:eastAsia="宋体" w:hint="default"/>
                <w:sz w:val="21"/>
                <w:szCs w:val="21"/>
              </w:rPr>
            </w:pPr>
            <w:r>
              <w:rPr>
                <w:rFonts w:ascii="宋体"/>
                <w:sz w:val="21"/>
              </w:rPr>
              <w:t>1.84</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9" w:right="0"/>
              <w:jc w:val="left"/>
              <w:rPr>
                <w:rFonts w:ascii="宋体" w:hAnsi="宋体" w:cs="宋体" w:eastAsia="宋体" w:hint="default"/>
                <w:sz w:val="21"/>
                <w:szCs w:val="21"/>
              </w:rPr>
            </w:pPr>
            <w:r>
              <w:rPr>
                <w:rFonts w:ascii="宋体"/>
                <w:sz w:val="21"/>
              </w:rPr>
              <w:t>9,549,290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广东南方报业传媒集团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7,525,928</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7" w:right="0"/>
              <w:jc w:val="left"/>
              <w:rPr>
                <w:rFonts w:ascii="宋体" w:hAnsi="宋体" w:cs="宋体" w:eastAsia="宋体" w:hint="default"/>
                <w:sz w:val="21"/>
                <w:szCs w:val="21"/>
              </w:rPr>
            </w:pPr>
            <w:r>
              <w:rPr>
                <w:rFonts w:ascii="宋体"/>
                <w:sz w:val="21"/>
              </w:rPr>
              <w:t>1.45</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中国联合网络通信集团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7,525,927</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7" w:right="0"/>
              <w:jc w:val="left"/>
              <w:rPr>
                <w:rFonts w:ascii="宋体" w:hAnsi="宋体" w:cs="宋体" w:eastAsia="宋体" w:hint="default"/>
                <w:sz w:val="21"/>
                <w:szCs w:val="21"/>
              </w:rPr>
            </w:pPr>
            <w:r>
              <w:rPr>
                <w:rFonts w:ascii="宋体"/>
                <w:sz w:val="21"/>
              </w:rPr>
              <w:t>1.45</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中国文化产业投资基金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 w:right="0"/>
              <w:jc w:val="center"/>
              <w:rPr>
                <w:rFonts w:ascii="宋体" w:hAnsi="宋体" w:cs="宋体" w:eastAsia="宋体" w:hint="default"/>
                <w:sz w:val="21"/>
                <w:szCs w:val="21"/>
              </w:rPr>
            </w:pPr>
            <w:r>
              <w:rPr>
                <w:rFonts w:ascii="宋体"/>
                <w:sz w:val="21"/>
              </w:rPr>
              <w:t>-5,977,300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4,511,773</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7" w:right="0"/>
              <w:jc w:val="left"/>
              <w:rPr>
                <w:rFonts w:ascii="宋体" w:hAnsi="宋体" w:cs="宋体" w:eastAsia="宋体" w:hint="default"/>
                <w:sz w:val="21"/>
                <w:szCs w:val="21"/>
              </w:rPr>
            </w:pPr>
            <w:r>
              <w:rPr>
                <w:rFonts w:ascii="宋体"/>
                <w:sz w:val="21"/>
              </w:rPr>
              <w:t>0.87</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未知</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5"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安徽新华传媒股份有限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3,835,390</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7" w:right="0"/>
              <w:jc w:val="left"/>
              <w:rPr>
                <w:rFonts w:ascii="宋体" w:hAnsi="宋体" w:cs="宋体" w:eastAsia="宋体" w:hint="default"/>
                <w:sz w:val="21"/>
                <w:szCs w:val="21"/>
              </w:rPr>
            </w:pPr>
            <w:r>
              <w:rPr>
                <w:rFonts w:ascii="宋体"/>
                <w:sz w:val="21"/>
              </w:rPr>
              <w:t>0.74</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中国电信集团有限公司</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3,762,965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sz w:val="21"/>
              </w:rPr>
              <w:t>0.73</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283" w:hRule="exact"/>
        </w:trPr>
        <w:tc>
          <w:tcPr>
            <w:tcW w:w="1020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1" w:hRule="exact"/>
        </w:trPr>
        <w:tc>
          <w:tcPr>
            <w:tcW w:w="5519" w:type="dxa"/>
            <w:gridSpan w:val="4"/>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714" w:type="dxa"/>
            <w:gridSpan w:val="2"/>
            <w:vMerge w:val="restart"/>
            <w:tcBorders>
              <w:top w:val="single" w:sz="4" w:space="0" w:color="000000"/>
              <w:left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流通股的数量</w:t>
            </w:r>
          </w:p>
        </w:tc>
        <w:tc>
          <w:tcPr>
            <w:tcW w:w="29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5519" w:type="dxa"/>
            <w:gridSpan w:val="4"/>
            <w:vMerge/>
            <w:tcBorders>
              <w:left w:val="single" w:sz="4" w:space="0" w:color="000000"/>
              <w:bottom w:val="single" w:sz="4" w:space="0" w:color="000000"/>
              <w:right w:val="single" w:sz="4" w:space="0" w:color="000000"/>
            </w:tcBorders>
          </w:tcPr>
          <w:p>
            <w:pPr/>
          </w:p>
        </w:tc>
        <w:tc>
          <w:tcPr>
            <w:tcW w:w="1714" w:type="dxa"/>
            <w:gridSpan w:val="2"/>
            <w:vMerge/>
            <w:tcBorders>
              <w:left w:val="single" w:sz="4" w:space="0" w:color="000000"/>
              <w:bottom w:val="single" w:sz="4" w:space="0" w:color="000000"/>
              <w:right w:val="single" w:sz="4" w:space="0" w:color="000000"/>
            </w:tcBorders>
          </w:tcPr>
          <w:p>
            <w:pPr/>
          </w:p>
        </w:tc>
        <w:tc>
          <w:tcPr>
            <w:tcW w:w="1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中信信托有限责任公司－中信信托成泉汇涌八期金融投资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集合资金信托计划</w:t>
            </w:r>
          </w:p>
        </w:tc>
        <w:tc>
          <w:tcPr>
            <w:tcW w:w="1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9" w:right="0"/>
              <w:jc w:val="left"/>
              <w:rPr>
                <w:rFonts w:ascii="宋体" w:hAnsi="宋体" w:cs="宋体" w:eastAsia="宋体" w:hint="default"/>
                <w:sz w:val="21"/>
                <w:szCs w:val="21"/>
              </w:rPr>
            </w:pPr>
            <w:r>
              <w:rPr>
                <w:rFonts w:ascii="宋体"/>
                <w:sz w:val="21"/>
              </w:rPr>
              <w:t>10,205,009</w:t>
            </w:r>
          </w:p>
        </w:tc>
        <w:tc>
          <w:tcPr>
            <w:tcW w:w="1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2" w:right="0"/>
              <w:jc w:val="left"/>
              <w:rPr>
                <w:rFonts w:ascii="宋体" w:hAnsi="宋体" w:cs="宋体" w:eastAsia="宋体" w:hint="default"/>
                <w:sz w:val="21"/>
                <w:szCs w:val="21"/>
              </w:rPr>
            </w:pPr>
            <w:r>
              <w:rPr>
                <w:rFonts w:ascii="宋体"/>
                <w:sz w:val="21"/>
              </w:rPr>
              <w:t>10,205,009</w:t>
            </w:r>
          </w:p>
        </w:tc>
      </w:tr>
      <w:tr>
        <w:trPr>
          <w:trHeight w:val="283" w:hRule="exact"/>
        </w:trPr>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广东南方报业传媒集团有限公司</w:t>
            </w:r>
          </w:p>
        </w:tc>
        <w:tc>
          <w:tcPr>
            <w:tcW w:w="1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sz w:val="21"/>
              </w:rPr>
              <w:t>7,525,928</w:t>
            </w:r>
          </w:p>
        </w:tc>
        <w:tc>
          <w:tcPr>
            <w:tcW w:w="1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7,525,928</w:t>
            </w:r>
          </w:p>
        </w:tc>
      </w:tr>
      <w:tr>
        <w:trPr>
          <w:trHeight w:val="281" w:hRule="exact"/>
        </w:trPr>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中国联合网络通信集团有限公司</w:t>
            </w:r>
          </w:p>
        </w:tc>
        <w:tc>
          <w:tcPr>
            <w:tcW w:w="1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sz w:val="21"/>
              </w:rPr>
              <w:t>7,525,927</w:t>
            </w:r>
          </w:p>
        </w:tc>
        <w:tc>
          <w:tcPr>
            <w:tcW w:w="1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7,525,927</w:t>
            </w:r>
          </w:p>
        </w:tc>
      </w:tr>
      <w:tr>
        <w:trPr>
          <w:trHeight w:val="283" w:hRule="exact"/>
        </w:trPr>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中国文化产业投资基金（有限合伙）</w:t>
            </w:r>
          </w:p>
        </w:tc>
        <w:tc>
          <w:tcPr>
            <w:tcW w:w="1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sz w:val="21"/>
              </w:rPr>
              <w:t>4,511,773</w:t>
            </w:r>
          </w:p>
        </w:tc>
        <w:tc>
          <w:tcPr>
            <w:tcW w:w="1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4,511,773</w:t>
            </w:r>
          </w:p>
        </w:tc>
      </w:tr>
      <w:tr>
        <w:trPr>
          <w:trHeight w:val="283" w:hRule="exact"/>
        </w:trPr>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安徽新华传媒股份有限公司</w:t>
            </w:r>
          </w:p>
        </w:tc>
        <w:tc>
          <w:tcPr>
            <w:tcW w:w="1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sz w:val="21"/>
              </w:rPr>
              <w:t>3,835,390</w:t>
            </w:r>
          </w:p>
        </w:tc>
        <w:tc>
          <w:tcPr>
            <w:tcW w:w="1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3,835,390</w:t>
            </w:r>
          </w:p>
        </w:tc>
      </w:tr>
      <w:tr>
        <w:trPr>
          <w:trHeight w:val="281" w:hRule="exact"/>
        </w:trPr>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中国电信集团有限公司</w:t>
            </w:r>
          </w:p>
        </w:tc>
        <w:tc>
          <w:tcPr>
            <w:tcW w:w="1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sz w:val="21"/>
              </w:rPr>
              <w:t>3,762,965</w:t>
            </w:r>
          </w:p>
        </w:tc>
        <w:tc>
          <w:tcPr>
            <w:tcW w:w="1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3,762,965</w:t>
            </w:r>
          </w:p>
        </w:tc>
      </w:tr>
      <w:tr>
        <w:trPr>
          <w:trHeight w:val="283" w:hRule="exact"/>
        </w:trPr>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鹏华资产－浦发银行－鹏华资产金润</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6"/>
                <w:sz w:val="21"/>
                <w:szCs w:val="21"/>
              </w:rPr>
              <w:t> </w:t>
            </w:r>
            <w:r>
              <w:rPr>
                <w:rFonts w:ascii="宋体" w:hAnsi="宋体" w:cs="宋体" w:eastAsia="宋体" w:hint="default"/>
                <w:sz w:val="21"/>
                <w:szCs w:val="21"/>
              </w:rPr>
              <w:t>号资产管理计划</w:t>
            </w:r>
          </w:p>
        </w:tc>
        <w:tc>
          <w:tcPr>
            <w:tcW w:w="1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sz w:val="21"/>
              </w:rPr>
              <w:t>3,224,450</w:t>
            </w:r>
          </w:p>
        </w:tc>
        <w:tc>
          <w:tcPr>
            <w:tcW w:w="1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3,224,450</w:t>
            </w:r>
          </w:p>
        </w:tc>
      </w:tr>
      <w:tr>
        <w:trPr>
          <w:trHeight w:val="283" w:hRule="exact"/>
        </w:trPr>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王龙英</w:t>
            </w:r>
          </w:p>
        </w:tc>
        <w:tc>
          <w:tcPr>
            <w:tcW w:w="1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sz w:val="21"/>
              </w:rPr>
              <w:t>2,519,750</w:t>
            </w:r>
          </w:p>
        </w:tc>
        <w:tc>
          <w:tcPr>
            <w:tcW w:w="1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2,519,750</w:t>
            </w:r>
          </w:p>
        </w:tc>
      </w:tr>
      <w:tr>
        <w:trPr>
          <w:trHeight w:val="554" w:hRule="exact"/>
        </w:trPr>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中国农业银行股份有限公司－中证</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交易型开放式指数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1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5" w:right="0"/>
              <w:jc w:val="left"/>
              <w:rPr>
                <w:rFonts w:ascii="宋体" w:hAnsi="宋体" w:cs="宋体" w:eastAsia="宋体" w:hint="default"/>
                <w:sz w:val="21"/>
                <w:szCs w:val="21"/>
              </w:rPr>
            </w:pPr>
            <w:r>
              <w:rPr>
                <w:rFonts w:ascii="宋体"/>
                <w:sz w:val="21"/>
              </w:rPr>
              <w:t>2,021,895</w:t>
            </w:r>
          </w:p>
        </w:tc>
        <w:tc>
          <w:tcPr>
            <w:tcW w:w="1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7" w:right="0"/>
              <w:jc w:val="left"/>
              <w:rPr>
                <w:rFonts w:ascii="宋体" w:hAnsi="宋体" w:cs="宋体" w:eastAsia="宋体" w:hint="default"/>
                <w:sz w:val="21"/>
                <w:szCs w:val="21"/>
              </w:rPr>
            </w:pPr>
            <w:r>
              <w:rPr>
                <w:rFonts w:ascii="宋体"/>
                <w:sz w:val="21"/>
              </w:rPr>
              <w:t>2,021,895</w:t>
            </w:r>
          </w:p>
        </w:tc>
      </w:tr>
      <w:tr>
        <w:trPr>
          <w:trHeight w:val="281" w:hRule="exact"/>
        </w:trPr>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全国社会保障基金理事会转持一户</w:t>
            </w:r>
          </w:p>
        </w:tc>
        <w:tc>
          <w:tcPr>
            <w:tcW w:w="17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sz w:val="21"/>
              </w:rPr>
              <w:t>1,429,145</w:t>
            </w:r>
          </w:p>
        </w:tc>
        <w:tc>
          <w:tcPr>
            <w:tcW w:w="15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1,429,145</w:t>
            </w:r>
          </w:p>
        </w:tc>
      </w:tr>
      <w:tr>
        <w:trPr>
          <w:trHeight w:val="1099" w:hRule="exact"/>
        </w:trPr>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4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新华通讯社、中国经济信息社有限公司及中国新</w:t>
            </w:r>
          </w:p>
          <w:p>
            <w:pPr>
              <w:pStyle w:val="TableParagraph"/>
              <w:spacing w:line="237" w:lineRule="auto" w:before="2"/>
              <w:ind w:left="103" w:right="161"/>
              <w:jc w:val="both"/>
              <w:rPr>
                <w:rFonts w:ascii="宋体" w:hAnsi="宋体" w:cs="宋体" w:eastAsia="宋体" w:hint="default"/>
                <w:sz w:val="21"/>
                <w:szCs w:val="21"/>
              </w:rPr>
            </w:pPr>
            <w:r>
              <w:rPr>
                <w:rFonts w:ascii="宋体" w:hAnsi="宋体" w:cs="宋体" w:eastAsia="宋体" w:hint="default"/>
                <w:spacing w:val="-2"/>
                <w:sz w:val="21"/>
                <w:szCs w:val="21"/>
              </w:rPr>
              <w:t>闻发展深圳有限公司为一致行动人。公司未知上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述其他股东是否存在关联关系，也未知上述其他</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企业是否属于一致行动人。</w:t>
            </w:r>
          </w:p>
        </w:tc>
      </w:tr>
      <w:tr>
        <w:trPr>
          <w:trHeight w:val="283" w:hRule="exact"/>
        </w:trPr>
        <w:tc>
          <w:tcPr>
            <w:tcW w:w="55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p>
        </w:tc>
        <w:tc>
          <w:tcPr>
            <w:tcW w:w="4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BodyText"/>
        <w:spacing w:line="273" w:lineRule="exact" w:before="36"/>
        <w:ind w:left="958" w:right="635"/>
        <w:jc w:val="left"/>
      </w:pPr>
      <w:r>
        <w:rPr/>
        <w:t>前十名有限售条件股东持股数量及限售条件</w:t>
      </w:r>
    </w:p>
    <w:p>
      <w:pPr>
        <w:pStyle w:val="BodyText"/>
        <w:spacing w:line="273" w:lineRule="exact"/>
        <w:ind w:left="958" w:right="635"/>
        <w:jc w:val="left"/>
      </w:pPr>
      <w:r>
        <w:rPr/>
        <w:t>√适用</w:t>
      </w:r>
      <w:r>
        <w:rPr>
          <w:spacing w:val="-1"/>
        </w:rPr>
        <w:t> </w:t>
      </w:r>
      <w:r>
        <w:rPr/>
        <w:t>□不适用</w:t>
      </w:r>
    </w:p>
    <w:p>
      <w:pPr>
        <w:spacing w:after="0" w:line="273" w:lineRule="exact"/>
        <w:jc w:val="left"/>
        <w:sectPr>
          <w:type w:val="continuous"/>
          <w:pgSz w:w="11910" w:h="16840"/>
          <w:pgMar w:top="1120" w:bottom="1380" w:left="840" w:right="640"/>
        </w:sectPr>
      </w:pPr>
    </w:p>
    <w:p>
      <w:pPr>
        <w:spacing w:line="240" w:lineRule="auto" w:before="4"/>
        <w:rPr>
          <w:rFonts w:ascii="宋体" w:hAnsi="宋体" w:cs="宋体" w:eastAsia="宋体" w:hint="default"/>
          <w:sz w:val="25"/>
          <w:szCs w:val="25"/>
        </w:rPr>
      </w:pPr>
    </w:p>
    <w:p>
      <w:pPr>
        <w:pStyle w:val="BodyText"/>
        <w:spacing w:line="240" w:lineRule="auto" w:before="36"/>
        <w:ind w:left="0" w:right="630"/>
        <w:jc w:val="right"/>
      </w:pPr>
      <w:r>
        <w:rPr>
          <w:spacing w:val="-1"/>
        </w:rPr>
        <w:t>单位：股</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854"/>
        <w:gridCol w:w="3437"/>
        <w:gridCol w:w="1640"/>
        <w:gridCol w:w="1202"/>
        <w:gridCol w:w="1193"/>
        <w:gridCol w:w="1457"/>
      </w:tblGrid>
      <w:tr>
        <w:trPr>
          <w:trHeight w:val="554" w:hRule="exact"/>
        </w:trPr>
        <w:tc>
          <w:tcPr>
            <w:tcW w:w="8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4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65"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82" w:right="183"/>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有限售条件股份可上市</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交易情况</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828" w:hRule="exact"/>
        </w:trPr>
        <w:tc>
          <w:tcPr>
            <w:tcW w:w="854" w:type="dxa"/>
            <w:vMerge/>
            <w:tcBorders>
              <w:left w:val="single" w:sz="4" w:space="0" w:color="000000"/>
              <w:bottom w:val="single" w:sz="4" w:space="0" w:color="000000"/>
              <w:right w:val="single" w:sz="4" w:space="0" w:color="000000"/>
            </w:tcBorders>
          </w:tcPr>
          <w:p>
            <w:pPr/>
          </w:p>
        </w:tc>
        <w:tc>
          <w:tcPr>
            <w:tcW w:w="3437" w:type="dxa"/>
            <w:vMerge/>
            <w:tcBorders>
              <w:left w:val="single" w:sz="4" w:space="0" w:color="000000"/>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78" w:right="173" w:hanging="104"/>
              <w:jc w:val="left"/>
              <w:rPr>
                <w:rFonts w:ascii="宋体" w:hAnsi="宋体" w:cs="宋体" w:eastAsia="宋体" w:hint="default"/>
                <w:sz w:val="21"/>
                <w:szCs w:val="21"/>
              </w:rPr>
            </w:pPr>
            <w:r>
              <w:rPr>
                <w:rFonts w:ascii="宋体" w:hAnsi="宋体" w:cs="宋体" w:eastAsia="宋体" w:hint="default"/>
                <w:sz w:val="21"/>
                <w:szCs w:val="21"/>
              </w:rPr>
              <w:t>可上市交</w:t>
            </w:r>
            <w:r>
              <w:rPr>
                <w:rFonts w:ascii="宋体" w:hAnsi="宋体" w:cs="宋体" w:eastAsia="宋体" w:hint="default"/>
                <w:w w:val="100"/>
                <w:sz w:val="21"/>
                <w:szCs w:val="21"/>
              </w:rPr>
              <w:t> </w:t>
            </w:r>
            <w:r>
              <w:rPr>
                <w:rFonts w:ascii="宋体" w:hAnsi="宋体" w:cs="宋体" w:eastAsia="宋体" w:hint="default"/>
                <w:sz w:val="21"/>
                <w:szCs w:val="21"/>
              </w:rPr>
              <w:t>易时间</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新增可上</w:t>
            </w:r>
          </w:p>
          <w:p>
            <w:pPr>
              <w:pStyle w:val="TableParagraph"/>
              <w:spacing w:line="272" w:lineRule="exact" w:before="27"/>
              <w:ind w:left="275" w:right="168" w:hanging="106"/>
              <w:jc w:val="left"/>
              <w:rPr>
                <w:rFonts w:ascii="宋体" w:hAnsi="宋体" w:cs="宋体" w:eastAsia="宋体" w:hint="default"/>
                <w:sz w:val="21"/>
                <w:szCs w:val="21"/>
              </w:rPr>
            </w:pP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457" w:type="dxa"/>
            <w:vMerge/>
            <w:tcBorders>
              <w:left w:val="single" w:sz="4" w:space="0" w:color="000000"/>
              <w:bottom w:val="single" w:sz="4" w:space="0" w:color="000000"/>
              <w:right w:val="single" w:sz="4" w:space="0" w:color="000000"/>
            </w:tcBorders>
          </w:tcPr>
          <w:p>
            <w:pPr/>
          </w:p>
        </w:tc>
      </w:tr>
      <w:tr>
        <w:trPr>
          <w:trHeight w:val="55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1</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310,302,420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首发上市</w:t>
            </w:r>
          </w:p>
        </w:tc>
      </w:tr>
      <w:tr>
        <w:trPr>
          <w:trHeight w:val="55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2</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全国社会保障基金理事会转持一户</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11,418,780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首发上市</w:t>
            </w:r>
          </w:p>
        </w:tc>
      </w:tr>
      <w:tr>
        <w:trPr>
          <w:trHeight w:val="554"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w w:val="100"/>
                <w:sz w:val="21"/>
              </w:rPr>
              <w:t>3</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中国新闻发展深圳有限公司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11,288,890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首发上市</w:t>
            </w:r>
          </w:p>
        </w:tc>
      </w:tr>
      <w:tr>
        <w:trPr>
          <w:trHeight w:val="555"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w w:val="100"/>
                <w:sz w:val="21"/>
              </w:rPr>
              <w:t>4</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9,549,290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93"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首发上市</w:t>
            </w:r>
          </w:p>
        </w:tc>
      </w:tr>
      <w:tr>
        <w:trPr>
          <w:trHeight w:val="554" w:hRule="exact"/>
        </w:trPr>
        <w:tc>
          <w:tcPr>
            <w:tcW w:w="4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4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新华通讯社、中国经济信息社有限公司及中国新闻发展深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圳有限公司为一致行动人。</w:t>
            </w:r>
          </w:p>
        </w:tc>
      </w:tr>
    </w:tbl>
    <w:p>
      <w:pPr>
        <w:pStyle w:val="Heading2"/>
        <w:tabs>
          <w:tab w:pos="1124" w:val="left" w:leader="none"/>
        </w:tabs>
        <w:spacing w:line="240" w:lineRule="auto" w:before="26"/>
        <w:ind w:left="55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left="558" w:right="0"/>
        <w:jc w:val="left"/>
      </w:pPr>
      <w:r>
        <w:rPr/>
        <w:t>□适用</w:t>
      </w:r>
      <w:r>
        <w:rPr>
          <w:spacing w:val="-1"/>
        </w:rPr>
        <w:t> </w:t>
      </w:r>
      <w:r>
        <w:rPr/>
        <w:t>√不适用</w:t>
      </w:r>
    </w:p>
    <w:p>
      <w:pPr>
        <w:pStyle w:val="Heading2"/>
        <w:spacing w:line="240" w:lineRule="auto" w:before="56"/>
        <w:ind w:left="558" w:right="0"/>
        <w:jc w:val="left"/>
        <w:rPr>
          <w:b w:val="0"/>
          <w:bCs w:val="0"/>
        </w:rPr>
      </w:pPr>
      <w:r>
        <w:rPr/>
        <w:t>四、</w:t>
      </w:r>
      <w:r>
        <w:rPr>
          <w:spacing w:val="-79"/>
        </w:rPr>
        <w:t> </w:t>
      </w:r>
      <w:r>
        <w:rPr/>
        <w:t>控股股东及实际控制人情况</w:t>
      </w:r>
      <w:r>
        <w:rPr>
          <w:b w:val="0"/>
          <w:bCs w:val="0"/>
        </w:rPr>
      </w:r>
    </w:p>
    <w:p>
      <w:pPr>
        <w:pStyle w:val="Heading2"/>
        <w:tabs>
          <w:tab w:pos="977" w:val="left" w:leader="none"/>
        </w:tabs>
        <w:spacing w:line="264" w:lineRule="auto" w:before="58"/>
        <w:ind w:left="558" w:right="77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7"/>
        <w:ind w:left="55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418"/>
        <w:gridCol w:w="6299"/>
      </w:tblGrid>
      <w:tr>
        <w:trPr>
          <w:trHeight w:val="284"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w:t>
            </w:r>
          </w:p>
        </w:tc>
      </w:tr>
      <w:tr>
        <w:trPr>
          <w:trHeight w:val="28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蔡名照</w:t>
            </w:r>
          </w:p>
        </w:tc>
      </w:tr>
      <w:tr>
        <w:trPr>
          <w:trHeight w:val="28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1931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8"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宣传党的路线、方针、政策，反映群众的愿望和要求，正确引导国</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pacing w:val="-6"/>
                <w:sz w:val="21"/>
                <w:szCs w:val="21"/>
              </w:rPr>
              <w:t>内外舆论。文字、图片、网络、音像新闻信息采集发布与相关服务、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相关报刊图书出版、国际新闻交流合作、社属单位管理。</w:t>
            </w:r>
          </w:p>
        </w:tc>
      </w:tr>
      <w:tr>
        <w:trPr>
          <w:trHeight w:val="1644"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97"/>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上市公司的股权情况</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39"/>
                <w:sz w:val="21"/>
                <w:szCs w:val="21"/>
              </w:rPr>
              <w:t> </w:t>
            </w:r>
            <w:r>
              <w:rPr>
                <w:rFonts w:ascii="宋体" w:hAnsi="宋体" w:cs="宋体" w:eastAsia="宋体" w:hint="default"/>
                <w:sz w:val="21"/>
                <w:szCs w:val="21"/>
              </w:rPr>
              <w:t>2018</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31</w:t>
            </w:r>
            <w:r>
              <w:rPr>
                <w:rFonts w:ascii="宋体" w:hAnsi="宋体" w:cs="宋体" w:eastAsia="宋体" w:hint="default"/>
                <w:spacing w:val="-37"/>
                <w:sz w:val="21"/>
                <w:szCs w:val="21"/>
              </w:rPr>
              <w:t> </w:t>
            </w:r>
            <w:r>
              <w:rPr>
                <w:rFonts w:ascii="宋体" w:hAnsi="宋体" w:cs="宋体" w:eastAsia="宋体" w:hint="default"/>
                <w:sz w:val="21"/>
                <w:szCs w:val="21"/>
              </w:rPr>
              <w:t>日，新华出版社持有山东出版（股票代码：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601019</w:t>
            </w:r>
            <w:r>
              <w:rPr>
                <w:rFonts w:ascii="宋体" w:hAnsi="宋体" w:cs="宋体" w:eastAsia="宋体" w:hint="default"/>
                <w:sz w:val="21"/>
                <w:szCs w:val="21"/>
              </w:rPr>
              <w:t>）</w:t>
            </w:r>
            <w:r>
              <w:rPr>
                <w:rFonts w:ascii="宋体" w:hAnsi="宋体" w:cs="宋体" w:eastAsia="宋体" w:hint="default"/>
                <w:sz w:val="21"/>
                <w:szCs w:val="21"/>
              </w:rPr>
              <w:t>1970.64</w:t>
            </w:r>
            <w:r>
              <w:rPr>
                <w:rFonts w:ascii="宋体" w:hAnsi="宋体" w:cs="宋体" w:eastAsia="宋体" w:hint="default"/>
                <w:spacing w:val="78"/>
                <w:sz w:val="21"/>
                <w:szCs w:val="21"/>
              </w:rPr>
              <w:t> </w:t>
            </w:r>
            <w:r>
              <w:rPr>
                <w:rFonts w:ascii="宋体" w:hAnsi="宋体" w:cs="宋体" w:eastAsia="宋体" w:hint="default"/>
                <w:spacing w:val="5"/>
                <w:sz w:val="21"/>
                <w:szCs w:val="21"/>
              </w:rPr>
              <w:t>万股；中国图片社持有北京银行（股票代码：</w:t>
            </w:r>
          </w:p>
          <w:p>
            <w:pPr>
              <w:pStyle w:val="TableParagraph"/>
              <w:spacing w:line="272" w:lineRule="exact"/>
              <w:ind w:left="103" w:right="-5"/>
              <w:jc w:val="left"/>
              <w:rPr>
                <w:rFonts w:ascii="宋体" w:hAnsi="宋体" w:cs="宋体" w:eastAsia="宋体" w:hint="default"/>
                <w:sz w:val="21"/>
                <w:szCs w:val="21"/>
              </w:rPr>
            </w:pPr>
            <w:r>
              <w:rPr>
                <w:rFonts w:ascii="宋体" w:hAnsi="宋体" w:cs="宋体" w:eastAsia="宋体" w:hint="default"/>
                <w:spacing w:val="-5"/>
                <w:sz w:val="21"/>
                <w:szCs w:val="21"/>
              </w:rPr>
              <w:t>601169</w:t>
            </w:r>
            <w:r>
              <w:rPr>
                <w:rFonts w:ascii="宋体" w:hAnsi="宋体" w:cs="宋体" w:eastAsia="宋体" w:hint="default"/>
                <w:spacing w:val="-5"/>
                <w:sz w:val="21"/>
                <w:szCs w:val="21"/>
              </w:rPr>
              <w:t>）</w:t>
            </w:r>
            <w:r>
              <w:rPr>
                <w:rFonts w:ascii="宋体" w:hAnsi="宋体" w:cs="宋体" w:eastAsia="宋体" w:hint="default"/>
                <w:spacing w:val="-5"/>
                <w:sz w:val="21"/>
                <w:szCs w:val="21"/>
              </w:rPr>
              <w:t>134.65</w:t>
            </w:r>
            <w:r>
              <w:rPr>
                <w:rFonts w:ascii="宋体" w:hAnsi="宋体" w:cs="宋体" w:eastAsia="宋体" w:hint="default"/>
                <w:spacing w:val="2"/>
                <w:sz w:val="21"/>
                <w:szCs w:val="21"/>
              </w:rPr>
              <w:t> </w:t>
            </w:r>
            <w:r>
              <w:rPr>
                <w:rFonts w:ascii="宋体" w:hAnsi="宋体" w:cs="宋体" w:eastAsia="宋体" w:hint="default"/>
                <w:spacing w:val="-7"/>
                <w:sz w:val="21"/>
                <w:szCs w:val="21"/>
              </w:rPr>
              <w:t>万股；新华社亚太总分社持有华泰瑞银（股票代码：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08006</w:t>
            </w:r>
            <w:r>
              <w:rPr>
                <w:rFonts w:ascii="宋体" w:hAnsi="宋体" w:cs="宋体" w:eastAsia="宋体" w:hint="default"/>
                <w:sz w:val="21"/>
                <w:szCs w:val="21"/>
              </w:rPr>
              <w:t>）</w:t>
            </w:r>
            <w:r>
              <w:rPr>
                <w:rFonts w:ascii="宋体" w:hAnsi="宋体" w:cs="宋体" w:eastAsia="宋体" w:hint="default"/>
                <w:sz w:val="21"/>
                <w:szCs w:val="21"/>
              </w:rPr>
              <w:t>38.8</w:t>
            </w:r>
            <w:r>
              <w:rPr>
                <w:rFonts w:ascii="宋体" w:hAnsi="宋体" w:cs="宋体" w:eastAsia="宋体" w:hint="default"/>
                <w:spacing w:val="89"/>
                <w:sz w:val="21"/>
                <w:szCs w:val="21"/>
              </w:rPr>
              <w:t> </w:t>
            </w:r>
            <w:r>
              <w:rPr>
                <w:rFonts w:ascii="宋体" w:hAnsi="宋体" w:cs="宋体" w:eastAsia="宋体" w:hint="default"/>
                <w:spacing w:val="4"/>
                <w:sz w:val="21"/>
                <w:szCs w:val="21"/>
              </w:rPr>
              <w:t>万股；新华社上海分社持有豫园股份（股票代码：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600655</w:t>
            </w:r>
            <w:r>
              <w:rPr>
                <w:rFonts w:ascii="宋体" w:hAnsi="宋体" w:cs="宋体" w:eastAsia="宋体" w:hint="default"/>
                <w:sz w:val="21"/>
                <w:szCs w:val="21"/>
              </w:rPr>
              <w:t>）</w:t>
            </w:r>
            <w:r>
              <w:rPr>
                <w:rFonts w:ascii="宋体" w:hAnsi="宋体" w:cs="宋体" w:eastAsia="宋体" w:hint="default"/>
                <w:sz w:val="21"/>
                <w:szCs w:val="21"/>
              </w:rPr>
              <w:t>36.73</w:t>
            </w:r>
            <w:r>
              <w:rPr>
                <w:rFonts w:ascii="宋体" w:hAnsi="宋体" w:cs="宋体" w:eastAsia="宋体" w:hint="default"/>
                <w:spacing w:val="-11"/>
                <w:sz w:val="21"/>
                <w:szCs w:val="21"/>
              </w:rPr>
              <w:t> </w:t>
            </w:r>
            <w:r>
              <w:rPr>
                <w:rFonts w:ascii="宋体" w:hAnsi="宋体" w:cs="宋体" w:eastAsia="宋体" w:hint="default"/>
                <w:sz w:val="21"/>
                <w:szCs w:val="21"/>
              </w:rPr>
              <w:t>万股；新华社天津分社持有天津银行（股票代码：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01578</w:t>
            </w:r>
            <w:r>
              <w:rPr>
                <w:rFonts w:ascii="宋体" w:hAnsi="宋体" w:cs="宋体" w:eastAsia="宋体" w:hint="default"/>
                <w:sz w:val="21"/>
                <w:szCs w:val="21"/>
              </w:rPr>
              <w:t>）</w:t>
            </w:r>
            <w:r>
              <w:rPr>
                <w:rFonts w:ascii="宋体" w:hAnsi="宋体" w:cs="宋体" w:eastAsia="宋体" w:hint="default"/>
                <w:sz w:val="21"/>
                <w:szCs w:val="21"/>
              </w:rPr>
              <w:t>28.49</w:t>
            </w:r>
            <w:r>
              <w:rPr>
                <w:rFonts w:ascii="宋体" w:hAnsi="宋体" w:cs="宋体" w:eastAsia="宋体" w:hint="default"/>
                <w:spacing w:val="-54"/>
                <w:sz w:val="21"/>
                <w:szCs w:val="21"/>
              </w:rPr>
              <w:t> </w:t>
            </w:r>
            <w:r>
              <w:rPr>
                <w:rFonts w:ascii="宋体" w:hAnsi="宋体" w:cs="宋体" w:eastAsia="宋体" w:hint="default"/>
                <w:sz w:val="21"/>
                <w:szCs w:val="21"/>
              </w:rPr>
              <w:t>万股。</w:t>
            </w:r>
          </w:p>
        </w:tc>
      </w:tr>
      <w:tr>
        <w:trPr>
          <w:trHeight w:val="284"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6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Heading2"/>
        <w:tabs>
          <w:tab w:pos="977" w:val="left" w:leader="none"/>
        </w:tabs>
        <w:spacing w:line="240" w:lineRule="auto" w:before="26"/>
        <w:ind w:left="558"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left="558" w:right="0"/>
        <w:jc w:val="left"/>
      </w:pPr>
      <w:r>
        <w:rPr/>
        <w:t>□适用</w:t>
      </w:r>
      <w:r>
        <w:rPr>
          <w:spacing w:val="-1"/>
        </w:rPr>
        <w:t> </w:t>
      </w:r>
      <w:r>
        <w:rPr/>
        <w:t>√不适用</w:t>
      </w:r>
    </w:p>
    <w:p>
      <w:pPr>
        <w:pStyle w:val="Heading2"/>
        <w:tabs>
          <w:tab w:pos="977" w:val="left" w:leader="none"/>
        </w:tabs>
        <w:spacing w:line="240" w:lineRule="auto" w:before="58"/>
        <w:ind w:left="558" w:right="0"/>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400" w:val="left" w:leader="none"/>
        </w:tabs>
        <w:spacing w:line="240" w:lineRule="auto" w:before="56"/>
        <w:ind w:left="558" w:right="0"/>
        <w:jc w:val="left"/>
      </w:pPr>
      <w:r>
        <w:rPr>
          <w:spacing w:val="-1"/>
        </w:rPr>
        <w:t>□适用</w:t>
        <w:tab/>
      </w:r>
      <w:r>
        <w:rPr>
          <w:spacing w:val="-2"/>
        </w:rPr>
        <w:t>√不适用</w:t>
      </w:r>
    </w:p>
    <w:p>
      <w:pPr>
        <w:pStyle w:val="Heading2"/>
        <w:tabs>
          <w:tab w:pos="977" w:val="left" w:leader="none"/>
        </w:tabs>
        <w:spacing w:line="240" w:lineRule="auto" w:before="58"/>
        <w:ind w:left="558" w:right="0"/>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400" w:val="left" w:leader="none"/>
        </w:tabs>
        <w:spacing w:line="240" w:lineRule="auto" w:before="56"/>
        <w:ind w:left="558" w:right="0"/>
        <w:jc w:val="left"/>
      </w:pPr>
      <w:r>
        <w:rPr>
          <w:spacing w:val="-1"/>
        </w:rPr>
        <w:t>□适用</w:t>
        <w:tab/>
      </w:r>
      <w:r>
        <w:rPr>
          <w:spacing w:val="-2"/>
        </w:rPr>
        <w:t>√不适用</w:t>
      </w:r>
    </w:p>
    <w:p>
      <w:pPr>
        <w:pStyle w:val="Heading2"/>
        <w:tabs>
          <w:tab w:pos="977" w:val="left" w:leader="none"/>
        </w:tabs>
        <w:spacing w:line="240" w:lineRule="auto" w:before="56"/>
        <w:ind w:left="558" w:right="0"/>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400" w:val="left" w:leader="none"/>
        </w:tabs>
        <w:spacing w:line="240" w:lineRule="auto" w:before="58"/>
        <w:ind w:left="558" w:right="0"/>
        <w:jc w:val="left"/>
      </w:pPr>
      <w:r>
        <w:rPr>
          <w:spacing w:val="-1"/>
        </w:rPr>
        <w:t>√适用</w:t>
        <w:tab/>
      </w:r>
      <w:r>
        <w:rPr>
          <w:spacing w:val="-2"/>
        </w:rPr>
        <w:t>□不适用</w:t>
      </w:r>
    </w:p>
    <w:p>
      <w:pPr>
        <w:spacing w:after="0" w:line="240" w:lineRule="auto"/>
        <w:jc w:val="left"/>
        <w:sectPr>
          <w:pgSz w:w="11910" w:h="16840"/>
          <w:pgMar w:header="880" w:footer="1195" w:top="1120" w:bottom="1380" w:left="1240" w:right="6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2475" w:lineRule="exact"/>
        <w:ind w:left="2398"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2824826" cy="157162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37" cstate="print"/>
                    <a:stretch>
                      <a:fillRect/>
                    </a:stretch>
                  </pic:blipFill>
                  <pic:spPr>
                    <a:xfrm>
                      <a:off x="0" y="0"/>
                      <a:ext cx="2824826" cy="1571625"/>
                    </a:xfrm>
                    <a:prstGeom prst="rect">
                      <a:avLst/>
                    </a:prstGeom>
                  </pic:spPr>
                </pic:pic>
              </a:graphicData>
            </a:graphic>
          </wp:inline>
        </w:drawing>
      </w:r>
      <w:r>
        <w:rPr>
          <w:rFonts w:ascii="宋体" w:hAnsi="宋体" w:cs="宋体" w:eastAsia="宋体" w:hint="default"/>
          <w:position w:val="-49"/>
          <w:sz w:val="20"/>
          <w:szCs w:val="20"/>
        </w:rPr>
      </w:r>
    </w:p>
    <w:p>
      <w:pPr>
        <w:pStyle w:val="Heading2"/>
        <w:tabs>
          <w:tab w:pos="642" w:val="left" w:leader="none"/>
        </w:tabs>
        <w:spacing w:line="266" w:lineRule="auto" w:before="41"/>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pStyle w:val="BodyText"/>
        <w:spacing w:line="240" w:lineRule="auto" w:before="34"/>
        <w:ind w:right="331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624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新华通讯社</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蔡名照</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1931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6"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宣传党的路线、方针、政策，反映群众的愿望和要求，正确引导国</w:t>
            </w:r>
          </w:p>
          <w:p>
            <w:pPr>
              <w:pStyle w:val="TableParagraph"/>
              <w:spacing w:line="240" w:lineRule="auto"/>
              <w:ind w:left="100" w:right="-5"/>
              <w:jc w:val="left"/>
              <w:rPr>
                <w:rFonts w:ascii="宋体" w:hAnsi="宋体" w:cs="宋体" w:eastAsia="宋体" w:hint="default"/>
                <w:sz w:val="21"/>
                <w:szCs w:val="21"/>
              </w:rPr>
            </w:pPr>
            <w:r>
              <w:rPr>
                <w:rFonts w:ascii="宋体" w:hAnsi="宋体" w:cs="宋体" w:eastAsia="宋体" w:hint="default"/>
                <w:spacing w:val="-7"/>
                <w:sz w:val="21"/>
                <w:szCs w:val="21"/>
              </w:rPr>
              <w:t>内外舆论。文字、图片、网络、音像新闻信息采集发布与相关服务、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相关报刊图书出版、国际新闻交流合作、社属单位管理。</w:t>
            </w:r>
          </w:p>
        </w:tc>
      </w:tr>
      <w:tr>
        <w:trPr>
          <w:trHeight w:val="164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报告期内控股和参股的其他</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境内外上市公司的股权情况</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6"/>
                <w:sz w:val="21"/>
                <w:szCs w:val="21"/>
              </w:rPr>
              <w:t> </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31</w:t>
            </w:r>
            <w:r>
              <w:rPr>
                <w:rFonts w:ascii="宋体" w:hAnsi="宋体" w:cs="宋体" w:eastAsia="宋体" w:hint="default"/>
                <w:spacing w:val="-46"/>
                <w:sz w:val="21"/>
                <w:szCs w:val="21"/>
              </w:rPr>
              <w:t> </w:t>
            </w:r>
            <w:r>
              <w:rPr>
                <w:rFonts w:ascii="宋体" w:hAnsi="宋体" w:cs="宋体" w:eastAsia="宋体" w:hint="default"/>
                <w:sz w:val="21"/>
                <w:szCs w:val="21"/>
              </w:rPr>
              <w:t>日，新华出版社持有山东出版（股票代码：</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601019</w:t>
            </w:r>
            <w:r>
              <w:rPr>
                <w:rFonts w:ascii="宋体" w:hAnsi="宋体" w:cs="宋体" w:eastAsia="宋体" w:hint="default"/>
                <w:sz w:val="21"/>
                <w:szCs w:val="21"/>
              </w:rPr>
              <w:t>）</w:t>
            </w:r>
            <w:r>
              <w:rPr>
                <w:rFonts w:ascii="宋体" w:hAnsi="宋体" w:cs="宋体" w:eastAsia="宋体" w:hint="default"/>
                <w:sz w:val="21"/>
                <w:szCs w:val="21"/>
              </w:rPr>
              <w:t>1970.64</w:t>
            </w:r>
            <w:r>
              <w:rPr>
                <w:rFonts w:ascii="宋体" w:hAnsi="宋体" w:cs="宋体" w:eastAsia="宋体" w:hint="default"/>
                <w:spacing w:val="72"/>
                <w:sz w:val="21"/>
                <w:szCs w:val="21"/>
              </w:rPr>
              <w:t> </w:t>
            </w:r>
            <w:r>
              <w:rPr>
                <w:rFonts w:ascii="宋体" w:hAnsi="宋体" w:cs="宋体" w:eastAsia="宋体" w:hint="default"/>
                <w:spacing w:val="3"/>
                <w:sz w:val="21"/>
                <w:szCs w:val="21"/>
              </w:rPr>
              <w:t>万股；中国图片社持有北京银行（股票代码：</w:t>
            </w:r>
          </w:p>
          <w:p>
            <w:pPr>
              <w:pStyle w:val="TableParagraph"/>
              <w:spacing w:line="237" w:lineRule="auto"/>
              <w:ind w:left="100" w:right="-5"/>
              <w:jc w:val="left"/>
              <w:rPr>
                <w:rFonts w:ascii="宋体" w:hAnsi="宋体" w:cs="宋体" w:eastAsia="宋体" w:hint="default"/>
                <w:sz w:val="21"/>
                <w:szCs w:val="21"/>
              </w:rPr>
            </w:pPr>
            <w:r>
              <w:rPr>
                <w:rFonts w:ascii="宋体" w:hAnsi="宋体" w:cs="宋体" w:eastAsia="宋体" w:hint="default"/>
                <w:sz w:val="21"/>
                <w:szCs w:val="21"/>
              </w:rPr>
              <w:t>601169</w:t>
            </w:r>
            <w:r>
              <w:rPr>
                <w:rFonts w:ascii="宋体" w:hAnsi="宋体" w:cs="宋体" w:eastAsia="宋体" w:hint="default"/>
                <w:sz w:val="21"/>
                <w:szCs w:val="21"/>
              </w:rPr>
              <w:t>）</w:t>
            </w:r>
            <w:r>
              <w:rPr>
                <w:rFonts w:ascii="宋体" w:hAnsi="宋体" w:cs="宋体" w:eastAsia="宋体" w:hint="default"/>
                <w:sz w:val="21"/>
                <w:szCs w:val="21"/>
              </w:rPr>
              <w:t>134.65 </w:t>
            </w:r>
            <w:r>
              <w:rPr>
                <w:rFonts w:ascii="宋体" w:hAnsi="宋体" w:cs="宋体" w:eastAsia="宋体" w:hint="default"/>
                <w:sz w:val="21"/>
                <w:szCs w:val="21"/>
              </w:rPr>
              <w:t>万股；新华社亚太总分社持有华泰瑞银（股票代</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6"/>
                <w:sz w:val="21"/>
                <w:szCs w:val="21"/>
              </w:rPr>
              <w:t>码：</w:t>
            </w:r>
            <w:r>
              <w:rPr>
                <w:rFonts w:ascii="宋体" w:hAnsi="宋体" w:cs="宋体" w:eastAsia="宋体" w:hint="default"/>
                <w:spacing w:val="-6"/>
                <w:sz w:val="21"/>
                <w:szCs w:val="21"/>
              </w:rPr>
              <w:t>08006</w:t>
            </w:r>
            <w:r>
              <w:rPr>
                <w:rFonts w:ascii="宋体" w:hAnsi="宋体" w:cs="宋体" w:eastAsia="宋体" w:hint="default"/>
                <w:spacing w:val="-6"/>
                <w:sz w:val="21"/>
                <w:szCs w:val="21"/>
              </w:rPr>
              <w:t>）</w:t>
            </w:r>
            <w:r>
              <w:rPr>
                <w:rFonts w:ascii="宋体" w:hAnsi="宋体" w:cs="宋体" w:eastAsia="宋体" w:hint="default"/>
                <w:spacing w:val="-6"/>
                <w:sz w:val="21"/>
                <w:szCs w:val="21"/>
              </w:rPr>
              <w:t>38.8</w:t>
            </w:r>
            <w:r>
              <w:rPr>
                <w:rFonts w:ascii="宋体" w:hAnsi="宋体" w:cs="宋体" w:eastAsia="宋体" w:hint="default"/>
                <w:spacing w:val="-23"/>
                <w:sz w:val="21"/>
                <w:szCs w:val="21"/>
              </w:rPr>
              <w:t> </w:t>
            </w:r>
            <w:r>
              <w:rPr>
                <w:rFonts w:ascii="宋体" w:hAnsi="宋体" w:cs="宋体" w:eastAsia="宋体" w:hint="default"/>
                <w:spacing w:val="-4"/>
                <w:sz w:val="21"/>
                <w:szCs w:val="21"/>
              </w:rPr>
              <w:t>万股；新华社上海分社持有豫园股份（股票代码：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
                <w:sz w:val="21"/>
                <w:szCs w:val="21"/>
              </w:rPr>
              <w:t>600655</w:t>
            </w:r>
            <w:r>
              <w:rPr>
                <w:rFonts w:ascii="宋体" w:hAnsi="宋体" w:cs="宋体" w:eastAsia="宋体" w:hint="default"/>
                <w:spacing w:val="-1"/>
                <w:sz w:val="21"/>
                <w:szCs w:val="21"/>
              </w:rPr>
              <w:t>）</w:t>
            </w:r>
            <w:r>
              <w:rPr>
                <w:rFonts w:ascii="宋体" w:hAnsi="宋体" w:cs="宋体" w:eastAsia="宋体" w:hint="default"/>
                <w:spacing w:val="-1"/>
                <w:sz w:val="21"/>
                <w:szCs w:val="21"/>
              </w:rPr>
              <w:t>36.73</w:t>
            </w:r>
            <w:r>
              <w:rPr>
                <w:rFonts w:ascii="宋体" w:hAnsi="宋体" w:cs="宋体" w:eastAsia="宋体" w:hint="default"/>
                <w:spacing w:val="1"/>
                <w:sz w:val="21"/>
                <w:szCs w:val="21"/>
              </w:rPr>
              <w:t> </w:t>
            </w:r>
            <w:r>
              <w:rPr>
                <w:rFonts w:ascii="宋体" w:hAnsi="宋体" w:cs="宋体" w:eastAsia="宋体" w:hint="default"/>
                <w:spacing w:val="-2"/>
                <w:sz w:val="21"/>
                <w:szCs w:val="21"/>
              </w:rPr>
              <w:t>万股；新华社天津分社持有天津银行（股票代码：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01578</w:t>
            </w:r>
            <w:r>
              <w:rPr>
                <w:rFonts w:ascii="宋体" w:hAnsi="宋体" w:cs="宋体" w:eastAsia="宋体" w:hint="default"/>
                <w:sz w:val="21"/>
                <w:szCs w:val="21"/>
              </w:rPr>
              <w:t>）</w:t>
            </w:r>
            <w:r>
              <w:rPr>
                <w:rFonts w:ascii="宋体" w:hAnsi="宋体" w:cs="宋体" w:eastAsia="宋体" w:hint="default"/>
                <w:sz w:val="21"/>
                <w:szCs w:val="21"/>
              </w:rPr>
              <w:t>28.49</w:t>
            </w:r>
            <w:r>
              <w:rPr>
                <w:rFonts w:ascii="宋体" w:hAnsi="宋体" w:cs="宋体" w:eastAsia="宋体" w:hint="default"/>
                <w:spacing w:val="-54"/>
                <w:sz w:val="21"/>
                <w:szCs w:val="21"/>
              </w:rPr>
              <w:t> </w:t>
            </w:r>
            <w:r>
              <w:rPr>
                <w:rFonts w:ascii="宋体" w:hAnsi="宋体" w:cs="宋体" w:eastAsia="宋体" w:hint="default"/>
                <w:sz w:val="21"/>
                <w:szCs w:val="21"/>
              </w:rPr>
              <w:t>万股。</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6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Heading2"/>
        <w:tabs>
          <w:tab w:pos="642" w:val="left" w:leader="none"/>
        </w:tabs>
        <w:spacing w:line="240" w:lineRule="auto" w:before="26"/>
        <w:ind w:right="3319"/>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56"/>
        <w:ind w:right="3319"/>
        <w:jc w:val="left"/>
      </w:pPr>
      <w:r>
        <w:rPr/>
        <w:t>□适用</w:t>
      </w:r>
      <w:r>
        <w:rPr>
          <w:spacing w:val="-1"/>
        </w:rPr>
        <w:t> </w:t>
      </w:r>
      <w:r>
        <w:rPr/>
        <w:t>√不适用</w:t>
      </w:r>
    </w:p>
    <w:p>
      <w:pPr>
        <w:pStyle w:val="Heading2"/>
        <w:tabs>
          <w:tab w:pos="642" w:val="left" w:leader="none"/>
        </w:tabs>
        <w:spacing w:line="240" w:lineRule="auto" w:before="58"/>
        <w:ind w:right="3319"/>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60" w:val="left" w:leader="none"/>
        </w:tabs>
        <w:spacing w:line="240" w:lineRule="auto" w:before="56"/>
        <w:ind w:right="3319"/>
        <w:jc w:val="left"/>
      </w:pPr>
      <w:r>
        <w:rPr>
          <w:spacing w:val="-1"/>
        </w:rPr>
        <w:t>□适用</w:t>
        <w:tab/>
      </w:r>
      <w:r>
        <w:rPr>
          <w:spacing w:val="-2"/>
        </w:rPr>
        <w:t>√不适用</w:t>
      </w:r>
    </w:p>
    <w:p>
      <w:pPr>
        <w:pStyle w:val="Heading2"/>
        <w:tabs>
          <w:tab w:pos="642" w:val="left" w:leader="none"/>
        </w:tabs>
        <w:spacing w:line="240" w:lineRule="auto" w:before="58"/>
        <w:ind w:right="3319"/>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60" w:val="left" w:leader="none"/>
        </w:tabs>
        <w:spacing w:line="240" w:lineRule="auto" w:before="56"/>
        <w:ind w:right="3319"/>
        <w:jc w:val="left"/>
      </w:pPr>
      <w:r>
        <w:rPr>
          <w:spacing w:val="-1"/>
        </w:rPr>
        <w:t>□适用</w:t>
        <w:tab/>
      </w:r>
      <w:r>
        <w:rPr>
          <w:spacing w:val="-2"/>
        </w:rPr>
        <w:t>√不适用</w:t>
      </w:r>
    </w:p>
    <w:p>
      <w:pPr>
        <w:pStyle w:val="Heading2"/>
        <w:tabs>
          <w:tab w:pos="642" w:val="left" w:leader="none"/>
        </w:tabs>
        <w:spacing w:line="240" w:lineRule="auto" w:before="58"/>
        <w:ind w:right="3319"/>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60" w:val="left" w:leader="none"/>
        </w:tabs>
        <w:spacing w:line="240" w:lineRule="auto" w:before="56"/>
        <w:ind w:right="3319"/>
        <w:jc w:val="left"/>
      </w:pPr>
      <w:r>
        <w:rPr>
          <w:spacing w:val="-1"/>
        </w:rPr>
        <w:t>√适用</w:t>
        <w:tab/>
      </w:r>
      <w:r>
        <w:rPr>
          <w:spacing w:val="-2"/>
        </w:rPr>
        <w:t>□不适用</w:t>
      </w:r>
    </w:p>
    <w:p>
      <w:pPr>
        <w:spacing w:line="240" w:lineRule="auto" w:before="5"/>
        <w:rPr>
          <w:rFonts w:ascii="宋体" w:hAnsi="宋体" w:cs="宋体" w:eastAsia="宋体" w:hint="default"/>
          <w:sz w:val="2"/>
          <w:szCs w:val="2"/>
        </w:rPr>
      </w:pPr>
    </w:p>
    <w:p>
      <w:pPr>
        <w:spacing w:line="2461" w:lineRule="exact"/>
        <w:ind w:left="2441"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2811067" cy="1563243"/>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8" cstate="print"/>
                    <a:stretch>
                      <a:fillRect/>
                    </a:stretch>
                  </pic:blipFill>
                  <pic:spPr>
                    <a:xfrm>
                      <a:off x="0" y="0"/>
                      <a:ext cx="2811067" cy="1563243"/>
                    </a:xfrm>
                    <a:prstGeom prst="rect">
                      <a:avLst/>
                    </a:prstGeom>
                  </pic:spPr>
                </pic:pic>
              </a:graphicData>
            </a:graphic>
          </wp:inline>
        </w:drawing>
      </w:r>
      <w:r>
        <w:rPr>
          <w:rFonts w:ascii="宋体" w:hAnsi="宋体" w:cs="宋体" w:eastAsia="宋体" w:hint="default"/>
          <w:position w:val="-48"/>
          <w:sz w:val="20"/>
          <w:szCs w:val="20"/>
        </w:rPr>
      </w:r>
    </w:p>
    <w:p>
      <w:pPr>
        <w:spacing w:line="240" w:lineRule="auto" w:before="4"/>
        <w:rPr>
          <w:rFonts w:ascii="宋体" w:hAnsi="宋体" w:cs="宋体" w:eastAsia="宋体" w:hint="default"/>
          <w:sz w:val="21"/>
          <w:szCs w:val="21"/>
        </w:rPr>
      </w:pPr>
    </w:p>
    <w:p>
      <w:pPr>
        <w:pStyle w:val="Heading2"/>
        <w:tabs>
          <w:tab w:pos="642" w:val="left" w:leader="none"/>
        </w:tabs>
        <w:spacing w:line="240" w:lineRule="auto" w:before="0"/>
        <w:ind w:right="3319"/>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1060" w:val="left" w:leader="none"/>
        </w:tabs>
        <w:spacing w:line="240" w:lineRule="auto" w:before="56"/>
        <w:ind w:right="3319"/>
        <w:jc w:val="left"/>
      </w:pPr>
      <w:r>
        <w:rPr>
          <w:spacing w:val="-1"/>
        </w:rPr>
        <w:t>□适用</w:t>
        <w:tab/>
      </w:r>
      <w:r>
        <w:rPr>
          <w:spacing w:val="-2"/>
        </w:rPr>
        <w:t>√不适用</w:t>
      </w:r>
    </w:p>
    <w:p>
      <w:pPr>
        <w:spacing w:after="0" w:line="240" w:lineRule="auto"/>
        <w:jc w:val="left"/>
        <w:sectPr>
          <w:pgSz w:w="11910" w:h="16840"/>
          <w:pgMar w:header="880" w:footer="1195"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ind w:left="138" w:right="12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980" w:val="left" w:leader="none"/>
        </w:tabs>
        <w:spacing w:line="240" w:lineRule="auto" w:before="32"/>
        <w:ind w:left="138" w:right="125"/>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left="138" w:right="125"/>
        <w:jc w:val="left"/>
        <w:rPr>
          <w:b w:val="0"/>
          <w:bCs w:val="0"/>
        </w:rPr>
      </w:pPr>
      <w:r>
        <w:rPr/>
        <w:t>五、</w:t>
      </w:r>
      <w:r>
        <w:rPr>
          <w:spacing w:val="-78"/>
        </w:rPr>
        <w:t> </w:t>
      </w:r>
      <w:r>
        <w:rPr/>
        <w:t>其他持股在百分之十以上的法人股东</w:t>
      </w:r>
      <w:r>
        <w:rPr>
          <w:b w:val="0"/>
          <w:bCs w:val="0"/>
        </w:rPr>
      </w:r>
    </w:p>
    <w:p>
      <w:pPr>
        <w:pStyle w:val="BodyText"/>
        <w:spacing w:line="240" w:lineRule="auto" w:before="56"/>
        <w:ind w:left="138" w:right="125"/>
        <w:jc w:val="left"/>
      </w:pPr>
      <w:r>
        <w:rPr/>
        <w:t>□适用</w:t>
      </w:r>
      <w:r>
        <w:rPr>
          <w:spacing w:val="-1"/>
        </w:rPr>
        <w:t> </w:t>
      </w:r>
      <w:r>
        <w:rPr/>
        <w:t>√不适用</w:t>
      </w:r>
    </w:p>
    <w:p>
      <w:pPr>
        <w:pStyle w:val="Heading2"/>
        <w:spacing w:line="240" w:lineRule="auto" w:before="58"/>
        <w:ind w:left="138" w:right="125"/>
        <w:jc w:val="left"/>
        <w:rPr>
          <w:b w:val="0"/>
          <w:bCs w:val="0"/>
        </w:rPr>
      </w:pPr>
      <w:r>
        <w:rPr/>
        <w:t>六、</w:t>
      </w:r>
      <w:r>
        <w:rPr>
          <w:spacing w:val="-77"/>
        </w:rPr>
        <w:t> </w:t>
      </w:r>
      <w:r>
        <w:rPr/>
        <w:t>股份限制减持情况说明</w:t>
      </w:r>
      <w:r>
        <w:rPr>
          <w:b w:val="0"/>
          <w:bCs w:val="0"/>
        </w:rPr>
      </w:r>
    </w:p>
    <w:p>
      <w:pPr>
        <w:pStyle w:val="BodyText"/>
        <w:spacing w:line="240" w:lineRule="auto" w:before="56"/>
        <w:ind w:left="138" w:right="125"/>
        <w:jc w:val="left"/>
      </w:pPr>
      <w:r>
        <w:rPr/>
        <w:t>□适用</w:t>
      </w:r>
      <w:r>
        <w:rPr>
          <w:spacing w:val="-1"/>
        </w:rPr>
        <w:t> </w:t>
      </w:r>
      <w:r>
        <w:rPr/>
        <w:t>√不适用</w:t>
      </w:r>
    </w:p>
    <w:p>
      <w:pPr>
        <w:spacing w:line="240" w:lineRule="auto" w:before="0"/>
        <w:rPr>
          <w:rFonts w:ascii="宋体" w:hAnsi="宋体" w:cs="宋体" w:eastAsia="宋体" w:hint="default"/>
          <w:sz w:val="23"/>
          <w:szCs w:val="23"/>
        </w:rPr>
      </w:pPr>
    </w:p>
    <w:p>
      <w:pPr>
        <w:pStyle w:val="Heading1"/>
        <w:tabs>
          <w:tab w:pos="4199" w:val="left" w:leader="none"/>
        </w:tabs>
        <w:spacing w:line="240" w:lineRule="auto" w:before="0"/>
        <w:ind w:left="2939" w:right="125"/>
        <w:jc w:val="left"/>
        <w:rPr>
          <w:b w:val="0"/>
          <w:bCs w:val="0"/>
        </w:rPr>
      </w:pPr>
      <w:bookmarkStart w:name="_TOC_250005" w:id="7"/>
      <w:r>
        <w:rPr>
          <w:w w:val="95"/>
        </w:rPr>
        <w:t>第七节</w:t>
        <w:tab/>
      </w:r>
      <w:r>
        <w:rPr/>
        <w:t>优先股相关情况</w:t>
      </w:r>
      <w:bookmarkEnd w:id="7"/>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125"/>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1"/>
        <w:tabs>
          <w:tab w:pos="5657" w:val="left" w:leader="none"/>
        </w:tabs>
        <w:spacing w:line="240" w:lineRule="auto"/>
        <w:ind w:left="4397"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9"/>
          <w:footerReference w:type="default" r:id="rId40"/>
          <w:pgSz w:w="16840" w:h="11910" w:orient="landscape"/>
          <w:pgMar w:header="880" w:footer="1195" w:top="1120" w:bottom="1380" w:left="960" w:right="1040"/>
          <w:pgNumType w:start="57"/>
        </w:sectPr>
      </w:pPr>
    </w:p>
    <w:p>
      <w:pPr>
        <w:pStyle w:val="Heading2"/>
        <w:spacing w:line="240" w:lineRule="auto"/>
        <w:ind w:left="480" w:right="-15"/>
        <w:jc w:val="left"/>
        <w:rPr>
          <w:b w:val="0"/>
          <w:bCs w:val="0"/>
        </w:rPr>
      </w:pPr>
      <w:r>
        <w:rPr/>
        <w:t>一、持股变动情况及报酬情况</w:t>
      </w:r>
      <w:r>
        <w:rPr>
          <w:b w:val="0"/>
          <w:bCs w:val="0"/>
        </w:rPr>
      </w:r>
    </w:p>
    <w:p>
      <w:pPr>
        <w:pStyle w:val="Heading2"/>
        <w:spacing w:line="240" w:lineRule="auto" w:before="56"/>
        <w:ind w:left="480"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48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480" w:right="0"/>
        <w:jc w:val="left"/>
      </w:pPr>
      <w:r>
        <w:rPr/>
        <w:t>单位：股</w:t>
      </w:r>
    </w:p>
    <w:p>
      <w:pPr>
        <w:spacing w:after="0" w:line="240" w:lineRule="auto"/>
        <w:jc w:val="left"/>
        <w:sectPr>
          <w:type w:val="continuous"/>
          <w:pgSz w:w="16840" w:h="11910" w:orient="landscape"/>
          <w:pgMar w:top="1120" w:bottom="1380" w:left="960" w:right="1040"/>
          <w:cols w:num="2" w:equalWidth="0">
            <w:col w:w="7227" w:space="5807"/>
            <w:col w:w="1806"/>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94"/>
        <w:gridCol w:w="2126"/>
        <w:gridCol w:w="709"/>
        <w:gridCol w:w="710"/>
        <w:gridCol w:w="1985"/>
        <w:gridCol w:w="1841"/>
        <w:gridCol w:w="994"/>
        <w:gridCol w:w="1136"/>
        <w:gridCol w:w="1133"/>
        <w:gridCol w:w="850"/>
        <w:gridCol w:w="1136"/>
        <w:gridCol w:w="991"/>
      </w:tblGrid>
      <w:tr>
        <w:trPr>
          <w:trHeight w:val="137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80" w:right="173"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55" w:right="140"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41" w:right="137"/>
              <w:jc w:val="center"/>
              <w:rPr>
                <w:rFonts w:ascii="宋体" w:hAnsi="宋体" w:cs="宋体" w:eastAsia="宋体" w:hint="default"/>
                <w:sz w:val="21"/>
                <w:szCs w:val="21"/>
              </w:rPr>
            </w:pPr>
            <w:r>
              <w:rPr>
                <w:rFonts w:ascii="宋体" w:hAnsi="宋体" w:cs="宋体" w:eastAsia="宋体" w:hint="default"/>
                <w:sz w:val="21"/>
                <w:szCs w:val="21"/>
              </w:rPr>
              <w:t>年度内股</w:t>
            </w:r>
            <w:r>
              <w:rPr>
                <w:rFonts w:ascii="宋体" w:hAnsi="宋体" w:cs="宋体" w:eastAsia="宋体" w:hint="default"/>
                <w:w w:val="100"/>
                <w:sz w:val="21"/>
                <w:szCs w:val="21"/>
              </w:rPr>
              <w:t> </w:t>
            </w:r>
            <w:r>
              <w:rPr>
                <w:rFonts w:ascii="宋体" w:hAnsi="宋体" w:cs="宋体" w:eastAsia="宋体" w:hint="default"/>
                <w:sz w:val="21"/>
                <w:szCs w:val="21"/>
              </w:rPr>
              <w:t>份增减变</w:t>
            </w:r>
            <w:r>
              <w:rPr>
                <w:rFonts w:ascii="宋体" w:hAnsi="宋体" w:cs="宋体" w:eastAsia="宋体" w:hint="default"/>
                <w:w w:val="100"/>
                <w:sz w:val="21"/>
                <w:szCs w:val="21"/>
              </w:rPr>
              <w:t> </w:t>
            </w:r>
            <w:r>
              <w:rPr>
                <w:rFonts w:ascii="宋体" w:hAnsi="宋体" w:cs="宋体" w:eastAsia="宋体" w:hint="default"/>
                <w:sz w:val="21"/>
                <w:szCs w:val="21"/>
              </w:rPr>
              <w:t>动量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3" w:right="101"/>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both"/>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37" w:lineRule="auto"/>
              <w:ind w:left="141" w:right="139"/>
              <w:jc w:val="both"/>
              <w:rPr>
                <w:rFonts w:ascii="宋体" w:hAnsi="宋体" w:cs="宋体" w:eastAsia="宋体" w:hint="default"/>
                <w:sz w:val="21"/>
                <w:szCs w:val="21"/>
              </w:rPr>
            </w:pPr>
            <w:r>
              <w:rPr>
                <w:rFonts w:ascii="宋体" w:hAnsi="宋体" w:cs="宋体" w:eastAsia="宋体" w:hint="default"/>
                <w:sz w:val="21"/>
                <w:szCs w:val="21"/>
              </w:rPr>
              <w:t>从公司获</w:t>
            </w:r>
            <w:r>
              <w:rPr>
                <w:rFonts w:ascii="宋体" w:hAnsi="宋体" w:cs="宋体" w:eastAsia="宋体" w:hint="default"/>
                <w:w w:val="100"/>
                <w:sz w:val="21"/>
                <w:szCs w:val="21"/>
              </w:rPr>
              <w:t> </w:t>
            </w:r>
            <w:r>
              <w:rPr>
                <w:rFonts w:ascii="宋体" w:hAnsi="宋体" w:cs="宋体" w:eastAsia="宋体" w:hint="default"/>
                <w:sz w:val="21"/>
                <w:szCs w:val="21"/>
              </w:rPr>
              <w:t>得的税前</w:t>
            </w:r>
            <w:r>
              <w:rPr>
                <w:rFonts w:ascii="宋体" w:hAnsi="宋体" w:cs="宋体" w:eastAsia="宋体" w:hint="default"/>
                <w:spacing w:val="-3"/>
                <w:w w:val="100"/>
                <w:sz w:val="21"/>
                <w:szCs w:val="21"/>
              </w:rPr>
              <w:t> </w:t>
            </w:r>
            <w:r>
              <w:rPr>
                <w:rFonts w:ascii="宋体" w:hAnsi="宋体" w:cs="宋体" w:eastAsia="宋体" w:hint="default"/>
                <w:sz w:val="21"/>
                <w:szCs w:val="21"/>
              </w:rPr>
              <w:t>报酬总额</w:t>
            </w:r>
          </w:p>
          <w:p>
            <w:pPr>
              <w:pStyle w:val="TableParagraph"/>
              <w:spacing w:line="274" w:lineRule="exact"/>
              <w:ind w:left="141" w:right="0"/>
              <w:jc w:val="both"/>
              <w:rPr>
                <w:rFonts w:ascii="宋体" w:hAnsi="宋体" w:cs="宋体" w:eastAsia="宋体" w:hint="default"/>
                <w:sz w:val="21"/>
                <w:szCs w:val="21"/>
              </w:rPr>
            </w:pPr>
            <w:r>
              <w:rPr>
                <w:rFonts w:ascii="宋体" w:hAnsi="宋体" w:cs="宋体" w:eastAsia="宋体" w:hint="default"/>
                <w:sz w:val="21"/>
                <w:szCs w:val="21"/>
              </w:rPr>
              <w:t>（万元）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5" w:right="170"/>
              <w:jc w:val="both"/>
              <w:rPr>
                <w:rFonts w:ascii="宋体" w:hAnsi="宋体" w:cs="宋体" w:eastAsia="宋体" w:hint="default"/>
                <w:sz w:val="21"/>
                <w:szCs w:val="21"/>
              </w:rPr>
            </w:pPr>
            <w:r>
              <w:rPr>
                <w:rFonts w:ascii="宋体" w:hAnsi="宋体" w:cs="宋体" w:eastAsia="宋体" w:hint="default"/>
                <w:sz w:val="21"/>
                <w:szCs w:val="21"/>
              </w:rPr>
              <w:t>是否在</w:t>
            </w:r>
            <w:r>
              <w:rPr>
                <w:rFonts w:ascii="宋体" w:hAnsi="宋体" w:cs="宋体" w:eastAsia="宋体" w:hint="default"/>
                <w:spacing w:val="-102"/>
                <w:sz w:val="21"/>
                <w:szCs w:val="21"/>
              </w:rPr>
              <w:t> </w:t>
            </w: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田舒斌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董事长、总裁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郭奔胜</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董事、总编辑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魏紫川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董事、常务副总裁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48.71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丁平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申江婴</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叶芝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33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刘海涛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张英海</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吴振华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谭玉平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孙巍</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职工监事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李清荣</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杨庆兵</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副总裁、董事会秘书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52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陈宇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48.71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任劼</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41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w w:val="100"/>
                <w:sz w:val="21"/>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7"/>
              <w:jc w:val="right"/>
              <w:rPr>
                <w:rFonts w:ascii="宋体" w:hAnsi="宋体" w:cs="宋体" w:eastAsia="宋体" w:hint="default"/>
                <w:sz w:val="21"/>
                <w:szCs w:val="21"/>
              </w:rPr>
            </w:pPr>
            <w:r>
              <w:rPr>
                <w:rFonts w:ascii="宋体"/>
                <w:w w:val="100"/>
                <w:sz w:val="21"/>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8" w:right="0"/>
              <w:jc w:val="left"/>
              <w:rPr>
                <w:rFonts w:ascii="宋体" w:hAnsi="宋体" w:cs="宋体" w:eastAsia="宋体" w:hint="default"/>
                <w:sz w:val="21"/>
                <w:szCs w:val="21"/>
              </w:rPr>
            </w:pPr>
            <w:r>
              <w:rPr>
                <w:rFonts w:ascii="宋体"/>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552.41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after="0" w:line="243" w:lineRule="exact"/>
        <w:jc w:val="center"/>
        <w:rPr>
          <w:rFonts w:ascii="宋体" w:hAnsi="宋体" w:cs="宋体" w:eastAsia="宋体" w:hint="default"/>
          <w:sz w:val="21"/>
          <w:szCs w:val="21"/>
        </w:rPr>
        <w:sectPr>
          <w:type w:val="continuous"/>
          <w:pgSz w:w="16840" w:h="11910" w:orient="landscape"/>
          <w:pgMar w:top="1120" w:bottom="1380" w:left="96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078"/>
        <w:gridCol w:w="13536"/>
      </w:tblGrid>
      <w:tr>
        <w:trPr>
          <w:trHeight w:val="281"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1099"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田舒斌</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月，任新华网络副董事长、总裁；</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月，兼任盘古文化董事长；</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本公司第一届董事会副董事长；</w:t>
            </w:r>
            <w:r>
              <w:rPr>
                <w:rFonts w:ascii="宋体" w:hAnsi="宋体" w:cs="宋体" w:eastAsia="宋体" w:hint="default"/>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pacing w:val="-4"/>
                <w:sz w:val="21"/>
                <w:szCs w:val="21"/>
              </w:rPr>
              <w:t>月至今，任本公司总裁；</w:t>
            </w:r>
            <w:r>
              <w:rPr>
                <w:rFonts w:ascii="宋体" w:hAnsi="宋体" w:cs="宋体" w:eastAsia="宋体" w:hint="default"/>
                <w:spacing w:val="-4"/>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4"/>
                <w:sz w:val="21"/>
                <w:szCs w:val="21"/>
              </w:rPr>
              <w:t>月，兼任新搜文化董事长；</w:t>
            </w:r>
            <w:r>
              <w:rPr>
                <w:rFonts w:ascii="宋体" w:hAnsi="宋体" w:cs="宋体" w:eastAsia="宋体" w:hint="default"/>
                <w:spacing w:val="-4"/>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月当选中国记协</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理事；</w:t>
            </w:r>
            <w:r>
              <w:rPr>
                <w:rFonts w:ascii="宋体" w:hAnsi="宋体" w:cs="宋体" w:eastAsia="宋体" w:hint="default"/>
                <w:spacing w:val="-3"/>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pacing w:val="-3"/>
                <w:sz w:val="21"/>
                <w:szCs w:val="21"/>
              </w:rPr>
              <w:t>月，任本公司党组书记；</w:t>
            </w:r>
            <w:r>
              <w:rPr>
                <w:rFonts w:ascii="宋体" w:hAnsi="宋体" w:cs="宋体" w:eastAsia="宋体" w:hint="default"/>
                <w:spacing w:val="-3"/>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pacing w:val="-3"/>
                <w:sz w:val="21"/>
                <w:szCs w:val="21"/>
              </w:rPr>
              <w:t>月至今，任本公司党委书记；</w:t>
            </w:r>
            <w:r>
              <w:rPr>
                <w:rFonts w:ascii="宋体" w:hAnsi="宋体" w:cs="宋体" w:eastAsia="宋体" w:hint="default"/>
                <w:spacing w:val="-3"/>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pacing w:val="-3"/>
                <w:sz w:val="21"/>
                <w:szCs w:val="21"/>
              </w:rPr>
              <w:t>月，任本公司第二届董事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会副董事长；</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月，任本公司第二届董事会董事长；</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月至今，任本公司第三届董事会董事长、总裁。</w:t>
            </w:r>
          </w:p>
        </w:tc>
      </w:tr>
      <w:tr>
        <w:trPr>
          <w:trHeight w:val="829"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郭奔胜</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月，在新华社江苏分社工作，历任机要秘书、记者、副总编辑、常务副总编辑、党组成员；</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p>
            <w:pPr>
              <w:pStyle w:val="TableParagraph"/>
              <w:spacing w:line="240" w:lineRule="auto"/>
              <w:ind w:left="103" w:right="79"/>
              <w:jc w:val="left"/>
              <w:rPr>
                <w:rFonts w:ascii="宋体" w:hAnsi="宋体" w:cs="宋体" w:eastAsia="宋体" w:hint="default"/>
                <w:sz w:val="21"/>
                <w:szCs w:val="21"/>
              </w:rPr>
            </w:pPr>
            <w:r>
              <w:rPr>
                <w:rFonts w:ascii="宋体" w:hAnsi="宋体" w:cs="宋体" w:eastAsia="宋体" w:hint="default"/>
                <w:sz w:val="21"/>
                <w:szCs w:val="21"/>
              </w:rPr>
              <w:t>在新华社福建分社工作，任副社长、党组成员、总编辑；</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月至今任本公司党委副书记；</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月至今，任本公司第三届董事会董事、</w:t>
            </w:r>
            <w:r>
              <w:rPr>
                <w:rFonts w:ascii="宋体" w:hAnsi="宋体" w:cs="宋体" w:eastAsia="宋体" w:hint="default"/>
                <w:w w:val="100"/>
                <w:sz w:val="21"/>
                <w:szCs w:val="21"/>
              </w:rPr>
              <w:t> </w:t>
            </w:r>
            <w:r>
              <w:rPr>
                <w:rFonts w:ascii="宋体" w:hAnsi="宋体" w:cs="宋体" w:eastAsia="宋体" w:hint="default"/>
                <w:sz w:val="21"/>
                <w:szCs w:val="21"/>
              </w:rPr>
              <w:t>总编辑。</w:t>
            </w:r>
          </w:p>
        </w:tc>
      </w:tr>
      <w:tr>
        <w:trPr>
          <w:trHeight w:val="1099"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魏紫川</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4"/>
                <w:sz w:val="21"/>
                <w:szCs w:val="21"/>
              </w:rPr>
              <w:t>月，任新华网络副总裁；</w:t>
            </w:r>
            <w:r>
              <w:rPr>
                <w:rFonts w:ascii="宋体" w:hAnsi="宋体" w:cs="宋体" w:eastAsia="宋体" w:hint="default"/>
                <w:spacing w:val="-4"/>
                <w:sz w:val="21"/>
                <w:szCs w:val="21"/>
              </w:rPr>
              <w:t>2010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4"/>
                <w:sz w:val="21"/>
                <w:szCs w:val="21"/>
              </w:rPr>
              <w:t>月，任新华网络董事；</w:t>
            </w:r>
            <w:r>
              <w:rPr>
                <w:rFonts w:ascii="宋体" w:hAnsi="宋体" w:cs="宋体" w:eastAsia="宋体" w:hint="default"/>
                <w:spacing w:val="-4"/>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pacing w:val="-3"/>
                <w:sz w:val="21"/>
                <w:szCs w:val="21"/>
              </w:rPr>
              <w:t>月，任本公司第一届董</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事会董事兼副总裁；</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月，兼任新搜文化董事；</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月，任本公司党组成员；</w:t>
            </w:r>
            <w:r>
              <w:rPr>
                <w:rFonts w:ascii="宋体" w:hAnsi="宋体" w:cs="宋体" w:eastAsia="宋体" w:hint="default"/>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月，任本公司党委委员；</w:t>
            </w:r>
            <w:r>
              <w:rPr>
                <w:rFonts w:ascii="宋体" w:hAnsi="宋体" w:cs="宋体" w:eastAsia="宋体" w:hint="default"/>
                <w:spacing w:val="-3"/>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pacing w:val="-3"/>
                <w:sz w:val="21"/>
                <w:szCs w:val="21"/>
              </w:rPr>
              <w:t>月至今，任本公司党委常委；</w:t>
            </w:r>
            <w:r>
              <w:rPr>
                <w:rFonts w:ascii="宋体" w:hAnsi="宋体" w:cs="宋体" w:eastAsia="宋体" w:hint="default"/>
                <w:spacing w:val="-3"/>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pacing w:val="-3"/>
                <w:sz w:val="21"/>
                <w:szCs w:val="21"/>
              </w:rPr>
              <w:t>月，任本公司第二届董事会董事；</w:t>
            </w:r>
            <w:r>
              <w:rPr>
                <w:rFonts w:ascii="宋体" w:hAnsi="宋体" w:cs="宋体" w:eastAsia="宋体" w:hint="default"/>
                <w:spacing w:val="-3"/>
                <w:sz w:val="21"/>
                <w:szCs w:val="21"/>
              </w:rPr>
              <w:t>2014</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月，任本公司副总裁；</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月，任本公司常务副总裁；</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月起，任本公司第三届董事会董事、常务副总裁。</w:t>
            </w:r>
          </w:p>
        </w:tc>
      </w:tr>
      <w:tr>
        <w:trPr>
          <w:trHeight w:val="1099"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丁平</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月，任新华网络财务总监；</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月，任本公司财务总监；</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月，兼任本公司行</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政总监；</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月，兼任炫彩公司董事长；</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月，任本公司党委委员；</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月至今，任本公司党委</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3"/>
                <w:sz w:val="21"/>
                <w:szCs w:val="21"/>
              </w:rPr>
              <w:t>常委；</w:t>
            </w:r>
            <w:r>
              <w:rPr>
                <w:rFonts w:ascii="宋体" w:hAnsi="宋体" w:cs="宋体" w:eastAsia="宋体" w:hint="default"/>
                <w:spacing w:val="-3"/>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pacing w:val="-4"/>
                <w:sz w:val="21"/>
                <w:szCs w:val="21"/>
              </w:rPr>
              <w:t>月，任本公司副总裁；</w:t>
            </w:r>
            <w:r>
              <w:rPr>
                <w:rFonts w:ascii="宋体" w:hAnsi="宋体" w:cs="宋体" w:eastAsia="宋体" w:hint="default"/>
                <w:spacing w:val="-4"/>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pacing w:val="-3"/>
                <w:sz w:val="21"/>
                <w:szCs w:val="21"/>
              </w:rPr>
              <w:t>月，任本公司第二届董事会董事；</w:t>
            </w:r>
            <w:r>
              <w:rPr>
                <w:rFonts w:ascii="宋体" w:hAnsi="宋体" w:cs="宋体" w:eastAsia="宋体" w:hint="default"/>
                <w:spacing w:val="-3"/>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pacing w:val="-3"/>
                <w:sz w:val="21"/>
                <w:szCs w:val="21"/>
              </w:rPr>
              <w:t>月至今，兼任新华网创</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业投资有限公司法定代表人、执行董事；</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月至今，任本公司第三届董事会董事、副总裁。</w:t>
            </w:r>
          </w:p>
        </w:tc>
      </w:tr>
      <w:tr>
        <w:trPr>
          <w:trHeight w:val="82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申江婴</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月任人民邮电报社（集团）社长助理兼中国网友报总编；</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月兼任中国信息产业网总裁；</w:t>
            </w:r>
            <w:r>
              <w:rPr>
                <w:rFonts w:ascii="宋体" w:hAnsi="宋体" w:cs="宋体" w:eastAsia="宋体" w:hint="default"/>
                <w:sz w:val="21"/>
                <w:szCs w:val="21"/>
              </w:rPr>
              <w:t>2012</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pacing w:val="-4"/>
                <w:sz w:val="21"/>
                <w:szCs w:val="21"/>
              </w:rPr>
              <w:t>月至今任本公司副总编辑兼移动互联网事业群总经理；</w:t>
            </w:r>
            <w:r>
              <w:rPr>
                <w:rFonts w:ascii="宋体" w:hAnsi="宋体" w:cs="宋体" w:eastAsia="宋体" w:hint="default"/>
                <w:spacing w:val="-4"/>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pacing w:val="-11"/>
                <w:sz w:val="21"/>
                <w:szCs w:val="21"/>
              </w:rPr>
              <w:t>月，任本公司第二届董事会董事、副总裁；</w:t>
            </w:r>
            <w:r>
              <w:rPr>
                <w:rFonts w:ascii="宋体" w:hAnsi="宋体" w:cs="宋体" w:eastAsia="宋体" w:hint="default"/>
                <w:spacing w:val="-11"/>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月，任本公司党委委员；</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月至今，任本公司党委常委；</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月至今，任本公司第三届董事会董事、副总裁。</w:t>
            </w:r>
          </w:p>
        </w:tc>
      </w:tr>
      <w:tr>
        <w:trPr>
          <w:trHeight w:val="55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叶芝</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月起至今就任于新华社总经理室，先后在事业处、企业处、综合处任职，</w:t>
            </w: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月任新华社总经理室综合处副处长，</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月任新华社改革发展处副处长；</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月至今任新华社改革发展处处长；</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月至今，任本公司第三届董事会董事。</w:t>
            </w:r>
          </w:p>
        </w:tc>
      </w:tr>
      <w:tr>
        <w:trPr>
          <w:trHeight w:val="1099"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陈刚</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月至今在中央财经大学会计学院任副教授、硕士生导师；</w:t>
            </w:r>
            <w:r>
              <w:rPr>
                <w:rFonts w:ascii="宋体" w:hAnsi="宋体" w:cs="宋体" w:eastAsia="宋体" w:hint="default"/>
                <w:spacing w:val="-3"/>
                <w:sz w:val="21"/>
                <w:szCs w:val="21"/>
              </w:rPr>
              <w:t>2008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7"/>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pacing w:val="-3"/>
                <w:sz w:val="21"/>
                <w:szCs w:val="21"/>
              </w:rPr>
              <w:t>月任北京国家税务局稽查局会计顾问。</w:t>
            </w:r>
            <w:r>
              <w:rPr>
                <w:rFonts w:ascii="宋体" w:hAnsi="宋体" w:cs="宋体" w:eastAsia="宋体" w:hint="default"/>
                <w:spacing w:val="-3"/>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月，兼任吉艾科技（北京）股份公司独立董事。</w:t>
            </w:r>
            <w:r>
              <w:rPr>
                <w:rFonts w:ascii="宋体" w:hAnsi="宋体" w:cs="宋体" w:eastAsia="宋体" w:hint="default"/>
                <w:sz w:val="21"/>
                <w:szCs w:val="21"/>
              </w:rPr>
              <w:t>2015</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月至今，兼任北京科锐配电自动化股份有限公司独立董事，</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至今兼任四川沱牌舍得酒业股份公司独立董事，</w:t>
            </w:r>
            <w:r>
              <w:rPr>
                <w:rFonts w:ascii="宋体" w:hAnsi="宋体" w:cs="宋体" w:eastAsia="宋体" w:hint="default"/>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月至今，兼任北京佳讯飞鸿电气股份有限公司独立董事。</w:t>
            </w:r>
            <w:r>
              <w:rPr>
                <w:rFonts w:ascii="宋体" w:hAnsi="宋体" w:cs="宋体" w:eastAsia="宋体" w:hint="default"/>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任本公司第二届董事会独立董事。</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月至今，任本公司第三届董事会独立董事。</w:t>
            </w:r>
          </w:p>
        </w:tc>
      </w:tr>
      <w:tr>
        <w:trPr>
          <w:trHeight w:val="55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刘海涛</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pacing w:val="-3"/>
                <w:sz w:val="21"/>
                <w:szCs w:val="21"/>
              </w:rPr>
              <w:t>月于中科院无锡微纳传感网工程中心担任主任；</w:t>
            </w:r>
            <w:r>
              <w:rPr>
                <w:rFonts w:ascii="宋体" w:hAnsi="宋体" w:cs="宋体" w:eastAsia="宋体" w:hint="default"/>
                <w:spacing w:val="-3"/>
                <w:sz w:val="21"/>
                <w:szCs w:val="21"/>
              </w:rPr>
              <w:t>2009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pacing w:val="-4"/>
                <w:sz w:val="21"/>
                <w:szCs w:val="21"/>
              </w:rPr>
              <w:t>月至今担任无锡物联网产业研究院院长；</w:t>
            </w:r>
            <w:r>
              <w:rPr>
                <w:rFonts w:ascii="宋体" w:hAnsi="宋体" w:cs="宋体" w:eastAsia="宋体" w:hint="default"/>
                <w:spacing w:val="-4"/>
                <w:sz w:val="21"/>
                <w:szCs w:val="21"/>
              </w:rPr>
              <w:t>2011</w:t>
            </w:r>
            <w:r>
              <w:rPr>
                <w:rFonts w:ascii="宋体" w:hAnsi="宋体" w:cs="宋体" w:eastAsia="宋体" w:hint="default"/>
                <w:spacing w:val="-46"/>
                <w:sz w:val="21"/>
                <w:szCs w:val="21"/>
              </w:rPr>
              <w:t> </w:t>
            </w:r>
            <w:r>
              <w:rPr>
                <w:rFonts w:ascii="宋体" w:hAnsi="宋体" w:cs="宋体" w:eastAsia="宋体" w:hint="default"/>
                <w:sz w:val="21"/>
                <w:szCs w:val="21"/>
              </w:rPr>
              <w:t>年至今担任感知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集团董事长。</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月担任本公司第二届董事会独立董事。</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月至今，任本公司第三届董事会独立董事。</w:t>
            </w:r>
          </w:p>
        </w:tc>
      </w:tr>
      <w:tr>
        <w:trPr>
          <w:trHeight w:val="1099"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张英海</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月任北京邮电大学副校长，期间曾兼任研究生院院长、软件学院院长。</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月任北京邮电大学校学术</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委员会主任委员。</w:t>
            </w:r>
            <w:r>
              <w:rPr>
                <w:rFonts w:ascii="宋体" w:hAnsi="宋体" w:cs="宋体" w:eastAsia="宋体" w:hint="default"/>
                <w:sz w:val="21"/>
                <w:szCs w:val="21"/>
              </w:rPr>
              <w:t>2016</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月办理退休手续，在北京邮电大学从事教学和指导研究生工作。</w:t>
            </w:r>
            <w:r>
              <w:rPr>
                <w:rFonts w:ascii="宋体" w:hAnsi="宋体" w:cs="宋体" w:eastAsia="宋体" w:hint="default"/>
                <w:sz w:val="21"/>
                <w:szCs w:val="21"/>
              </w:rPr>
              <w:t>2015</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8</w:t>
            </w:r>
            <w:r>
              <w:rPr>
                <w:rFonts w:ascii="宋体" w:hAnsi="宋体" w:cs="宋体" w:eastAsia="宋体" w:hint="default"/>
                <w:spacing w:val="-59"/>
                <w:sz w:val="21"/>
                <w:szCs w:val="21"/>
              </w:rPr>
              <w:t> </w:t>
            </w:r>
            <w:r>
              <w:rPr>
                <w:rFonts w:ascii="宋体" w:hAnsi="宋体" w:cs="宋体" w:eastAsia="宋体" w:hint="default"/>
                <w:sz w:val="21"/>
                <w:szCs w:val="21"/>
              </w:rPr>
              <w:t>月至今担任中国通信学会学术工作委员会主</w:t>
            </w:r>
            <w:r>
              <w:rPr>
                <w:rFonts w:ascii="宋体" w:hAnsi="宋体" w:cs="宋体" w:eastAsia="宋体" w:hint="default"/>
                <w:w w:val="100"/>
                <w:sz w:val="21"/>
                <w:szCs w:val="21"/>
              </w:rPr>
              <w:t> </w:t>
            </w:r>
            <w:r>
              <w:rPr>
                <w:rFonts w:ascii="宋体" w:hAnsi="宋体" w:cs="宋体" w:eastAsia="宋体" w:hint="default"/>
                <w:sz w:val="21"/>
                <w:szCs w:val="21"/>
              </w:rPr>
              <w:t>任委员。曾在中国联合通信网络股份有限公司、北京梅泰诺通信技术股份公司、珠海世纪鼎利通信科技股份有限公司、大唐电信科技股份有限公</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司、北京掌趣科技股份有限公司担任独立董事。</w:t>
            </w:r>
            <w:r>
              <w:rPr>
                <w:rFonts w:ascii="宋体" w:hAnsi="宋体" w:cs="宋体" w:eastAsia="宋体" w:hint="default"/>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11</w:t>
            </w:r>
            <w:r>
              <w:rPr>
                <w:rFonts w:ascii="宋体" w:hAnsi="宋体" w:cs="宋体" w:eastAsia="宋体" w:hint="default"/>
                <w:spacing w:val="-41"/>
                <w:sz w:val="21"/>
                <w:szCs w:val="21"/>
              </w:rPr>
              <w:t> </w:t>
            </w:r>
            <w:r>
              <w:rPr>
                <w:rFonts w:ascii="宋体" w:hAnsi="宋体" w:cs="宋体" w:eastAsia="宋体" w:hint="default"/>
                <w:sz w:val="21"/>
                <w:szCs w:val="21"/>
              </w:rPr>
              <w:t>月至今，任同信通信股份有限公司独立董事。</w:t>
            </w:r>
            <w:r>
              <w:rPr>
                <w:rFonts w:ascii="宋体" w:hAnsi="宋体" w:cs="宋体" w:eastAsia="宋体" w:hint="default"/>
                <w:sz w:val="21"/>
                <w:szCs w:val="21"/>
              </w:rPr>
              <w:t>2017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z w:val="21"/>
                <w:szCs w:val="21"/>
              </w:rPr>
              <w:t>月至今，任本公司第三届董事</w:t>
            </w:r>
          </w:p>
        </w:tc>
      </w:tr>
    </w:tbl>
    <w:p>
      <w:pPr>
        <w:spacing w:after="0" w:line="237" w:lineRule="auto"/>
        <w:jc w:val="both"/>
        <w:rPr>
          <w:rFonts w:ascii="宋体" w:hAnsi="宋体" w:cs="宋体" w:eastAsia="宋体" w:hint="default"/>
          <w:sz w:val="21"/>
          <w:szCs w:val="21"/>
        </w:rPr>
        <w:sectPr>
          <w:pgSz w:w="16840" w:h="11910" w:orient="landscape"/>
          <w:pgMar w:header="880" w:footer="1195" w:top="1120" w:bottom="1380" w:left="96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1078"/>
        <w:gridCol w:w="13536"/>
      </w:tblGrid>
      <w:tr>
        <w:trPr>
          <w:trHeight w:val="281" w:hRule="exact"/>
        </w:trPr>
        <w:tc>
          <w:tcPr>
            <w:tcW w:w="1078" w:type="dxa"/>
            <w:tcBorders>
              <w:top w:val="single" w:sz="4" w:space="0" w:color="000000"/>
              <w:left w:val="single" w:sz="4" w:space="0" w:color="000000"/>
              <w:bottom w:val="single" w:sz="4" w:space="0" w:color="000000"/>
              <w:right w:val="single" w:sz="4" w:space="0" w:color="000000"/>
            </w:tcBorders>
          </w:tcPr>
          <w:p>
            <w:pP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会独立董事。</w:t>
            </w:r>
          </w:p>
        </w:tc>
      </w:tr>
      <w:tr>
        <w:trPr>
          <w:trHeight w:val="1099"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吴振华</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6"/>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2003</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7"/>
                <w:sz w:val="21"/>
                <w:szCs w:val="21"/>
              </w:rPr>
              <w:t> </w:t>
            </w:r>
            <w:r>
              <w:rPr>
                <w:rFonts w:ascii="宋体" w:hAnsi="宋体" w:cs="宋体" w:eastAsia="宋体" w:hint="default"/>
                <w:sz w:val="21"/>
                <w:szCs w:val="21"/>
              </w:rPr>
              <w:t>月于福建闽发证券有限公司北京研发中心担任主任；</w:t>
            </w:r>
            <w:r>
              <w:rPr>
                <w:rFonts w:ascii="宋体" w:hAnsi="宋体" w:cs="宋体" w:eastAsia="宋体" w:hint="default"/>
                <w:sz w:val="21"/>
                <w:szCs w:val="21"/>
              </w:rPr>
              <w:t>2003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月于金宝期货经纪有限公司担任执行董事；</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2011</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月于北京双利投资管理有限公司担任总经理；</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月于江苏天楹环保能源股份有限公司担任董事；</w:t>
            </w:r>
          </w:p>
          <w:p>
            <w:pPr>
              <w:pStyle w:val="TableParagraph"/>
              <w:spacing w:line="272" w:lineRule="exact" w:before="27"/>
              <w:ind w:left="103" w:right="-5"/>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pacing w:val="-3"/>
                <w:sz w:val="21"/>
                <w:szCs w:val="21"/>
              </w:rPr>
              <w:t>月于中科招商管理集团股份有限公司担任常务副总裁；</w:t>
            </w:r>
            <w:r>
              <w:rPr>
                <w:rFonts w:ascii="宋体" w:hAnsi="宋体" w:cs="宋体" w:eastAsia="宋体" w:hint="default"/>
                <w:spacing w:val="-3"/>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pacing w:val="-5"/>
                <w:sz w:val="21"/>
                <w:szCs w:val="21"/>
              </w:rPr>
              <w:t>月至今，于北京万林创富投资管理合伙企业（有限合伙）</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担任创始合伙人、首席执行官。</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月至今，任本公司第三届董事会独立董事。</w:t>
            </w:r>
          </w:p>
        </w:tc>
      </w:tr>
      <w:tr>
        <w:trPr>
          <w:trHeight w:val="1102"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2" w:right="0"/>
              <w:jc w:val="center"/>
              <w:rPr>
                <w:rFonts w:ascii="宋体" w:hAnsi="宋体" w:cs="宋体" w:eastAsia="宋体" w:hint="default"/>
                <w:sz w:val="21"/>
                <w:szCs w:val="21"/>
              </w:rPr>
            </w:pPr>
            <w:r>
              <w:rPr>
                <w:rFonts w:ascii="宋体" w:hAnsi="宋体" w:cs="宋体" w:eastAsia="宋体" w:hint="default"/>
                <w:sz w:val="21"/>
                <w:szCs w:val="21"/>
              </w:rPr>
              <w:t>谭玉平</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8</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2"/>
                <w:sz w:val="21"/>
                <w:szCs w:val="21"/>
              </w:rPr>
              <w:t> </w:t>
            </w:r>
            <w:r>
              <w:rPr>
                <w:rFonts w:ascii="宋体" w:hAnsi="宋体" w:cs="宋体" w:eastAsia="宋体" w:hint="default"/>
                <w:sz w:val="21"/>
                <w:szCs w:val="21"/>
              </w:rPr>
              <w:t>2013</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pacing w:val="-3"/>
                <w:sz w:val="21"/>
                <w:szCs w:val="21"/>
              </w:rPr>
              <w:t>月，历任中纪委驻新华社纪检组、社监察局、机关纪委干部、副处级纪检监察员、办公室副主任（正处级）、第二纪检监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察室主任（正处级）；</w:t>
            </w:r>
            <w:r>
              <w:rPr>
                <w:rFonts w:ascii="宋体" w:hAnsi="宋体" w:cs="宋体" w:eastAsia="宋体" w:hint="default"/>
                <w:sz w:val="21"/>
                <w:szCs w:val="21"/>
              </w:rPr>
              <w:t>2013</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2014</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月，任中纪委驻新华社纪检组、监察局副局级纪律检察员兼第二纪检监察室主任；</w:t>
            </w:r>
            <w:r>
              <w:rPr>
                <w:rFonts w:ascii="宋体" w:hAnsi="宋体" w:cs="宋体" w:eastAsia="宋体" w:hint="default"/>
                <w:sz w:val="21"/>
                <w:szCs w:val="21"/>
              </w:rPr>
              <w:t>2014</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月，任本公司党组成员；</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月，任本公司党委委员、党委副书记；</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月至今，任本公司党委常委、纪委书</w:t>
            </w:r>
            <w:r>
              <w:rPr>
                <w:rFonts w:ascii="宋体" w:hAnsi="宋体" w:cs="宋体" w:eastAsia="宋体" w:hint="default"/>
                <w:w w:val="100"/>
                <w:sz w:val="21"/>
                <w:szCs w:val="21"/>
              </w:rPr>
              <w:t> </w:t>
            </w:r>
            <w:r>
              <w:rPr>
                <w:rFonts w:ascii="宋体" w:hAnsi="宋体" w:cs="宋体" w:eastAsia="宋体" w:hint="default"/>
                <w:sz w:val="21"/>
                <w:szCs w:val="21"/>
              </w:rPr>
              <w:t>记。</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月至今，任本公司第三届监事会主席。</w:t>
            </w:r>
          </w:p>
        </w:tc>
      </w:tr>
      <w:tr>
        <w:trPr>
          <w:trHeight w:val="1370"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孙巍</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6"/>
                <w:sz w:val="21"/>
                <w:szCs w:val="21"/>
              </w:rPr>
              <w:t>月，任新华社参考新闻编辑部编辑；</w:t>
            </w:r>
            <w:r>
              <w:rPr>
                <w:rFonts w:ascii="宋体" w:hAnsi="宋体" w:cs="宋体" w:eastAsia="宋体" w:hint="default"/>
                <w:spacing w:val="-6"/>
                <w:sz w:val="21"/>
                <w:szCs w:val="21"/>
              </w:rPr>
              <w:t>2004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pacing w:val="-7"/>
                <w:sz w:val="21"/>
                <w:szCs w:val="21"/>
              </w:rPr>
              <w:t>月，任新华社东京分社记者；</w:t>
            </w:r>
            <w:r>
              <w:rPr>
                <w:rFonts w:ascii="宋体" w:hAnsi="宋体" w:cs="宋体" w:eastAsia="宋体" w:hint="default"/>
                <w:spacing w:val="-7"/>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任新华社参考新闻编辑部编辑；</w:t>
            </w:r>
            <w:r>
              <w:rPr>
                <w:rFonts w:ascii="宋体" w:hAnsi="宋体" w:cs="宋体" w:eastAsia="宋体" w:hint="default"/>
                <w:sz w:val="21"/>
                <w:szCs w:val="21"/>
              </w:rPr>
              <w:t>2009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月任本公司多媒体部副主任；</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月，任本公司总编室副主任兼</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多媒体部副主任；</w:t>
            </w:r>
            <w:r>
              <w:rPr>
                <w:rFonts w:ascii="宋体" w:hAnsi="宋体" w:cs="宋体" w:eastAsia="宋体" w:hint="default"/>
                <w:sz w:val="21"/>
                <w:szCs w:val="21"/>
              </w:rPr>
              <w:t>2012</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月，任本公司综合部主任；</w:t>
            </w:r>
            <w:r>
              <w:rPr>
                <w:rFonts w:ascii="宋体" w:hAnsi="宋体" w:cs="宋体" w:eastAsia="宋体" w:hint="default"/>
                <w:sz w:val="21"/>
                <w:szCs w:val="21"/>
              </w:rPr>
              <w:t>2015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9</w:t>
            </w:r>
            <w:r>
              <w:rPr>
                <w:rFonts w:ascii="宋体" w:hAnsi="宋体" w:cs="宋体" w:eastAsia="宋体" w:hint="default"/>
                <w:spacing w:val="-46"/>
                <w:sz w:val="21"/>
                <w:szCs w:val="21"/>
              </w:rPr>
              <w:t> </w:t>
            </w:r>
            <w:r>
              <w:rPr>
                <w:rFonts w:ascii="宋体" w:hAnsi="宋体" w:cs="宋体" w:eastAsia="宋体" w:hint="default"/>
                <w:sz w:val="21"/>
                <w:szCs w:val="21"/>
              </w:rPr>
              <w:t>月，任本公司第二届监事会职工监事；</w:t>
            </w: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p>
          <w:p>
            <w:pPr>
              <w:pStyle w:val="TableParagraph"/>
              <w:spacing w:line="240" w:lineRule="auto"/>
              <w:ind w:left="103" w:right="84"/>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4"/>
                <w:sz w:val="21"/>
                <w:szCs w:val="21"/>
              </w:rPr>
              <w:t>月，任本公司总裁助理；</w:t>
            </w:r>
            <w:r>
              <w:rPr>
                <w:rFonts w:ascii="宋体" w:hAnsi="宋体" w:cs="宋体" w:eastAsia="宋体" w:hint="default"/>
                <w:spacing w:val="-4"/>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pacing w:val="-3"/>
                <w:sz w:val="21"/>
                <w:szCs w:val="21"/>
              </w:rPr>
              <w:t>月，任本公司行政人力资源中心总监；</w:t>
            </w:r>
            <w:r>
              <w:rPr>
                <w:rFonts w:ascii="宋体" w:hAnsi="宋体" w:cs="宋体" w:eastAsia="宋体" w:hint="default"/>
                <w:spacing w:val="-3"/>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pacing w:val="-3"/>
                <w:sz w:val="21"/>
                <w:szCs w:val="21"/>
              </w:rPr>
              <w:t>月至今，任本公司第三届监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事会职工监事；</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8"/>
                <w:sz w:val="21"/>
                <w:szCs w:val="21"/>
              </w:rPr>
              <w:t> </w:t>
            </w:r>
            <w:r>
              <w:rPr>
                <w:rFonts w:ascii="宋体" w:hAnsi="宋体" w:cs="宋体" w:eastAsia="宋体" w:hint="default"/>
                <w:sz w:val="21"/>
                <w:szCs w:val="21"/>
              </w:rPr>
              <w:t>月至今，任本公司首席运营官；</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月至今，任新华炫闻（北京）移动传媒科技有限公司董事长、</w:t>
            </w:r>
            <w:r>
              <w:rPr>
                <w:rFonts w:ascii="宋体" w:hAnsi="宋体" w:cs="宋体" w:eastAsia="宋体" w:hint="default"/>
                <w:sz w:val="21"/>
                <w:szCs w:val="21"/>
              </w:rPr>
              <w:t>CEO</w:t>
            </w:r>
            <w:r>
              <w:rPr>
                <w:rFonts w:ascii="宋体" w:hAnsi="宋体" w:cs="宋体" w:eastAsia="宋体" w:hint="default"/>
                <w:sz w:val="21"/>
                <w:szCs w:val="21"/>
              </w:rPr>
              <w:t>、总编辑。</w:t>
            </w:r>
          </w:p>
        </w:tc>
      </w:tr>
      <w:tr>
        <w:trPr>
          <w:trHeight w:val="55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李清荣</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月至今任新华社计划财务管理局委派会计办公室高级会计师。</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月至今，任中国新华新闻电视网有限公司监事。</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今，任本公司第三届监事会非职工代表监事。</w:t>
            </w:r>
          </w:p>
        </w:tc>
      </w:tr>
      <w:tr>
        <w:trPr>
          <w:trHeight w:val="1100"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杨庆兵</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2010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月，历任网络中心财经部主任、新闻中心主任、总编室主任、中国政府网编辑部主任、网络中心总编助理；</w:t>
            </w:r>
            <w:r>
              <w:rPr>
                <w:rFonts w:ascii="宋体" w:hAnsi="宋体" w:cs="宋体" w:eastAsia="宋体" w:hint="default"/>
                <w:sz w:val="21"/>
                <w:szCs w:val="21"/>
              </w:rPr>
              <w:t>2010</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0"/>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月，任新华网络总编助理、财经中心主任；</w:t>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月，任本公司职工监事、总编助理、财经中心主任；</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月至今，任本公司财经总监；</w:t>
            </w:r>
            <w:r>
              <w:rPr>
                <w:rFonts w:ascii="宋体" w:hAnsi="宋体" w:cs="宋体" w:eastAsia="宋体" w:hint="default"/>
                <w:sz w:val="21"/>
                <w:szCs w:val="21"/>
              </w:rPr>
              <w:t>2012</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11</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3"/>
                <w:sz w:val="21"/>
                <w:szCs w:val="21"/>
              </w:rPr>
              <w:t> </w:t>
            </w: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月，任本公司第二届董事会秘书；</w:t>
            </w: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2"/>
                <w:sz w:val="21"/>
                <w:szCs w:val="21"/>
              </w:rPr>
              <w:t> </w:t>
            </w:r>
            <w:r>
              <w:rPr>
                <w:rFonts w:ascii="宋体" w:hAnsi="宋体" w:cs="宋体" w:eastAsia="宋体" w:hint="default"/>
                <w:sz w:val="21"/>
                <w:szCs w:val="21"/>
              </w:rPr>
              <w:t>月至今，兼任中证金牛董事；</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pacing w:val="-3"/>
                <w:sz w:val="21"/>
                <w:szCs w:val="21"/>
              </w:rPr>
              <w:t>月至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月担任本公司副总裁；</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月至今，任本公司第三届董事会秘书；</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月至今，任本公司副总裁。</w:t>
            </w:r>
          </w:p>
        </w:tc>
      </w:tr>
      <w:tr>
        <w:trPr>
          <w:trHeight w:val="82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陈宇</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4</w:t>
            </w:r>
            <w:r>
              <w:rPr>
                <w:rFonts w:ascii="宋体" w:hAnsi="宋体" w:cs="宋体" w:eastAsia="宋体" w:hint="default"/>
                <w:spacing w:val="-35"/>
                <w:sz w:val="21"/>
                <w:szCs w:val="21"/>
              </w:rPr>
              <w:t> </w:t>
            </w:r>
            <w:r>
              <w:rPr>
                <w:rFonts w:ascii="宋体" w:hAnsi="宋体" w:cs="宋体" w:eastAsia="宋体" w:hint="default"/>
                <w:spacing w:val="-5"/>
                <w:sz w:val="21"/>
                <w:szCs w:val="21"/>
              </w:rPr>
              <w:t>月至今在新华网工作，历任技术部副主任、主任、总裁助理、运营总监，</w:t>
            </w:r>
            <w:r>
              <w:rPr>
                <w:rFonts w:ascii="宋体" w:hAnsi="宋体" w:cs="宋体" w:eastAsia="宋体" w:hint="default"/>
                <w:spacing w:val="-5"/>
                <w:sz w:val="21"/>
                <w:szCs w:val="21"/>
              </w:rPr>
              <w:t>2016</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3</w:t>
            </w:r>
            <w:r>
              <w:rPr>
                <w:rFonts w:ascii="宋体" w:hAnsi="宋体" w:cs="宋体" w:eastAsia="宋体" w:hint="default"/>
                <w:spacing w:val="-35"/>
                <w:sz w:val="21"/>
                <w:szCs w:val="21"/>
              </w:rPr>
              <w:t> </w:t>
            </w:r>
            <w:r>
              <w:rPr>
                <w:rFonts w:ascii="宋体" w:hAnsi="宋体" w:cs="宋体" w:eastAsia="宋体" w:hint="default"/>
                <w:spacing w:val="-3"/>
                <w:sz w:val="21"/>
                <w:szCs w:val="21"/>
              </w:rPr>
              <w:t>月至今，兼任北京新彩华章网络科技有限公司董事长；</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月至今担任新华网总工程师兼技术总监；</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月担任本公司副总裁；</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月至今，兼任新华智云科技有限公司</w:t>
            </w:r>
            <w:r>
              <w:rPr>
                <w:rFonts w:ascii="宋体" w:hAnsi="宋体" w:cs="宋体" w:eastAsia="宋体" w:hint="default"/>
                <w:w w:val="100"/>
                <w:sz w:val="21"/>
                <w:szCs w:val="21"/>
              </w:rPr>
              <w:t> </w:t>
            </w:r>
            <w:r>
              <w:rPr>
                <w:rFonts w:ascii="宋体" w:hAnsi="宋体" w:cs="宋体" w:eastAsia="宋体" w:hint="default"/>
                <w:sz w:val="21"/>
                <w:szCs w:val="21"/>
              </w:rPr>
              <w:t>法定代表人、董事长；</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7"/>
                <w:sz w:val="21"/>
                <w:szCs w:val="21"/>
              </w:rPr>
              <w:t> </w:t>
            </w:r>
            <w:r>
              <w:rPr>
                <w:rFonts w:ascii="宋体" w:hAnsi="宋体" w:cs="宋体" w:eastAsia="宋体" w:hint="default"/>
                <w:sz w:val="21"/>
                <w:szCs w:val="21"/>
              </w:rPr>
              <w:t>月至今，兼任新华网（北京）科技有限公司法定代表人、执行董事；</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月至今，担任本公司副总裁。</w:t>
            </w:r>
          </w:p>
        </w:tc>
      </w:tr>
      <w:tr>
        <w:trPr>
          <w:trHeight w:val="829"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任劼</w:t>
            </w:r>
          </w:p>
        </w:tc>
        <w:tc>
          <w:tcPr>
            <w:tcW w:w="13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2004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月担任中国国际旅行社总社有限公司财务部直属企业主管；</w:t>
            </w:r>
            <w:r>
              <w:rPr>
                <w:rFonts w:ascii="宋体" w:hAnsi="宋体" w:cs="宋体" w:eastAsia="宋体" w:hint="default"/>
                <w:sz w:val="21"/>
                <w:szCs w:val="21"/>
              </w:rPr>
              <w:t>2004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月担任中国国旅集团有限公司计划财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务部高级经理；</w:t>
            </w:r>
            <w:r>
              <w:rPr>
                <w:rFonts w:ascii="宋体" w:hAnsi="宋体" w:cs="宋体" w:eastAsia="宋体" w:hint="default"/>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月担任中国国旅股份有限公司财务管理部财务副总监、财务总监；</w:t>
            </w:r>
            <w:r>
              <w:rPr>
                <w:rFonts w:ascii="宋体" w:hAnsi="宋体" w:cs="宋体" w:eastAsia="宋体" w:hint="default"/>
                <w:sz w:val="21"/>
                <w:szCs w:val="21"/>
              </w:rPr>
              <w:t>2014</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月担任国旅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集团财务有限责任公司（筹）负责人。</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月担任新华网股份有限公司财务总经理；</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月至今，任本公司财务总监。</w:t>
            </w:r>
          </w:p>
        </w:tc>
      </w:tr>
    </w:tbl>
    <w:p>
      <w:pPr>
        <w:pStyle w:val="BodyText"/>
        <w:spacing w:line="239" w:lineRule="exact"/>
        <w:ind w:left="480" w:right="0"/>
        <w:jc w:val="left"/>
      </w:pPr>
      <w:r>
        <w:rPr/>
        <w:t>其它情况说明</w:t>
      </w:r>
    </w:p>
    <w:p>
      <w:pPr>
        <w:pStyle w:val="BodyText"/>
        <w:spacing w:line="263" w:lineRule="exact"/>
        <w:ind w:left="480" w:right="0"/>
        <w:jc w:val="left"/>
      </w:pPr>
      <w:r>
        <w:rPr/>
        <w:t>√适用 □不适用</w:t>
      </w:r>
    </w:p>
    <w:p>
      <w:pPr>
        <w:pStyle w:val="BodyText"/>
        <w:spacing w:line="265" w:lineRule="exact"/>
        <w:ind w:left="900" w:right="0"/>
        <w:jc w:val="left"/>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w:t>
      </w:r>
      <w:r>
        <w:rPr>
          <w:rFonts w:ascii="宋体" w:hAnsi="宋体" w:cs="宋体" w:eastAsia="宋体" w:hint="default"/>
        </w:rPr>
        <w:t>,</w:t>
      </w:r>
      <w:r>
        <w:rPr/>
        <w:t>经公司召开的第三届董事会第十一次（临时）会议审议通过，聘任杨庆兵先生、陈宇先生为公司副总裁。</w:t>
      </w:r>
    </w:p>
    <w:p>
      <w:pPr>
        <w:spacing w:after="0" w:line="265" w:lineRule="exact"/>
        <w:jc w:val="left"/>
        <w:sectPr>
          <w:pgSz w:w="16840" w:h="11910" w:orient="landscape"/>
          <w:pgMar w:header="880" w:footer="1195" w:top="1120" w:bottom="1380" w:left="960" w:right="1040"/>
        </w:sectPr>
      </w:pPr>
    </w:p>
    <w:p>
      <w:pPr>
        <w:spacing w:line="240" w:lineRule="auto" w:before="0"/>
        <w:rPr>
          <w:rFonts w:ascii="宋体" w:hAnsi="宋体" w:cs="宋体" w:eastAsia="宋体" w:hint="default"/>
          <w:sz w:val="20"/>
          <w:szCs w:val="20"/>
        </w:rPr>
      </w:pPr>
    </w:p>
    <w:p>
      <w:pPr>
        <w:pStyle w:val="Heading2"/>
        <w:spacing w:line="240" w:lineRule="auto" w:before="170"/>
        <w:ind w:left="318" w:right="295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90" w:lineRule="auto" w:before="32"/>
        <w:ind w:left="318" w:right="2951"/>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二、现任及报告期内离任董事、监事和高级管理人员的任职情况</w:t>
      </w:r>
      <w:r>
        <w:rPr>
          <w:spacing w:val="-81"/>
        </w:rPr>
        <w:t> </w:t>
      </w:r>
      <w:r>
        <w:rPr>
          <w:spacing w:val="-81"/>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318" w:right="295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78"/>
        <w:gridCol w:w="2312"/>
        <w:gridCol w:w="1820"/>
        <w:gridCol w:w="1563"/>
        <w:gridCol w:w="1555"/>
      </w:tblGrid>
      <w:tr>
        <w:trPr>
          <w:trHeight w:val="554"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4" w:hRule="exact"/>
        </w:trPr>
        <w:tc>
          <w:tcPr>
            <w:tcW w:w="19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叶芝</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新华通讯社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总经理室改革发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展处副处长</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554" w:hRule="exact"/>
        </w:trPr>
        <w:tc>
          <w:tcPr>
            <w:tcW w:w="1978" w:type="dxa"/>
            <w:vMerge/>
            <w:tcBorders>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新华通讯社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总经理室改革发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展处处长</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李清荣</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新华通讯社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计划财务管理局</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6"/>
                <w:sz w:val="21"/>
                <w:szCs w:val="21"/>
              </w:rPr>
              <w:t>委派会计办公室</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高级会计师</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在股东单位任职情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况的说明</w:t>
            </w:r>
          </w:p>
        </w:tc>
        <w:tc>
          <w:tcPr>
            <w:tcW w:w="72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Heading2"/>
        <w:spacing w:line="240" w:lineRule="auto" w:before="26"/>
        <w:ind w:left="318" w:right="295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left="318" w:right="295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135"/>
        <w:gridCol w:w="2837"/>
        <w:gridCol w:w="2268"/>
        <w:gridCol w:w="1417"/>
        <w:gridCol w:w="1570"/>
      </w:tblGrid>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2"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在其他单位担任的职</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w w:val="100"/>
                <w:sz w:val="21"/>
                <w:szCs w:val="21"/>
              </w:rPr>
              <w:t>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任期起始日</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期</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田舒斌</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新搜文化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魏紫川</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新搜文化</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丁平</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创业投资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07"/>
              <w:ind w:left="247" w:right="0"/>
              <w:jc w:val="left"/>
              <w:rPr>
                <w:rFonts w:ascii="宋体" w:hAnsi="宋体" w:cs="宋体" w:eastAsia="宋体" w:hint="default"/>
                <w:sz w:val="21"/>
                <w:szCs w:val="21"/>
              </w:rPr>
            </w:pPr>
            <w:r>
              <w:rPr>
                <w:rFonts w:ascii="宋体" w:hAnsi="宋体" w:cs="宋体" w:eastAsia="宋体" w:hint="default"/>
                <w:sz w:val="21"/>
                <w:szCs w:val="21"/>
              </w:rPr>
              <w:t>申江婴</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亿连科技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5" w:type="dxa"/>
            <w:vMerge/>
            <w:tcBorders>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江苏瑞德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352" w:right="0"/>
              <w:jc w:val="left"/>
              <w:rPr>
                <w:rFonts w:ascii="宋体" w:hAnsi="宋体" w:cs="宋体" w:eastAsia="宋体" w:hint="default"/>
                <w:sz w:val="21"/>
                <w:szCs w:val="21"/>
              </w:rPr>
            </w:pPr>
            <w:r>
              <w:rPr>
                <w:rFonts w:ascii="宋体" w:hAnsi="宋体" w:cs="宋体" w:eastAsia="宋体" w:hint="default"/>
                <w:sz w:val="21"/>
                <w:szCs w:val="21"/>
              </w:rPr>
              <w:t>陈刚</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中央财经大学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副教授、硕士生导师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vMerge/>
            <w:tcBorders>
              <w:left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北京科锐配电自动化股份有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vMerge/>
            <w:tcBorders>
              <w:left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四川沱牌舍得酒业股份公司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vMerge/>
            <w:tcBorders>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北京佳讯飞鸿电气股份有限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07"/>
              <w:ind w:left="247" w:right="0"/>
              <w:jc w:val="left"/>
              <w:rPr>
                <w:rFonts w:ascii="宋体" w:hAnsi="宋体" w:cs="宋体" w:eastAsia="宋体" w:hint="default"/>
                <w:sz w:val="21"/>
                <w:szCs w:val="21"/>
              </w:rPr>
            </w:pPr>
            <w:r>
              <w:rPr>
                <w:rFonts w:ascii="宋体" w:hAnsi="宋体" w:cs="宋体" w:eastAsia="宋体" w:hint="default"/>
                <w:sz w:val="21"/>
                <w:szCs w:val="21"/>
              </w:rPr>
              <w:t>刘海涛</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无锡物联网产业研究院</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5" w:type="dxa"/>
            <w:vMerge/>
            <w:tcBorders>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感知集团</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张英海</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北京邮电大学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教授、博士生导师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vMerge/>
            <w:tcBorders>
              <w:left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中国通信学会学术工作委员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委员</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vMerge/>
            <w:tcBorders>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同信通信股份有限公司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sz w:val="21"/>
                <w:szCs w:val="21"/>
              </w:rPr>
              <w:t>吴振华</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北京万林创富投资管理合伙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企业（有限合伙）</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合伙人、首席执行官</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孙巍</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新华炫闻</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CEO</w:t>
            </w:r>
            <w:r>
              <w:rPr>
                <w:rFonts w:ascii="宋体" w:hAnsi="宋体" w:cs="宋体" w:eastAsia="宋体" w:hint="default"/>
                <w:sz w:val="21"/>
                <w:szCs w:val="21"/>
              </w:rPr>
              <w:t>、总编辑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李清荣</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中国新华新闻电视网有限公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杨庆兵</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中证金牛</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陈宇</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新彩华章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35" w:type="dxa"/>
            <w:vMerge/>
            <w:tcBorders>
              <w:left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新华智云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135" w:type="dxa"/>
            <w:vMerge/>
            <w:tcBorders>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77"/>
                <w:sz w:val="21"/>
                <w:szCs w:val="21"/>
              </w:rPr>
              <w:t> </w:t>
            </w:r>
            <w:r>
              <w:rPr>
                <w:rFonts w:ascii="宋体" w:hAnsi="宋体" w:cs="宋体" w:eastAsia="宋体" w:hint="default"/>
                <w:spacing w:val="11"/>
                <w:sz w:val="21"/>
                <w:szCs w:val="21"/>
              </w:rPr>
              <w:t>其他</w:t>
            </w:r>
            <w:r>
              <w:rPr>
                <w:rFonts w:ascii="宋体" w:hAnsi="宋体" w:cs="宋体" w:eastAsia="宋体" w:hint="default"/>
                <w:spacing w:val="-77"/>
                <w:sz w:val="21"/>
                <w:szCs w:val="21"/>
              </w:rPr>
              <w:t> </w:t>
            </w:r>
            <w:r>
              <w:rPr>
                <w:rFonts w:ascii="宋体" w:hAnsi="宋体" w:cs="宋体" w:eastAsia="宋体" w:hint="default"/>
                <w:sz w:val="21"/>
                <w:szCs w:val="21"/>
              </w:rPr>
              <w:t>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位</w:t>
            </w:r>
            <w:r>
              <w:rPr>
                <w:rFonts w:ascii="宋体" w:hAnsi="宋体" w:cs="宋体" w:eastAsia="宋体" w:hint="default"/>
                <w:spacing w:val="-77"/>
                <w:sz w:val="21"/>
                <w:szCs w:val="21"/>
              </w:rPr>
              <w:t> </w:t>
            </w:r>
            <w:r>
              <w:rPr>
                <w:rFonts w:ascii="宋体" w:hAnsi="宋体" w:cs="宋体" w:eastAsia="宋体" w:hint="default"/>
                <w:spacing w:val="11"/>
                <w:sz w:val="21"/>
                <w:szCs w:val="21"/>
              </w:rPr>
              <w:t>任职</w:t>
            </w:r>
            <w:r>
              <w:rPr>
                <w:rFonts w:ascii="宋体" w:hAnsi="宋体" w:cs="宋体" w:eastAsia="宋体" w:hint="default"/>
                <w:spacing w:val="-77"/>
                <w:sz w:val="21"/>
                <w:szCs w:val="21"/>
              </w:rPr>
              <w:t> </w:t>
            </w:r>
            <w:r>
              <w:rPr>
                <w:rFonts w:ascii="宋体" w:hAnsi="宋体" w:cs="宋体" w:eastAsia="宋体" w:hint="default"/>
                <w:sz w:val="21"/>
                <w:szCs w:val="21"/>
              </w:rPr>
              <w:t>情</w:t>
            </w:r>
          </w:p>
        </w:tc>
        <w:tc>
          <w:tcPr>
            <w:tcW w:w="80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headerReference w:type="default" r:id="rId41"/>
          <w:footerReference w:type="default" r:id="rId42"/>
          <w:pgSz w:w="11910" w:h="16840"/>
          <w:pgMar w:header="877" w:footer="1195" w:top="1100" w:bottom="1380" w:left="1480" w:right="960"/>
          <w:pgNumType w:start="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p>
      <w:pPr>
        <w:spacing w:line="302" w:lineRule="exact"/>
        <w:ind w:left="116"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61.85pt;height:15.15pt;mso-position-horizontal-relative:char;mso-position-vertical-relative:line" coordorigin="0,0" coordsize="9237,303">
            <v:group style="position:absolute;left:10;top:10;width:1126;height:2" coordorigin="10,10" coordsize="1126,2">
              <v:shape style="position:absolute;left:10;top:10;width:1126;height:2" coordorigin="10,10" coordsize="1126,0" path="m10,10l1135,10e" filled="false" stroked="true" strokeweight=".48pt" strokecolor="#000000">
                <v:path arrowok="t"/>
              </v:shape>
            </v:group>
            <v:group style="position:absolute;left:1145;top:10;width:8083;height:2" coordorigin="1145,10" coordsize="8083,2">
              <v:shape style="position:absolute;left:1145;top:10;width:8083;height:2" coordorigin="1145,10" coordsize="8083,0" path="m1145,10l9227,10e" filled="false" stroked="true" strokeweight=".48pt" strokecolor="#000000">
                <v:path arrowok="t"/>
              </v:shape>
            </v:group>
            <v:group style="position:absolute;left:5;top:5;width:2;height:294" coordorigin="5,5" coordsize="2,294">
              <v:shape style="position:absolute;left:5;top:5;width:2;height:294" coordorigin="5,5" coordsize="0,294" path="m5,5l5,298e" filled="false" stroked="true" strokeweight=".48pt" strokecolor="#000000">
                <v:path arrowok="t"/>
              </v:shape>
            </v:group>
            <v:group style="position:absolute;left:10;top:293;width:1126;height:2" coordorigin="10,293" coordsize="1126,2">
              <v:shape style="position:absolute;left:10;top:293;width:1126;height:2" coordorigin="10,293" coordsize="1126,0" path="m10,293l1135,293e" filled="false" stroked="true" strokeweight=".48pt" strokecolor="#000000">
                <v:path arrowok="t"/>
              </v:shape>
            </v:group>
            <v:group style="position:absolute;left:1140;top:5;width:2;height:294" coordorigin="1140,5" coordsize="2,294">
              <v:shape style="position:absolute;left:1140;top:5;width:2;height:294" coordorigin="1140,5" coordsize="0,294" path="m1140,5l1140,298e" filled="false" stroked="true" strokeweight=".48pt" strokecolor="#000000">
                <v:path arrowok="t"/>
              </v:shape>
            </v:group>
            <v:group style="position:absolute;left:1145;top:293;width:8083;height:2" coordorigin="1145,293" coordsize="8083,2">
              <v:shape style="position:absolute;left:1145;top:293;width:8083;height:2" coordorigin="1145,293" coordsize="8083,0" path="m1145,293l9227,293e" filled="false" stroked="true" strokeweight=".48pt" strokecolor="#000000">
                <v:path arrowok="t"/>
              </v:shape>
            </v:group>
            <v:group style="position:absolute;left:9232;top:5;width:2;height:294" coordorigin="9232,5" coordsize="2,294">
              <v:shape style="position:absolute;left:9232;top:5;width:2;height:294" coordorigin="9232,5" coordsize="0,294" path="m9232,5l9232,298e" filled="false" stroked="true" strokeweight=".47998pt" strokecolor="#000000">
                <v:path arrowok="t"/>
              </v:shape>
              <v:shape style="position:absolute;left:5;top:10;width:1136;height:284" type="#_x0000_t202" filled="false" stroked="false">
                <v:textbox inset="0,0,0,0">
                  <w:txbxContent>
                    <w:p>
                      <w:pPr>
                        <w:spacing w:line="24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况的说明</w:t>
                      </w:r>
                    </w:p>
                  </w:txbxContent>
                </v:textbox>
                <w10:wrap type="none"/>
              </v:shape>
            </v:group>
          </v:group>
        </w:pict>
      </w:r>
      <w:r>
        <w:rPr>
          <w:rFonts w:ascii="宋体" w:hAnsi="宋体" w:cs="宋体" w:eastAsia="宋体" w:hint="default"/>
          <w:position w:val="-5"/>
          <w:sz w:val="20"/>
          <w:szCs w:val="20"/>
        </w:rPr>
      </w:r>
    </w:p>
    <w:p>
      <w:pPr>
        <w:pStyle w:val="Heading2"/>
        <w:spacing w:line="240" w:lineRule="auto" w:before="22"/>
        <w:ind w:left="318" w:right="2951"/>
        <w:jc w:val="left"/>
        <w:rPr>
          <w:b w:val="0"/>
          <w:bCs w:val="0"/>
        </w:rPr>
      </w:pPr>
      <w:r>
        <w:rPr/>
        <w:t>三、董事、监事、高级管理人员报酬情况</w:t>
      </w:r>
      <w:r>
        <w:rPr>
          <w:b w:val="0"/>
          <w:bCs w:val="0"/>
        </w:rPr>
      </w:r>
    </w:p>
    <w:p>
      <w:pPr>
        <w:pStyle w:val="BodyText"/>
        <w:spacing w:line="240" w:lineRule="auto" w:before="58"/>
        <w:ind w:left="318" w:right="295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049"/>
        <w:gridCol w:w="6179"/>
      </w:tblGrid>
      <w:tr>
        <w:trPr>
          <w:trHeight w:val="1099"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97"/>
              <w:jc w:val="left"/>
              <w:rPr>
                <w:rFonts w:ascii="宋体" w:hAnsi="宋体" w:cs="宋体" w:eastAsia="宋体" w:hint="default"/>
                <w:sz w:val="21"/>
                <w:szCs w:val="21"/>
              </w:rPr>
            </w:pPr>
            <w:r>
              <w:rPr>
                <w:rFonts w:ascii="宋体" w:hAnsi="宋体" w:cs="宋体" w:eastAsia="宋体" w:hint="default"/>
                <w:spacing w:val="5"/>
                <w:sz w:val="21"/>
                <w:szCs w:val="21"/>
              </w:rPr>
              <w:t>董事、监事、高级管理人员报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酬的决策程序</w:t>
            </w:r>
          </w:p>
        </w:tc>
        <w:tc>
          <w:tcPr>
            <w:tcW w:w="6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董事的薪酬由公司董事会薪酬与考核委员会拟定，董事会、股东</w:t>
            </w:r>
          </w:p>
          <w:p>
            <w:pPr>
              <w:pStyle w:val="TableParagraph"/>
              <w:spacing w:line="237" w:lineRule="auto" w:before="2"/>
              <w:ind w:left="103" w:right="107"/>
              <w:jc w:val="both"/>
              <w:rPr>
                <w:rFonts w:ascii="宋体" w:hAnsi="宋体" w:cs="宋体" w:eastAsia="宋体" w:hint="default"/>
                <w:sz w:val="21"/>
                <w:szCs w:val="21"/>
              </w:rPr>
            </w:pPr>
            <w:r>
              <w:rPr>
                <w:rFonts w:ascii="宋体" w:hAnsi="宋体" w:cs="宋体" w:eastAsia="宋体" w:hint="default"/>
                <w:sz w:val="21"/>
                <w:szCs w:val="21"/>
              </w:rPr>
              <w:t>大会审议通过后实施；监事的薪酬由公司监事会提出、股东大会</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审议通过后实施；高级管理人员的薪酬由董事会薪酬与考核委员</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会拟定，董事会审议通过后实施。</w:t>
            </w:r>
          </w:p>
        </w:tc>
      </w:tr>
      <w:tr>
        <w:trPr>
          <w:trHeight w:val="828"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7"/>
              <w:jc w:val="left"/>
              <w:rPr>
                <w:rFonts w:ascii="宋体" w:hAnsi="宋体" w:cs="宋体" w:eastAsia="宋体" w:hint="default"/>
                <w:sz w:val="21"/>
                <w:szCs w:val="21"/>
              </w:rPr>
            </w:pPr>
            <w:r>
              <w:rPr>
                <w:rFonts w:ascii="宋体" w:hAnsi="宋体" w:cs="宋体" w:eastAsia="宋体" w:hint="default"/>
                <w:spacing w:val="5"/>
                <w:sz w:val="21"/>
                <w:szCs w:val="21"/>
              </w:rPr>
              <w:t>董事、监事、高级管理人员报</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酬确定依据</w:t>
            </w:r>
          </w:p>
        </w:tc>
        <w:tc>
          <w:tcPr>
            <w:tcW w:w="6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公司董事、监事和高级管理人员报酬确定的主要依据是在公司担</w:t>
            </w:r>
          </w:p>
          <w:p>
            <w:pPr>
              <w:pStyle w:val="TableParagraph"/>
              <w:spacing w:line="272" w:lineRule="exact" w:before="27"/>
              <w:ind w:left="103" w:right="107"/>
              <w:jc w:val="left"/>
              <w:rPr>
                <w:rFonts w:ascii="宋体" w:hAnsi="宋体" w:cs="宋体" w:eastAsia="宋体" w:hint="default"/>
                <w:sz w:val="21"/>
                <w:szCs w:val="21"/>
              </w:rPr>
            </w:pPr>
            <w:r>
              <w:rPr>
                <w:rFonts w:ascii="宋体" w:hAnsi="宋体" w:cs="宋体" w:eastAsia="宋体" w:hint="default"/>
                <w:sz w:val="21"/>
                <w:szCs w:val="21"/>
              </w:rPr>
              <w:t>任职务情况、公司行业性质、本人贡献并结合公司经营绩效情况</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等因素确定。</w:t>
            </w:r>
          </w:p>
        </w:tc>
      </w:tr>
      <w:tr>
        <w:trPr>
          <w:trHeight w:val="555"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董事、监事和高级管理人员报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酬的实际支付情况</w:t>
            </w:r>
          </w:p>
        </w:tc>
        <w:tc>
          <w:tcPr>
            <w:tcW w:w="61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报告期内，董事、监事和高级管理人员报酬的实际支付情况总金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额为人民币</w:t>
            </w:r>
            <w:r>
              <w:rPr>
                <w:rFonts w:ascii="宋体" w:hAnsi="宋体" w:cs="宋体" w:eastAsia="宋体" w:hint="default"/>
                <w:spacing w:val="-53"/>
                <w:sz w:val="21"/>
                <w:szCs w:val="21"/>
              </w:rPr>
              <w:t> </w:t>
            </w:r>
            <w:r>
              <w:rPr>
                <w:rFonts w:ascii="宋体" w:hAnsi="宋体" w:cs="宋体" w:eastAsia="宋体" w:hint="default"/>
                <w:sz w:val="21"/>
                <w:szCs w:val="21"/>
              </w:rPr>
              <w:t>552.41</w:t>
            </w:r>
            <w:r>
              <w:rPr>
                <w:rFonts w:ascii="宋体" w:hAnsi="宋体" w:cs="宋体" w:eastAsia="宋体" w:hint="default"/>
                <w:spacing w:val="-55"/>
                <w:sz w:val="21"/>
                <w:szCs w:val="21"/>
              </w:rPr>
              <w:t> </w:t>
            </w:r>
            <w:r>
              <w:rPr>
                <w:rFonts w:ascii="宋体" w:hAnsi="宋体" w:cs="宋体" w:eastAsia="宋体" w:hint="default"/>
                <w:sz w:val="21"/>
                <w:szCs w:val="21"/>
              </w:rPr>
              <w:t>万元。</w:t>
            </w:r>
          </w:p>
        </w:tc>
      </w:tr>
      <w:tr>
        <w:trPr>
          <w:trHeight w:val="828"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报告期末全体董事、监事和高</w:t>
            </w:r>
          </w:p>
          <w:p>
            <w:pPr>
              <w:pStyle w:val="TableParagraph"/>
              <w:spacing w:line="272" w:lineRule="exact" w:before="27"/>
              <w:ind w:left="103" w:right="97"/>
              <w:jc w:val="left"/>
              <w:rPr>
                <w:rFonts w:ascii="宋体" w:hAnsi="宋体" w:cs="宋体" w:eastAsia="宋体" w:hint="default"/>
                <w:sz w:val="21"/>
                <w:szCs w:val="21"/>
              </w:rPr>
            </w:pPr>
            <w:r>
              <w:rPr>
                <w:rFonts w:ascii="宋体" w:hAnsi="宋体" w:cs="宋体" w:eastAsia="宋体" w:hint="default"/>
                <w:spacing w:val="5"/>
                <w:sz w:val="21"/>
                <w:szCs w:val="21"/>
              </w:rPr>
              <w:t>级管理人员实际获得的报酬合</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计</w:t>
            </w:r>
          </w:p>
        </w:tc>
        <w:tc>
          <w:tcPr>
            <w:tcW w:w="61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7"/>
              <w:jc w:val="left"/>
              <w:rPr>
                <w:rFonts w:ascii="宋体" w:hAnsi="宋体" w:cs="宋体" w:eastAsia="宋体" w:hint="default"/>
                <w:sz w:val="21"/>
                <w:szCs w:val="21"/>
              </w:rPr>
            </w:pPr>
            <w:r>
              <w:rPr>
                <w:rFonts w:ascii="宋体" w:hAnsi="宋体" w:cs="宋体" w:eastAsia="宋体" w:hint="default"/>
                <w:sz w:val="21"/>
                <w:szCs w:val="21"/>
              </w:rPr>
              <w:t>报告期内，董事、监事和高级管理人员实际获得的报酬总金额为</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人民币</w:t>
            </w:r>
            <w:r>
              <w:rPr>
                <w:rFonts w:ascii="宋体" w:hAnsi="宋体" w:cs="宋体" w:eastAsia="宋体" w:hint="default"/>
                <w:spacing w:val="-53"/>
                <w:sz w:val="21"/>
                <w:szCs w:val="21"/>
              </w:rPr>
              <w:t> </w:t>
            </w:r>
            <w:r>
              <w:rPr>
                <w:rFonts w:ascii="宋体" w:hAnsi="宋体" w:cs="宋体" w:eastAsia="宋体" w:hint="default"/>
                <w:sz w:val="21"/>
                <w:szCs w:val="21"/>
              </w:rPr>
              <w:t>552.41</w:t>
            </w:r>
            <w:r>
              <w:rPr>
                <w:rFonts w:ascii="宋体" w:hAnsi="宋体" w:cs="宋体" w:eastAsia="宋体" w:hint="default"/>
                <w:spacing w:val="-55"/>
                <w:sz w:val="21"/>
                <w:szCs w:val="21"/>
              </w:rPr>
              <w:t> </w:t>
            </w:r>
            <w:r>
              <w:rPr>
                <w:rFonts w:ascii="宋体" w:hAnsi="宋体" w:cs="宋体" w:eastAsia="宋体" w:hint="default"/>
                <w:sz w:val="21"/>
                <w:szCs w:val="21"/>
              </w:rPr>
              <w:t>万元。</w:t>
            </w:r>
          </w:p>
        </w:tc>
      </w:tr>
    </w:tbl>
    <w:p>
      <w:pPr>
        <w:pStyle w:val="Heading2"/>
        <w:spacing w:line="240" w:lineRule="auto" w:before="26"/>
        <w:ind w:left="318" w:right="2951"/>
        <w:jc w:val="left"/>
        <w:rPr>
          <w:b w:val="0"/>
          <w:bCs w:val="0"/>
        </w:rPr>
      </w:pPr>
      <w:r>
        <w:rPr/>
        <w:t>四、公司董事、监事、高级管理人员变动情况</w:t>
      </w:r>
      <w:r>
        <w:rPr>
          <w:b w:val="0"/>
          <w:bCs w:val="0"/>
        </w:rPr>
      </w:r>
    </w:p>
    <w:p>
      <w:pPr>
        <w:pStyle w:val="BodyText"/>
        <w:spacing w:line="240" w:lineRule="auto" w:before="56"/>
        <w:ind w:left="318" w:right="2951"/>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205" w:type="dxa"/>
        <w:tblLayout w:type="fixed"/>
        <w:tblCellMar>
          <w:top w:w="0" w:type="dxa"/>
          <w:left w:w="0" w:type="dxa"/>
          <w:bottom w:w="0" w:type="dxa"/>
          <w:right w:w="0" w:type="dxa"/>
        </w:tblCellMar>
        <w:tblLook w:val="01E0"/>
      </w:tblPr>
      <w:tblGrid>
        <w:gridCol w:w="1526"/>
        <w:gridCol w:w="1558"/>
        <w:gridCol w:w="1277"/>
        <w:gridCol w:w="4688"/>
      </w:tblGrid>
      <w:tr>
        <w:trPr>
          <w:trHeight w:val="281"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杨庆兵</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经公司第三届董事会第十一次（临时）会议审议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通过，聘任为副总裁。</w:t>
            </w:r>
          </w:p>
        </w:tc>
      </w:tr>
      <w:tr>
        <w:trPr>
          <w:trHeight w:val="55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陈宇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4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经公司第三届董事会第十一次（临时）会议审议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通过，聘任为副总裁。</w:t>
            </w:r>
          </w:p>
        </w:tc>
      </w:tr>
    </w:tbl>
    <w:p>
      <w:pPr>
        <w:pStyle w:val="Heading2"/>
        <w:spacing w:line="240" w:lineRule="auto" w:before="26"/>
        <w:ind w:left="318" w:right="2951"/>
        <w:jc w:val="left"/>
        <w:rPr>
          <w:b w:val="0"/>
          <w:bCs w:val="0"/>
        </w:rPr>
      </w:pPr>
      <w:r>
        <w:rPr/>
        <w:t>五、近三年受证券监管机构处罚的情况说明</w:t>
      </w:r>
      <w:r>
        <w:rPr>
          <w:b w:val="0"/>
          <w:bCs w:val="0"/>
        </w:rPr>
      </w:r>
    </w:p>
    <w:p>
      <w:pPr>
        <w:spacing w:line="290" w:lineRule="auto" w:before="56"/>
        <w:ind w:left="318" w:right="546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六、母公司和主要子公司的员工情况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tbl>
      <w:tblPr>
        <w:tblW w:w="0" w:type="auto"/>
        <w:jc w:val="left"/>
        <w:tblInd w:w="2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1,617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1,916</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采编人员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1,916</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1,250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131</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7</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1,916</w:t>
            </w:r>
          </w:p>
        </w:tc>
      </w:tr>
    </w:tbl>
    <w:p>
      <w:pPr>
        <w:spacing w:after="0" w:line="243" w:lineRule="exact"/>
        <w:jc w:val="right"/>
        <w:rPr>
          <w:rFonts w:ascii="宋体" w:hAnsi="宋体" w:cs="宋体" w:eastAsia="宋体" w:hint="default"/>
          <w:sz w:val="21"/>
          <w:szCs w:val="21"/>
        </w:rPr>
        <w:sectPr>
          <w:pgSz w:w="11910" w:h="16840"/>
          <w:pgMar w:header="877" w:footer="1195" w:top="1100" w:bottom="1380" w:left="1480" w:right="960"/>
        </w:sectPr>
      </w:pPr>
    </w:p>
    <w:p>
      <w:pPr>
        <w:spacing w:line="240" w:lineRule="auto" w:before="9"/>
        <w:rPr>
          <w:rFonts w:ascii="宋体" w:hAnsi="宋体" w:cs="宋体" w:eastAsia="宋体" w:hint="default"/>
          <w:b/>
          <w:bCs/>
          <w:sz w:val="25"/>
          <w:szCs w:val="25"/>
        </w:rPr>
      </w:pPr>
    </w:p>
    <w:p>
      <w:pPr>
        <w:pStyle w:val="Heading2"/>
        <w:spacing w:line="240" w:lineRule="auto"/>
        <w:ind w:right="331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tabs>
          <w:tab w:pos="1060" w:val="left" w:leader="none"/>
        </w:tabs>
        <w:spacing w:line="304" w:lineRule="auto" w:before="32"/>
        <w:ind w:left="638" w:right="234" w:hanging="420"/>
        <w:jc w:val="left"/>
      </w:pPr>
      <w:r>
        <w:rPr>
          <w:spacing w:val="-1"/>
        </w:rPr>
        <w:t>√适用</w:t>
        <w:tab/>
      </w:r>
      <w:r>
        <w:rPr>
          <w:spacing w:val="-2"/>
        </w:rPr>
        <w:t>□不适用</w:t>
      </w:r>
      <w:r>
        <w:rPr>
          <w:spacing w:val="-99"/>
        </w:rPr>
        <w:t> </w:t>
      </w:r>
      <w:r>
        <w:rPr>
          <w:spacing w:val="-99"/>
        </w:rPr>
      </w:r>
      <w:r>
        <w:rPr>
          <w:spacing w:val="-2"/>
        </w:rPr>
        <w:t>公司薪酬政策根据公司制定的《新华网股份有限公司薪酬管理制度（试行）》，为充分发挥</w:t>
      </w:r>
    </w:p>
    <w:p>
      <w:pPr>
        <w:pStyle w:val="BodyText"/>
        <w:spacing w:line="314" w:lineRule="auto" w:before="28"/>
        <w:ind w:right="227"/>
        <w:jc w:val="left"/>
      </w:pPr>
      <w:r>
        <w:rPr>
          <w:spacing w:val="-1"/>
        </w:rPr>
        <w:t>薪酬的激励约束作用，体现出不同岗位薪酬的内部公平和激励性，以岗定薪、按绩取酬，兼顾内</w:t>
      </w:r>
      <w:r>
        <w:rPr>
          <w:spacing w:val="-55"/>
        </w:rPr>
        <w:t> </w:t>
      </w:r>
      <w:r>
        <w:rPr>
          <w:spacing w:val="-55"/>
        </w:rPr>
      </w:r>
      <w:r>
        <w:rPr/>
        <w:t>部激励和外部竞争力，并建立于事业发展配套的薪资增长机制。</w:t>
      </w:r>
    </w:p>
    <w:p>
      <w:pPr>
        <w:pStyle w:val="Heading2"/>
        <w:spacing w:line="240" w:lineRule="auto" w:before="3"/>
        <w:ind w:right="33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tabs>
          <w:tab w:pos="1060" w:val="left" w:leader="none"/>
        </w:tabs>
        <w:spacing w:line="304" w:lineRule="auto" w:before="32"/>
        <w:ind w:left="638" w:right="234" w:hanging="420"/>
        <w:jc w:val="left"/>
      </w:pPr>
      <w:r>
        <w:rPr>
          <w:spacing w:val="-1"/>
        </w:rPr>
        <w:t>√适用</w:t>
        <w:tab/>
      </w:r>
      <w:r>
        <w:rPr>
          <w:spacing w:val="-2"/>
        </w:rPr>
        <w:t>□不适用</w:t>
      </w:r>
      <w:r>
        <w:rPr>
          <w:spacing w:val="-99"/>
        </w:rPr>
        <w:t> </w:t>
      </w:r>
      <w:r>
        <w:rPr>
          <w:spacing w:val="-99"/>
        </w:rPr>
      </w:r>
      <w:r>
        <w:rPr>
          <w:spacing w:val="-2"/>
        </w:rPr>
        <w:t>稳步推进各项培训工作，初步搭建“线上、线下、内训外引”多维度培训体系，构建起总网</w:t>
      </w:r>
    </w:p>
    <w:p>
      <w:pPr>
        <w:pStyle w:val="BodyText"/>
        <w:spacing w:line="314" w:lineRule="auto" w:before="28"/>
        <w:ind w:right="227"/>
        <w:jc w:val="left"/>
      </w:pPr>
      <w:r>
        <w:rPr>
          <w:spacing w:val="-7"/>
        </w:rPr>
        <w:t>和各部门（分子公司）两级培训架构，定期组织后备人才进行跨专业、跨部类、跨地域轮岗锻炼，</w:t>
      </w:r>
      <w:r>
        <w:rPr>
          <w:spacing w:val="-14"/>
        </w:rPr>
        <w:t> </w:t>
      </w:r>
      <w:r>
        <w:rPr>
          <w:spacing w:val="-14"/>
        </w:rPr>
      </w:r>
      <w:r>
        <w:rPr/>
        <w:t>畅通人才“横纵”交流通道，积极引导内部人才流动，全面提升员工职业能力。</w:t>
      </w:r>
    </w:p>
    <w:p>
      <w:pPr>
        <w:pStyle w:val="Heading2"/>
        <w:spacing w:line="240" w:lineRule="auto" w:before="4"/>
        <w:ind w:right="3319"/>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right="3319"/>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328,539.7</w:t>
            </w:r>
            <w:r>
              <w:rPr>
                <w:rFonts w:ascii="宋体" w:hAnsi="宋体" w:cs="宋体" w:eastAsia="宋体" w:hint="default"/>
                <w:spacing w:val="-51"/>
                <w:sz w:val="21"/>
                <w:szCs w:val="21"/>
              </w:rPr>
              <w:t> </w:t>
            </w:r>
            <w:r>
              <w:rPr>
                <w:rFonts w:ascii="宋体" w:hAnsi="宋体" w:cs="宋体" w:eastAsia="宋体" w:hint="default"/>
                <w:sz w:val="21"/>
                <w:szCs w:val="21"/>
              </w:rPr>
              <w:t>小时</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19,404,790.63</w:t>
            </w:r>
            <w:r>
              <w:rPr>
                <w:rFonts w:ascii="宋体" w:hAnsi="宋体" w:cs="宋体" w:eastAsia="宋体" w:hint="default"/>
                <w:spacing w:val="-52"/>
                <w:sz w:val="21"/>
                <w:szCs w:val="21"/>
              </w:rPr>
              <w:t> </w:t>
            </w:r>
            <w:r>
              <w:rPr>
                <w:rFonts w:ascii="宋体" w:hAnsi="宋体" w:cs="宋体" w:eastAsia="宋体" w:hint="default"/>
                <w:sz w:val="21"/>
                <w:szCs w:val="21"/>
              </w:rPr>
              <w:t>元</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pStyle w:val="Heading2"/>
        <w:spacing w:line="240" w:lineRule="auto" w:before="26"/>
        <w:ind w:right="202"/>
        <w:jc w:val="left"/>
        <w:rPr>
          <w:b w:val="0"/>
          <w:bCs w:val="0"/>
        </w:rPr>
      </w:pPr>
      <w:r>
        <w:rPr/>
        <w:t>七、其他</w:t>
      </w:r>
      <w:r>
        <w:rPr>
          <w:b w:val="0"/>
          <w:bCs w:val="0"/>
        </w:rPr>
      </w:r>
    </w:p>
    <w:p>
      <w:pPr>
        <w:pStyle w:val="BodyText"/>
        <w:tabs>
          <w:tab w:pos="1060" w:val="left" w:leader="none"/>
        </w:tabs>
        <w:spacing w:line="240" w:lineRule="auto" w:before="56"/>
        <w:ind w:right="-12"/>
        <w:jc w:val="left"/>
      </w:pPr>
      <w:r>
        <w:rPr>
          <w:spacing w:val="-1"/>
        </w:rPr>
        <w:t>□适用</w:t>
        <w:tab/>
      </w:r>
      <w:r>
        <w:rPr>
          <w:spacing w:val="-2"/>
        </w:rPr>
        <w:t>√不适用</w:t>
      </w:r>
    </w:p>
    <w:p>
      <w:pPr>
        <w:spacing w:line="240" w:lineRule="auto" w:before="0"/>
        <w:rPr>
          <w:rFonts w:ascii="宋体" w:hAnsi="宋体" w:cs="宋体" w:eastAsia="宋体" w:hint="default"/>
          <w:sz w:val="28"/>
          <w:szCs w:val="28"/>
        </w:rPr>
      </w:pPr>
      <w:r>
        <w:rPr/>
        <w:br w:type="column"/>
      </w:r>
      <w:r>
        <w:rPr>
          <w:rFonts w:ascii="宋体"/>
          <w:sz w:val="28"/>
        </w:rPr>
      </w:r>
    </w:p>
    <w:p>
      <w:pPr>
        <w:pStyle w:val="Heading1"/>
        <w:tabs>
          <w:tab w:pos="1477" w:val="left" w:leader="none"/>
        </w:tabs>
        <w:spacing w:line="240" w:lineRule="auto" w:before="249"/>
        <w:ind w:left="218" w:right="0"/>
        <w:jc w:val="left"/>
        <w:rPr>
          <w:b w:val="0"/>
          <w:bCs w:val="0"/>
        </w:rPr>
      </w:pPr>
      <w:bookmarkStart w:name="_TOC_250003" w:id="9"/>
      <w:r>
        <w:rPr>
          <w:w w:val="95"/>
        </w:rPr>
        <w:t>第九节</w:t>
        <w:tab/>
      </w:r>
      <w:r>
        <w:rPr/>
        <w:t>公司治理</w:t>
      </w:r>
      <w:bookmarkEnd w:id="9"/>
      <w:r>
        <w:rPr>
          <w:b w:val="0"/>
          <w:bCs w:val="0"/>
        </w:rPr>
      </w:r>
    </w:p>
    <w:p>
      <w:pPr>
        <w:spacing w:after="0" w:line="240" w:lineRule="auto"/>
        <w:jc w:val="left"/>
        <w:sectPr>
          <w:type w:val="continuous"/>
          <w:pgSz w:w="11910" w:h="16840"/>
          <w:pgMar w:top="1120" w:bottom="1380" w:left="1580" w:right="1040"/>
          <w:cols w:num="2" w:equalWidth="0">
            <w:col w:w="1901" w:space="1323"/>
            <w:col w:w="6066"/>
          </w:cols>
        </w:sectPr>
      </w:pPr>
    </w:p>
    <w:p>
      <w:pPr>
        <w:spacing w:line="240" w:lineRule="auto" w:before="7"/>
        <w:rPr>
          <w:rFonts w:ascii="黑体" w:hAnsi="黑体" w:cs="黑体" w:eastAsia="黑体" w:hint="default"/>
          <w:b/>
          <w:bCs/>
          <w:sz w:val="16"/>
          <w:szCs w:val="16"/>
        </w:rPr>
      </w:pPr>
    </w:p>
    <w:p>
      <w:pPr>
        <w:pStyle w:val="Heading2"/>
        <w:spacing w:line="240" w:lineRule="auto"/>
        <w:ind w:right="0"/>
        <w:jc w:val="both"/>
        <w:rPr>
          <w:b w:val="0"/>
          <w:bCs w:val="0"/>
        </w:rPr>
      </w:pPr>
      <w:r>
        <w:rPr/>
        <w:t>一、公司治理相关情况说明</w:t>
      </w:r>
      <w:r>
        <w:rPr>
          <w:b w:val="0"/>
          <w:bCs w:val="0"/>
        </w:rPr>
      </w:r>
    </w:p>
    <w:p>
      <w:pPr>
        <w:pStyle w:val="BodyText"/>
        <w:tabs>
          <w:tab w:pos="1060" w:val="left" w:leader="none"/>
        </w:tabs>
        <w:spacing w:line="307" w:lineRule="auto" w:before="56"/>
        <w:ind w:left="638" w:right="234" w:hanging="420"/>
        <w:jc w:val="left"/>
      </w:pPr>
      <w:r>
        <w:rPr>
          <w:spacing w:val="-1"/>
        </w:rPr>
        <w:t>√适用</w:t>
        <w:tab/>
      </w:r>
      <w:r>
        <w:rPr>
          <w:spacing w:val="-2"/>
        </w:rPr>
        <w:t>□不适用</w:t>
      </w:r>
      <w:r>
        <w:rPr>
          <w:spacing w:val="-99"/>
        </w:rPr>
        <w:t> </w:t>
      </w:r>
      <w:r>
        <w:rPr>
          <w:spacing w:val="-99"/>
        </w:rPr>
      </w:r>
      <w:r>
        <w:rPr>
          <w:spacing w:val="-2"/>
        </w:rPr>
        <w:t>公司根据《公司法》《证券法》《上市公司治理准则》《上市公司股东大会规则》《上市公</w:t>
      </w:r>
    </w:p>
    <w:p>
      <w:pPr>
        <w:pStyle w:val="BodyText"/>
        <w:spacing w:line="314" w:lineRule="auto" w:before="26"/>
        <w:ind w:right="228"/>
        <w:jc w:val="both"/>
      </w:pPr>
      <w:r>
        <w:rPr>
          <w:spacing w:val="-1"/>
        </w:rPr>
        <w:t>司章程指引》等法律法规及《公司章程》的规定，建立了股东大会、董事会、监事会、独立董事</w:t>
      </w:r>
      <w:r>
        <w:rPr>
          <w:spacing w:val="-55"/>
        </w:rPr>
        <w:t> </w:t>
      </w:r>
      <w:r>
        <w:rPr>
          <w:spacing w:val="-55"/>
        </w:rPr>
      </w:r>
      <w:r>
        <w:rPr>
          <w:spacing w:val="-1"/>
        </w:rPr>
        <w:t>和董事会秘书等制度，并在董事会下设立战略与发展委员会、编辑政策委员会、提名委员会、审</w:t>
      </w:r>
      <w:r>
        <w:rPr>
          <w:spacing w:val="-55"/>
        </w:rPr>
        <w:t> </w:t>
      </w:r>
      <w:r>
        <w:rPr>
          <w:spacing w:val="-55"/>
        </w:rPr>
      </w:r>
      <w:r>
        <w:rPr>
          <w:spacing w:val="-1"/>
        </w:rPr>
        <w:t>计委员会、薪酬与考核委员会等五个专门委员会，为董事会重大决策提供咨询、建议，保证董事</w:t>
      </w:r>
      <w:r>
        <w:rPr>
          <w:spacing w:val="-55"/>
        </w:rPr>
        <w:t> </w:t>
      </w:r>
      <w:r>
        <w:rPr>
          <w:spacing w:val="-55"/>
        </w:rPr>
      </w:r>
      <w:r>
        <w:rPr>
          <w:spacing w:val="-1"/>
        </w:rPr>
        <w:t>会议事、决事的专业化、高效化。上述人员和机构能够按照国家法律法规和公司章程的规定，履</w:t>
      </w:r>
      <w:r>
        <w:rPr>
          <w:spacing w:val="-55"/>
        </w:rPr>
        <w:t> </w:t>
      </w:r>
      <w:r>
        <w:rPr>
          <w:spacing w:val="-55"/>
        </w:rPr>
      </w:r>
      <w:r>
        <w:rPr>
          <w:spacing w:val="-1"/>
        </w:rPr>
        <w:t>行各自的权利和义务，公司重大生产经营决策、关联交易决策、投资决策和财务决策均能严格按</w:t>
      </w:r>
      <w:r>
        <w:rPr>
          <w:spacing w:val="-55"/>
        </w:rPr>
        <w:t> </w:t>
      </w:r>
      <w:r>
        <w:rPr>
          <w:spacing w:val="-55"/>
        </w:rPr>
      </w:r>
      <w:r>
        <w:rPr>
          <w:spacing w:val="-2"/>
        </w:rPr>
        <w:t>照公司章程规定的程序和规则进行，能够切实保护中小股东的利益，未出现重大违法违规行为。</w:t>
      </w:r>
    </w:p>
    <w:p>
      <w:pPr>
        <w:spacing w:line="240" w:lineRule="auto" w:before="5"/>
        <w:rPr>
          <w:rFonts w:ascii="宋体" w:hAnsi="宋体" w:cs="宋体" w:eastAsia="宋体" w:hint="default"/>
          <w:sz w:val="16"/>
          <w:szCs w:val="16"/>
        </w:rPr>
      </w:pPr>
    </w:p>
    <w:p>
      <w:pPr>
        <w:pStyle w:val="BodyText"/>
        <w:spacing w:line="274" w:lineRule="exact"/>
        <w:ind w:right="0"/>
        <w:jc w:val="both"/>
      </w:pPr>
      <w:r>
        <w:rPr/>
        <w:t>公司治理与中国证监会相关规定的要求是否存在重大差异；如有重大差异，应当说明原因</w:t>
      </w:r>
    </w:p>
    <w:p>
      <w:pPr>
        <w:spacing w:line="290" w:lineRule="auto" w:before="0"/>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二、股东大会情况简介</w:t>
      </w:r>
      <w:r>
        <w:rPr>
          <w:rFonts w:ascii="宋体" w:hAnsi="宋体" w:cs="宋体" w:eastAsia="宋体" w:hint="default"/>
          <w:sz w:val="21"/>
          <w:szCs w:val="21"/>
        </w:rPr>
      </w:r>
    </w:p>
    <w:p>
      <w:pPr>
        <w:spacing w:line="240" w:lineRule="auto" w:before="7"/>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pStyle w:val="BodyText"/>
        <w:spacing w:line="240" w:lineRule="exact"/>
        <w:ind w:right="3319"/>
        <w:jc w:val="left"/>
      </w:pPr>
      <w:r>
        <w:rPr/>
        <w:t>股东大会情况说明</w:t>
      </w:r>
    </w:p>
    <w:p>
      <w:pPr>
        <w:spacing w:line="290" w:lineRule="auto" w:before="0"/>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三、董事履行职责情况</w:t>
      </w:r>
      <w:r>
        <w:rPr>
          <w:rFonts w:ascii="宋体" w:hAnsi="宋体" w:cs="宋体" w:eastAsia="宋体" w:hint="default"/>
          <w:sz w:val="21"/>
          <w:szCs w:val="21"/>
        </w:rPr>
      </w:r>
    </w:p>
    <w:p>
      <w:pPr>
        <w:pStyle w:val="Heading2"/>
        <w:spacing w:line="240" w:lineRule="auto" w:before="14"/>
        <w:ind w:right="33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bl>
    <w:p>
      <w:pPr>
        <w:spacing w:after="0" w:line="27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田舒斌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92" w:right="0"/>
              <w:jc w:val="lef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29"/>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郭奔胜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魏紫川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丁平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2" w:right="0"/>
              <w:jc w:val="lef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9"/>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申江婴</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叶芝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陈刚</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刘海涛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7</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张英海</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吴振华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w w:val="100"/>
                <w:sz w:val="21"/>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9"/>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bl>
    <w:p>
      <w:pPr>
        <w:pStyle w:val="BodyText"/>
        <w:spacing w:line="239" w:lineRule="exact"/>
        <w:ind w:right="3319"/>
        <w:jc w:val="left"/>
      </w:pPr>
      <w:r>
        <w:rPr/>
        <w:t>连续两次未亲自出席董事会会议的说明</w:t>
      </w:r>
    </w:p>
    <w:p>
      <w:pPr>
        <w:pStyle w:val="BodyText"/>
        <w:spacing w:line="273" w:lineRule="exact"/>
        <w:ind w:right="331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bl>
    <w:p>
      <w:pPr>
        <w:pStyle w:val="Heading2"/>
        <w:spacing w:line="240" w:lineRule="auto" w:before="26"/>
        <w:ind w:right="331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3319"/>
        <w:jc w:val="left"/>
      </w:pPr>
      <w:r>
        <w:rPr/>
        <w:t>□适用</w:t>
      </w:r>
      <w:r>
        <w:rPr>
          <w:spacing w:val="-1"/>
        </w:rPr>
        <w:t> </w:t>
      </w:r>
      <w:r>
        <w:rPr/>
        <w:t>√不适用</w:t>
      </w:r>
    </w:p>
    <w:p>
      <w:pPr>
        <w:pStyle w:val="Heading2"/>
        <w:spacing w:line="240" w:lineRule="auto" w:before="58"/>
        <w:ind w:right="33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Heading2"/>
        <w:tabs>
          <w:tab w:pos="1060" w:val="left" w:leader="none"/>
        </w:tabs>
        <w:spacing w:line="290" w:lineRule="auto" w:before="29"/>
        <w:ind w:right="132"/>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t>四、董事会下设专门委员会在报告期内履行职责时所提出的重要意见和建议，存在异议事项的，</w:t>
      </w:r>
      <w:r>
        <w:rPr>
          <w:b w:val="0"/>
          <w:bCs w:val="0"/>
        </w:rPr>
      </w:r>
    </w:p>
    <w:p>
      <w:pPr>
        <w:pStyle w:val="Heading2"/>
        <w:spacing w:line="227" w:lineRule="exact" w:before="0"/>
        <w:ind w:left="642" w:right="3319"/>
        <w:jc w:val="left"/>
        <w:rPr>
          <w:b w:val="0"/>
          <w:bCs w:val="0"/>
        </w:rPr>
      </w:pPr>
      <w:r>
        <w:rPr/>
        <w:t>应当披露具体情况</w:t>
      </w:r>
      <w:r>
        <w:rPr>
          <w:b w:val="0"/>
          <w:bCs w:val="0"/>
        </w:rPr>
      </w:r>
    </w:p>
    <w:p>
      <w:pPr>
        <w:pStyle w:val="BodyText"/>
        <w:tabs>
          <w:tab w:pos="1060" w:val="left" w:leader="none"/>
        </w:tabs>
        <w:spacing w:line="304" w:lineRule="auto" w:before="59"/>
        <w:ind w:left="638" w:right="234" w:hanging="420"/>
        <w:jc w:val="left"/>
      </w:pPr>
      <w:r>
        <w:rPr>
          <w:spacing w:val="-1"/>
        </w:rPr>
        <w:t>√适用</w:t>
        <w:tab/>
      </w:r>
      <w:r>
        <w:rPr>
          <w:spacing w:val="-2"/>
        </w:rPr>
        <w:t>□不适用</w:t>
      </w:r>
      <w:r>
        <w:rPr>
          <w:spacing w:val="-99"/>
        </w:rPr>
        <w:t> </w:t>
      </w:r>
      <w:r>
        <w:rPr>
          <w:spacing w:val="-99"/>
        </w:rPr>
      </w:r>
      <w:r>
        <w:rPr>
          <w:spacing w:val="-7"/>
        </w:rPr>
        <w:t>报告期内，董事会下设各专门委员会根据《公司章程》及各专门委员会的工作细则履行职责，</w:t>
      </w:r>
    </w:p>
    <w:p>
      <w:pPr>
        <w:pStyle w:val="BodyText"/>
        <w:spacing w:line="307" w:lineRule="auto" w:before="28"/>
        <w:ind w:right="227"/>
        <w:jc w:val="left"/>
        <w:rPr>
          <w:rFonts w:ascii="宋体" w:hAnsi="宋体" w:cs="宋体" w:eastAsia="宋体" w:hint="default"/>
        </w:rPr>
      </w:pPr>
      <w:r>
        <w:rPr>
          <w:spacing w:val="-1"/>
        </w:rPr>
        <w:t>依法合规运作。董事会各专门委员会为完善公司治理结构、促进公司发展起到了积极作用。报告</w:t>
      </w:r>
      <w:r>
        <w:rPr>
          <w:spacing w:val="-55"/>
        </w:rPr>
        <w:t> </w:t>
      </w:r>
      <w:r>
        <w:rPr>
          <w:spacing w:val="-55"/>
        </w:rPr>
      </w:r>
      <w:r>
        <w:rPr/>
        <w:t>期内，公司董事会各专门委员会提出的意见和建议不存在异议事项。</w:t>
      </w:r>
      <w:r>
        <w:rPr>
          <w:w w:val="100"/>
        </w:rPr>
        <w:t> </w:t>
      </w:r>
      <w:r>
        <w:rPr>
          <w:rFonts w:ascii="宋体" w:hAnsi="宋体" w:cs="宋体" w:eastAsia="宋体" w:hint="default"/>
          <w:b/>
          <w:bCs/>
        </w:rPr>
        <w:t>五、监事会发现公司存在风险的说明</w:t>
      </w:r>
      <w:r>
        <w:rPr>
          <w:rFonts w:ascii="宋体" w:hAnsi="宋体" w:cs="宋体" w:eastAsia="宋体" w:hint="default"/>
        </w:rPr>
      </w:r>
    </w:p>
    <w:p>
      <w:pPr>
        <w:pStyle w:val="Heading2"/>
        <w:spacing w:line="290" w:lineRule="auto" w:before="0"/>
        <w:ind w:right="22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spacing w:val="-1"/>
        </w:rPr>
        <w:t>六、公司就其与控股股东在业务、人员、资产、机构、财务等方面存在的不能保证独立性、不能</w:t>
      </w:r>
      <w:r>
        <w:rPr>
          <w:b w:val="0"/>
          <w:bCs w:val="0"/>
          <w:spacing w:val="-1"/>
        </w:rPr>
      </w:r>
    </w:p>
    <w:p>
      <w:pPr>
        <w:pStyle w:val="Heading2"/>
        <w:spacing w:line="227" w:lineRule="exact" w:before="0"/>
        <w:ind w:left="642" w:right="3319"/>
        <w:jc w:val="left"/>
        <w:rPr>
          <w:b w:val="0"/>
          <w:bCs w:val="0"/>
        </w:rPr>
      </w:pPr>
      <w:r>
        <w:rPr/>
        <w:t>保持自主经营能力的情况说明</w:t>
      </w:r>
      <w:r>
        <w:rPr>
          <w:b w:val="0"/>
          <w:bCs w:val="0"/>
        </w:rPr>
      </w:r>
    </w:p>
    <w:p>
      <w:pPr>
        <w:pStyle w:val="BodyText"/>
        <w:tabs>
          <w:tab w:pos="1060" w:val="left" w:leader="none"/>
        </w:tabs>
        <w:spacing w:line="272" w:lineRule="exact" w:before="86"/>
        <w:ind w:right="2969"/>
        <w:jc w:val="left"/>
      </w:pPr>
      <w:r>
        <w:rPr>
          <w:spacing w:val="-1"/>
        </w:rPr>
        <w:t>□适用</w:t>
        <w:tab/>
      </w:r>
      <w:r>
        <w:rPr>
          <w:spacing w:val="-2"/>
        </w:rPr>
        <w:t>√不适用</w:t>
      </w:r>
      <w:r>
        <w:rPr>
          <w:spacing w:val="-99"/>
        </w:rPr>
        <w:t> </w:t>
      </w:r>
      <w:r>
        <w:rPr>
          <w:spacing w:val="-99"/>
        </w:rPr>
      </w:r>
      <w:r>
        <w:rPr>
          <w:spacing w:val="-2"/>
        </w:rPr>
        <w:t>存在同业竞争的，公司相应的解决措施、工作进度及后续工作计划</w:t>
      </w:r>
    </w:p>
    <w:p>
      <w:pPr>
        <w:pStyle w:val="BodyText"/>
        <w:tabs>
          <w:tab w:pos="1060" w:val="left" w:leader="none"/>
        </w:tabs>
        <w:spacing w:line="249" w:lineRule="exact"/>
        <w:ind w:right="3319"/>
        <w:jc w:val="left"/>
      </w:pPr>
      <w:r>
        <w:rPr>
          <w:spacing w:val="-1"/>
        </w:rPr>
        <w:t>□适用</w:t>
        <w:tab/>
      </w:r>
      <w:r>
        <w:rPr>
          <w:spacing w:val="-2"/>
        </w:rPr>
        <w:t>√不适用</w:t>
      </w:r>
    </w:p>
    <w:p>
      <w:pPr>
        <w:pStyle w:val="Heading2"/>
        <w:spacing w:line="240" w:lineRule="auto" w:before="56"/>
        <w:ind w:right="227"/>
        <w:jc w:val="left"/>
        <w:rPr>
          <w:b w:val="0"/>
          <w:bCs w:val="0"/>
        </w:rPr>
      </w:pPr>
      <w:r>
        <w:rPr/>
        <w:t>七、报告期内对高级管理人员的考评机制，以及激励机制的建立、实施情况</w:t>
      </w:r>
      <w:r>
        <w:rPr>
          <w:b w:val="0"/>
          <w:bCs w:val="0"/>
        </w:rPr>
      </w:r>
    </w:p>
    <w:p>
      <w:pPr>
        <w:pStyle w:val="BodyText"/>
        <w:tabs>
          <w:tab w:pos="1060" w:val="left" w:leader="none"/>
        </w:tabs>
        <w:spacing w:line="304" w:lineRule="auto" w:before="58"/>
        <w:ind w:left="638" w:right="234" w:hanging="420"/>
        <w:jc w:val="left"/>
      </w:pPr>
      <w:r>
        <w:rPr>
          <w:spacing w:val="-1"/>
        </w:rPr>
        <w:t>√适用</w:t>
        <w:tab/>
      </w:r>
      <w:r>
        <w:rPr>
          <w:spacing w:val="-2"/>
        </w:rPr>
        <w:t>□不适用</w:t>
      </w:r>
      <w:r>
        <w:rPr>
          <w:spacing w:val="-99"/>
        </w:rPr>
        <w:t> </w:t>
      </w:r>
      <w:r>
        <w:rPr>
          <w:spacing w:val="-99"/>
        </w:rPr>
      </w:r>
      <w:r>
        <w:rPr>
          <w:spacing w:val="-2"/>
        </w:rPr>
        <w:t>公司建立了绩效考评标准，对高级管理人员的工作业绩进行评估、考核。公司高级管理人员</w:t>
      </w:r>
    </w:p>
    <w:p>
      <w:pPr>
        <w:spacing w:line="300" w:lineRule="auto" w:before="28"/>
        <w:ind w:left="218" w:right="227" w:firstLine="0"/>
        <w:jc w:val="left"/>
        <w:rPr>
          <w:rFonts w:ascii="宋体" w:hAnsi="宋体" w:cs="宋体" w:eastAsia="宋体" w:hint="default"/>
          <w:sz w:val="21"/>
          <w:szCs w:val="21"/>
        </w:rPr>
      </w:pPr>
      <w:r>
        <w:rPr>
          <w:rFonts w:ascii="宋体" w:hAnsi="宋体" w:cs="宋体" w:eastAsia="宋体" w:hint="default"/>
          <w:spacing w:val="-2"/>
          <w:sz w:val="21"/>
          <w:szCs w:val="21"/>
        </w:rPr>
        <w:t>的聘任程序公开、透明，符合法律及《公司章程》等相关规定。</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b/>
          <w:bCs/>
          <w:sz w:val="21"/>
          <w:szCs w:val="21"/>
        </w:rPr>
        <w:t>八、是否披露内部控制自我评价报告</w:t>
      </w:r>
      <w:r>
        <w:rPr>
          <w:rFonts w:ascii="宋体" w:hAnsi="宋体" w:cs="宋体" w:eastAsia="宋体" w:hint="default"/>
          <w:sz w:val="21"/>
          <w:szCs w:val="21"/>
        </w:rPr>
      </w:r>
    </w:p>
    <w:p>
      <w:pPr>
        <w:pStyle w:val="BodyText"/>
        <w:spacing w:line="304" w:lineRule="auto" w:before="6"/>
        <w:ind w:left="638" w:right="227" w:hanging="420"/>
        <w:jc w:val="left"/>
      </w:pPr>
      <w:r>
        <w:rPr/>
        <w:t>√适用</w:t>
      </w:r>
      <w:r>
        <w:rPr>
          <w:spacing w:val="-2"/>
        </w:rPr>
        <w:t> </w:t>
      </w:r>
      <w:r>
        <w:rPr/>
        <w:t>□不适用</w:t>
      </w:r>
      <w:r>
        <w:rPr>
          <w:w w:val="100"/>
        </w:rPr>
        <w:t> </w:t>
      </w:r>
      <w:r>
        <w:rPr>
          <w:spacing w:val="-1"/>
        </w:rPr>
        <w:t>详见与本报告同日披露在上海证券交易所网站（</w:t>
      </w:r>
      <w:hyperlink r:id="rId10">
        <w:r>
          <w:rPr>
            <w:rFonts w:ascii="宋体" w:hAnsi="宋体" w:cs="宋体" w:eastAsia="宋体" w:hint="default"/>
            <w:spacing w:val="-1"/>
          </w:rPr>
          <w:t>www.sse.com.cn</w:t>
        </w:r>
      </w:hyperlink>
      <w:r>
        <w:rPr>
          <w:spacing w:val="-1"/>
        </w:rPr>
        <w:t>）的《新华网股份有限公司</w:t>
      </w:r>
    </w:p>
    <w:p>
      <w:pPr>
        <w:pStyle w:val="BodyText"/>
        <w:spacing w:line="240" w:lineRule="auto" w:before="28"/>
        <w:ind w:right="3319"/>
        <w:jc w:val="left"/>
      </w:pPr>
      <w:r>
        <w:rPr>
          <w:rFonts w:ascii="宋体" w:hAnsi="宋体" w:cs="宋体" w:eastAsia="宋体" w:hint="default"/>
        </w:rPr>
        <w:t>2018</w:t>
      </w:r>
      <w:r>
        <w:rPr>
          <w:rFonts w:ascii="宋体" w:hAnsi="宋体" w:cs="宋体" w:eastAsia="宋体" w:hint="default"/>
          <w:spacing w:val="-54"/>
        </w:rPr>
        <w:t> </w:t>
      </w:r>
      <w:r>
        <w:rPr/>
        <w:t>年度内部控制评价报告》。</w:t>
      </w:r>
    </w:p>
    <w:p>
      <w:pPr>
        <w:pStyle w:val="BodyText"/>
        <w:spacing w:line="274" w:lineRule="exact" w:before="128"/>
        <w:ind w:right="3319"/>
        <w:jc w:val="left"/>
      </w:pPr>
      <w:r>
        <w:rPr/>
        <w:t>报告期内部控制存在重大缺陷情况的说明</w:t>
      </w:r>
    </w:p>
    <w:p>
      <w:pPr>
        <w:pStyle w:val="BodyText"/>
        <w:spacing w:line="274" w:lineRule="exact"/>
        <w:ind w:right="3319"/>
        <w:jc w:val="left"/>
      </w:pPr>
      <w:r>
        <w:rPr/>
        <w:t>□适用</w:t>
      </w:r>
      <w:r>
        <w:rPr>
          <w:spacing w:val="-1"/>
        </w:rPr>
        <w:t> </w:t>
      </w:r>
      <w:r>
        <w:rPr/>
        <w:t>√不适用</w:t>
      </w:r>
    </w:p>
    <w:p>
      <w:pPr>
        <w:spacing w:after="0" w:line="274" w:lineRule="exact"/>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2"/>
        <w:spacing w:line="240" w:lineRule="auto"/>
        <w:ind w:left="138" w:right="125"/>
        <w:jc w:val="left"/>
        <w:rPr>
          <w:b w:val="0"/>
          <w:bCs w:val="0"/>
        </w:rPr>
      </w:pPr>
      <w:r>
        <w:rPr/>
        <w:t>九、内部控制审计报告的相关情况说明</w:t>
      </w:r>
      <w:r>
        <w:rPr>
          <w:b w:val="0"/>
          <w:bCs w:val="0"/>
        </w:rPr>
      </w:r>
    </w:p>
    <w:p>
      <w:pPr>
        <w:pStyle w:val="BodyText"/>
        <w:tabs>
          <w:tab w:pos="980" w:val="left" w:leader="none"/>
        </w:tabs>
        <w:spacing w:line="304" w:lineRule="auto" w:before="58"/>
        <w:ind w:left="558" w:right="137" w:hanging="420"/>
        <w:jc w:val="left"/>
      </w:pPr>
      <w:r>
        <w:rPr>
          <w:spacing w:val="-1"/>
        </w:rPr>
        <w:t>√适用</w:t>
        <w:tab/>
      </w:r>
      <w:r>
        <w:rPr>
          <w:spacing w:val="-2"/>
        </w:rPr>
        <w:t>□不适用</w:t>
      </w:r>
      <w:r>
        <w:rPr>
          <w:spacing w:val="-99"/>
        </w:rPr>
        <w:t> </w:t>
      </w:r>
      <w:r>
        <w:rPr>
          <w:spacing w:val="-99"/>
        </w:rPr>
      </w:r>
      <w:r>
        <w:rPr>
          <w:spacing w:val="-1"/>
        </w:rPr>
        <w:t>详见与本报告同日披露在上海证券交易所网站（</w:t>
      </w:r>
      <w:hyperlink r:id="rId10">
        <w:r>
          <w:rPr>
            <w:rFonts w:ascii="宋体" w:hAnsi="宋体" w:cs="宋体" w:eastAsia="宋体" w:hint="default"/>
            <w:spacing w:val="-1"/>
          </w:rPr>
          <w:t>www.sse.com.cn</w:t>
        </w:r>
      </w:hyperlink>
      <w:r>
        <w:rPr>
          <w:spacing w:val="-1"/>
        </w:rPr>
        <w:t>）的《新华网股份有限公司</w:t>
      </w:r>
    </w:p>
    <w:p>
      <w:pPr>
        <w:pStyle w:val="BodyText"/>
        <w:spacing w:line="352" w:lineRule="auto" w:before="28"/>
        <w:ind w:left="558" w:right="5169" w:hanging="420"/>
        <w:jc w:val="left"/>
      </w:pPr>
      <w:r>
        <w:rPr/>
        <w:t>内部控制审计报告》。</w:t>
      </w:r>
      <w:r>
        <w:rPr>
          <w:w w:val="100"/>
        </w:rPr>
        <w:t> </w:t>
      </w:r>
      <w:r>
        <w:rPr>
          <w:spacing w:val="-2"/>
        </w:rPr>
        <w:t>是否披露内部控制审计报告：是</w:t>
      </w:r>
    </w:p>
    <w:p>
      <w:pPr>
        <w:pStyle w:val="Heading2"/>
        <w:spacing w:line="240" w:lineRule="auto" w:before="97"/>
        <w:ind w:left="138" w:right="125"/>
        <w:jc w:val="left"/>
        <w:rPr>
          <w:b w:val="0"/>
          <w:bCs w:val="0"/>
        </w:rPr>
      </w:pPr>
      <w:r>
        <w:rPr/>
        <w:t>十、其他</w:t>
      </w:r>
      <w:r>
        <w:rPr>
          <w:b w:val="0"/>
          <w:bCs w:val="0"/>
        </w:rPr>
      </w:r>
    </w:p>
    <w:p>
      <w:pPr>
        <w:pStyle w:val="BodyText"/>
        <w:tabs>
          <w:tab w:pos="980" w:val="left" w:leader="none"/>
        </w:tabs>
        <w:spacing w:line="240" w:lineRule="auto" w:before="56"/>
        <w:ind w:left="138" w:right="125"/>
        <w:jc w:val="left"/>
      </w:pPr>
      <w:r>
        <w:rPr>
          <w:spacing w:val="-1"/>
        </w:rPr>
        <w:t>□适用</w:t>
        <w:tab/>
      </w:r>
      <w:r>
        <w:rPr>
          <w:spacing w:val="-2"/>
        </w:rPr>
        <w:t>√不适用</w:t>
      </w:r>
    </w:p>
    <w:p>
      <w:pPr>
        <w:spacing w:line="240" w:lineRule="auto" w:before="1"/>
        <w:rPr>
          <w:rFonts w:ascii="宋体" w:hAnsi="宋体" w:cs="宋体" w:eastAsia="宋体" w:hint="default"/>
          <w:sz w:val="24"/>
          <w:szCs w:val="24"/>
        </w:rPr>
      </w:pPr>
    </w:p>
    <w:p>
      <w:pPr>
        <w:pStyle w:val="Heading1"/>
        <w:tabs>
          <w:tab w:pos="4060" w:val="left" w:leader="none"/>
        </w:tabs>
        <w:spacing w:line="240" w:lineRule="auto" w:before="0"/>
        <w:ind w:left="2800" w:right="125"/>
        <w:jc w:val="left"/>
        <w:rPr>
          <w:b w:val="0"/>
          <w:bCs w:val="0"/>
        </w:rPr>
      </w:pPr>
      <w:bookmarkStart w:name="_TOC_250002" w:id="10"/>
      <w:r>
        <w:rPr>
          <w:w w:val="95"/>
        </w:rPr>
        <w:t>第十节</w:t>
        <w:tab/>
      </w:r>
      <w:r>
        <w:rPr/>
        <w:t>公司债券相关情况</w:t>
      </w:r>
      <w:bookmarkEnd w:id="10"/>
      <w:r>
        <w:rPr>
          <w:b w:val="0"/>
          <w:bCs w:val="0"/>
        </w:rPr>
      </w:r>
    </w:p>
    <w:p>
      <w:pPr>
        <w:spacing w:line="240" w:lineRule="auto" w:before="5"/>
        <w:rPr>
          <w:rFonts w:ascii="黑体" w:hAnsi="黑体" w:cs="黑体" w:eastAsia="黑体" w:hint="default"/>
          <w:b/>
          <w:bCs/>
          <w:sz w:val="19"/>
          <w:szCs w:val="19"/>
        </w:rPr>
      </w:pPr>
    </w:p>
    <w:p>
      <w:pPr>
        <w:pStyle w:val="BodyText"/>
        <w:spacing w:line="240" w:lineRule="auto"/>
        <w:ind w:left="138" w:right="125"/>
        <w:jc w:val="left"/>
      </w:pPr>
      <w:r>
        <w:rPr/>
        <w:t>□适用</w:t>
      </w:r>
      <w:r>
        <w:rPr>
          <w:spacing w:val="-1"/>
        </w:rPr>
        <w:t> </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3343" w:right="341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2"/>
        <w:spacing w:line="240" w:lineRule="auto"/>
        <w:ind w:left="138" w:right="-18"/>
        <w:jc w:val="left"/>
        <w:rPr>
          <w:b w:val="0"/>
          <w:bCs w:val="0"/>
        </w:rPr>
      </w:pPr>
      <w:r>
        <w:rPr/>
        <w:t>一、审计报告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8"/>
        <w:rPr>
          <w:rFonts w:ascii="宋体" w:hAnsi="宋体" w:cs="宋体" w:eastAsia="宋体" w:hint="default"/>
          <w:sz w:val="47"/>
          <w:szCs w:val="47"/>
        </w:rPr>
      </w:pPr>
      <w:r>
        <w:rPr/>
        <w:br w:type="column"/>
      </w:r>
      <w:r>
        <w:rPr>
          <w:rFonts w:ascii="宋体"/>
          <w:sz w:val="47"/>
        </w:rPr>
      </w:r>
    </w:p>
    <w:p>
      <w:pPr>
        <w:spacing w:before="0"/>
        <w:ind w:left="138" w:right="0" w:firstLine="0"/>
        <w:jc w:val="left"/>
        <w:rPr>
          <w:rFonts w:ascii="宋体" w:hAnsi="宋体" w:cs="宋体" w:eastAsia="宋体" w:hint="default"/>
          <w:sz w:val="32"/>
          <w:szCs w:val="32"/>
        </w:rPr>
      </w:pPr>
      <w:r>
        <w:rPr>
          <w:rFonts w:ascii="宋体" w:hAnsi="宋体" w:cs="宋体" w:eastAsia="宋体" w:hint="default"/>
          <w:b/>
          <w:bCs/>
          <w:sz w:val="32"/>
          <w:szCs w:val="32"/>
        </w:rPr>
        <w:t>审 计 报</w:t>
      </w:r>
      <w:r>
        <w:rPr>
          <w:rFonts w:ascii="宋体" w:hAnsi="宋体" w:cs="宋体" w:eastAsia="宋体" w:hint="default"/>
          <w:b/>
          <w:bCs/>
          <w:spacing w:val="-4"/>
          <w:sz w:val="32"/>
          <w:szCs w:val="32"/>
        </w:rPr>
        <w:t> </w:t>
      </w:r>
      <w:r>
        <w:rPr>
          <w:rFonts w:ascii="宋体" w:hAnsi="宋体" w:cs="宋体" w:eastAsia="宋体" w:hint="default"/>
          <w:b/>
          <w:bCs/>
          <w:sz w:val="32"/>
          <w:szCs w:val="32"/>
        </w:rPr>
        <w:t>告</w:t>
      </w:r>
      <w:r>
        <w:rPr>
          <w:rFonts w:ascii="宋体" w:hAnsi="宋体" w:cs="宋体" w:eastAsia="宋体" w:hint="default"/>
          <w:sz w:val="32"/>
          <w:szCs w:val="32"/>
        </w:rPr>
      </w:r>
    </w:p>
    <w:p>
      <w:pPr>
        <w:spacing w:after="0"/>
        <w:jc w:val="left"/>
        <w:rPr>
          <w:rFonts w:ascii="宋体" w:hAnsi="宋体" w:cs="宋体" w:eastAsia="宋体" w:hint="default"/>
          <w:sz w:val="32"/>
          <w:szCs w:val="32"/>
        </w:rPr>
        <w:sectPr>
          <w:type w:val="continuous"/>
          <w:pgSz w:w="11910" w:h="16840"/>
          <w:pgMar w:top="1120" w:bottom="1380" w:left="1660" w:right="1060"/>
          <w:cols w:num="2" w:equalWidth="0">
            <w:col w:w="1715" w:space="1818"/>
            <w:col w:w="5657"/>
          </w:cols>
        </w:sectPr>
      </w:pPr>
    </w:p>
    <w:p>
      <w:pPr>
        <w:spacing w:line="240" w:lineRule="auto" w:before="4"/>
        <w:rPr>
          <w:rFonts w:ascii="宋体" w:hAnsi="宋体" w:cs="宋体" w:eastAsia="宋体" w:hint="default"/>
          <w:b/>
          <w:bCs/>
          <w:sz w:val="14"/>
          <w:szCs w:val="14"/>
        </w:rPr>
      </w:pPr>
    </w:p>
    <w:p>
      <w:pPr>
        <w:pStyle w:val="BodyText"/>
        <w:spacing w:line="240" w:lineRule="auto" w:before="36"/>
        <w:ind w:left="0" w:right="210"/>
        <w:jc w:val="right"/>
      </w:pPr>
      <w:r>
        <w:rPr/>
        <w:t>瑞华审字【</w:t>
      </w:r>
      <w:r>
        <w:rPr>
          <w:rFonts w:ascii="宋体" w:hAnsi="宋体" w:cs="宋体" w:eastAsia="宋体" w:hint="default"/>
        </w:rPr>
        <w:t>2019</w:t>
      </w:r>
      <w:r>
        <w:rPr/>
        <w:t>】</w:t>
      </w:r>
      <w:r>
        <w:rPr>
          <w:rFonts w:ascii="宋体" w:hAnsi="宋体" w:cs="宋体" w:eastAsia="宋体" w:hint="default"/>
        </w:rPr>
        <w:t>01350064</w:t>
      </w:r>
      <w:r>
        <w:rPr>
          <w:rFonts w:ascii="宋体" w:hAnsi="宋体" w:cs="宋体" w:eastAsia="宋体" w:hint="default"/>
          <w:spacing w:val="-55"/>
        </w:rPr>
        <w:t> </w:t>
      </w:r>
      <w:r>
        <w:rPr/>
        <w:t>号</w:t>
      </w:r>
    </w:p>
    <w:p>
      <w:pPr>
        <w:pStyle w:val="Heading2"/>
        <w:spacing w:line="240" w:lineRule="auto" w:before="133"/>
        <w:ind w:left="138" w:right="212"/>
        <w:jc w:val="left"/>
        <w:rPr>
          <w:b w:val="0"/>
          <w:bCs w:val="0"/>
        </w:rPr>
      </w:pPr>
      <w:r>
        <w:rPr/>
        <w:t>新华网股份有限公司全体股东：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Heading2"/>
        <w:spacing w:line="240" w:lineRule="auto"/>
        <w:ind w:left="138" w:right="212"/>
        <w:jc w:val="left"/>
        <w:rPr>
          <w:b w:val="0"/>
          <w:bCs w:val="0"/>
        </w:rPr>
      </w:pPr>
      <w:r>
        <w:rPr/>
        <w:t>一、审计意见</w:t>
      </w:r>
      <w:r>
        <w:rPr>
          <w:b w:val="0"/>
          <w:bCs w:val="0"/>
        </w:rPr>
      </w:r>
    </w:p>
    <w:p>
      <w:pPr>
        <w:pStyle w:val="BodyText"/>
        <w:spacing w:line="355" w:lineRule="auto" w:before="136"/>
        <w:ind w:left="138" w:right="104" w:firstLine="419"/>
        <w:jc w:val="left"/>
      </w:pPr>
      <w:r>
        <w:rPr/>
        <w:t>我们审计了新华网股份有限公司（以下简称“新华网”）财务报表，包括</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w w:val="100"/>
        </w:rPr>
        <w:t> </w:t>
      </w:r>
      <w:r>
        <w:rPr/>
        <w:t>日的合并及公司资产负债表，</w:t>
      </w:r>
      <w:r>
        <w:rPr>
          <w:rFonts w:ascii="宋体" w:hAnsi="宋体" w:cs="宋体" w:eastAsia="宋体" w:hint="default"/>
        </w:rPr>
        <w:t>2018</w:t>
      </w:r>
      <w:r>
        <w:rPr>
          <w:rFonts w:ascii="宋体" w:hAnsi="宋体" w:cs="宋体" w:eastAsia="宋体" w:hint="default"/>
          <w:spacing w:val="-31"/>
        </w:rPr>
        <w:t> </w:t>
      </w:r>
      <w:r>
        <w:rPr>
          <w:spacing w:val="-3"/>
        </w:rPr>
        <w:t>年度的合并及公司利润表、合并及公司现金流量表、合并及公</w:t>
      </w:r>
      <w:r>
        <w:rPr>
          <w:spacing w:val="-96"/>
        </w:rPr>
        <w:t> </w:t>
      </w:r>
      <w:r>
        <w:rPr>
          <w:spacing w:val="-96"/>
        </w:rPr>
      </w:r>
      <w:r>
        <w:rPr/>
        <w:t>司股东权益变动表以及相关财务报表附注。</w:t>
      </w:r>
    </w:p>
    <w:p>
      <w:pPr>
        <w:pStyle w:val="BodyText"/>
        <w:spacing w:line="357" w:lineRule="auto" w:before="32"/>
        <w:ind w:left="138" w:right="217" w:firstLine="419"/>
        <w:jc w:val="both"/>
        <w:rPr>
          <w:rFonts w:ascii="宋体" w:hAnsi="宋体" w:cs="宋体" w:eastAsia="宋体" w:hint="default"/>
        </w:rPr>
      </w:pPr>
      <w:r>
        <w:rPr>
          <w:spacing w:val="-2"/>
        </w:rPr>
        <w:t>我们认为，后附的财务报表在所有重大方面按照企业会计准则的规定编制，公允反映了新华</w:t>
      </w:r>
      <w:r>
        <w:rPr>
          <w:w w:val="100"/>
        </w:rPr>
        <w:t> </w:t>
      </w:r>
      <w:r>
        <w:rPr/>
        <w:t>网</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日合并及公司的财务状况以及</w:t>
      </w:r>
      <w:r>
        <w:rPr>
          <w:spacing w:val="-53"/>
        </w:rPr>
        <w:t> </w:t>
      </w:r>
      <w:r>
        <w:rPr>
          <w:rFonts w:ascii="宋体" w:hAnsi="宋体" w:cs="宋体" w:eastAsia="宋体" w:hint="default"/>
        </w:rPr>
        <w:t>2018</w:t>
      </w:r>
      <w:r>
        <w:rPr>
          <w:rFonts w:ascii="宋体" w:hAnsi="宋体" w:cs="宋体" w:eastAsia="宋体" w:hint="default"/>
          <w:spacing w:val="-54"/>
        </w:rPr>
        <w:t> </w:t>
      </w:r>
      <w:r>
        <w:rPr/>
        <w:t>年度合并及公司的经营成果和现金流量。</w:t>
      </w:r>
      <w:r>
        <w:rPr>
          <w:w w:val="100"/>
        </w:rPr>
        <w:t> </w:t>
      </w:r>
      <w:r>
        <w:rPr>
          <w:rFonts w:ascii="宋体" w:hAnsi="宋体" w:cs="宋体" w:eastAsia="宋体" w:hint="default"/>
          <w:b/>
          <w:bCs/>
        </w:rPr>
        <w:t>二、形成审计意见的基础</w:t>
      </w:r>
      <w:r>
        <w:rPr>
          <w:rFonts w:ascii="宋体" w:hAnsi="宋体" w:cs="宋体" w:eastAsia="宋体" w:hint="default"/>
        </w:rPr>
      </w:r>
    </w:p>
    <w:p>
      <w:pPr>
        <w:pStyle w:val="BodyText"/>
        <w:spacing w:line="357" w:lineRule="auto" w:before="30"/>
        <w:ind w:left="138" w:right="217" w:firstLine="419"/>
        <w:jc w:val="both"/>
      </w:pPr>
      <w:r>
        <w:rPr>
          <w:spacing w:val="-2"/>
        </w:rPr>
        <w:t>我们按照中国注册会计师审计准则的规定执行了审计工作。审计报告的“注册会计师对财务</w:t>
      </w:r>
      <w:r>
        <w:rPr>
          <w:w w:val="100"/>
        </w:rPr>
        <w:t> </w:t>
      </w:r>
      <w:r>
        <w:rPr>
          <w:spacing w:val="-2"/>
        </w:rPr>
        <w:t>报表审计的责任”部分进一步阐述了我们在这些准则下的责任。按照中国注册会计师职业道德守</w:t>
      </w:r>
      <w:r>
        <w:rPr>
          <w:spacing w:val="-25"/>
        </w:rPr>
        <w:t> </w:t>
      </w:r>
      <w:r>
        <w:rPr>
          <w:spacing w:val="-25"/>
        </w:rPr>
      </w:r>
      <w:r>
        <w:rPr>
          <w:spacing w:val="-2"/>
        </w:rPr>
        <w:t>则，我们独立于新华网，并履行了职业道德方面的其他责任。我们相信，我们获取的审计证据是</w:t>
      </w:r>
      <w:r>
        <w:rPr>
          <w:spacing w:val="-25"/>
        </w:rPr>
        <w:t> </w:t>
      </w:r>
      <w:r>
        <w:rPr>
          <w:spacing w:val="-25"/>
        </w:rPr>
      </w:r>
      <w:r>
        <w:rPr/>
        <w:t>充分、适当的，为发表审计意见提供了基础。</w:t>
      </w:r>
    </w:p>
    <w:p>
      <w:pPr>
        <w:pStyle w:val="BodyText"/>
        <w:spacing w:line="355" w:lineRule="auto" w:before="32"/>
        <w:ind w:left="558" w:right="212" w:hanging="420"/>
        <w:jc w:val="left"/>
      </w:pPr>
      <w:r>
        <w:rPr>
          <w:rFonts w:ascii="宋体" w:hAnsi="宋体" w:cs="宋体" w:eastAsia="宋体" w:hint="default"/>
          <w:b/>
          <w:bCs/>
        </w:rPr>
        <w:t>三、关键审计事项</w:t>
      </w:r>
      <w:r>
        <w:rPr>
          <w:rFonts w:ascii="宋体" w:hAnsi="宋体" w:cs="宋体" w:eastAsia="宋体" w:hint="default"/>
          <w:b/>
          <w:bCs/>
          <w:spacing w:val="-104"/>
        </w:rPr>
        <w:t> </w:t>
      </w:r>
      <w:r>
        <w:rPr>
          <w:rFonts w:ascii="宋体" w:hAnsi="宋体" w:cs="宋体" w:eastAsia="宋体" w:hint="default"/>
          <w:b/>
          <w:bCs/>
          <w:spacing w:val="-104"/>
        </w:rPr>
      </w:r>
      <w:r>
        <w:rPr>
          <w:spacing w:val="-2"/>
        </w:rPr>
        <w:t>关键审计事项是我们根据职业判断，认为对本期财务报表审计最为重要的事项。这些事项的</w:t>
      </w:r>
    </w:p>
    <w:p>
      <w:pPr>
        <w:pStyle w:val="BodyText"/>
        <w:spacing w:line="355" w:lineRule="auto" w:before="32"/>
        <w:ind w:left="138" w:right="212"/>
        <w:jc w:val="left"/>
      </w:pPr>
      <w:r>
        <w:rPr>
          <w:spacing w:val="-2"/>
        </w:rPr>
        <w:t>应对以对财务报表整体进行审计并形成审计意见为背景，我们不对这些事项单独发表意见。我们</w:t>
      </w:r>
      <w:r>
        <w:rPr>
          <w:spacing w:val="-25"/>
        </w:rPr>
        <w:t> </w:t>
      </w:r>
      <w:r>
        <w:rPr>
          <w:spacing w:val="-25"/>
        </w:rPr>
      </w:r>
      <w:r>
        <w:rPr/>
        <w:t>确定下列事项是需要在审计报告中沟通的关键审计事项。</w:t>
      </w:r>
    </w:p>
    <w:p>
      <w:pPr>
        <w:pStyle w:val="Heading2"/>
        <w:spacing w:line="355" w:lineRule="auto" w:before="34"/>
        <w:ind w:left="560" w:right="7130"/>
        <w:jc w:val="left"/>
        <w:rPr>
          <w:b w:val="0"/>
          <w:bCs w:val="0"/>
        </w:rPr>
      </w:pPr>
      <w:r>
        <w:rPr/>
        <w:t>（一）收入确认</w:t>
      </w:r>
      <w:r>
        <w:rPr>
          <w:spacing w:val="-104"/>
        </w:rPr>
        <w:t> </w:t>
      </w:r>
      <w:r>
        <w:rPr>
          <w:rFonts w:ascii="宋体" w:hAnsi="宋体" w:cs="宋体" w:eastAsia="宋体" w:hint="default"/>
        </w:rPr>
        <w:t>1</w:t>
      </w:r>
      <w:r>
        <w:rPr/>
        <w:t>、事项描述</w:t>
      </w:r>
      <w:r>
        <w:rPr>
          <w:b w:val="0"/>
          <w:bCs w:val="0"/>
        </w:rPr>
      </w:r>
    </w:p>
    <w:p>
      <w:pPr>
        <w:pStyle w:val="BodyText"/>
        <w:spacing w:line="355" w:lineRule="auto" w:before="33"/>
        <w:ind w:left="138" w:right="0" w:firstLine="419"/>
        <w:jc w:val="left"/>
      </w:pPr>
      <w:r>
        <w:rPr/>
        <w:t>如财务报表附注六、</w:t>
      </w:r>
      <w:r>
        <w:rPr>
          <w:rFonts w:ascii="宋体" w:hAnsi="宋体" w:cs="宋体" w:eastAsia="宋体" w:hint="default"/>
        </w:rPr>
        <w:t>31</w:t>
      </w:r>
      <w:r>
        <w:rPr>
          <w:rFonts w:ascii="宋体" w:hAnsi="宋体" w:cs="宋体" w:eastAsia="宋体" w:hint="default"/>
          <w:spacing w:val="-46"/>
        </w:rPr>
        <w:t> </w:t>
      </w:r>
      <w:r>
        <w:rPr/>
        <w:t>所示，新华网</w:t>
      </w:r>
      <w:r>
        <w:rPr>
          <w:spacing w:val="-44"/>
        </w:rPr>
        <w:t> </w:t>
      </w:r>
      <w:r>
        <w:rPr>
          <w:rFonts w:ascii="宋体" w:hAnsi="宋体" w:cs="宋体" w:eastAsia="宋体" w:hint="default"/>
        </w:rPr>
        <w:t>2018</w:t>
      </w:r>
      <w:r>
        <w:rPr>
          <w:rFonts w:ascii="宋体" w:hAnsi="宋体" w:cs="宋体" w:eastAsia="宋体" w:hint="default"/>
          <w:spacing w:val="-44"/>
        </w:rPr>
        <w:t> </w:t>
      </w:r>
      <w:r>
        <w:rPr/>
        <w:t>年度实现营业收入人民币</w:t>
      </w:r>
      <w:r>
        <w:rPr>
          <w:spacing w:val="-39"/>
        </w:rPr>
        <w:t> </w:t>
      </w:r>
      <w:r>
        <w:rPr>
          <w:rFonts w:ascii="宋体" w:hAnsi="宋体" w:cs="宋体" w:eastAsia="宋体" w:hint="default"/>
        </w:rPr>
        <w:t>1,569,315,656.18</w:t>
      </w:r>
      <w:r>
        <w:rPr>
          <w:rFonts w:ascii="宋体" w:hAnsi="宋体" w:cs="宋体" w:eastAsia="宋体" w:hint="default"/>
          <w:spacing w:val="-39"/>
        </w:rPr>
        <w:t> </w:t>
      </w:r>
      <w:r>
        <w:rPr/>
        <w:t>元，</w:t>
      </w:r>
      <w:r>
        <w:rPr>
          <w:spacing w:val="2"/>
          <w:w w:val="100"/>
        </w:rPr>
        <w:t> </w:t>
      </w:r>
      <w:r>
        <w:rPr/>
        <w:t>较</w:t>
      </w:r>
      <w:r>
        <w:rPr>
          <w:spacing w:val="-47"/>
        </w:rPr>
        <w:t> </w:t>
      </w:r>
      <w:r>
        <w:rPr>
          <w:rFonts w:ascii="宋体" w:hAnsi="宋体" w:cs="宋体" w:eastAsia="宋体" w:hint="default"/>
        </w:rPr>
        <w:t>2017</w:t>
      </w:r>
      <w:r>
        <w:rPr>
          <w:rFonts w:ascii="宋体" w:hAnsi="宋体" w:cs="宋体" w:eastAsia="宋体" w:hint="default"/>
          <w:spacing w:val="-47"/>
        </w:rPr>
        <w:t> </w:t>
      </w:r>
      <w:r>
        <w:rPr/>
        <w:t>年增长</w:t>
      </w:r>
      <w:r>
        <w:rPr>
          <w:spacing w:val="-49"/>
        </w:rPr>
        <w:t> </w:t>
      </w:r>
      <w:r>
        <w:rPr>
          <w:rFonts w:ascii="宋体" w:hAnsi="宋体" w:cs="宋体" w:eastAsia="宋体" w:hint="default"/>
          <w:spacing w:val="-4"/>
        </w:rPr>
        <w:t>4.50%</w:t>
      </w:r>
      <w:r>
        <w:rPr>
          <w:spacing w:val="-4"/>
        </w:rPr>
        <w:t>。由于收入金额重大且为关键业绩指标，根据财务报表附注四、</w:t>
      </w:r>
      <w:r>
        <w:rPr>
          <w:rFonts w:ascii="宋体" w:hAnsi="宋体" w:cs="宋体" w:eastAsia="宋体" w:hint="default"/>
          <w:spacing w:val="-4"/>
        </w:rPr>
        <w:t>20</w:t>
      </w:r>
      <w:r>
        <w:rPr>
          <w:rFonts w:ascii="宋体" w:hAnsi="宋体" w:cs="宋体" w:eastAsia="宋体" w:hint="default"/>
          <w:spacing w:val="-49"/>
        </w:rPr>
        <w:t> </w:t>
      </w:r>
      <w:r>
        <w:rPr/>
        <w:t>所述的会</w:t>
      </w:r>
      <w:r>
        <w:rPr>
          <w:spacing w:val="-89"/>
        </w:rPr>
        <w:t> </w:t>
      </w:r>
      <w:r>
        <w:rPr>
          <w:spacing w:val="-89"/>
        </w:rPr>
      </w:r>
      <w:r>
        <w:rPr/>
        <w:t>计政策，可能存在收入确认的相关风险。因此，我们将收入确认作为关键审计事项。</w:t>
      </w:r>
    </w:p>
    <w:p>
      <w:pPr>
        <w:spacing w:line="355" w:lineRule="auto" w:before="34"/>
        <w:ind w:left="558" w:right="3333"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100"/>
          <w:sz w:val="21"/>
          <w:szCs w:val="21"/>
        </w:rPr>
        <w:t> </w:t>
      </w:r>
      <w:r>
        <w:rPr>
          <w:rFonts w:ascii="宋体" w:hAnsi="宋体" w:cs="宋体" w:eastAsia="宋体" w:hint="default"/>
          <w:spacing w:val="-2"/>
          <w:sz w:val="21"/>
          <w:szCs w:val="21"/>
        </w:rPr>
        <w:t>针对收入确认，我们执行的主要审计程序包括：</w:t>
      </w:r>
    </w:p>
    <w:p>
      <w:pPr>
        <w:pStyle w:val="BodyText"/>
        <w:spacing w:line="240" w:lineRule="auto" w:before="32"/>
        <w:ind w:left="558" w:right="212"/>
        <w:jc w:val="left"/>
      </w:pPr>
      <w:r>
        <w:rPr/>
        <w:t>（</w:t>
      </w:r>
      <w:r>
        <w:rPr>
          <w:rFonts w:ascii="宋体" w:hAnsi="宋体" w:cs="宋体" w:eastAsia="宋体" w:hint="default"/>
        </w:rPr>
        <w:t>1</w:t>
      </w:r>
      <w:r>
        <w:rPr/>
        <w:t>）评价、测试与收入确认相关的内部控制制度设计和执行的有效性；</w:t>
      </w:r>
    </w:p>
    <w:p>
      <w:pPr>
        <w:pStyle w:val="BodyText"/>
        <w:spacing w:line="357" w:lineRule="auto" w:before="133"/>
        <w:ind w:left="138" w:right="212" w:firstLine="419"/>
        <w:jc w:val="left"/>
      </w:pPr>
      <w:r>
        <w:rPr>
          <w:spacing w:val="-4"/>
        </w:rPr>
        <w:t>（</w:t>
      </w:r>
      <w:r>
        <w:rPr>
          <w:rFonts w:ascii="宋体" w:hAnsi="宋体" w:cs="宋体" w:eastAsia="宋体" w:hint="default"/>
          <w:spacing w:val="-4"/>
        </w:rPr>
        <w:t>2</w:t>
      </w:r>
      <w:r>
        <w:rPr>
          <w:spacing w:val="-4"/>
        </w:rPr>
        <w:t>）选取样本检查与收入确认相关的支持性文件，包括合同、排期单、业务执行单、客户结</w:t>
      </w:r>
      <w:r>
        <w:rPr>
          <w:w w:val="100"/>
        </w:rPr>
        <w:t> </w:t>
      </w:r>
      <w:r>
        <w:rPr/>
        <w:t>算单等，评价收入确认是否符合企业会计准则的要求；</w:t>
      </w:r>
    </w:p>
    <w:p>
      <w:pPr>
        <w:pStyle w:val="BodyText"/>
        <w:spacing w:line="240" w:lineRule="auto" w:before="32"/>
        <w:ind w:left="558" w:right="0"/>
        <w:jc w:val="left"/>
      </w:pPr>
      <w:r>
        <w:rPr/>
        <w:t>（</w:t>
      </w:r>
      <w:r>
        <w:rPr>
          <w:rFonts w:ascii="宋体" w:hAnsi="宋体" w:cs="宋体" w:eastAsia="宋体" w:hint="default"/>
        </w:rPr>
        <w:t>3</w:t>
      </w:r>
      <w:r>
        <w:rPr/>
        <w:t>）结合收入类型对收入和成本执行分析程序，分析毛利率变动情况，复核收入的合理性；</w:t>
      </w:r>
    </w:p>
    <w:p>
      <w:pPr>
        <w:spacing w:after="0" w:line="240" w:lineRule="auto"/>
        <w:jc w:val="left"/>
        <w:sectPr>
          <w:type w:val="continuous"/>
          <w:pgSz w:w="11910" w:h="16840"/>
          <w:pgMar w:top="1120" w:bottom="1380" w:left="1660" w:right="1060"/>
        </w:sectPr>
      </w:pPr>
    </w:p>
    <w:p>
      <w:pPr>
        <w:spacing w:line="240" w:lineRule="auto" w:before="9"/>
        <w:rPr>
          <w:rFonts w:ascii="宋体" w:hAnsi="宋体" w:cs="宋体" w:eastAsia="宋体" w:hint="default"/>
          <w:sz w:val="25"/>
          <w:szCs w:val="25"/>
        </w:rPr>
      </w:pPr>
    </w:p>
    <w:p>
      <w:pPr>
        <w:pStyle w:val="BodyText"/>
        <w:spacing w:line="357" w:lineRule="auto" w:before="36"/>
        <w:ind w:left="138" w:right="212" w:firstLine="419"/>
        <w:jc w:val="left"/>
      </w:pPr>
      <w:r>
        <w:rPr>
          <w:spacing w:val="-4"/>
        </w:rPr>
        <w:t>（</w:t>
      </w:r>
      <w:r>
        <w:rPr>
          <w:rFonts w:ascii="宋体" w:hAnsi="宋体" w:cs="宋体" w:eastAsia="宋体" w:hint="default"/>
          <w:spacing w:val="-4"/>
        </w:rPr>
        <w:t>4</w:t>
      </w:r>
      <w:r>
        <w:rPr>
          <w:spacing w:val="-4"/>
        </w:rPr>
        <w:t>）结合应收账款审计，函证主要客户销售金额、业务执行情况以及合同特殊条款等，对大</w:t>
      </w:r>
      <w:r>
        <w:rPr>
          <w:w w:val="100"/>
        </w:rPr>
        <w:t> </w:t>
      </w:r>
      <w:r>
        <w:rPr/>
        <w:t>额应收客户执行期后回款测试；</w:t>
      </w:r>
    </w:p>
    <w:p>
      <w:pPr>
        <w:pStyle w:val="BodyText"/>
        <w:spacing w:line="355" w:lineRule="auto" w:before="30"/>
        <w:ind w:left="138" w:right="212" w:firstLine="419"/>
        <w:jc w:val="left"/>
      </w:pPr>
      <w:r>
        <w:rPr>
          <w:spacing w:val="-4"/>
        </w:rPr>
        <w:t>（</w:t>
      </w:r>
      <w:r>
        <w:rPr>
          <w:rFonts w:ascii="宋体" w:hAnsi="宋体" w:cs="宋体" w:eastAsia="宋体" w:hint="default"/>
          <w:spacing w:val="-4"/>
        </w:rPr>
        <w:t>5</w:t>
      </w:r>
      <w:r>
        <w:rPr>
          <w:spacing w:val="-4"/>
        </w:rPr>
        <w:t>）就资产负债表日前后确认的收入执行截止性测试，以评价收入是否被记录于恰当的会计</w:t>
      </w:r>
      <w:r>
        <w:rPr>
          <w:w w:val="100"/>
        </w:rPr>
        <w:t> </w:t>
      </w:r>
      <w:r>
        <w:rPr/>
        <w:t>期间。</w:t>
      </w:r>
    </w:p>
    <w:p>
      <w:pPr>
        <w:pStyle w:val="Heading2"/>
        <w:spacing w:line="355" w:lineRule="auto" w:before="32"/>
        <w:ind w:left="560" w:right="5668"/>
        <w:jc w:val="left"/>
        <w:rPr>
          <w:b w:val="0"/>
          <w:bCs w:val="0"/>
        </w:rPr>
      </w:pPr>
      <w:r>
        <w:rPr>
          <w:spacing w:val="-1"/>
        </w:rPr>
        <w:t>（二）应收账款坏账准备的计提</w:t>
      </w:r>
      <w:r>
        <w:rPr>
          <w:spacing w:val="-93"/>
        </w:rPr>
        <w:t> </w:t>
      </w:r>
      <w:r>
        <w:rPr>
          <w:spacing w:val="-93"/>
        </w:rPr>
      </w:r>
      <w:r>
        <w:rPr>
          <w:rFonts w:ascii="宋体" w:hAnsi="宋体" w:cs="宋体" w:eastAsia="宋体" w:hint="default"/>
        </w:rPr>
        <w:t>1</w:t>
      </w:r>
      <w:r>
        <w:rPr/>
        <w:t>、事项描述</w:t>
      </w:r>
      <w:r>
        <w:rPr>
          <w:b w:val="0"/>
          <w:bCs w:val="0"/>
        </w:rPr>
      </w:r>
    </w:p>
    <w:p>
      <w:pPr>
        <w:pStyle w:val="BodyText"/>
        <w:spacing w:line="240" w:lineRule="auto" w:before="34"/>
        <w:ind w:left="558" w:right="212"/>
        <w:jc w:val="left"/>
      </w:pPr>
      <w:r>
        <w:rPr/>
        <w:t>如财务报表附注六、</w:t>
      </w:r>
      <w:r>
        <w:rPr>
          <w:rFonts w:ascii="宋体" w:hAnsi="宋体" w:cs="宋体" w:eastAsia="宋体" w:hint="default"/>
        </w:rPr>
        <w:t>2</w:t>
      </w:r>
      <w:r>
        <w:rPr>
          <w:rFonts w:ascii="宋体" w:hAnsi="宋体" w:cs="宋体" w:eastAsia="宋体" w:hint="default"/>
          <w:spacing w:val="-53"/>
        </w:rPr>
        <w:t> </w:t>
      </w:r>
      <w:r>
        <w:rPr/>
        <w:t>所示，截至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日，新华网应收账款账面价值为人民币</w:t>
      </w:r>
    </w:p>
    <w:p>
      <w:pPr>
        <w:pStyle w:val="BodyText"/>
        <w:spacing w:line="357" w:lineRule="auto" w:before="133"/>
        <w:ind w:left="558" w:right="98" w:hanging="420"/>
        <w:jc w:val="left"/>
      </w:pPr>
      <w:r>
        <w:rPr>
          <w:rFonts w:ascii="宋体" w:hAnsi="宋体" w:cs="宋体" w:eastAsia="宋体" w:hint="default"/>
        </w:rPr>
        <w:t>588,101,085.57</w:t>
      </w:r>
      <w:r>
        <w:rPr>
          <w:rFonts w:ascii="宋体" w:hAnsi="宋体" w:cs="宋体" w:eastAsia="宋体" w:hint="default"/>
          <w:spacing w:val="-54"/>
        </w:rPr>
        <w:t> </w:t>
      </w:r>
      <w:r>
        <w:rPr/>
        <w:t>元，</w:t>
      </w:r>
      <w:r>
        <w:rPr>
          <w:rFonts w:ascii="宋体" w:hAnsi="宋体" w:cs="宋体" w:eastAsia="宋体" w:hint="default"/>
        </w:rPr>
        <w:t>2018</w:t>
      </w:r>
      <w:r>
        <w:rPr>
          <w:rFonts w:ascii="宋体" w:hAnsi="宋体" w:cs="宋体" w:eastAsia="宋体" w:hint="default"/>
          <w:spacing w:val="-56"/>
        </w:rPr>
        <w:t> </w:t>
      </w:r>
      <w:r>
        <w:rPr/>
        <w:t>年度计提应收账款坏账准备人民币</w:t>
      </w:r>
      <w:r>
        <w:rPr>
          <w:spacing w:val="-54"/>
        </w:rPr>
        <w:t> </w:t>
      </w:r>
      <w:r>
        <w:rPr>
          <w:rFonts w:ascii="宋体" w:hAnsi="宋体" w:cs="宋体" w:eastAsia="宋体" w:hint="default"/>
        </w:rPr>
        <w:t>57,284,531.71</w:t>
      </w:r>
      <w:r>
        <w:rPr>
          <w:rFonts w:ascii="宋体" w:hAnsi="宋体" w:cs="宋体" w:eastAsia="宋体" w:hint="default"/>
          <w:spacing w:val="-56"/>
        </w:rPr>
        <w:t> </w:t>
      </w:r>
      <w:r>
        <w:rPr/>
        <w:t>元。</w:t>
      </w:r>
      <w:r>
        <w:rPr>
          <w:w w:val="100"/>
        </w:rPr>
        <w:t> </w:t>
      </w:r>
      <w:r>
        <w:rPr/>
        <w:t>由于应收款项的账面价值较高，对财务报表影响重大，根据财务报表附注四、</w:t>
      </w:r>
      <w:r>
        <w:rPr>
          <w:rFonts w:ascii="宋体" w:hAnsi="宋体" w:cs="宋体" w:eastAsia="宋体" w:hint="default"/>
        </w:rPr>
        <w:t>10</w:t>
      </w:r>
      <w:r>
        <w:rPr>
          <w:rFonts w:ascii="宋体" w:hAnsi="宋体" w:cs="宋体" w:eastAsia="宋体" w:hint="default"/>
          <w:spacing w:val="5"/>
        </w:rPr>
        <w:t> </w:t>
      </w:r>
      <w:r>
        <w:rPr/>
        <w:t>及附注四、</w:t>
      </w:r>
    </w:p>
    <w:p>
      <w:pPr>
        <w:pStyle w:val="BodyText"/>
        <w:spacing w:line="357" w:lineRule="auto" w:before="30"/>
        <w:ind w:left="138" w:right="212"/>
        <w:jc w:val="left"/>
      </w:pPr>
      <w:r>
        <w:rPr>
          <w:rFonts w:ascii="宋体" w:hAnsi="宋体" w:cs="宋体" w:eastAsia="宋体" w:hint="default"/>
          <w:spacing w:val="-4"/>
        </w:rPr>
        <w:t>24</w:t>
      </w:r>
      <w:r>
        <w:rPr>
          <w:spacing w:val="-4"/>
        </w:rPr>
        <w:t>（</w:t>
      </w:r>
      <w:r>
        <w:rPr>
          <w:rFonts w:ascii="宋体" w:hAnsi="宋体" w:cs="宋体" w:eastAsia="宋体" w:hint="default"/>
          <w:spacing w:val="-4"/>
        </w:rPr>
        <w:t>2</w:t>
      </w:r>
      <w:r>
        <w:rPr>
          <w:spacing w:val="-4"/>
        </w:rPr>
        <w:t>）所述的会计政策，坏账准备的计提涉及管理层对应收账款可收回性的判断，因此，我们将</w:t>
      </w:r>
      <w:r>
        <w:rPr>
          <w:spacing w:val="-29"/>
        </w:rPr>
        <w:t> </w:t>
      </w:r>
      <w:r>
        <w:rPr>
          <w:spacing w:val="-29"/>
        </w:rPr>
      </w:r>
      <w:r>
        <w:rPr/>
        <w:t>应收账款坏账准备的计提作为关键审计事项。</w:t>
      </w:r>
    </w:p>
    <w:p>
      <w:pPr>
        <w:pStyle w:val="BodyText"/>
        <w:spacing w:line="355" w:lineRule="auto" w:before="30"/>
        <w:ind w:left="558" w:right="1662" w:firstLine="2"/>
        <w:jc w:val="left"/>
      </w:pPr>
      <w:r>
        <w:rPr>
          <w:rFonts w:ascii="宋体" w:hAnsi="宋体" w:cs="宋体" w:eastAsia="宋体" w:hint="default"/>
          <w:b/>
          <w:bCs/>
        </w:rPr>
        <w:t>2</w:t>
      </w:r>
      <w:r>
        <w:rPr>
          <w:rFonts w:ascii="宋体" w:hAnsi="宋体" w:cs="宋体" w:eastAsia="宋体" w:hint="default"/>
          <w:b/>
          <w:bCs/>
        </w:rPr>
        <w:t>、审计应对</w:t>
      </w:r>
      <w:r>
        <w:rPr>
          <w:rFonts w:ascii="宋体" w:hAnsi="宋体" w:cs="宋体" w:eastAsia="宋体" w:hint="default"/>
          <w:b/>
          <w:bCs/>
          <w:w w:val="100"/>
        </w:rPr>
        <w:t> </w:t>
      </w:r>
      <w:r>
        <w:rPr>
          <w:spacing w:val="-2"/>
        </w:rPr>
        <w:t>针对应收账款坏账准备的计提，我们执行的主要审计程序包括：</w:t>
      </w:r>
    </w:p>
    <w:p>
      <w:pPr>
        <w:pStyle w:val="BodyText"/>
        <w:spacing w:line="240" w:lineRule="auto" w:before="32"/>
        <w:ind w:left="558" w:right="212"/>
        <w:jc w:val="left"/>
      </w:pPr>
      <w:r>
        <w:rPr/>
        <w:t>（</w:t>
      </w:r>
      <w:r>
        <w:rPr>
          <w:rFonts w:ascii="宋体" w:hAnsi="宋体" w:cs="宋体" w:eastAsia="宋体" w:hint="default"/>
        </w:rPr>
        <w:t>1</w:t>
      </w:r>
      <w:r>
        <w:rPr/>
        <w:t>）了解、评估及测试与应收账款日常管理及期末可回收金额评估相关的内部控制；</w:t>
      </w:r>
    </w:p>
    <w:p>
      <w:pPr>
        <w:pStyle w:val="BodyText"/>
        <w:spacing w:line="357" w:lineRule="auto" w:before="133"/>
        <w:ind w:left="138" w:right="212" w:firstLine="419"/>
        <w:jc w:val="left"/>
      </w:pPr>
      <w:r>
        <w:rPr/>
        <w:t>（</w:t>
      </w:r>
      <w:r>
        <w:rPr>
          <w:rFonts w:ascii="宋体" w:hAnsi="宋体" w:cs="宋体" w:eastAsia="宋体" w:hint="default"/>
        </w:rPr>
        <w:t>2</w:t>
      </w:r>
      <w:r>
        <w:rPr/>
        <w:t>）</w:t>
      </w:r>
      <w:r>
        <w:rPr>
          <w:spacing w:val="-3"/>
        </w:rPr>
        <w:t> </w:t>
      </w:r>
      <w:r>
        <w:rPr/>
        <w:t>了解管理层对应收账款坏账准备计提的相关考虑及客观证据，关注管理层是否充分识</w:t>
      </w:r>
      <w:r>
        <w:rPr>
          <w:w w:val="100"/>
        </w:rPr>
        <w:t> </w:t>
      </w:r>
      <w:r>
        <w:rPr/>
        <w:t>别已发生减值的项目；</w:t>
      </w:r>
    </w:p>
    <w:p>
      <w:pPr>
        <w:pStyle w:val="BodyText"/>
        <w:spacing w:line="355" w:lineRule="auto" w:before="30"/>
        <w:ind w:left="138" w:right="212" w:firstLine="419"/>
        <w:jc w:val="left"/>
      </w:pPr>
      <w:r>
        <w:rPr/>
        <w:t>（</w:t>
      </w:r>
      <w:r>
        <w:rPr>
          <w:rFonts w:ascii="宋体" w:hAnsi="宋体" w:cs="宋体" w:eastAsia="宋体" w:hint="default"/>
        </w:rPr>
        <w:t>3</w:t>
      </w:r>
      <w:r>
        <w:rPr/>
        <w:t>）</w:t>
      </w:r>
      <w:r>
        <w:rPr>
          <w:spacing w:val="-3"/>
        </w:rPr>
        <w:t> </w:t>
      </w:r>
      <w:r>
        <w:rPr/>
        <w:t>对于单项计提坏账准备的应收账款，复核管理层对预计未来可获得的现金流量做出估</w:t>
      </w:r>
      <w:r>
        <w:rPr>
          <w:w w:val="100"/>
        </w:rPr>
        <w:t> </w:t>
      </w:r>
      <w:r>
        <w:rPr/>
        <w:t>计的依据及合理性；</w:t>
      </w:r>
    </w:p>
    <w:p>
      <w:pPr>
        <w:pStyle w:val="BodyText"/>
        <w:spacing w:line="355" w:lineRule="auto" w:before="32"/>
        <w:ind w:left="138" w:right="212" w:firstLine="419"/>
        <w:jc w:val="left"/>
      </w:pPr>
      <w:r>
        <w:rPr/>
        <w:t>（</w:t>
      </w:r>
      <w:r>
        <w:rPr>
          <w:rFonts w:ascii="宋体" w:hAnsi="宋体" w:cs="宋体" w:eastAsia="宋体" w:hint="default"/>
        </w:rPr>
        <w:t>4</w:t>
      </w:r>
      <w:r>
        <w:rPr/>
        <w:t>）</w:t>
      </w:r>
      <w:r>
        <w:rPr>
          <w:spacing w:val="-3"/>
        </w:rPr>
        <w:t> </w:t>
      </w:r>
      <w:r>
        <w:rPr/>
        <w:t>取得管理层按照信用风险特征编制的应收账款账龄表，复核账龄划分的准确性及坏账</w:t>
      </w:r>
      <w:r>
        <w:rPr>
          <w:w w:val="100"/>
        </w:rPr>
        <w:t> </w:t>
      </w:r>
      <w:r>
        <w:rPr/>
        <w:t>准备计提的准确性；</w:t>
      </w:r>
    </w:p>
    <w:p>
      <w:pPr>
        <w:pStyle w:val="BodyText"/>
        <w:spacing w:line="355" w:lineRule="auto" w:before="34"/>
        <w:ind w:left="138" w:right="212" w:firstLine="419"/>
        <w:jc w:val="left"/>
      </w:pPr>
      <w:r>
        <w:rPr>
          <w:spacing w:val="-4"/>
        </w:rPr>
        <w:t>（</w:t>
      </w:r>
      <w:r>
        <w:rPr>
          <w:rFonts w:ascii="宋体" w:hAnsi="宋体" w:cs="宋体" w:eastAsia="宋体" w:hint="default"/>
          <w:spacing w:val="-4"/>
        </w:rPr>
        <w:t>5</w:t>
      </w:r>
      <w:r>
        <w:rPr>
          <w:spacing w:val="-4"/>
        </w:rPr>
        <w:t>）了解主要客户信誉情况，结合应收账款函证及检查期后回款情况，评价应收账款坏账准</w:t>
      </w:r>
      <w:r>
        <w:rPr>
          <w:w w:val="100"/>
        </w:rPr>
        <w:t> </w:t>
      </w:r>
      <w:r>
        <w:rPr/>
        <w:t>备计提的合理性。</w:t>
      </w:r>
    </w:p>
    <w:p>
      <w:pPr>
        <w:pStyle w:val="Heading2"/>
        <w:spacing w:line="240" w:lineRule="auto" w:before="32"/>
        <w:ind w:left="138" w:right="212"/>
        <w:jc w:val="left"/>
        <w:rPr>
          <w:b w:val="0"/>
          <w:bCs w:val="0"/>
        </w:rPr>
      </w:pPr>
      <w:r>
        <w:rPr/>
        <w:t>四、其他信息</w:t>
      </w:r>
      <w:r>
        <w:rPr>
          <w:b w:val="0"/>
          <w:bCs w:val="0"/>
        </w:rPr>
      </w:r>
    </w:p>
    <w:p>
      <w:pPr>
        <w:pStyle w:val="BodyText"/>
        <w:spacing w:line="360" w:lineRule="auto" w:before="133"/>
        <w:ind w:left="138" w:right="104" w:firstLine="419"/>
        <w:jc w:val="left"/>
      </w:pPr>
      <w:r>
        <w:rPr>
          <w:spacing w:val="-4"/>
        </w:rPr>
        <w:t>新华网管理层对其他信息负责。其他信息包括 </w:t>
      </w:r>
      <w:r>
        <w:rPr>
          <w:rFonts w:ascii="宋体" w:hAnsi="宋体" w:cs="宋体" w:eastAsia="宋体" w:hint="default"/>
        </w:rPr>
        <w:t>2018</w:t>
      </w:r>
      <w:r>
        <w:rPr>
          <w:rFonts w:ascii="宋体" w:hAnsi="宋体" w:cs="宋体" w:eastAsia="宋体" w:hint="default"/>
          <w:spacing w:val="-58"/>
        </w:rPr>
        <w:t> </w:t>
      </w:r>
      <w:r>
        <w:rPr>
          <w:spacing w:val="-4"/>
        </w:rPr>
        <w:t>年年度报告中涵盖的信息，但不包括财务</w:t>
      </w:r>
      <w:r>
        <w:rPr>
          <w:w w:val="100"/>
        </w:rPr>
        <w:t> </w:t>
      </w:r>
      <w:r>
        <w:rPr/>
        <w:t>报表和我们的审计报告。</w:t>
      </w:r>
    </w:p>
    <w:p>
      <w:pPr>
        <w:pStyle w:val="BodyText"/>
        <w:spacing w:line="355" w:lineRule="auto" w:before="28"/>
        <w:ind w:left="138" w:right="212" w:firstLine="419"/>
        <w:jc w:val="left"/>
      </w:pPr>
      <w:r>
        <w:rPr>
          <w:spacing w:val="-2"/>
        </w:rPr>
        <w:t>我们对财务报表发表的审计意见不涵盖其他信息，我们也不对其他信息发表任何形式的鉴证</w:t>
      </w:r>
      <w:r>
        <w:rPr>
          <w:w w:val="100"/>
        </w:rPr>
        <w:t> </w:t>
      </w:r>
      <w:r>
        <w:rPr/>
        <w:t>结论。</w:t>
      </w:r>
    </w:p>
    <w:p>
      <w:pPr>
        <w:pStyle w:val="BodyText"/>
        <w:spacing w:line="355" w:lineRule="auto" w:before="32"/>
        <w:ind w:left="138" w:right="212" w:firstLine="419"/>
        <w:jc w:val="left"/>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p>
    <w:p>
      <w:pPr>
        <w:pStyle w:val="BodyText"/>
        <w:spacing w:line="355" w:lineRule="auto" w:before="34"/>
        <w:ind w:left="138" w:right="212" w:firstLine="419"/>
        <w:jc w:val="left"/>
      </w:pPr>
      <w:r>
        <w:rPr>
          <w:spacing w:val="-2"/>
        </w:rPr>
        <w:t>基于我们已执行的工作，如果我们确定其他信息存在重大错报，我们应当报告该事实。在这</w:t>
      </w:r>
      <w:r>
        <w:rPr>
          <w:w w:val="100"/>
        </w:rPr>
        <w:t> </w:t>
      </w:r>
      <w:r>
        <w:rPr/>
        <w:t>方面，我们无任何事项需要报告。</w:t>
      </w:r>
    </w:p>
    <w:p>
      <w:pPr>
        <w:spacing w:after="0" w:line="355" w:lineRule="auto"/>
        <w:jc w:val="left"/>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spacing w:line="357" w:lineRule="auto" w:before="36"/>
        <w:ind w:left="558" w:right="125" w:hanging="420"/>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新华网管理层（以下简称管理层）负责按照企业会计准则的规定编制财务报表，使其实现公</w:t>
      </w:r>
    </w:p>
    <w:p>
      <w:pPr>
        <w:pStyle w:val="BodyText"/>
        <w:spacing w:line="355" w:lineRule="auto" w:before="30"/>
        <w:ind w:left="138" w:right="125"/>
        <w:jc w:val="left"/>
      </w:pPr>
      <w:r>
        <w:rPr>
          <w:spacing w:val="-2"/>
        </w:rPr>
        <w:t>允反映，并设计、执行和维护必要的内部控制，以使财务报表不存在由于舞弊或错误导致的重大</w:t>
      </w:r>
      <w:r>
        <w:rPr>
          <w:spacing w:val="-25"/>
        </w:rPr>
        <w:t> </w:t>
      </w:r>
      <w:r>
        <w:rPr>
          <w:spacing w:val="-25"/>
        </w:rPr>
      </w:r>
      <w:r>
        <w:rPr/>
        <w:t>错报。</w:t>
      </w:r>
    </w:p>
    <w:p>
      <w:pPr>
        <w:pStyle w:val="BodyText"/>
        <w:spacing w:line="355" w:lineRule="auto" w:before="32"/>
        <w:ind w:left="138" w:right="128" w:firstLine="419"/>
        <w:jc w:val="both"/>
      </w:pPr>
      <w:r>
        <w:rPr>
          <w:spacing w:val="-7"/>
        </w:rPr>
        <w:t>在编制财务报表时，管理层负责评估新华网的持续经营能力，披露与持续经营相关的事项（如</w:t>
      </w:r>
      <w:r>
        <w:rPr>
          <w:w w:val="100"/>
        </w:rPr>
        <w:t> </w:t>
      </w:r>
      <w:r>
        <w:rPr>
          <w:spacing w:val="-2"/>
        </w:rPr>
        <w:t>适用），并运用持续经营假设，除非管理层计划清算新华网、终止运营或别无其他现实的选择。</w:t>
      </w:r>
    </w:p>
    <w:p>
      <w:pPr>
        <w:spacing w:line="355" w:lineRule="auto" w:before="34"/>
        <w:ind w:left="138" w:right="2543" w:firstLine="419"/>
        <w:jc w:val="left"/>
        <w:rPr>
          <w:rFonts w:ascii="宋体" w:hAnsi="宋体" w:cs="宋体" w:eastAsia="宋体" w:hint="default"/>
          <w:sz w:val="21"/>
          <w:szCs w:val="21"/>
        </w:rPr>
      </w:pPr>
      <w:r>
        <w:rPr>
          <w:rFonts w:ascii="宋体" w:hAnsi="宋体" w:cs="宋体" w:eastAsia="宋体" w:hint="default"/>
          <w:spacing w:val="-2"/>
          <w:sz w:val="21"/>
          <w:szCs w:val="21"/>
        </w:rPr>
        <w:t>治理层负责监督新华网的财务报告过程。</w:t>
      </w:r>
      <w:r>
        <w:rPr>
          <w:rFonts w:ascii="宋体" w:hAnsi="宋体" w:cs="宋体" w:eastAsia="宋体" w:hint="default"/>
          <w:w w:val="100"/>
          <w:sz w:val="21"/>
          <w:szCs w:val="21"/>
        </w:rPr>
        <w:t> </w:t>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357" w:lineRule="auto" w:before="33"/>
        <w:ind w:left="138" w:right="137" w:firstLine="410"/>
        <w:jc w:val="both"/>
      </w:pPr>
      <w:r>
        <w:rPr>
          <w:spacing w:val="-2"/>
        </w:rPr>
        <w:t>我们的目标是对财务报表整体是否不存在由于舞弊或错误导致的重大错报获取合理保证，并</w:t>
      </w:r>
      <w:r>
        <w:rPr>
          <w:w w:val="100"/>
        </w:rPr>
        <w:t> </w:t>
      </w:r>
      <w:r>
        <w:rPr>
          <w:spacing w:val="-2"/>
        </w:rPr>
        <w:t>出具包含审计意见的审计报告。合理保证是高水平的保证，但并不能保证按照审计准则执行的审</w:t>
      </w:r>
      <w:r>
        <w:rPr>
          <w:spacing w:val="-25"/>
        </w:rPr>
        <w:t> </w:t>
      </w:r>
      <w:r>
        <w:rPr>
          <w:spacing w:val="-25"/>
        </w:rPr>
      </w:r>
      <w:r>
        <w:rPr>
          <w:spacing w:val="-2"/>
        </w:rPr>
        <w:t>计在某一重大错报存在时总能发现。错报可能由于舞弊或错误导致，如果合理预期错报单独或汇</w:t>
      </w:r>
      <w:r>
        <w:rPr>
          <w:spacing w:val="-25"/>
        </w:rPr>
        <w:t> </w:t>
      </w:r>
      <w:r>
        <w:rPr>
          <w:spacing w:val="-25"/>
        </w:rPr>
      </w:r>
      <w:r>
        <w:rPr/>
        <w:t>总起来可能影响财务报表使用者依据财务报表作出的经济决策，则通常认为错报是重大的。</w:t>
      </w:r>
    </w:p>
    <w:p>
      <w:pPr>
        <w:pStyle w:val="BodyText"/>
        <w:spacing w:line="355" w:lineRule="auto" w:before="30"/>
        <w:ind w:left="138" w:right="137" w:firstLine="419"/>
        <w:jc w:val="both"/>
      </w:pPr>
      <w:r>
        <w:rPr>
          <w:spacing w:val="-2"/>
        </w:rPr>
        <w:t>在按照审计准则执行审计工作的过程中，我们运用职业判断，并保持职业怀疑。同时，我们</w:t>
      </w:r>
      <w:r>
        <w:rPr>
          <w:w w:val="100"/>
        </w:rPr>
        <w:t> </w:t>
      </w:r>
      <w:r>
        <w:rPr/>
        <w:t>也执行以下工作：</w:t>
      </w:r>
    </w:p>
    <w:p>
      <w:pPr>
        <w:pStyle w:val="BodyText"/>
        <w:spacing w:line="357" w:lineRule="auto" w:before="32"/>
        <w:ind w:left="138" w:right="128" w:firstLine="419"/>
        <w:jc w:val="both"/>
      </w:pPr>
      <w:r>
        <w:rPr>
          <w:spacing w:val="-2"/>
        </w:rPr>
        <w:t>（一）识别和评估由于舞弊或错误导致的财务报表重大错报风险，设计和实施审计程序以应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r>
        <w:rPr>
          <w:spacing w:val="-51"/>
        </w:rPr>
        <w:t> </w:t>
      </w:r>
      <w:r>
        <w:rPr>
          <w:spacing w:val="-51"/>
        </w:rPr>
      </w:r>
      <w:r>
        <w:rPr>
          <w:spacing w:val="-2"/>
        </w:rPr>
        <w:t>伪造、故意遗漏、虚假陈述或凌驾于内部控制之上，未能发现由于舞弊导致的重大错报的风险高</w:t>
      </w:r>
      <w:r>
        <w:rPr>
          <w:spacing w:val="-25"/>
        </w:rPr>
        <w:t> </w:t>
      </w:r>
      <w:r>
        <w:rPr>
          <w:spacing w:val="-25"/>
        </w:rPr>
      </w:r>
      <w:r>
        <w:rPr/>
        <w:t>于未能发现由于错误导致的重大错报的风险。</w:t>
      </w:r>
    </w:p>
    <w:p>
      <w:pPr>
        <w:pStyle w:val="BodyText"/>
        <w:spacing w:line="240" w:lineRule="auto" w:before="30"/>
        <w:ind w:left="558" w:right="125"/>
        <w:jc w:val="left"/>
      </w:pPr>
      <w:r>
        <w:rPr/>
        <w:t>（二）了解与审计相关的内部控制，以设计恰当的审计程序。</w:t>
      </w:r>
    </w:p>
    <w:p>
      <w:pPr>
        <w:pStyle w:val="BodyText"/>
        <w:spacing w:line="240" w:lineRule="auto" w:before="133"/>
        <w:ind w:left="558" w:right="125"/>
        <w:jc w:val="left"/>
      </w:pPr>
      <w:r>
        <w:rPr/>
        <w:t>（三）评价管理层选用会计政策的恰当性和作出会计估计及相关披露的合理性。</w:t>
      </w:r>
    </w:p>
    <w:p>
      <w:pPr>
        <w:pStyle w:val="BodyText"/>
        <w:spacing w:line="357" w:lineRule="auto" w:before="135"/>
        <w:ind w:left="138" w:right="137" w:firstLine="419"/>
        <w:jc w:val="both"/>
      </w:pPr>
      <w:r>
        <w:rPr>
          <w:spacing w:val="-2"/>
        </w:rPr>
        <w:t>（四）对管理层使用持续经营假设的恰当性得出结论。同时，根据获取的审计证据，就可能</w:t>
      </w:r>
      <w:r>
        <w:rPr>
          <w:w w:val="100"/>
        </w:rPr>
        <w:t> </w:t>
      </w:r>
      <w:r>
        <w:rPr>
          <w:spacing w:val="-2"/>
        </w:rPr>
        <w:t>导致对新华网持续经营能力产生重大疑虑的事项或情况是否存在重大不确定性得出结论。如果我</w:t>
      </w:r>
      <w:r>
        <w:rPr>
          <w:spacing w:val="-26"/>
        </w:rPr>
        <w:t> </w:t>
      </w:r>
      <w:r>
        <w:rPr>
          <w:spacing w:val="-26"/>
        </w:rPr>
      </w:r>
      <w:r>
        <w:rPr>
          <w:spacing w:val="-2"/>
        </w:rPr>
        <w:t>们得出结论认为存在重大不确定性，审计准则要求我们在审计报告中提请报表使用者注意财务报</w:t>
      </w:r>
      <w:r>
        <w:rPr>
          <w:spacing w:val="-25"/>
        </w:rPr>
        <w:t> </w:t>
      </w:r>
      <w:r>
        <w:rPr>
          <w:spacing w:val="-25"/>
        </w:rPr>
      </w:r>
      <w:r>
        <w:rPr>
          <w:spacing w:val="-2"/>
        </w:rPr>
        <w:t>表中的相关披露；如果披露不充分，我们应当发表非无保留意见。我们的结论基于截至审计报告</w:t>
      </w:r>
      <w:r>
        <w:rPr>
          <w:spacing w:val="-25"/>
        </w:rPr>
        <w:t> </w:t>
      </w:r>
      <w:r>
        <w:rPr>
          <w:spacing w:val="-25"/>
        </w:rPr>
      </w:r>
      <w:r>
        <w:rPr/>
        <w:t>日可获得的信息。然而，未来的事项或情况可能导致新华网不能持续经营。</w:t>
      </w:r>
    </w:p>
    <w:p>
      <w:pPr>
        <w:pStyle w:val="BodyText"/>
        <w:spacing w:line="355" w:lineRule="auto" w:before="30"/>
        <w:ind w:left="138" w:right="137" w:firstLine="419"/>
        <w:jc w:val="both"/>
      </w:pPr>
      <w:r>
        <w:rPr>
          <w:spacing w:val="-2"/>
        </w:rPr>
        <w:t>（五）评价财务报表的总体列报、结构和内容（包括披露），并评价财务报表是否公允反映</w:t>
      </w:r>
      <w:r>
        <w:rPr>
          <w:w w:val="100"/>
        </w:rPr>
        <w:t> </w:t>
      </w:r>
      <w:r>
        <w:rPr/>
        <w:t>相关交易和事项。</w:t>
      </w:r>
    </w:p>
    <w:p>
      <w:pPr>
        <w:pStyle w:val="BodyText"/>
        <w:spacing w:line="355" w:lineRule="auto" w:before="32"/>
        <w:ind w:left="138" w:right="138" w:firstLine="419"/>
        <w:jc w:val="both"/>
      </w:pPr>
      <w:r>
        <w:rPr>
          <w:spacing w:val="-2"/>
        </w:rPr>
        <w:t>（六）就新华网中实体或业务活动的财务信息获取充分、适当的审计证据，以对财务报表发</w:t>
      </w:r>
      <w:r>
        <w:rPr>
          <w:w w:val="100"/>
        </w:rPr>
        <w:t> </w:t>
      </w:r>
      <w:r>
        <w:rPr/>
        <w:t>表意见。我们负责指导、监督和执行集团审计。我们对审计意见承担全部责任。</w:t>
      </w:r>
    </w:p>
    <w:p>
      <w:pPr>
        <w:pStyle w:val="BodyText"/>
        <w:spacing w:line="355" w:lineRule="auto" w:before="34"/>
        <w:ind w:left="138" w:right="145" w:firstLine="412"/>
        <w:jc w:val="both"/>
      </w:pPr>
      <w:r>
        <w:rPr>
          <w:spacing w:val="-2"/>
        </w:rPr>
        <w:t>我们与治理层就计划的审计范围、时间安排和重大审计发现等事项进行沟通，包括沟通我们</w:t>
      </w:r>
      <w:r>
        <w:rPr>
          <w:w w:val="100"/>
        </w:rPr>
        <w:t> </w:t>
      </w:r>
      <w:r>
        <w:rPr/>
        <w:t>在审计中识别出的值得关注的内部控制缺陷。</w:t>
      </w:r>
    </w:p>
    <w:p>
      <w:pPr>
        <w:pStyle w:val="BodyText"/>
        <w:spacing w:line="357" w:lineRule="auto" w:before="32"/>
        <w:ind w:left="138" w:right="137" w:firstLine="419"/>
        <w:jc w:val="both"/>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p>
    <w:p>
      <w:pPr>
        <w:spacing w:after="0" w:line="357" w:lineRule="auto"/>
        <w:jc w:val="both"/>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pStyle w:val="BodyText"/>
        <w:spacing w:line="357" w:lineRule="auto" w:before="36"/>
        <w:ind w:right="217" w:firstLine="419"/>
        <w:jc w:val="both"/>
      </w:pPr>
      <w:r>
        <w:rPr>
          <w:spacing w:val="-2"/>
        </w:rPr>
        <w:t>从与治理层沟通过的事项中，我们确定哪些事项对本期财务报表审计最为重要，因而构成关</w:t>
      </w:r>
      <w:r>
        <w:rPr>
          <w:w w:val="100"/>
        </w:rPr>
        <w:t> </w:t>
      </w:r>
      <w:r>
        <w:rPr>
          <w:spacing w:val="-2"/>
        </w:rPr>
        <w:t>键审计事项。我们在审计报告中描述这些事项，除非法律法规禁止公开披露这些事项，或在极少</w:t>
      </w:r>
      <w:r>
        <w:rPr>
          <w:spacing w:val="-25"/>
        </w:rPr>
        <w:t> </w:t>
      </w:r>
      <w:r>
        <w:rPr>
          <w:spacing w:val="-25"/>
        </w:rPr>
      </w:r>
      <w:r>
        <w:rPr>
          <w:spacing w:val="-2"/>
        </w:rPr>
        <w:t>数情形下，如果合理预期在审计报告中沟通某事项造成的负面后果超过在公众利益方面产生的益</w:t>
      </w:r>
      <w:r>
        <w:rPr>
          <w:spacing w:val="-25"/>
        </w:rPr>
        <w:t> </w:t>
      </w:r>
      <w:r>
        <w:rPr>
          <w:spacing w:val="-25"/>
        </w:rPr>
      </w:r>
      <w:r>
        <w:rPr/>
        <w:t>处，我们确定不应在审计报告中沟通该事项。</w:t>
      </w:r>
    </w:p>
    <w:p>
      <w:pPr>
        <w:spacing w:after="0" w:line="357" w:lineRule="auto"/>
        <w:jc w:val="both"/>
        <w:sectPr>
          <w:pgSz w:w="11910" w:h="16840"/>
          <w:pgMar w:header="877" w:footer="1195" w:top="1100" w:bottom="1380" w:left="1580" w:right="1060"/>
        </w:sectPr>
      </w:pPr>
    </w:p>
    <w:p>
      <w:pPr>
        <w:pStyle w:val="Heading2"/>
        <w:spacing w:line="240" w:lineRule="auto" w:before="90"/>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right="-16"/>
        <w:jc w:val="left"/>
      </w:pPr>
      <w:r>
        <w:rPr/>
        <w:t>编制单位</w:t>
      </w:r>
      <w:r>
        <w:rPr>
          <w:rFonts w:ascii="宋体" w:hAnsi="宋体" w:cs="宋体" w:eastAsia="宋体" w:hint="default"/>
        </w:rPr>
        <w:t>:</w:t>
      </w:r>
      <w:r>
        <w:rPr>
          <w:rFonts w:ascii="宋体" w:hAnsi="宋体" w:cs="宋体" w:eastAsia="宋体" w:hint="default"/>
          <w:spacing w:val="1"/>
        </w:rPr>
        <w:t> </w:t>
      </w:r>
      <w:r>
        <w:rPr/>
        <w:t>新华网股份有限公司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7"/>
        <w:rPr>
          <w:rFonts w:ascii="宋体" w:hAnsi="宋体" w:cs="宋体" w:eastAsia="宋体" w:hint="default"/>
          <w:sz w:val="14"/>
          <w:szCs w:val="14"/>
        </w:rPr>
      </w:pPr>
    </w:p>
    <w:p>
      <w:pPr>
        <w:spacing w:line="272" w:lineRule="exact" w:before="0"/>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60"/>
          <w:cols w:num="3" w:equalWidth="0">
            <w:col w:w="3164" w:space="387"/>
            <w:col w:w="1954" w:space="1229"/>
            <w:col w:w="253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994"/>
        <w:gridCol w:w="1982"/>
        <w:gridCol w:w="1983"/>
      </w:tblGrid>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2,189,488,991.39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2,189,152,597.25</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590,881,768.66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529,552,425.61</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2,780,683.09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15,043,226.50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588,101,085.57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514,509,199.11</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72,293,390.56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51,764,394.13</w:t>
            </w: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21,979,414.85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53,749,740.44</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5,593,294.54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3,243,172.79</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2,290,645.57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1,863,558.08</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98,907,649.56</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2,975,841,860.59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2,826,082,715.51</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89,817,371.24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194,340,296.14</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255,708,155.67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220,843,865.86</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299,703,035.40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184,494,818.09</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249,603,178.32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288,613,655.55</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12,413,821.06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7,460,793.66</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5,412,642.08</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078"/>
        <w:gridCol w:w="994"/>
        <w:gridCol w:w="1982"/>
        <w:gridCol w:w="1983"/>
      </w:tblGrid>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27,109,340.44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30,887,264.30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467,703.14</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41,405,870.83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7,323,226.68</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981,641,118.18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933,963,920.28</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3,957,482,978.77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3,760,046,635.79</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178,007,402.89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123,362,934.80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245,007,321.08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230,773,832.98</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60,067,888.33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65,044,971.20</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29,604,487.39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29,007,463.00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20,914,405.38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15,378,562.28</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533,601,505.07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463,567,764.26</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309,371,381.14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381,285,581.14</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236,526,395.99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147,093,824.18</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565,897,777.13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528,379,405.32</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1,099,499,282.20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991,947,169.58</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519,029,360.00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519,029,360.00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1,534,900,982.53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1,582,609,263.57</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4078"/>
        <w:gridCol w:w="994"/>
        <w:gridCol w:w="1982"/>
        <w:gridCol w:w="1983"/>
      </w:tblGrid>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-29,492,011.02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-316,542.40</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50</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159,891,009.96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132,471,330.62</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649,268,116.79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495,397,118.8</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2,833,597,458.26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2,729,190,530.59</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24,386,238.31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38,908,935.62</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2,857,983,696.57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2,768,099,466.21</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3,957,482,978.77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3,760,046,635.79</w:t>
            </w:r>
          </w:p>
        </w:tc>
      </w:tr>
    </w:tbl>
    <w:p>
      <w:pPr>
        <w:spacing w:line="240" w:lineRule="auto" w:before="8"/>
        <w:rPr>
          <w:rFonts w:ascii="Times New Roman" w:hAnsi="Times New Roman" w:cs="Times New Roman" w:eastAsia="Times New Roman" w:hint="default"/>
          <w:sz w:val="17"/>
          <w:szCs w:val="17"/>
        </w:rPr>
      </w:pPr>
    </w:p>
    <w:p>
      <w:pPr>
        <w:pStyle w:val="BodyText"/>
        <w:tabs>
          <w:tab w:pos="3369" w:val="left" w:leader="none"/>
          <w:tab w:pos="6833" w:val="left" w:leader="none"/>
        </w:tabs>
        <w:spacing w:line="240" w:lineRule="auto" w:before="36"/>
        <w:ind w:right="227"/>
        <w:jc w:val="left"/>
      </w:pPr>
      <w:r>
        <w:rPr>
          <w:spacing w:val="-1"/>
        </w:rPr>
        <w:t>法定代表人：田舒斌</w:t>
        <w:tab/>
      </w:r>
      <w:r>
        <w:rPr>
          <w:spacing w:val="-2"/>
        </w:rPr>
        <w:t>主管会计工作负责人：任劼</w:t>
        <w:tab/>
        <w:t>会计机构负责人：张燕</w:t>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43"/>
          <w:pgSz w:w="11910" w:h="16840"/>
          <w:pgMar w:footer="1195" w:header="877"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新华网股份有限公司</w:t>
      </w:r>
    </w:p>
    <w:p>
      <w:pPr>
        <w:spacing w:line="272" w:lineRule="exact" w:before="64"/>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056" w:space="495"/>
            <w:col w:w="1954" w:space="1229"/>
            <w:col w:w="255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994"/>
        <w:gridCol w:w="1982"/>
        <w:gridCol w:w="1995"/>
      </w:tblGrid>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1,917,118,731.45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1,896,829,690.90</w:t>
            </w: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580,285,659.74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516,221,955.40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1,155,000.00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15,043,226.50</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579,130,659.74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501,178,728.90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82,440,805.79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58,076,127.63</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20,320,639.50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52,367,769.60</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5,593,294.54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3,243,172.79</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2,290,645.57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1,863,558.08</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2,602,456,482.05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2,525,359,101.61</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82,772,571.24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193,020,296.14</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
              <w:jc w:val="center"/>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456,439,468.57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343,274,628.29</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298,323,183.68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183,778,694.44</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262,809,920.17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300,749,343.97</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12,352,780.18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7,399,496.47</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5,412,642.08</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78"/>
        <w:gridCol w:w="994"/>
        <w:gridCol w:w="1982"/>
        <w:gridCol w:w="1995"/>
      </w:tblGrid>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26,138,883.54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30,887,264.30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41,405,870.83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7,323,226.68</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1,185,655,320.29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1,066,432,950.29</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3,788,111,802.34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3,591,792,051.90</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167,954,748.46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117,198,824.75</w:t>
            </w: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197,161,848.09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202,931,944.87</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51,995,210.80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59,669,083.23</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20,774,724.40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23,650,423.20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19,292,326.55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14,209,849.96</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457,178,858.30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417,660,126.01</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309,371,381.14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381,285,581.14</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235,665,845.83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147,093,824.18</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545,037,226.97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528,379,405.32</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1,002,216,085.27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946,039,531.33</w:t>
            </w:r>
          </w:p>
        </w:tc>
      </w:tr>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519,029,360.00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519,029,360.00</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1,463,377,723.33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1,463,377,723.33</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-30,534,026.56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-286,301.66</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159,891,009.96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132,471,330.62</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674,131,650.34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531,160,408.28</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2,785,895,717.07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2,645,752,520.57</w:t>
            </w:r>
          </w:p>
        </w:tc>
      </w:tr>
      <w:tr>
        <w:trPr>
          <w:trHeight w:val="555"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3,788,111,802.34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3,591,792,051.90</w:t>
            </w:r>
          </w:p>
        </w:tc>
      </w:tr>
    </w:tbl>
    <w:p>
      <w:pPr>
        <w:pStyle w:val="BodyText"/>
        <w:tabs>
          <w:tab w:pos="3460" w:val="left" w:leader="none"/>
          <w:tab w:pos="7121" w:val="left" w:leader="none"/>
        </w:tabs>
        <w:spacing w:line="241" w:lineRule="exact"/>
        <w:ind w:right="0"/>
        <w:jc w:val="left"/>
      </w:pPr>
      <w:r>
        <w:rPr>
          <w:spacing w:val="-3"/>
        </w:rPr>
        <w:t>法定代表人：田舒斌</w:t>
        <w:tab/>
        <w:t>主管会计工作负责人：任劼</w:t>
        <w:tab/>
      </w:r>
      <w:r>
        <w:rPr>
          <w:spacing w:val="-4"/>
        </w:rPr>
        <w:t>会计机构负责人：张燕</w:t>
      </w:r>
      <w:r>
        <w:rPr/>
      </w:r>
    </w:p>
    <w:p>
      <w:pPr>
        <w:spacing w:after="0" w:line="241" w:lineRule="exact"/>
        <w:jc w:val="left"/>
        <w:sectPr>
          <w:footerReference w:type="default" r:id="rId44"/>
          <w:pgSz w:w="11910" w:h="16840"/>
          <w:pgMar w:footer="1195" w:header="877" w:top="1100" w:bottom="1380" w:left="1580" w:right="1020"/>
          <w:pgNumType w:start="71"/>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before="36"/>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5"/>
        <w:gridCol w:w="1138"/>
        <w:gridCol w:w="2129"/>
        <w:gridCol w:w="2278"/>
      </w:tblGrid>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0"/>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1,569,315,656.18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1,501,729,289.87</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1,569,315,656.18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1,501,729,289.87</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1,366,791,834.34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1,351,160,922.84</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860,761,091.34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821,938,241.05</w:t>
            </w:r>
          </w:p>
        </w:tc>
      </w:tr>
      <w:tr>
        <w:trPr>
          <w:trHeight w:val="28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32,945,503.66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30,108,682.41</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277,459,386.58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299,346,940.33</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87,538,845.55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76,742,104.07</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56,587,848.49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51,868,736.85</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-24,976,494.99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-15,965,213.11</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76,475,653.71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87,121,431.24</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46,689,933.54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11,546,605.67</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-366,373.53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85,348,143.56</w:t>
            </w:r>
          </w:p>
        </w:tc>
      </w:tr>
      <w:tr>
        <w:trPr>
          <w:trHeight w:val="557"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-16,194,507.39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-13,654,315.95</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8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12,397.95</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8"/>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spacing w:val="-12"/>
                <w:sz w:val="21"/>
                <w:szCs w:val="21"/>
              </w:rPr>
              <w:t>三、营业利润（亏损以“－”号填列）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248,859,779.80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247,463,116.26</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39,320,148.74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37,311,366.45</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1,223,070.81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336,525.93</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286,956,857.73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284,437,956.78</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9"/>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4,091,286.75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1,700,029.62</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r>
              <w:rPr>
                <w:rFonts w:ascii="宋体" w:hAnsi="宋体" w:cs="宋体" w:eastAsia="宋体" w:hint="default"/>
                <w:spacing w:val="-8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w w:val="100"/>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282,865,570.98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282,737,927.16</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282,865,570.98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282,737,927.16</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5"/>
        <w:gridCol w:w="1138"/>
        <w:gridCol w:w="2129"/>
        <w:gridCol w:w="2278"/>
      </w:tblGrid>
      <w:tr>
        <w:trPr>
          <w:trHeight w:val="28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6"/>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归属于母公司股东的净利润</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285,096,549.33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283,961,280.93</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少数股东损益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-2,230,978.35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-1,223,353.77</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-29,175,468.62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2,272,957.54</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益的税后净额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-29,175,468.62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2,272,957.54</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（一）不能重分类进损益的其他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pacing w:val="-7"/>
                <w:sz w:val="21"/>
                <w:szCs w:val="21"/>
              </w:rPr>
              <w:t>（二）将重分类进损益的其他综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-29,175,468.62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2,272,957.54</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-30,247,724.90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2,519,786.86</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可供出售金融资产损益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1,072,256.28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-246,829.32</w:t>
            </w: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的税后净额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253,690,102.36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285,010,884.70</w:t>
            </w:r>
          </w:p>
        </w:tc>
      </w:tr>
      <w:tr>
        <w:trPr>
          <w:trHeight w:val="55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255,921,080.71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286,234,238.47</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3"/>
              <w:jc w:val="right"/>
              <w:rPr>
                <w:rFonts w:ascii="宋体" w:hAnsi="宋体" w:cs="宋体" w:eastAsia="宋体" w:hint="default"/>
                <w:sz w:val="21"/>
                <w:szCs w:val="21"/>
              </w:rPr>
            </w:pPr>
            <w:r>
              <w:rPr>
                <w:rFonts w:ascii="宋体" w:hAnsi="宋体" w:cs="宋体" w:eastAsia="宋体" w:hint="default"/>
                <w:spacing w:val="-2"/>
                <w:sz w:val="21"/>
                <w:szCs w:val="21"/>
              </w:rPr>
              <w:t>归属于少数股东的综合收益总额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-2,230,978.35</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-1,223,353.77</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0.5493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0.5471</w:t>
            </w:r>
          </w:p>
        </w:tc>
      </w:tr>
      <w:tr>
        <w:trPr>
          <w:trHeight w:val="28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0.5493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0.5471</w:t>
            </w:r>
          </w:p>
        </w:tc>
      </w:tr>
    </w:tbl>
    <w:p>
      <w:pPr>
        <w:spacing w:line="240" w:lineRule="auto" w:before="5"/>
        <w:rPr>
          <w:rFonts w:ascii="宋体" w:hAnsi="宋体" w:cs="宋体" w:eastAsia="宋体" w:hint="default"/>
          <w:sz w:val="15"/>
          <w:szCs w:val="15"/>
        </w:rPr>
      </w:pPr>
    </w:p>
    <w:p>
      <w:pPr>
        <w:pStyle w:val="BodyText"/>
        <w:spacing w:line="240" w:lineRule="auto" w:before="36"/>
        <w:ind w:right="234"/>
        <w:jc w:val="left"/>
      </w:pPr>
      <w:r>
        <w:rPr/>
        <w:t>本期发生同一控制下企业合并的，被合并方在合并前实现的净利润为：</w:t>
      </w:r>
      <w:r>
        <w:rPr>
          <w:rFonts w:ascii="宋体" w:hAnsi="宋体" w:cs="宋体" w:eastAsia="宋体" w:hint="default"/>
        </w:rPr>
        <w:t>0.00</w:t>
      </w:r>
      <w:r>
        <w:rPr>
          <w:rFonts w:ascii="宋体" w:hAnsi="宋体" w:cs="宋体" w:eastAsia="宋体" w:hint="default"/>
          <w:spacing w:val="-6"/>
        </w:rPr>
        <w:t> </w:t>
      </w:r>
      <w:r>
        <w:rPr/>
        <w:t>元</w:t>
      </w:r>
      <w:r>
        <w:rPr>
          <w:rFonts w:ascii="宋体" w:hAnsi="宋体" w:cs="宋体" w:eastAsia="宋体" w:hint="default"/>
        </w:rPr>
        <w:t>,</w:t>
      </w:r>
      <w:r>
        <w:rPr/>
        <w:t>上期被合并方实</w:t>
      </w:r>
      <w:r>
        <w:rPr>
          <w:w w:val="100"/>
        </w:rPr>
        <w:t> </w:t>
      </w:r>
      <w:r>
        <w:rPr/>
        <w:t>现的净利润为：</w:t>
      </w:r>
      <w:r>
        <w:rPr>
          <w:rFonts w:ascii="宋体" w:hAnsi="宋体" w:cs="宋体" w:eastAsia="宋体" w:hint="default"/>
        </w:rPr>
        <w:t>0.00</w:t>
      </w:r>
      <w:r>
        <w:rPr>
          <w:rFonts w:ascii="宋体" w:hAnsi="宋体" w:cs="宋体" w:eastAsia="宋体" w:hint="default"/>
          <w:spacing w:val="2"/>
        </w:rPr>
        <w:t> </w:t>
      </w:r>
      <w:r>
        <w:rPr>
          <w:spacing w:val="-3"/>
        </w:rPr>
        <w:t>元。</w:t>
      </w:r>
      <w:r>
        <w:rPr/>
      </w:r>
    </w:p>
    <w:p>
      <w:pPr>
        <w:spacing w:line="240" w:lineRule="auto" w:before="8"/>
        <w:rPr>
          <w:rFonts w:ascii="宋体" w:hAnsi="宋体" w:cs="宋体" w:eastAsia="宋体" w:hint="default"/>
          <w:sz w:val="20"/>
          <w:szCs w:val="20"/>
        </w:rPr>
      </w:pPr>
    </w:p>
    <w:p>
      <w:pPr>
        <w:pStyle w:val="BodyText"/>
        <w:tabs>
          <w:tab w:pos="3369" w:val="left" w:leader="none"/>
          <w:tab w:pos="6938" w:val="left" w:leader="none"/>
        </w:tabs>
        <w:spacing w:line="240" w:lineRule="auto"/>
        <w:ind w:right="227"/>
        <w:jc w:val="left"/>
      </w:pPr>
      <w:r>
        <w:rPr>
          <w:spacing w:val="-1"/>
        </w:rPr>
        <w:t>法定代表人：田舒斌</w:t>
        <w:tab/>
      </w:r>
      <w:r>
        <w:rPr>
          <w:spacing w:val="-2"/>
        </w:rPr>
        <w:t>主管会计工作负责人：任劼</w:t>
        <w:tab/>
        <w:t>会计机构负责人：张燕</w:t>
      </w:r>
      <w:r>
        <w:rPr/>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5" w:top="1100" w:bottom="1380" w:left="1580" w:right="104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138"/>
        <w:gridCol w:w="2127"/>
        <w:gridCol w:w="2278"/>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1,403,436,340.54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1,409,640,303.98</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755,570,107.16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759,243,613.24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29,371,305.49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28,269,951.84</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254,915,478.29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283,243,407.12</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63,541,517.76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62,442,726.97</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56,587,848.49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48,900,873.33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138"/>
        <w:gridCol w:w="2127"/>
        <w:gridCol w:w="2278"/>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-22,877,153.34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-14,948,217.04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23,090,587.28</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76,470,703.71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79,917,264.13</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46,410,483.70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11,166,998.66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-118,703.06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75,955,727.34</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-15,946,836.92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-12,993,600.03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12,397.95</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二、营业利润（亏损以“－”号填列）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236,160,711.57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249,693,410.39</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39,194,312.44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37,296,251.78</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1,158,230.61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335,075.93</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274,196,793.40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286,654,586.24</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5"/>
              <w:jc w:val="left"/>
              <w:rPr>
                <w:rFonts w:ascii="宋体" w:hAnsi="宋体" w:cs="宋体" w:eastAsia="宋体" w:hint="default"/>
                <w:sz w:val="21"/>
                <w:szCs w:val="21"/>
              </w:rPr>
            </w:pPr>
            <w:r>
              <w:rPr>
                <w:rFonts w:ascii="宋体" w:hAnsi="宋体" w:cs="宋体" w:eastAsia="宋体" w:hint="default"/>
                <w:spacing w:val="-11"/>
                <w:sz w:val="21"/>
                <w:szCs w:val="21"/>
              </w:rPr>
              <w:t>四、净利润（净亏损以“－”号填列）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274,196,793.40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286,654,586.24</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pacing w:val="-6"/>
                <w:sz w:val="21"/>
                <w:szCs w:val="21"/>
              </w:rPr>
              <w:t>（一）持续经营净利润（净亏损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274,196,793.40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286,654,586.24</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6" w:right="0"/>
              <w:jc w:val="left"/>
              <w:rPr>
                <w:rFonts w:ascii="宋体" w:hAnsi="宋体" w:cs="宋体" w:eastAsia="宋体" w:hint="default"/>
                <w:sz w:val="21"/>
                <w:szCs w:val="21"/>
              </w:rPr>
            </w:pPr>
            <w:r>
              <w:rPr>
                <w:rFonts w:ascii="宋体" w:hAnsi="宋体" w:cs="宋体" w:eastAsia="宋体" w:hint="default"/>
                <w:spacing w:val="-6"/>
                <w:sz w:val="21"/>
                <w:szCs w:val="21"/>
              </w:rPr>
              <w:t>（二）终止经营净利润（净亏损</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-30,247,724.90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2,519,786.86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-30,247,724.90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2,519,786.86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-30,247,724.90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2,519,786.86</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分</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243,949,068.50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289,174,373.10</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113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tabs>
          <w:tab w:pos="3264" w:val="left" w:leader="none"/>
          <w:tab w:pos="7046" w:val="left" w:leader="none"/>
        </w:tabs>
        <w:spacing w:line="240" w:lineRule="auto" w:before="36"/>
        <w:ind w:right="0"/>
        <w:jc w:val="left"/>
      </w:pPr>
      <w:r>
        <w:rPr>
          <w:spacing w:val="-1"/>
        </w:rPr>
        <w:t>法定代表人：田舒斌</w:t>
        <w:tab/>
      </w:r>
      <w:r>
        <w:rPr>
          <w:spacing w:val="-2"/>
        </w:rPr>
        <w:t>主管会计工作负责人：任劼</w:t>
        <w:tab/>
        <w:t>会计机构负责人：张燕</w:t>
      </w:r>
    </w:p>
    <w:p>
      <w:pPr>
        <w:spacing w:after="0" w:line="240" w:lineRule="auto"/>
        <w:jc w:val="left"/>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991"/>
        <w:gridCol w:w="2240"/>
        <w:gridCol w:w="2165"/>
      </w:tblGrid>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1"/>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1,573,784,542.60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1,535,955,053.17</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646,176.28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379,607.01</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21,111,632.69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9,104,103.29</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1,595,542,351.57</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1,545,438,763.47</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629,290,131.66</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648,924,961.33</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499,143,083.39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436,137,666.05</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87,527,726.59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78,639,117.76</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153,340,548.31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168,598,466.87</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1,369,301,489.95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1,332,300,212.01</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226,240,861.62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213,138,551.46</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60,608,878.00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5,752,228.73</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48,310,135.42</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74,082,934.62</w:t>
            </w:r>
          </w:p>
        </w:tc>
      </w:tr>
      <w:tr>
        <w:trPr>
          <w:trHeight w:val="5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46,137.25</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31,200,000.00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18,501,901.33</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859,219,996.21</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1,119,000,000.00</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999,385,146.88</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1,217,337,064.68</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120,935,606.30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57,196,340.71</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155,775,183.00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138,320,000.00</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2,096.69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2,916,840.78</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5"/>
              <w:jc w:val="righ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388,654,000.00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859,219,996.21</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665,366,885.99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1,057,653,177.70</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334,018,260.89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159,683,886.98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3"/>
        <w:gridCol w:w="991"/>
        <w:gridCol w:w="2240"/>
        <w:gridCol w:w="2165"/>
      </w:tblGrid>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63,000,000.00</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60,000,000.00</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67</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57,193,000.00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52,006,500.00</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77,193,000.00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115,006,500.00</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103,805,872.00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103,805,872.00</w:t>
            </w: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-26,612,872.00</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115,006,500.00</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417.84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-372,973.21</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533,646,668.35</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487,455,965.23</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1,327,625,613.04</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840,169,647.81</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1,861,272,281.39</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1,327,625,613.04</w:t>
            </w:r>
          </w:p>
        </w:tc>
      </w:tr>
    </w:tbl>
    <w:p>
      <w:pPr>
        <w:spacing w:line="240" w:lineRule="auto" w:before="7"/>
        <w:rPr>
          <w:rFonts w:ascii="宋体" w:hAnsi="宋体" w:cs="宋体" w:eastAsia="宋体" w:hint="default"/>
          <w:sz w:val="15"/>
          <w:szCs w:val="15"/>
        </w:rPr>
      </w:pPr>
    </w:p>
    <w:p>
      <w:pPr>
        <w:pStyle w:val="BodyText"/>
        <w:tabs>
          <w:tab w:pos="3156" w:val="left" w:leader="none"/>
          <w:tab w:pos="6931" w:val="left" w:leader="none"/>
        </w:tabs>
        <w:spacing w:line="240" w:lineRule="auto" w:before="36"/>
        <w:ind w:right="227"/>
        <w:jc w:val="left"/>
      </w:pPr>
      <w:r>
        <w:rPr>
          <w:spacing w:val="-2"/>
        </w:rPr>
        <w:t>法定代表人：田舒斌</w:t>
        <w:tab/>
        <w:t>主管会计工作负责人：任劼</w:t>
        <w:tab/>
        <w:t>会计机构负责人：张燕</w:t>
      </w:r>
      <w:r>
        <w:rPr/>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7" w:footer="1195" w:top="1100" w:bottom="1380" w:left="1580" w:right="1040"/>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1061"/>
        <w:gridCol w:w="2172"/>
        <w:gridCol w:w="2163"/>
      </w:tblGrid>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1,373,174,205.95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1,351,799,285.86</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17,126,161.27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6,837,308.74</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1,390,300,367.22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1,358,636,594.60</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546,786,591.08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538,019,913.12</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449,356,395.69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416,056,706.88</w:t>
            </w: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74,802,989.73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71,767,586.93</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135,543,833.03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159,102,400.62</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1,206,489,809.53</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1,184,946,607.55</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183,810,557.69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173,689,987.05</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60,608,878.00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5,752,228.73</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48,310,135.42</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108,611,611.44</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46,137.25</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31,200,000.00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20,800,000.00</w:t>
            </w: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859,219,996.21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1,119,000,000.00</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999,385,146.88</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1,254,163,840.17</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145,726,637.81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66,546,233.61</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3"/>
        <w:gridCol w:w="1061"/>
        <w:gridCol w:w="2172"/>
        <w:gridCol w:w="2163"/>
      </w:tblGrid>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147,052,880.00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283,733,697.00</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290,154,000.00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859,219,996.21</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582,933,517.81</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1,209,499,926.82</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416,451,629.07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44,663,913.35</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57,193,000.00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52,006,500.00</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57,193,000.00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52,006,500.00</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103,805,872.00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103,805,872.00</w:t>
            </w: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-46,612,872.00</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52,006,500.00</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553,649,314.76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270,360,400.40</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1,035,302,706.69</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764,942,306.29</w:t>
            </w: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1,588,952,021.45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1,035,302,706.69</w:t>
            </w:r>
          </w:p>
        </w:tc>
      </w:tr>
    </w:tbl>
    <w:p>
      <w:pPr>
        <w:spacing w:line="240" w:lineRule="auto" w:before="5"/>
        <w:rPr>
          <w:rFonts w:ascii="宋体" w:hAnsi="宋体" w:cs="宋体" w:eastAsia="宋体" w:hint="default"/>
          <w:sz w:val="15"/>
          <w:szCs w:val="15"/>
        </w:rPr>
      </w:pPr>
    </w:p>
    <w:p>
      <w:pPr>
        <w:pStyle w:val="BodyText"/>
        <w:tabs>
          <w:tab w:pos="3369" w:val="left" w:leader="none"/>
          <w:tab w:pos="6938" w:val="left" w:leader="none"/>
        </w:tabs>
        <w:spacing w:line="240" w:lineRule="auto" w:before="36"/>
        <w:ind w:right="227"/>
        <w:jc w:val="left"/>
      </w:pPr>
      <w:r>
        <w:rPr>
          <w:spacing w:val="-1"/>
        </w:rPr>
        <w:t>法定代表人：田舒斌</w:t>
        <w:tab/>
      </w:r>
      <w:r>
        <w:rPr>
          <w:spacing w:val="-2"/>
        </w:rPr>
        <w:t>主管会计工作负责人：任劼</w:t>
        <w:tab/>
        <w:t>会计机构负责人：张燕</w:t>
      </w:r>
      <w:r>
        <w:rPr/>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45"/>
          <w:footerReference w:type="default" r:id="rId46"/>
          <w:pgSz w:w="16840" w:h="11910" w:orient="landscape"/>
          <w:pgMar w:header="882" w:footer="1195" w:top="1120" w:bottom="1380" w:left="620" w:right="700"/>
          <w:pgNumType w:start="78"/>
        </w:sectPr>
      </w:pPr>
    </w:p>
    <w:p>
      <w:pPr>
        <w:spacing w:line="272" w:lineRule="exact" w:before="64"/>
        <w:ind w:left="6984"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620" w:right="700"/>
          <w:cols w:num="2" w:equalWidth="0">
            <w:col w:w="8802" w:space="40"/>
            <w:col w:w="667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847"/>
        <w:gridCol w:w="1688"/>
        <w:gridCol w:w="1896"/>
        <w:gridCol w:w="1685"/>
        <w:gridCol w:w="1687"/>
        <w:gridCol w:w="1791"/>
        <w:gridCol w:w="1687"/>
        <w:gridCol w:w="1990"/>
      </w:tblGrid>
      <w:tr>
        <w:trPr>
          <w:trHeight w:val="408" w:hRule="exact"/>
        </w:trPr>
        <w:tc>
          <w:tcPr>
            <w:tcW w:w="2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4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93"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06" w:hRule="exact"/>
        </w:trPr>
        <w:tc>
          <w:tcPr>
            <w:tcW w:w="2847" w:type="dxa"/>
            <w:vMerge/>
            <w:tcBorders>
              <w:left w:val="single" w:sz="4" w:space="0" w:color="000000"/>
              <w:right w:val="single" w:sz="4" w:space="0" w:color="000000"/>
            </w:tcBorders>
          </w:tcPr>
          <w:p>
            <w:pPr/>
          </w:p>
        </w:tc>
        <w:tc>
          <w:tcPr>
            <w:tcW w:w="87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008"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99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409" w:hRule="exact"/>
        </w:trPr>
        <w:tc>
          <w:tcPr>
            <w:tcW w:w="2847"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8"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7"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87" w:type="dxa"/>
            <w:vMerge/>
            <w:tcBorders>
              <w:left w:val="single" w:sz="4" w:space="0" w:color="000000"/>
              <w:bottom w:val="single" w:sz="4" w:space="0" w:color="000000"/>
              <w:right w:val="single" w:sz="4" w:space="0" w:color="000000"/>
            </w:tcBorders>
          </w:tcPr>
          <w:p>
            <w:pPr/>
          </w:p>
        </w:tc>
        <w:tc>
          <w:tcPr>
            <w:tcW w:w="1990" w:type="dxa"/>
            <w:vMerge/>
            <w:tcBorders>
              <w:left w:val="single" w:sz="4" w:space="0" w:color="000000"/>
              <w:bottom w:val="single" w:sz="4" w:space="0" w:color="000000"/>
              <w:right w:val="single" w:sz="4" w:space="0" w:color="000000"/>
            </w:tcBorders>
          </w:tcPr>
          <w:p>
            <w:pPr/>
          </w:p>
        </w:tc>
      </w:tr>
      <w:tr>
        <w:trPr>
          <w:trHeight w:val="408"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519,029,360.00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1,582,609,263.57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-316,542.40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132,471,330.62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495,397,118.80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38,908,935.62</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2,768,099,466.21</w:t>
            </w:r>
          </w:p>
        </w:tc>
      </w:tr>
      <w:tr>
        <w:trPr>
          <w:trHeight w:val="40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sz w:val="21"/>
              </w:rPr>
              <w:t>519,029,360.00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1,582,609,263.57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-316,542.40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132,471,330.62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495,397,118.80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38,908,935.62</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2,768,099,466.21</w:t>
            </w:r>
          </w:p>
        </w:tc>
      </w:tr>
      <w:tr>
        <w:trPr>
          <w:trHeight w:val="557"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三、本期增减变动金额（减少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以“－”号填列）</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-47,708,281.04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-29,175,468.62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27,419,679.34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z w:val="21"/>
              </w:rPr>
              <w:t>153,870,997.99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-14,522,697.31</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89,884,230.36</w:t>
            </w:r>
          </w:p>
        </w:tc>
      </w:tr>
      <w:tr>
        <w:trPr>
          <w:trHeight w:val="40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285,096,549.33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-2,230,978.35</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253,690,102.36</w:t>
            </w:r>
          </w:p>
        </w:tc>
      </w:tr>
      <w:tr>
        <w:trPr>
          <w:trHeight w:val="408"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1"/>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投</w:t>
            </w:r>
            <w:r>
              <w:rPr>
                <w:rFonts w:ascii="宋体" w:hAnsi="宋体" w:cs="宋体" w:eastAsia="宋体" w:hint="default"/>
                <w:w w:val="100"/>
                <w:sz w:val="21"/>
                <w:szCs w:val="21"/>
              </w:rPr>
              <w:t>入</w:t>
            </w:r>
            <w:r>
              <w:rPr>
                <w:rFonts w:ascii="宋体" w:hAnsi="宋体" w:cs="宋体" w:eastAsia="宋体" w:hint="default"/>
                <w:spacing w:val="-3"/>
                <w:w w:val="100"/>
                <w:sz w:val="21"/>
                <w:szCs w:val="21"/>
              </w:rPr>
              <w:t>和</w:t>
            </w:r>
            <w:r>
              <w:rPr>
                <w:rFonts w:ascii="宋体" w:hAnsi="宋体" w:cs="宋体" w:eastAsia="宋体" w:hint="default"/>
                <w:w w:val="100"/>
                <w:sz w:val="21"/>
                <w:szCs w:val="21"/>
              </w:rPr>
              <w:t>减</w:t>
            </w:r>
            <w:r>
              <w:rPr>
                <w:rFonts w:ascii="宋体" w:hAnsi="宋体" w:cs="宋体" w:eastAsia="宋体" w:hint="default"/>
                <w:spacing w:val="-3"/>
                <w:w w:val="100"/>
                <w:sz w:val="21"/>
                <w:szCs w:val="21"/>
              </w:rPr>
              <w:t>少资</w:t>
            </w:r>
            <w:r>
              <w:rPr>
                <w:rFonts w:ascii="宋体" w:hAnsi="宋体" w:cs="宋体" w:eastAsia="宋体" w:hint="default"/>
                <w:w w:val="100"/>
                <w:sz w:val="21"/>
                <w:szCs w:val="21"/>
              </w:rPr>
              <w:t>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-47,708,281.04</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-12,291,718.96</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-60,000,000.00</w:t>
            </w:r>
          </w:p>
        </w:tc>
      </w:tr>
      <w:tr>
        <w:trPr>
          <w:trHeight w:val="40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．所有者投入的普通股</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．其他权益工具持有者投入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．股份支付计入所有者权益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-47,708,281.04</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-12,291,718.96</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-60,000,000.00</w:t>
            </w:r>
          </w:p>
        </w:tc>
      </w:tr>
      <w:tr>
        <w:trPr>
          <w:trHeight w:val="408"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27,419,679.34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-131,225,551.34</w:t>
            </w: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-103,805,872.00</w:t>
            </w:r>
          </w:p>
        </w:tc>
      </w:tr>
      <w:tr>
        <w:trPr>
          <w:trHeight w:val="40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27,419,679.34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-27,419,679.34</w:t>
            </w: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620" w:right="7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36" w:type="dxa"/>
        <w:tblLayout w:type="fixed"/>
        <w:tblCellMar>
          <w:top w:w="0" w:type="dxa"/>
          <w:left w:w="0" w:type="dxa"/>
          <w:bottom w:w="0" w:type="dxa"/>
          <w:right w:w="0" w:type="dxa"/>
        </w:tblCellMar>
        <w:tblLook w:val="01E0"/>
      </w:tblPr>
      <w:tblGrid>
        <w:gridCol w:w="2847"/>
        <w:gridCol w:w="1688"/>
        <w:gridCol w:w="1896"/>
        <w:gridCol w:w="1685"/>
        <w:gridCol w:w="1687"/>
        <w:gridCol w:w="1791"/>
        <w:gridCol w:w="1687"/>
        <w:gridCol w:w="1990"/>
      </w:tblGrid>
      <w:tr>
        <w:trPr>
          <w:trHeight w:val="40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．对所有者（或股东）的分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配</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-103,805,872.00</w:t>
            </w: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-103,805,872.00</w:t>
            </w:r>
          </w:p>
        </w:tc>
      </w:tr>
      <w:tr>
        <w:trPr>
          <w:trHeight w:val="408"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．资本公积转增资本（或股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．盈余公积转增资本（或股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．设定受益计划变动额结转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留存收益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99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519,029,360.00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1,534,900,982.53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-29,492,011.02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sz w:val="21"/>
              </w:rPr>
              <w:t>159,891,009.96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5" w:right="0"/>
              <w:jc w:val="center"/>
              <w:rPr>
                <w:rFonts w:ascii="宋体" w:hAnsi="宋体" w:cs="宋体" w:eastAsia="宋体" w:hint="default"/>
                <w:sz w:val="21"/>
                <w:szCs w:val="21"/>
              </w:rPr>
            </w:pPr>
            <w:r>
              <w:rPr>
                <w:rFonts w:ascii="宋体"/>
                <w:sz w:val="21"/>
              </w:rPr>
              <w:t>649,268,116.79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08" w:right="0"/>
              <w:jc w:val="left"/>
              <w:rPr>
                <w:rFonts w:ascii="宋体" w:hAnsi="宋体" w:cs="宋体" w:eastAsia="宋体" w:hint="default"/>
                <w:sz w:val="21"/>
                <w:szCs w:val="21"/>
              </w:rPr>
            </w:pPr>
            <w:r>
              <w:rPr>
                <w:rFonts w:ascii="宋体"/>
                <w:sz w:val="21"/>
              </w:rPr>
              <w:t>24,386,238.31</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2,857,983,696.57</w:t>
            </w:r>
          </w:p>
        </w:tc>
      </w:tr>
    </w:tbl>
    <w:p>
      <w:pPr>
        <w:spacing w:line="240" w:lineRule="auto" w:before="9"/>
        <w:rPr>
          <w:rFonts w:ascii="Times New Roman" w:hAnsi="Times New Roman" w:cs="Times New Roman" w:eastAsia="Times New Roman" w:hint="default"/>
          <w:sz w:val="23"/>
          <w:szCs w:val="23"/>
        </w:rPr>
      </w:pPr>
    </w:p>
    <w:tbl>
      <w:tblPr>
        <w:tblW w:w="0" w:type="auto"/>
        <w:jc w:val="left"/>
        <w:tblInd w:w="103" w:type="dxa"/>
        <w:tblLayout w:type="fixed"/>
        <w:tblCellMar>
          <w:top w:w="0" w:type="dxa"/>
          <w:left w:w="0" w:type="dxa"/>
          <w:bottom w:w="0" w:type="dxa"/>
          <w:right w:w="0" w:type="dxa"/>
        </w:tblCellMar>
        <w:tblLook w:val="01E0"/>
      </w:tblPr>
      <w:tblGrid>
        <w:gridCol w:w="2780"/>
        <w:gridCol w:w="1714"/>
        <w:gridCol w:w="1896"/>
        <w:gridCol w:w="1630"/>
        <w:gridCol w:w="1750"/>
        <w:gridCol w:w="1901"/>
        <w:gridCol w:w="1680"/>
        <w:gridCol w:w="1988"/>
      </w:tblGrid>
      <w:tr>
        <w:trPr>
          <w:trHeight w:val="406" w:hRule="exact"/>
        </w:trPr>
        <w:tc>
          <w:tcPr>
            <w:tcW w:w="2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55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93"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9" w:hRule="exact"/>
        </w:trPr>
        <w:tc>
          <w:tcPr>
            <w:tcW w:w="2780" w:type="dxa"/>
            <w:vMerge/>
            <w:tcBorders>
              <w:left w:val="single" w:sz="4" w:space="0" w:color="000000"/>
              <w:right w:val="single" w:sz="4" w:space="0" w:color="000000"/>
            </w:tcBorders>
          </w:tcPr>
          <w:p>
            <w:pPr/>
          </w:p>
        </w:tc>
        <w:tc>
          <w:tcPr>
            <w:tcW w:w="88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078"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68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98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406" w:hRule="exact"/>
        </w:trPr>
        <w:tc>
          <w:tcPr>
            <w:tcW w:w="2780" w:type="dxa"/>
            <w:vMerge/>
            <w:tcBorders>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0" w:type="dxa"/>
            <w:vMerge/>
            <w:tcBorders>
              <w:left w:val="single" w:sz="4" w:space="0" w:color="000000"/>
              <w:bottom w:val="single" w:sz="4" w:space="0" w:color="000000"/>
              <w:right w:val="single" w:sz="4" w:space="0" w:color="000000"/>
            </w:tcBorders>
          </w:tcPr>
          <w:p>
            <w:pPr/>
          </w:p>
        </w:tc>
        <w:tc>
          <w:tcPr>
            <w:tcW w:w="1988" w:type="dxa"/>
            <w:vMerge/>
            <w:tcBorders>
              <w:left w:val="single" w:sz="4" w:space="0" w:color="000000"/>
              <w:bottom w:val="single" w:sz="4" w:space="0" w:color="000000"/>
              <w:right w:val="single" w:sz="4" w:space="0" w:color="000000"/>
            </w:tcBorders>
          </w:tcPr>
          <w:p>
            <w:pPr/>
          </w:p>
        </w:tc>
      </w:tr>
      <w:tr>
        <w:trPr>
          <w:trHeight w:val="408"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8" w:right="0"/>
              <w:jc w:val="center"/>
              <w:rPr>
                <w:rFonts w:ascii="宋体" w:hAnsi="宋体" w:cs="宋体" w:eastAsia="宋体" w:hint="default"/>
                <w:sz w:val="21"/>
                <w:szCs w:val="21"/>
              </w:rPr>
            </w:pPr>
            <w:r>
              <w:rPr>
                <w:rFonts w:ascii="宋体"/>
                <w:sz w:val="21"/>
              </w:rPr>
              <w:t>207,611,744.00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1,601,516,928.66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51" w:right="0"/>
              <w:jc w:val="left"/>
              <w:rPr>
                <w:rFonts w:ascii="宋体" w:hAnsi="宋体" w:cs="宋体" w:eastAsia="宋体" w:hint="default"/>
                <w:sz w:val="21"/>
                <w:szCs w:val="21"/>
              </w:rPr>
            </w:pPr>
            <w:r>
              <w:rPr>
                <w:rFonts w:ascii="宋体"/>
                <w:sz w:val="21"/>
              </w:rPr>
              <w:t>-2,589,499.94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9" w:right="0"/>
              <w:jc w:val="center"/>
              <w:rPr>
                <w:rFonts w:ascii="宋体" w:hAnsi="宋体" w:cs="宋体" w:eastAsia="宋体" w:hint="default"/>
                <w:sz w:val="21"/>
                <w:szCs w:val="21"/>
              </w:rPr>
            </w:pPr>
            <w:r>
              <w:rPr>
                <w:rFonts w:ascii="宋体"/>
                <w:sz w:val="21"/>
              </w:rPr>
              <w:t>103,805,872.00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14" w:right="0"/>
              <w:jc w:val="left"/>
              <w:rPr>
                <w:rFonts w:ascii="宋体" w:hAnsi="宋体" w:cs="宋体" w:eastAsia="宋体" w:hint="default"/>
                <w:sz w:val="21"/>
                <w:szCs w:val="21"/>
              </w:rPr>
            </w:pPr>
            <w:r>
              <w:rPr>
                <w:rFonts w:ascii="宋体"/>
                <w:sz w:val="21"/>
              </w:rPr>
              <w:t>447,713,040.49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15" w:right="0"/>
              <w:jc w:val="left"/>
              <w:rPr>
                <w:rFonts w:ascii="宋体" w:hAnsi="宋体" w:cs="宋体" w:eastAsia="宋体" w:hint="default"/>
                <w:sz w:val="21"/>
                <w:szCs w:val="21"/>
              </w:rPr>
            </w:pPr>
            <w:r>
              <w:rPr>
                <w:rFonts w:ascii="宋体"/>
                <w:sz w:val="21"/>
              </w:rPr>
              <w:t>666,666.67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94" w:right="0"/>
              <w:jc w:val="left"/>
              <w:rPr>
                <w:rFonts w:ascii="宋体" w:hAnsi="宋体" w:cs="宋体" w:eastAsia="宋体" w:hint="default"/>
                <w:sz w:val="21"/>
                <w:szCs w:val="21"/>
              </w:rPr>
            </w:pPr>
            <w:r>
              <w:rPr>
                <w:rFonts w:ascii="宋体"/>
                <w:sz w:val="21"/>
              </w:rPr>
              <w:t>2,358,724,751.88</w:t>
            </w:r>
          </w:p>
        </w:tc>
      </w:tr>
      <w:tr>
        <w:trPr>
          <w:trHeight w:val="408"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60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2780"/>
        <w:gridCol w:w="1714"/>
        <w:gridCol w:w="1896"/>
        <w:gridCol w:w="1630"/>
        <w:gridCol w:w="1750"/>
        <w:gridCol w:w="1901"/>
        <w:gridCol w:w="1680"/>
        <w:gridCol w:w="1988"/>
      </w:tblGrid>
      <w:tr>
        <w:trPr>
          <w:trHeight w:val="406"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同一控制下企业合并</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 w:right="0"/>
              <w:jc w:val="center"/>
              <w:rPr>
                <w:rFonts w:ascii="宋体" w:hAnsi="宋体" w:cs="宋体" w:eastAsia="宋体" w:hint="default"/>
                <w:sz w:val="21"/>
                <w:szCs w:val="21"/>
              </w:rPr>
            </w:pPr>
            <w:r>
              <w:rPr>
                <w:rFonts w:ascii="宋体"/>
                <w:sz w:val="21"/>
              </w:rPr>
              <w:t>207,611,744.00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1,601,516,928.66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-2,589,499.94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103,805,872.00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447,713,040.49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666,666.67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2,358,724,751.88</w:t>
            </w:r>
          </w:p>
        </w:tc>
      </w:tr>
      <w:tr>
        <w:trPr>
          <w:trHeight w:val="555"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三、本期增减变动金额（减</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少以“－”号填列）</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center"/>
              <w:rPr>
                <w:rFonts w:ascii="宋体" w:hAnsi="宋体" w:cs="宋体" w:eastAsia="宋体" w:hint="default"/>
                <w:sz w:val="21"/>
                <w:szCs w:val="21"/>
              </w:rPr>
            </w:pPr>
            <w:r>
              <w:rPr>
                <w:rFonts w:ascii="宋体"/>
                <w:sz w:val="21"/>
              </w:rPr>
              <w:t>311,417,616.00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-18,907,665.09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2,272,957.54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28,665,458.62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47,684,078.31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38,242,268.95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409,374,714.33</w:t>
            </w:r>
          </w:p>
        </w:tc>
      </w:tr>
      <w:tr>
        <w:trPr>
          <w:trHeight w:val="408"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2,272,957.54</w:t>
            </w: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283,961,280.93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-1,223,353.77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285,010,884.70</w:t>
            </w:r>
          </w:p>
        </w:tc>
      </w:tr>
      <w:tr>
        <w:trPr>
          <w:trHeight w:val="55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（二）所有者投入和减少资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本</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84,898,206.91</w:t>
            </w: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39,465,622.72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124,363,829.63</w:t>
            </w:r>
          </w:p>
        </w:tc>
      </w:tr>
      <w:tr>
        <w:trPr>
          <w:trHeight w:val="406"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．所有者投入的普通股</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3,333,333.33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3,333,333.33</w:t>
            </w:r>
          </w:p>
        </w:tc>
      </w:tr>
      <w:tr>
        <w:trPr>
          <w:trHeight w:val="557"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7"/>
                <w:sz w:val="21"/>
                <w:szCs w:val="21"/>
              </w:rPr>
              <w:t>．其他权益工具持有者投入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3</w:t>
            </w:r>
            <w:r>
              <w:rPr>
                <w:rFonts w:ascii="宋体" w:hAnsi="宋体" w:cs="宋体" w:eastAsia="宋体" w:hint="default"/>
                <w:spacing w:val="-7"/>
                <w:sz w:val="21"/>
                <w:szCs w:val="21"/>
              </w:rPr>
              <w:t>．股份支付计入所有者权益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的金额</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84,898,206.91</w:t>
            </w: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36,132,289.39</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121,030,496.30</w:t>
            </w:r>
          </w:p>
        </w:tc>
      </w:tr>
      <w:tr>
        <w:trPr>
          <w:trHeight w:val="408"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 w:right="0"/>
              <w:jc w:val="center"/>
              <w:rPr>
                <w:rFonts w:ascii="宋体" w:hAnsi="宋体" w:cs="宋体" w:eastAsia="宋体" w:hint="default"/>
                <w:sz w:val="21"/>
                <w:szCs w:val="21"/>
              </w:rPr>
            </w:pPr>
            <w:r>
              <w:rPr>
                <w:rFonts w:ascii="宋体"/>
                <w:sz w:val="21"/>
              </w:rPr>
              <w:t>207,611,744.00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28,665,458.62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-236,277,202.62</w:t>
            </w: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28,665,458.62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宋体" w:hAnsi="宋体" w:cs="宋体" w:eastAsia="宋体" w:hint="default"/>
                <w:sz w:val="21"/>
                <w:szCs w:val="21"/>
              </w:rPr>
            </w:pPr>
            <w:r>
              <w:rPr>
                <w:rFonts w:ascii="宋体"/>
                <w:spacing w:val="-1"/>
                <w:sz w:val="21"/>
              </w:rPr>
              <w:t>-28,665,458.62</w:t>
            </w: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3</w:t>
            </w:r>
            <w:r>
              <w:rPr>
                <w:rFonts w:ascii="宋体" w:hAnsi="宋体" w:cs="宋体" w:eastAsia="宋体" w:hint="default"/>
                <w:spacing w:val="-7"/>
                <w:sz w:val="21"/>
                <w:szCs w:val="21"/>
              </w:rPr>
              <w:t>．对所有者（或股东）的分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配</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center"/>
              <w:rPr>
                <w:rFonts w:ascii="宋体" w:hAnsi="宋体" w:cs="宋体" w:eastAsia="宋体" w:hint="default"/>
                <w:sz w:val="21"/>
                <w:szCs w:val="21"/>
              </w:rPr>
            </w:pPr>
            <w:r>
              <w:rPr>
                <w:rFonts w:ascii="宋体"/>
                <w:sz w:val="21"/>
              </w:rPr>
              <w:t>207,611,744.00</w:t>
            </w: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-207,611,744.00</w:t>
            </w: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 w:right="0"/>
              <w:jc w:val="center"/>
              <w:rPr>
                <w:rFonts w:ascii="宋体" w:hAnsi="宋体" w:cs="宋体" w:eastAsia="宋体" w:hint="default"/>
                <w:sz w:val="21"/>
                <w:szCs w:val="21"/>
              </w:rPr>
            </w:pPr>
            <w:r>
              <w:rPr>
                <w:rFonts w:ascii="宋体"/>
                <w:sz w:val="21"/>
              </w:rPr>
              <w:t>103,805,872.00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-103,805,872.00</w:t>
            </w: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1</w:t>
            </w:r>
            <w:r>
              <w:rPr>
                <w:rFonts w:ascii="宋体" w:hAnsi="宋体" w:cs="宋体" w:eastAsia="宋体" w:hint="default"/>
                <w:spacing w:val="-7"/>
                <w:sz w:val="21"/>
                <w:szCs w:val="21"/>
              </w:rPr>
              <w:t>．资本公积转增资本（或股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center"/>
              <w:rPr>
                <w:rFonts w:ascii="宋体" w:hAnsi="宋体" w:cs="宋体" w:eastAsia="宋体" w:hint="default"/>
                <w:sz w:val="21"/>
                <w:szCs w:val="21"/>
              </w:rPr>
            </w:pPr>
            <w:r>
              <w:rPr>
                <w:rFonts w:ascii="宋体"/>
                <w:sz w:val="21"/>
              </w:rPr>
              <w:t>103,805,872.00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-103,805,872.00</w:t>
            </w: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7"/>
                <w:sz w:val="21"/>
                <w:szCs w:val="21"/>
              </w:rPr>
              <w:t>．盈余公积转增资本（或股</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7"/>
          <w:pgSz w:w="16840" w:h="11910" w:orient="landscape"/>
          <w:pgMar w:footer="1195" w:header="882" w:top="1120" w:bottom="1380" w:left="600" w:right="6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323" w:type="dxa"/>
        <w:tblLayout w:type="fixed"/>
        <w:tblCellMar>
          <w:top w:w="0" w:type="dxa"/>
          <w:left w:w="0" w:type="dxa"/>
          <w:bottom w:w="0" w:type="dxa"/>
          <w:right w:w="0" w:type="dxa"/>
        </w:tblCellMar>
        <w:tblLook w:val="01E0"/>
      </w:tblPr>
      <w:tblGrid>
        <w:gridCol w:w="2780"/>
        <w:gridCol w:w="1714"/>
        <w:gridCol w:w="1896"/>
        <w:gridCol w:w="1630"/>
        <w:gridCol w:w="1750"/>
        <w:gridCol w:w="1901"/>
        <w:gridCol w:w="1680"/>
        <w:gridCol w:w="1988"/>
      </w:tblGrid>
      <w:tr>
        <w:trPr>
          <w:trHeight w:val="406"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4</w:t>
            </w:r>
            <w:r>
              <w:rPr>
                <w:rFonts w:ascii="宋体" w:hAnsi="宋体" w:cs="宋体" w:eastAsia="宋体" w:hint="default"/>
                <w:spacing w:val="-7"/>
                <w:sz w:val="21"/>
                <w:szCs w:val="21"/>
              </w:rPr>
              <w:t>．设定受益计划变动额结转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留存收益</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71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宋体" w:hAnsi="宋体" w:cs="宋体" w:eastAsia="宋体" w:hint="default"/>
                <w:sz w:val="21"/>
                <w:szCs w:val="21"/>
              </w:rPr>
            </w:pPr>
            <w:r>
              <w:rPr>
                <w:rFonts w:ascii="宋体"/>
                <w:sz w:val="21"/>
              </w:rPr>
              <w:t>519,029,360.00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sz w:val="21"/>
              </w:rPr>
              <w:t>1,582,609,263.57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2" w:right="0"/>
              <w:jc w:val="left"/>
              <w:rPr>
                <w:rFonts w:ascii="宋体" w:hAnsi="宋体" w:cs="宋体" w:eastAsia="宋体" w:hint="default"/>
                <w:sz w:val="21"/>
                <w:szCs w:val="21"/>
              </w:rPr>
            </w:pPr>
            <w:r>
              <w:rPr>
                <w:rFonts w:ascii="宋体"/>
                <w:sz w:val="21"/>
              </w:rPr>
              <w:t>-316,542.40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7" w:right="0"/>
              <w:jc w:val="left"/>
              <w:rPr>
                <w:rFonts w:ascii="宋体" w:hAnsi="宋体" w:cs="宋体" w:eastAsia="宋体" w:hint="default"/>
                <w:sz w:val="21"/>
                <w:szCs w:val="21"/>
              </w:rPr>
            </w:pPr>
            <w:r>
              <w:rPr>
                <w:rFonts w:ascii="宋体"/>
                <w:sz w:val="21"/>
              </w:rPr>
              <w:t>132,471,330.62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sz w:val="21"/>
              </w:rPr>
              <w:t>495,397,118.80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1" w:right="0"/>
              <w:jc w:val="left"/>
              <w:rPr>
                <w:rFonts w:ascii="宋体" w:hAnsi="宋体" w:cs="宋体" w:eastAsia="宋体" w:hint="default"/>
                <w:sz w:val="21"/>
                <w:szCs w:val="21"/>
              </w:rPr>
            </w:pPr>
            <w:r>
              <w:rPr>
                <w:rFonts w:ascii="宋体"/>
                <w:sz w:val="21"/>
              </w:rPr>
              <w:t>38,908,935.62</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4" w:right="0"/>
              <w:jc w:val="left"/>
              <w:rPr>
                <w:rFonts w:ascii="宋体" w:hAnsi="宋体" w:cs="宋体" w:eastAsia="宋体" w:hint="default"/>
                <w:sz w:val="21"/>
                <w:szCs w:val="21"/>
              </w:rPr>
            </w:pPr>
            <w:r>
              <w:rPr>
                <w:rFonts w:ascii="宋体"/>
                <w:sz w:val="21"/>
              </w:rPr>
              <w:t>2,768,099,466.21</w:t>
            </w:r>
          </w:p>
        </w:tc>
      </w:tr>
    </w:tbl>
    <w:p>
      <w:pPr>
        <w:spacing w:line="240" w:lineRule="auto" w:before="5"/>
        <w:rPr>
          <w:rFonts w:ascii="Times New Roman" w:hAnsi="Times New Roman" w:cs="Times New Roman" w:eastAsia="Times New Roman" w:hint="default"/>
          <w:sz w:val="17"/>
          <w:szCs w:val="17"/>
        </w:rPr>
      </w:pPr>
    </w:p>
    <w:p>
      <w:pPr>
        <w:pStyle w:val="BodyText"/>
        <w:tabs>
          <w:tab w:pos="6100" w:val="left" w:leader="none"/>
          <w:tab w:pos="12821" w:val="left" w:leader="none"/>
        </w:tabs>
        <w:spacing w:line="240" w:lineRule="auto" w:before="36"/>
        <w:ind w:left="1060" w:right="0"/>
        <w:jc w:val="left"/>
      </w:pPr>
      <w:r>
        <w:rPr>
          <w:spacing w:val="-1"/>
        </w:rPr>
        <w:t>法定代表人：田舒斌</w:t>
        <w:tab/>
      </w:r>
      <w:r>
        <w:rPr>
          <w:spacing w:val="-2"/>
        </w:rPr>
        <w:t>主管会计工作负责人：任劼</w:t>
        <w:tab/>
        <w:t>会计机构负责人：张燕</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48"/>
          <w:pgSz w:w="16840" w:h="11910" w:orient="landscape"/>
          <w:pgMar w:footer="1195" w:header="882" w:top="1120" w:bottom="1380" w:left="380" w:right="440"/>
          <w:pgNumType w:start="81"/>
        </w:sectPr>
      </w:pPr>
    </w:p>
    <w:p>
      <w:pPr>
        <w:spacing w:before="36"/>
        <w:ind w:left="7224"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380" w:right="440"/>
          <w:cols w:num="2" w:equalWidth="0">
            <w:col w:w="9147" w:space="40"/>
            <w:col w:w="6833"/>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65"/>
        <w:gridCol w:w="1844"/>
        <w:gridCol w:w="2126"/>
        <w:gridCol w:w="1940"/>
        <w:gridCol w:w="2173"/>
        <w:gridCol w:w="2126"/>
        <w:gridCol w:w="2211"/>
      </w:tblGrid>
      <w:tr>
        <w:trPr>
          <w:trHeight w:val="406" w:hRule="exact"/>
        </w:trPr>
        <w:tc>
          <w:tcPr>
            <w:tcW w:w="336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42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08" w:hRule="exact"/>
        </w:trPr>
        <w:tc>
          <w:tcPr>
            <w:tcW w:w="3365"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3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6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406"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67"/>
              <w:jc w:val="right"/>
              <w:rPr>
                <w:rFonts w:ascii="宋体" w:hAnsi="宋体" w:cs="宋体" w:eastAsia="宋体" w:hint="default"/>
                <w:sz w:val="21"/>
                <w:szCs w:val="21"/>
              </w:rPr>
            </w:pPr>
            <w:r>
              <w:rPr>
                <w:rFonts w:ascii="宋体" w:hAnsi="宋体" w:cs="宋体" w:eastAsia="宋体" w:hint="default"/>
                <w:spacing w:val="-2"/>
                <w:sz w:val="21"/>
                <w:szCs w:val="21"/>
              </w:rPr>
              <w:t>一、上年期末余额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519,029,360.00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1,463,377,723.33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-286,301.66</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132,471,330.62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42" w:right="0"/>
              <w:jc w:val="left"/>
              <w:rPr>
                <w:rFonts w:ascii="宋体" w:hAnsi="宋体" w:cs="宋体" w:eastAsia="宋体" w:hint="default"/>
                <w:sz w:val="21"/>
                <w:szCs w:val="21"/>
              </w:rPr>
            </w:pPr>
            <w:r>
              <w:rPr>
                <w:rFonts w:ascii="宋体"/>
                <w:sz w:val="21"/>
              </w:rPr>
              <w:t>531,160,408.28</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2,645,752,520.57</w:t>
            </w:r>
          </w:p>
        </w:tc>
      </w:tr>
      <w:tr>
        <w:trPr>
          <w:trHeight w:val="409"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67"/>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67"/>
              <w:jc w:val="right"/>
              <w:rPr>
                <w:rFonts w:ascii="宋体" w:hAnsi="宋体" w:cs="宋体" w:eastAsia="宋体" w:hint="default"/>
                <w:sz w:val="21"/>
                <w:szCs w:val="21"/>
              </w:rPr>
            </w:pPr>
            <w:r>
              <w:rPr>
                <w:rFonts w:ascii="宋体" w:hAnsi="宋体" w:cs="宋体" w:eastAsia="宋体" w:hint="default"/>
                <w:spacing w:val="-1"/>
                <w:sz w:val="21"/>
                <w:szCs w:val="21"/>
              </w:rPr>
              <w:t>前期差错更正</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67"/>
              <w:jc w:val="right"/>
              <w:rPr>
                <w:rFonts w:ascii="宋体" w:hAnsi="宋体" w:cs="宋体" w:eastAsia="宋体" w:hint="default"/>
                <w:sz w:val="21"/>
                <w:szCs w:val="21"/>
              </w:rPr>
            </w:pPr>
            <w:r>
              <w:rPr>
                <w:rFonts w:ascii="宋体" w:hAnsi="宋体" w:cs="宋体" w:eastAsia="宋体" w:hint="default"/>
                <w:spacing w:val="-2"/>
                <w:sz w:val="21"/>
                <w:szCs w:val="21"/>
              </w:rPr>
              <w:t>二、本年期初余额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519,029,360.00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1,463,377,723.33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-286,301.66</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132,471,330.62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42" w:right="0"/>
              <w:jc w:val="left"/>
              <w:rPr>
                <w:rFonts w:ascii="宋体" w:hAnsi="宋体" w:cs="宋体" w:eastAsia="宋体" w:hint="default"/>
                <w:sz w:val="21"/>
                <w:szCs w:val="21"/>
              </w:rPr>
            </w:pPr>
            <w:r>
              <w:rPr>
                <w:rFonts w:ascii="宋体"/>
                <w:sz w:val="21"/>
              </w:rPr>
              <w:t>531,160,408.28</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2,645,752,520.57</w:t>
            </w:r>
          </w:p>
        </w:tc>
      </w:tr>
    </w:tbl>
    <w:p>
      <w:pPr>
        <w:spacing w:after="0" w:line="240" w:lineRule="auto"/>
        <w:jc w:val="right"/>
        <w:rPr>
          <w:rFonts w:ascii="宋体" w:hAnsi="宋体" w:cs="宋体" w:eastAsia="宋体" w:hint="default"/>
          <w:sz w:val="21"/>
          <w:szCs w:val="21"/>
        </w:rPr>
        <w:sectPr>
          <w:type w:val="continuous"/>
          <w:pgSz w:w="16840" w:h="11910" w:orient="landscape"/>
          <w:pgMar w:top="1120" w:bottom="1380" w:left="380" w:right="4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3365"/>
        <w:gridCol w:w="1844"/>
        <w:gridCol w:w="2126"/>
        <w:gridCol w:w="1940"/>
        <w:gridCol w:w="2173"/>
        <w:gridCol w:w="2126"/>
        <w:gridCol w:w="2211"/>
      </w:tblGrid>
      <w:tr>
        <w:trPr>
          <w:trHeight w:val="554"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三、本期增减变动金额（减少以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-30,247,724.90</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27,419,679.34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142,971,242.06</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140,143,196.50</w:t>
            </w:r>
          </w:p>
        </w:tc>
      </w:tr>
      <w:tr>
        <w:trPr>
          <w:trHeight w:val="406"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-30,247,724.90</w:t>
            </w: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274,196,793.40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243,949,068.50</w:t>
            </w:r>
          </w:p>
        </w:tc>
      </w:tr>
      <w:tr>
        <w:trPr>
          <w:trHeight w:val="408"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（二）所有者投入和减少资本</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．所有者投入的普通股</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．其他权益工具持有者投入资本</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支</w:t>
            </w:r>
            <w:r>
              <w:rPr>
                <w:rFonts w:ascii="宋体" w:hAnsi="宋体" w:cs="宋体" w:eastAsia="宋体" w:hint="default"/>
                <w:spacing w:val="-3"/>
                <w:w w:val="100"/>
                <w:sz w:val="21"/>
                <w:szCs w:val="21"/>
              </w:rPr>
              <w:t>付</w:t>
            </w:r>
            <w:r>
              <w:rPr>
                <w:rFonts w:ascii="宋体" w:hAnsi="宋体" w:cs="宋体" w:eastAsia="宋体" w:hint="default"/>
                <w:w w:val="100"/>
                <w:sz w:val="21"/>
                <w:szCs w:val="21"/>
              </w:rPr>
              <w:t>计</w:t>
            </w:r>
            <w:r>
              <w:rPr>
                <w:rFonts w:ascii="宋体" w:hAnsi="宋体" w:cs="宋体" w:eastAsia="宋体" w:hint="default"/>
                <w:spacing w:val="-3"/>
                <w:w w:val="100"/>
                <w:sz w:val="21"/>
                <w:szCs w:val="21"/>
              </w:rPr>
              <w:t>入</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w w:val="100"/>
                <w:sz w:val="21"/>
                <w:szCs w:val="21"/>
              </w:rPr>
              <w:t>益的</w:t>
            </w:r>
            <w:r>
              <w:rPr>
                <w:rFonts w:ascii="宋体" w:hAnsi="宋体" w:cs="宋体" w:eastAsia="宋体" w:hint="default"/>
                <w:spacing w:val="-3"/>
                <w:w w:val="100"/>
                <w:sz w:val="21"/>
                <w:szCs w:val="21"/>
              </w:rPr>
              <w:t>金</w:t>
            </w:r>
            <w:r>
              <w:rPr>
                <w:rFonts w:ascii="宋体" w:hAnsi="宋体" w:cs="宋体" w:eastAsia="宋体" w:hint="default"/>
                <w:w w:val="100"/>
                <w:sz w:val="21"/>
                <w:szCs w:val="21"/>
              </w:rPr>
              <w:t>额</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宋体" w:hAnsi="宋体" w:cs="宋体" w:eastAsia="宋体" w:hint="default"/>
                <w:sz w:val="21"/>
                <w:szCs w:val="21"/>
              </w:rPr>
            </w:pPr>
            <w:r>
              <w:rPr>
                <w:rFonts w:ascii="宋体"/>
                <w:spacing w:val="-1"/>
                <w:sz w:val="21"/>
              </w:rPr>
              <w:t>27,419,679.34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宋体" w:hAnsi="宋体" w:cs="宋体" w:eastAsia="宋体" w:hint="default"/>
                <w:sz w:val="21"/>
                <w:szCs w:val="21"/>
              </w:rPr>
            </w:pPr>
            <w:r>
              <w:rPr>
                <w:rFonts w:ascii="宋体"/>
                <w:spacing w:val="-1"/>
                <w:sz w:val="21"/>
              </w:rPr>
              <w:t>-131,225,551.34</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-103,805,872.00</w:t>
            </w:r>
          </w:p>
        </w:tc>
      </w:tr>
      <w:tr>
        <w:trPr>
          <w:trHeight w:val="408"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27,419,679.34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-27,419,679.34</w:t>
            </w: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．对所有者（或股东）的分配</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-103,805,872.00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-103,805,872.00</w:t>
            </w:r>
          </w:p>
        </w:tc>
      </w:tr>
      <w:tr>
        <w:trPr>
          <w:trHeight w:val="408"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．资本公积转增资本（或股本）</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．盈余公积转增资本（或股本）</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设</w:t>
            </w:r>
            <w:r>
              <w:rPr>
                <w:rFonts w:ascii="宋体" w:hAnsi="宋体" w:cs="宋体" w:eastAsia="宋体" w:hint="default"/>
                <w:spacing w:val="-3"/>
                <w:w w:val="100"/>
                <w:sz w:val="21"/>
                <w:szCs w:val="21"/>
              </w:rPr>
              <w:t>定</w:t>
            </w:r>
            <w:r>
              <w:rPr>
                <w:rFonts w:ascii="宋体" w:hAnsi="宋体" w:cs="宋体" w:eastAsia="宋体" w:hint="default"/>
                <w:w w:val="100"/>
                <w:sz w:val="21"/>
                <w:szCs w:val="21"/>
              </w:rPr>
              <w:t>受</w:t>
            </w:r>
            <w:r>
              <w:rPr>
                <w:rFonts w:ascii="宋体" w:hAnsi="宋体" w:cs="宋体" w:eastAsia="宋体" w:hint="default"/>
                <w:spacing w:val="-3"/>
                <w:w w:val="100"/>
                <w:sz w:val="21"/>
                <w:szCs w:val="21"/>
              </w:rPr>
              <w:t>益</w:t>
            </w:r>
            <w:r>
              <w:rPr>
                <w:rFonts w:ascii="宋体" w:hAnsi="宋体" w:cs="宋体" w:eastAsia="宋体" w:hint="default"/>
                <w:w w:val="100"/>
                <w:sz w:val="21"/>
                <w:szCs w:val="21"/>
              </w:rPr>
              <w:t>计</w:t>
            </w:r>
            <w:r>
              <w:rPr>
                <w:rFonts w:ascii="宋体" w:hAnsi="宋体" w:cs="宋体" w:eastAsia="宋体" w:hint="default"/>
                <w:spacing w:val="-3"/>
                <w:w w:val="100"/>
                <w:sz w:val="21"/>
                <w:szCs w:val="21"/>
              </w:rPr>
              <w:t>划</w:t>
            </w:r>
            <w:r>
              <w:rPr>
                <w:rFonts w:ascii="宋体" w:hAnsi="宋体" w:cs="宋体" w:eastAsia="宋体" w:hint="default"/>
                <w:w w:val="100"/>
                <w:sz w:val="21"/>
                <w:szCs w:val="21"/>
              </w:rPr>
              <w:t>变</w:t>
            </w:r>
            <w:r>
              <w:rPr>
                <w:rFonts w:ascii="宋体" w:hAnsi="宋体" w:cs="宋体" w:eastAsia="宋体" w:hint="default"/>
                <w:spacing w:val="-3"/>
                <w:w w:val="100"/>
                <w:sz w:val="21"/>
                <w:szCs w:val="21"/>
              </w:rPr>
              <w:t>动</w:t>
            </w:r>
            <w:r>
              <w:rPr>
                <w:rFonts w:ascii="宋体" w:hAnsi="宋体" w:cs="宋体" w:eastAsia="宋体" w:hint="default"/>
                <w:w w:val="100"/>
                <w:sz w:val="21"/>
                <w:szCs w:val="21"/>
              </w:rPr>
              <w:t>额</w:t>
            </w:r>
            <w:r>
              <w:rPr>
                <w:rFonts w:ascii="宋体" w:hAnsi="宋体" w:cs="宋体" w:eastAsia="宋体" w:hint="default"/>
                <w:spacing w:val="-3"/>
                <w:w w:val="100"/>
                <w:sz w:val="21"/>
                <w:szCs w:val="21"/>
              </w:rPr>
              <w:t>结</w:t>
            </w:r>
            <w:r>
              <w:rPr>
                <w:rFonts w:ascii="宋体" w:hAnsi="宋体" w:cs="宋体" w:eastAsia="宋体" w:hint="default"/>
                <w:w w:val="100"/>
                <w:sz w:val="21"/>
                <w:szCs w:val="21"/>
              </w:rPr>
              <w:t>转留</w:t>
            </w:r>
            <w:r>
              <w:rPr>
                <w:rFonts w:ascii="宋体" w:hAnsi="宋体" w:cs="宋体" w:eastAsia="宋体" w:hint="default"/>
                <w:spacing w:val="-3"/>
                <w:w w:val="100"/>
                <w:sz w:val="21"/>
                <w:szCs w:val="21"/>
              </w:rPr>
              <w:t>存</w:t>
            </w:r>
            <w:r>
              <w:rPr>
                <w:rFonts w:ascii="宋体" w:hAnsi="宋体" w:cs="宋体" w:eastAsia="宋体" w:hint="default"/>
                <w:w w:val="100"/>
                <w:sz w:val="21"/>
                <w:szCs w:val="21"/>
              </w:rPr>
              <w:t>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380" w:right="4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60" w:type="dxa"/>
        <w:tblLayout w:type="fixed"/>
        <w:tblCellMar>
          <w:top w:w="0" w:type="dxa"/>
          <w:left w:w="0" w:type="dxa"/>
          <w:bottom w:w="0" w:type="dxa"/>
          <w:right w:w="0" w:type="dxa"/>
        </w:tblCellMar>
        <w:tblLook w:val="01E0"/>
      </w:tblPr>
      <w:tblGrid>
        <w:gridCol w:w="3365"/>
        <w:gridCol w:w="1844"/>
        <w:gridCol w:w="2126"/>
        <w:gridCol w:w="1940"/>
        <w:gridCol w:w="2173"/>
        <w:gridCol w:w="2126"/>
        <w:gridCol w:w="2211"/>
      </w:tblGrid>
      <w:tr>
        <w:trPr>
          <w:trHeight w:val="406"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84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2173"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221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9" w:right="0"/>
              <w:jc w:val="left"/>
              <w:rPr>
                <w:rFonts w:ascii="宋体" w:hAnsi="宋体" w:cs="宋体" w:eastAsia="宋体" w:hint="default"/>
                <w:sz w:val="21"/>
                <w:szCs w:val="21"/>
              </w:rPr>
            </w:pPr>
            <w:r>
              <w:rPr>
                <w:rFonts w:ascii="宋体"/>
                <w:sz w:val="21"/>
              </w:rPr>
              <w:t>519,029,360.00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3" w:right="0"/>
              <w:jc w:val="left"/>
              <w:rPr>
                <w:rFonts w:ascii="宋体" w:hAnsi="宋体" w:cs="宋体" w:eastAsia="宋体" w:hint="default"/>
                <w:sz w:val="21"/>
                <w:szCs w:val="21"/>
              </w:rPr>
            </w:pPr>
            <w:r>
              <w:rPr>
                <w:rFonts w:ascii="宋体"/>
                <w:sz w:val="21"/>
              </w:rPr>
              <w:t>1,463,377,723.33</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5" w:right="0"/>
              <w:jc w:val="left"/>
              <w:rPr>
                <w:rFonts w:ascii="宋体" w:hAnsi="宋体" w:cs="宋体" w:eastAsia="宋体" w:hint="default"/>
                <w:sz w:val="21"/>
                <w:szCs w:val="21"/>
              </w:rPr>
            </w:pPr>
            <w:r>
              <w:rPr>
                <w:rFonts w:ascii="宋体"/>
                <w:sz w:val="21"/>
              </w:rPr>
              <w:t>-30,534,026.56</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88" w:right="0"/>
              <w:jc w:val="left"/>
              <w:rPr>
                <w:rFonts w:ascii="宋体" w:hAnsi="宋体" w:cs="宋体" w:eastAsia="宋体" w:hint="default"/>
                <w:sz w:val="21"/>
                <w:szCs w:val="21"/>
              </w:rPr>
            </w:pPr>
            <w:r>
              <w:rPr>
                <w:rFonts w:ascii="宋体"/>
                <w:sz w:val="21"/>
              </w:rPr>
              <w:t>159,891,009.96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42" w:right="0"/>
              <w:jc w:val="left"/>
              <w:rPr>
                <w:rFonts w:ascii="宋体" w:hAnsi="宋体" w:cs="宋体" w:eastAsia="宋体" w:hint="default"/>
                <w:sz w:val="21"/>
                <w:szCs w:val="21"/>
              </w:rPr>
            </w:pPr>
            <w:r>
              <w:rPr>
                <w:rFonts w:ascii="宋体"/>
                <w:sz w:val="21"/>
              </w:rPr>
              <w:t>674,131,650.34</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9" w:right="0"/>
              <w:jc w:val="left"/>
              <w:rPr>
                <w:rFonts w:ascii="宋体" w:hAnsi="宋体" w:cs="宋体" w:eastAsia="宋体" w:hint="default"/>
                <w:sz w:val="21"/>
                <w:szCs w:val="21"/>
              </w:rPr>
            </w:pPr>
            <w:r>
              <w:rPr>
                <w:rFonts w:ascii="宋体"/>
                <w:sz w:val="21"/>
              </w:rPr>
              <w:t>2,785,895,717.07</w:t>
            </w:r>
          </w:p>
        </w:tc>
      </w:tr>
    </w:tbl>
    <w:p>
      <w:pPr>
        <w:spacing w:line="240" w:lineRule="auto" w:before="9"/>
        <w:rPr>
          <w:rFonts w:ascii="Times New Roman" w:hAnsi="Times New Roman" w:cs="Times New Roman" w:eastAsia="Times New Roman" w:hint="default"/>
          <w:sz w:val="23"/>
          <w:szCs w:val="23"/>
        </w:rPr>
      </w:pPr>
    </w:p>
    <w:tbl>
      <w:tblPr>
        <w:tblW w:w="0" w:type="auto"/>
        <w:jc w:val="left"/>
        <w:tblInd w:w="116" w:type="dxa"/>
        <w:tblLayout w:type="fixed"/>
        <w:tblCellMar>
          <w:top w:w="0" w:type="dxa"/>
          <w:left w:w="0" w:type="dxa"/>
          <w:bottom w:w="0" w:type="dxa"/>
          <w:right w:w="0" w:type="dxa"/>
        </w:tblCellMar>
        <w:tblLook w:val="01E0"/>
      </w:tblPr>
      <w:tblGrid>
        <w:gridCol w:w="3406"/>
        <w:gridCol w:w="1844"/>
        <w:gridCol w:w="2126"/>
        <w:gridCol w:w="1904"/>
        <w:gridCol w:w="2209"/>
        <w:gridCol w:w="2268"/>
        <w:gridCol w:w="2110"/>
      </w:tblGrid>
      <w:tr>
        <w:trPr>
          <w:trHeight w:val="410" w:hRule="exact"/>
        </w:trPr>
        <w:tc>
          <w:tcPr>
            <w:tcW w:w="340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46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13" w:hRule="exact"/>
        </w:trPr>
        <w:tc>
          <w:tcPr>
            <w:tcW w:w="3406" w:type="dxa"/>
            <w:vMerge/>
            <w:tcBorders>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63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67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9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宋体" w:hAnsi="宋体" w:cs="宋体" w:eastAsia="宋体" w:hint="default"/>
                <w:sz w:val="21"/>
                <w:szCs w:val="21"/>
              </w:rPr>
              <w:t>一、上年期末余额</w:t>
            </w:r>
          </w:p>
        </w:tc>
        <w:tc>
          <w:tcPr>
            <w:tcW w:w="184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9"/>
              <w:ind w:right="99"/>
              <w:jc w:val="right"/>
              <w:rPr>
                <w:rFonts w:ascii="宋体" w:hAnsi="宋体" w:cs="宋体" w:eastAsia="宋体" w:hint="default"/>
                <w:sz w:val="21"/>
                <w:szCs w:val="21"/>
              </w:rPr>
            </w:pPr>
            <w:r>
              <w:rPr>
                <w:rFonts w:ascii="宋体"/>
                <w:spacing w:val="-1"/>
                <w:sz w:val="21"/>
              </w:rPr>
              <w:t>207,611,744.00</w:t>
            </w:r>
          </w:p>
        </w:tc>
        <w:tc>
          <w:tcPr>
            <w:tcW w:w="21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spacing w:val="-1"/>
                <w:sz w:val="21"/>
              </w:rPr>
              <w:t>1,567,183,595.33</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spacing w:val="-1"/>
                <w:sz w:val="21"/>
              </w:rPr>
              <w:t>-2,806,088.52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spacing w:val="-1"/>
                <w:sz w:val="21"/>
              </w:rPr>
              <w:t>103,805,872.00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spacing w:val="-1"/>
                <w:sz w:val="21"/>
              </w:rPr>
              <w:t>480,783,024.66</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宋体" w:hAnsi="宋体" w:cs="宋体" w:eastAsia="宋体" w:hint="default"/>
                <w:sz w:val="21"/>
                <w:szCs w:val="21"/>
              </w:rPr>
            </w:pPr>
            <w:r>
              <w:rPr>
                <w:rFonts w:ascii="宋体"/>
                <w:spacing w:val="-1"/>
                <w:sz w:val="21"/>
              </w:rPr>
              <w:t>2,356,578,147.47</w:t>
            </w:r>
          </w:p>
        </w:tc>
      </w:tr>
      <w:tr>
        <w:trPr>
          <w:trHeight w:val="410"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844" w:type="dxa"/>
            <w:tcBorders>
              <w:top w:val="single" w:sz="6" w:space="0" w:color="000000"/>
              <w:left w:val="single" w:sz="6" w:space="0" w:color="000000"/>
              <w:bottom w:val="single" w:sz="6" w:space="0" w:color="000000"/>
              <w:right w:val="single" w:sz="4" w:space="0" w:color="000000"/>
            </w:tcBorders>
          </w:tcPr>
          <w:p>
            <w:pPr/>
          </w:p>
        </w:tc>
        <w:tc>
          <w:tcPr>
            <w:tcW w:w="2126" w:type="dxa"/>
            <w:tcBorders>
              <w:top w:val="single" w:sz="6" w:space="0" w:color="000000"/>
              <w:left w:val="single" w:sz="4"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844" w:type="dxa"/>
            <w:tcBorders>
              <w:top w:val="single" w:sz="6" w:space="0" w:color="000000"/>
              <w:left w:val="single" w:sz="6" w:space="0" w:color="000000"/>
              <w:bottom w:val="single" w:sz="6" w:space="0" w:color="000000"/>
              <w:right w:val="single" w:sz="4" w:space="0" w:color="000000"/>
            </w:tcBorders>
          </w:tcPr>
          <w:p>
            <w:pPr/>
          </w:p>
        </w:tc>
        <w:tc>
          <w:tcPr>
            <w:tcW w:w="2126" w:type="dxa"/>
            <w:tcBorders>
              <w:top w:val="single" w:sz="6" w:space="0" w:color="000000"/>
              <w:left w:val="single" w:sz="4"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6" w:space="0" w:color="000000"/>
              <w:left w:val="single" w:sz="6" w:space="0" w:color="000000"/>
              <w:bottom w:val="single" w:sz="6" w:space="0" w:color="000000"/>
              <w:right w:val="single" w:sz="4" w:space="0" w:color="000000"/>
            </w:tcBorders>
          </w:tcPr>
          <w:p>
            <w:pPr/>
          </w:p>
        </w:tc>
        <w:tc>
          <w:tcPr>
            <w:tcW w:w="2126" w:type="dxa"/>
            <w:tcBorders>
              <w:top w:val="single" w:sz="6" w:space="0" w:color="000000"/>
              <w:left w:val="single" w:sz="4"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二、本年期初余额</w:t>
            </w:r>
          </w:p>
        </w:tc>
        <w:tc>
          <w:tcPr>
            <w:tcW w:w="184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207,611,744.00</w:t>
            </w:r>
          </w:p>
        </w:tc>
        <w:tc>
          <w:tcPr>
            <w:tcW w:w="212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1,567,183,595.33</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-2,806,088.52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103,805,872.00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480,783,024.66</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2,356,578,147.47</w:t>
            </w:r>
          </w:p>
        </w:tc>
      </w:tr>
      <w:tr>
        <w:trPr>
          <w:trHeight w:val="559"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三、本期增减变动金额（减少以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311,417,616.00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-103,805,872.00</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2,519,786.86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28,665,458.62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50,377,383.62</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289,174,373.10</w:t>
            </w: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（一）综合收益总额</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2,519,786.86</w:t>
            </w: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286,654,586.24</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289,174,373.10</w:t>
            </w: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（二）所有者投入和减少资本</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．所有者投入的普通股</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．其他权益工具持有者投入资本</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pacing w:val="-6"/>
                <w:sz w:val="21"/>
                <w:szCs w:val="21"/>
              </w:rPr>
              <w:t>3</w:t>
            </w:r>
            <w:r>
              <w:rPr>
                <w:rFonts w:ascii="宋体" w:hAnsi="宋体" w:cs="宋体" w:eastAsia="宋体" w:hint="default"/>
                <w:spacing w:val="-6"/>
                <w:sz w:val="21"/>
                <w:szCs w:val="21"/>
              </w:rPr>
              <w:t>．股份支付计入所有者权益的金额</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left="100" w:right="0"/>
              <w:jc w:val="left"/>
              <w:rPr>
                <w:rFonts w:ascii="宋体" w:hAnsi="宋体" w:cs="宋体" w:eastAsia="宋体" w:hint="default"/>
                <w:sz w:val="21"/>
                <w:szCs w:val="21"/>
              </w:rPr>
            </w:pPr>
            <w:r>
              <w:rPr>
                <w:rFonts w:ascii="宋体" w:hAnsi="宋体" w:cs="宋体" w:eastAsia="宋体" w:hint="default"/>
                <w:sz w:val="21"/>
                <w:szCs w:val="21"/>
              </w:rPr>
              <w:t>（三）利润分配</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宋体" w:hAnsi="宋体" w:cs="宋体" w:eastAsia="宋体" w:hint="default"/>
                <w:sz w:val="21"/>
                <w:szCs w:val="21"/>
              </w:rPr>
            </w:pPr>
            <w:r>
              <w:rPr>
                <w:rFonts w:ascii="宋体"/>
                <w:spacing w:val="-1"/>
                <w:sz w:val="21"/>
              </w:rPr>
              <w:t>207,611,744.00</w:t>
            </w: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宋体" w:hAnsi="宋体" w:cs="宋体" w:eastAsia="宋体" w:hint="default"/>
                <w:sz w:val="21"/>
                <w:szCs w:val="21"/>
              </w:rPr>
            </w:pPr>
            <w:r>
              <w:rPr>
                <w:rFonts w:ascii="宋体"/>
                <w:spacing w:val="-1"/>
                <w:sz w:val="21"/>
              </w:rPr>
              <w:t>28,665,458.62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1"/>
              <w:ind w:right="96"/>
              <w:jc w:val="right"/>
              <w:rPr>
                <w:rFonts w:ascii="宋体" w:hAnsi="宋体" w:cs="宋体" w:eastAsia="宋体" w:hint="default"/>
                <w:sz w:val="21"/>
                <w:szCs w:val="21"/>
              </w:rPr>
            </w:pPr>
            <w:r>
              <w:rPr>
                <w:rFonts w:ascii="宋体"/>
                <w:spacing w:val="-1"/>
                <w:sz w:val="21"/>
              </w:rPr>
              <w:t>-236,277,202.62</w:t>
            </w: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28,665,458.62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-28,665,458.62</w:t>
            </w: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．对所有者（或股东）的分配</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207,611,744.00</w:t>
            </w: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-207,611,744.00</w:t>
            </w: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320" w:right="4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3406"/>
        <w:gridCol w:w="1844"/>
        <w:gridCol w:w="2126"/>
        <w:gridCol w:w="1904"/>
        <w:gridCol w:w="2209"/>
        <w:gridCol w:w="2268"/>
        <w:gridCol w:w="2110"/>
      </w:tblGrid>
      <w:tr>
        <w:trPr>
          <w:trHeight w:val="410"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（四）所有者权益内部结转</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103,805,872.00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-103,805,872.00</w:t>
            </w: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．资本公积转增资本（或股本）</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103,805,872.00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6"/>
              <w:jc w:val="right"/>
              <w:rPr>
                <w:rFonts w:ascii="宋体" w:hAnsi="宋体" w:cs="宋体" w:eastAsia="宋体" w:hint="default"/>
                <w:sz w:val="21"/>
                <w:szCs w:val="21"/>
              </w:rPr>
            </w:pPr>
            <w:r>
              <w:rPr>
                <w:rFonts w:ascii="宋体"/>
                <w:spacing w:val="-1"/>
                <w:sz w:val="21"/>
              </w:rPr>
              <w:t>-103,805,872.00</w:t>
            </w: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．盈余公积转增资本（或股本）</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4</w:t>
            </w:r>
            <w:r>
              <w:rPr>
                <w:rFonts w:ascii="宋体" w:hAnsi="宋体" w:cs="宋体" w:eastAsia="宋体" w:hint="default"/>
                <w:spacing w:val="-6"/>
                <w:sz w:val="21"/>
                <w:szCs w:val="21"/>
              </w:rPr>
              <w:t>．设定受益计划变动额结转留存收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（五）专项储备</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0"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84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1904"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2110" w:type="dxa"/>
            <w:tcBorders>
              <w:top w:val="single" w:sz="6" w:space="0" w:color="000000"/>
              <w:left w:val="single" w:sz="6" w:space="0" w:color="000000"/>
              <w:bottom w:val="single" w:sz="6" w:space="0" w:color="000000"/>
              <w:right w:val="single" w:sz="6" w:space="0" w:color="000000"/>
            </w:tcBorders>
          </w:tcPr>
          <w:p>
            <w:pPr/>
          </w:p>
        </w:tc>
      </w:tr>
      <w:tr>
        <w:trPr>
          <w:trHeight w:val="413" w:hRule="exact"/>
        </w:trPr>
        <w:tc>
          <w:tcPr>
            <w:tcW w:w="3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519,029,360.00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6"/>
              <w:jc w:val="right"/>
              <w:rPr>
                <w:rFonts w:ascii="宋体" w:hAnsi="宋体" w:cs="宋体" w:eastAsia="宋体" w:hint="default"/>
                <w:sz w:val="21"/>
                <w:szCs w:val="21"/>
              </w:rPr>
            </w:pPr>
            <w:r>
              <w:rPr>
                <w:rFonts w:ascii="宋体"/>
                <w:spacing w:val="-1"/>
                <w:sz w:val="21"/>
              </w:rPr>
              <w:t>1,463,377,723.33</w:t>
            </w:r>
          </w:p>
        </w:tc>
        <w:tc>
          <w:tcPr>
            <w:tcW w:w="1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633" w:right="0"/>
              <w:jc w:val="left"/>
              <w:rPr>
                <w:rFonts w:ascii="宋体" w:hAnsi="宋体" w:cs="宋体" w:eastAsia="宋体" w:hint="default"/>
                <w:sz w:val="21"/>
                <w:szCs w:val="21"/>
              </w:rPr>
            </w:pPr>
            <w:r>
              <w:rPr>
                <w:rFonts w:ascii="宋体"/>
                <w:sz w:val="21"/>
              </w:rPr>
              <w:t>-286,301.66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621" w:right="0"/>
              <w:jc w:val="left"/>
              <w:rPr>
                <w:rFonts w:ascii="宋体" w:hAnsi="宋体" w:cs="宋体" w:eastAsia="宋体" w:hint="default"/>
                <w:sz w:val="21"/>
                <w:szCs w:val="21"/>
              </w:rPr>
            </w:pPr>
            <w:r>
              <w:rPr>
                <w:rFonts w:ascii="宋体"/>
                <w:sz w:val="21"/>
              </w:rPr>
              <w:t>132,471,330.62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681" w:right="0"/>
              <w:jc w:val="left"/>
              <w:rPr>
                <w:rFonts w:ascii="宋体" w:hAnsi="宋体" w:cs="宋体" w:eastAsia="宋体" w:hint="default"/>
                <w:sz w:val="21"/>
                <w:szCs w:val="21"/>
              </w:rPr>
            </w:pPr>
            <w:r>
              <w:rPr>
                <w:rFonts w:ascii="宋体"/>
                <w:sz w:val="21"/>
              </w:rPr>
              <w:t>531,160,408.28</w:t>
            </w:r>
          </w:p>
        </w:tc>
        <w:tc>
          <w:tcPr>
            <w:tcW w:w="2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14" w:right="0"/>
              <w:jc w:val="left"/>
              <w:rPr>
                <w:rFonts w:ascii="宋体" w:hAnsi="宋体" w:cs="宋体" w:eastAsia="宋体" w:hint="default"/>
                <w:sz w:val="21"/>
                <w:szCs w:val="21"/>
              </w:rPr>
            </w:pPr>
            <w:r>
              <w:rPr>
                <w:rFonts w:ascii="宋体"/>
                <w:sz w:val="21"/>
              </w:rPr>
              <w:t>2,645,752,520.57</w:t>
            </w:r>
          </w:p>
        </w:tc>
      </w:tr>
    </w:tbl>
    <w:p>
      <w:pPr>
        <w:spacing w:line="240" w:lineRule="auto" w:before="5"/>
        <w:rPr>
          <w:rFonts w:ascii="Times New Roman" w:hAnsi="Times New Roman" w:cs="Times New Roman" w:eastAsia="Times New Roman" w:hint="default"/>
          <w:sz w:val="17"/>
          <w:szCs w:val="17"/>
        </w:rPr>
      </w:pPr>
    </w:p>
    <w:p>
      <w:pPr>
        <w:pStyle w:val="BodyText"/>
        <w:tabs>
          <w:tab w:pos="6552" w:val="left" w:leader="none"/>
          <w:tab w:pos="12929" w:val="left" w:leader="none"/>
        </w:tabs>
        <w:spacing w:line="240" w:lineRule="auto" w:before="36"/>
        <w:ind w:left="1120" w:right="0"/>
        <w:jc w:val="left"/>
      </w:pPr>
      <w:r>
        <w:rPr>
          <w:spacing w:val="-5"/>
        </w:rPr>
        <w:t>法定代表人：田舒斌</w:t>
        <w:tab/>
      </w:r>
      <w:r>
        <w:rPr>
          <w:spacing w:val="-4"/>
        </w:rPr>
        <w:t>主管会计工作负责人：任劼</w:t>
        <w:tab/>
      </w:r>
      <w:r>
        <w:rPr>
          <w:spacing w:val="-6"/>
        </w:rPr>
        <w:t>会计机构负责人：张燕</w:t>
      </w:r>
      <w:r>
        <w:rPr/>
      </w:r>
    </w:p>
    <w:p>
      <w:pPr>
        <w:spacing w:after="0" w:line="240" w:lineRule="auto"/>
        <w:jc w:val="left"/>
        <w:sectPr>
          <w:pgSz w:w="16840" w:h="11910" w:orient="landscape"/>
          <w:pgMar w:header="882" w:footer="1195" w:top="1120" w:bottom="1380" w:left="320" w:right="400"/>
        </w:sectPr>
      </w:pPr>
    </w:p>
    <w:p>
      <w:pPr>
        <w:spacing w:line="240" w:lineRule="auto" w:before="9"/>
        <w:rPr>
          <w:rFonts w:ascii="宋体" w:hAnsi="宋体" w:cs="宋体" w:eastAsia="宋体" w:hint="default"/>
          <w:sz w:val="29"/>
          <w:szCs w:val="29"/>
        </w:rPr>
      </w:pPr>
    </w:p>
    <w:p>
      <w:pPr>
        <w:pStyle w:val="Heading2"/>
        <w:tabs>
          <w:tab w:pos="557" w:val="left" w:leader="none"/>
        </w:tabs>
        <w:spacing w:line="290" w:lineRule="auto"/>
        <w:ind w:left="138" w:right="7274"/>
        <w:jc w:val="left"/>
        <w:rPr>
          <w:b w:val="0"/>
          <w:bCs w:val="0"/>
        </w:rPr>
      </w:pPr>
      <w:r>
        <w:rPr/>
        <w:t>三、公司基本情况</w:t>
      </w:r>
      <w:r>
        <w:rPr>
          <w:spacing w:val="-101"/>
        </w:rPr>
        <w:t> </w:t>
      </w:r>
      <w:r>
        <w:rPr>
          <w:spacing w:val="-101"/>
        </w:rPr>
      </w:r>
      <w:r>
        <w:rPr>
          <w:rFonts w:ascii="宋体" w:hAnsi="宋体" w:cs="宋体" w:eastAsia="宋体" w:hint="default"/>
          <w:w w:val="95"/>
        </w:rPr>
        <w:t>1.</w:t>
        <w:tab/>
      </w:r>
      <w:r>
        <w:rPr/>
        <w:t>公司概况</w:t>
      </w:r>
      <w:r>
        <w:rPr>
          <w:b w:val="0"/>
          <w:bCs w:val="0"/>
        </w:rPr>
      </w:r>
    </w:p>
    <w:p>
      <w:pPr>
        <w:pStyle w:val="BodyText"/>
        <w:spacing w:line="274" w:lineRule="exact" w:before="12"/>
        <w:ind w:left="138" w:right="0"/>
        <w:jc w:val="both"/>
      </w:pPr>
      <w:r>
        <w:rPr/>
        <w:t>√适用</w:t>
      </w:r>
      <w:r>
        <w:rPr>
          <w:spacing w:val="104"/>
        </w:rPr>
        <w:t> </w:t>
      </w:r>
      <w:r>
        <w:rPr/>
        <w:t>□不适用</w:t>
      </w:r>
    </w:p>
    <w:p>
      <w:pPr>
        <w:pStyle w:val="BodyText"/>
        <w:spacing w:line="355" w:lineRule="auto"/>
        <w:ind w:left="138" w:right="140" w:firstLine="419"/>
        <w:jc w:val="both"/>
      </w:pPr>
      <w:r>
        <w:rPr/>
        <w:t>新华网股份有限公司（以下简称“本公司”或“公司”或“新华网”）于</w:t>
      </w:r>
      <w:r>
        <w:rPr>
          <w:spacing w:val="-53"/>
        </w:rPr>
        <w:t> </w:t>
      </w:r>
      <w:r>
        <w:rPr>
          <w:rFonts w:ascii="宋体" w:hAnsi="宋体" w:cs="宋体" w:eastAsia="宋体" w:hint="default"/>
        </w:rPr>
        <w:t>2011</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w:t>
      </w:r>
      <w:r>
        <w:rPr>
          <w:w w:val="100"/>
        </w:rPr>
        <w:t> </w:t>
      </w:r>
      <w:r>
        <w:rPr/>
        <w:t>在北京注册成立，公司注册地址位于北京市大兴区北兴路（东段）</w:t>
      </w:r>
      <w:r>
        <w:rPr>
          <w:rFonts w:ascii="宋体" w:hAnsi="宋体" w:cs="宋体" w:eastAsia="宋体" w:hint="default"/>
        </w:rPr>
        <w:t>2</w:t>
      </w:r>
      <w:r>
        <w:rPr>
          <w:rFonts w:ascii="宋体" w:hAnsi="宋体" w:cs="宋体" w:eastAsia="宋体" w:hint="default"/>
          <w:spacing w:val="-54"/>
        </w:rPr>
        <w:t> </w:t>
      </w:r>
      <w:r>
        <w:rPr/>
        <w:t>号院</w:t>
      </w:r>
      <w:r>
        <w:rPr>
          <w:spacing w:val="-54"/>
        </w:rPr>
        <w:t> </w:t>
      </w:r>
      <w:r>
        <w:rPr>
          <w:rFonts w:ascii="宋体" w:hAnsi="宋体" w:cs="宋体" w:eastAsia="宋体" w:hint="default"/>
        </w:rPr>
        <w:t>12</w:t>
      </w:r>
      <w:r>
        <w:rPr>
          <w:rFonts w:ascii="宋体" w:hAnsi="宋体" w:cs="宋体" w:eastAsia="宋体" w:hint="default"/>
          <w:spacing w:val="-56"/>
        </w:rPr>
        <w:t> </w:t>
      </w:r>
      <w:r>
        <w:rPr/>
        <w:t>号楼</w:t>
      </w:r>
      <w:r>
        <w:rPr>
          <w:spacing w:val="-53"/>
        </w:rPr>
        <w:t> </w:t>
      </w:r>
      <w:r>
        <w:rPr>
          <w:rFonts w:ascii="宋体" w:hAnsi="宋体" w:cs="宋体" w:eastAsia="宋体" w:hint="default"/>
        </w:rPr>
        <w:t>1-5</w:t>
      </w:r>
      <w:r>
        <w:rPr>
          <w:rFonts w:ascii="宋体" w:hAnsi="宋体" w:cs="宋体" w:eastAsia="宋体" w:hint="default"/>
          <w:spacing w:val="-56"/>
        </w:rPr>
        <w:t> </w:t>
      </w:r>
      <w:r>
        <w:rPr/>
        <w:t>层</w:t>
      </w:r>
      <w:r>
        <w:rPr>
          <w:spacing w:val="-54"/>
        </w:rPr>
        <w:t> </w:t>
      </w:r>
      <w:r>
        <w:rPr>
          <w:rFonts w:ascii="宋体" w:hAnsi="宋体" w:cs="宋体" w:eastAsia="宋体" w:hint="default"/>
        </w:rPr>
        <w:t>101</w:t>
      </w:r>
      <w:r>
        <w:rPr/>
        <w:t>，现</w:t>
      </w:r>
      <w:r>
        <w:rPr>
          <w:w w:val="100"/>
        </w:rPr>
        <w:t> </w:t>
      </w:r>
      <w:r>
        <w:rPr/>
        <w:t>总部位于北京市西城区宣武门西大街</w:t>
      </w:r>
      <w:r>
        <w:rPr>
          <w:spacing w:val="-53"/>
        </w:rPr>
        <w:t> </w:t>
      </w:r>
      <w:r>
        <w:rPr>
          <w:rFonts w:ascii="宋体" w:hAnsi="宋体" w:cs="宋体" w:eastAsia="宋体" w:hint="default"/>
        </w:rPr>
        <w:t>129</w:t>
      </w:r>
      <w:r>
        <w:rPr>
          <w:rFonts w:ascii="宋体" w:hAnsi="宋体" w:cs="宋体" w:eastAsia="宋体" w:hint="default"/>
          <w:spacing w:val="-55"/>
        </w:rPr>
        <w:t> </w:t>
      </w:r>
      <w:r>
        <w:rPr/>
        <w:t>号金隅大厦</w:t>
      </w:r>
      <w:r>
        <w:rPr>
          <w:spacing w:val="-52"/>
        </w:rPr>
        <w:t> </w:t>
      </w:r>
      <w:r>
        <w:rPr>
          <w:rFonts w:ascii="宋体" w:hAnsi="宋体" w:cs="宋体" w:eastAsia="宋体" w:hint="default"/>
        </w:rPr>
        <w:t>4-8</w:t>
      </w:r>
      <w:r>
        <w:rPr/>
        <w:t>、</w:t>
      </w:r>
      <w:r>
        <w:rPr>
          <w:rFonts w:ascii="宋体" w:hAnsi="宋体" w:cs="宋体" w:eastAsia="宋体" w:hint="default"/>
        </w:rPr>
        <w:t>10</w:t>
      </w:r>
      <w:r>
        <w:rPr/>
        <w:t>、</w:t>
      </w:r>
      <w:r>
        <w:rPr>
          <w:rFonts w:ascii="宋体" w:hAnsi="宋体" w:cs="宋体" w:eastAsia="宋体" w:hint="default"/>
        </w:rPr>
        <w:t>15A</w:t>
      </w:r>
      <w:r>
        <w:rPr>
          <w:rFonts w:ascii="宋体" w:hAnsi="宋体" w:cs="宋体" w:eastAsia="宋体" w:hint="default"/>
          <w:spacing w:val="-53"/>
        </w:rPr>
        <w:t> </w:t>
      </w:r>
      <w:r>
        <w:rPr/>
        <w:t>层及</w:t>
      </w:r>
      <w:r>
        <w:rPr>
          <w:spacing w:val="-53"/>
        </w:rPr>
        <w:t> </w:t>
      </w:r>
      <w:r>
        <w:rPr>
          <w:rFonts w:ascii="宋体" w:hAnsi="宋体" w:cs="宋体" w:eastAsia="宋体" w:hint="default"/>
        </w:rPr>
        <w:t>16</w:t>
      </w:r>
      <w:r>
        <w:rPr>
          <w:rFonts w:ascii="宋体" w:hAnsi="宋体" w:cs="宋体" w:eastAsia="宋体" w:hint="default"/>
          <w:spacing w:val="-55"/>
        </w:rPr>
        <w:t> </w:t>
      </w:r>
      <w:r>
        <w:rPr/>
        <w:t>层。</w:t>
      </w:r>
    </w:p>
    <w:p>
      <w:pPr>
        <w:pStyle w:val="BodyText"/>
        <w:spacing w:line="357" w:lineRule="auto" w:before="32"/>
        <w:ind w:left="138" w:right="137" w:firstLine="419"/>
        <w:jc w:val="both"/>
      </w:pPr>
      <w:r>
        <w:rPr/>
        <w:t>本财务报表业经本公司董事会于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17</w:t>
      </w:r>
      <w:r>
        <w:rPr>
          <w:rFonts w:ascii="宋体" w:hAnsi="宋体" w:cs="宋体" w:eastAsia="宋体" w:hint="default"/>
          <w:spacing w:val="-53"/>
        </w:rPr>
        <w:t> </w:t>
      </w:r>
      <w:r>
        <w:rPr/>
        <w:t>日决议批准报出，根据本公司章程，本财务</w:t>
      </w:r>
      <w:r>
        <w:rPr>
          <w:w w:val="100"/>
        </w:rPr>
        <w:t> </w:t>
      </w:r>
      <w:r>
        <w:rPr/>
        <w:t>报表将提交股东大会审议。</w:t>
      </w:r>
    </w:p>
    <w:p>
      <w:pPr>
        <w:pStyle w:val="BodyText"/>
        <w:spacing w:line="240" w:lineRule="auto" w:before="30"/>
        <w:ind w:left="558" w:right="123"/>
        <w:jc w:val="left"/>
      </w:pPr>
      <w:r>
        <w:rPr/>
        <w:t>本公司</w:t>
      </w:r>
      <w:r>
        <w:rPr>
          <w:spacing w:val="-56"/>
        </w:rPr>
        <w:t> </w:t>
      </w:r>
      <w:r>
        <w:rPr>
          <w:rFonts w:ascii="宋体" w:hAnsi="宋体" w:cs="宋体" w:eastAsia="宋体" w:hint="default"/>
        </w:rPr>
        <w:t>2018</w:t>
      </w:r>
      <w:r>
        <w:rPr>
          <w:rFonts w:ascii="宋体" w:hAnsi="宋体" w:cs="宋体" w:eastAsia="宋体" w:hint="default"/>
          <w:spacing w:val="-56"/>
        </w:rPr>
        <w:t> </w:t>
      </w:r>
      <w:r>
        <w:rPr/>
        <w:t>年度纳入合并范围的子公司共</w:t>
      </w:r>
      <w:r>
        <w:rPr>
          <w:spacing w:val="-56"/>
        </w:rPr>
        <w:t> </w:t>
      </w:r>
      <w:r>
        <w:rPr>
          <w:rFonts w:ascii="宋体" w:hAnsi="宋体" w:cs="宋体" w:eastAsia="宋体" w:hint="default"/>
        </w:rPr>
        <w:t>12</w:t>
      </w:r>
      <w:r>
        <w:rPr>
          <w:rFonts w:ascii="宋体" w:hAnsi="宋体" w:cs="宋体" w:eastAsia="宋体" w:hint="default"/>
          <w:spacing w:val="-58"/>
        </w:rPr>
        <w:t> </w:t>
      </w:r>
      <w:r>
        <w:rPr/>
        <w:t>户，详见本报告第十一节、九“在其他主体中</w:t>
      </w:r>
    </w:p>
    <w:p>
      <w:pPr>
        <w:pStyle w:val="BodyText"/>
        <w:spacing w:line="355" w:lineRule="auto" w:before="133"/>
        <w:ind w:left="138" w:right="137"/>
        <w:jc w:val="left"/>
      </w:pPr>
      <w:r>
        <w:rPr/>
        <w:t>的权益”。本公司本年度内合并范围比上年度增加</w:t>
      </w:r>
      <w:r>
        <w:rPr>
          <w:spacing w:val="-58"/>
        </w:rPr>
        <w:t> </w:t>
      </w:r>
      <w:r>
        <w:rPr>
          <w:rFonts w:ascii="宋体" w:hAnsi="宋体" w:cs="宋体" w:eastAsia="宋体" w:hint="default"/>
        </w:rPr>
        <w:t>2</w:t>
      </w:r>
      <w:r>
        <w:rPr>
          <w:rFonts w:ascii="宋体" w:hAnsi="宋体" w:cs="宋体" w:eastAsia="宋体" w:hint="default"/>
          <w:spacing w:val="-56"/>
        </w:rPr>
        <w:t> </w:t>
      </w:r>
      <w:r>
        <w:rPr/>
        <w:t>户，详见本报告第十一节、八、“合并范围</w:t>
      </w:r>
      <w:r>
        <w:rPr>
          <w:w w:val="100"/>
        </w:rPr>
        <w:t> </w:t>
      </w:r>
      <w:r>
        <w:rPr/>
        <w:t>的变更”。</w:t>
      </w:r>
    </w:p>
    <w:p>
      <w:pPr>
        <w:pStyle w:val="BodyText"/>
        <w:spacing w:line="355" w:lineRule="auto" w:before="34"/>
        <w:ind w:left="138" w:right="137" w:firstLine="419"/>
        <w:jc w:val="both"/>
      </w:pPr>
      <w:r>
        <w:rPr>
          <w:spacing w:val="-2"/>
        </w:rPr>
        <w:t>本公司属互联网信息服务业，本公司及子公司主要从事新闻资讯服务、互联网广告服务、为</w:t>
      </w:r>
      <w:r>
        <w:rPr>
          <w:w w:val="100"/>
        </w:rPr>
        <w:t> </w:t>
      </w:r>
      <w:r>
        <w:rPr/>
        <w:t>政府提供宣传服务等。</w:t>
      </w:r>
    </w:p>
    <w:p>
      <w:pPr>
        <w:pStyle w:val="Heading2"/>
        <w:spacing w:line="240" w:lineRule="auto" w:before="92"/>
        <w:ind w:left="138" w:right="0"/>
        <w:jc w:val="both"/>
        <w:rPr>
          <w:b w:val="0"/>
          <w:bCs w:val="0"/>
        </w:rPr>
      </w:pPr>
      <w:r>
        <w:rPr>
          <w:rFonts w:ascii="宋体" w:hAnsi="宋体" w:cs="宋体" w:eastAsia="宋体" w:hint="default"/>
        </w:rPr>
        <w:t>2.</w:t>
      </w:r>
      <w:r>
        <w:rPr>
          <w:rFonts w:ascii="宋体" w:hAnsi="宋体" w:cs="宋体" w:eastAsia="宋体" w:hint="default"/>
          <w:spacing w:val="105"/>
        </w:rPr>
        <w:t> </w:t>
      </w:r>
      <w:r>
        <w:rPr/>
        <w:t>合并财务报表范围</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7"/>
        </w:rPr>
        <w:t>本公司财务报表以持续经营假设为基础，根据实际发生的交易和事项，按照财政部发布的《企</w:t>
      </w:r>
    </w:p>
    <w:p>
      <w:pPr>
        <w:pStyle w:val="BodyText"/>
        <w:spacing w:line="240" w:lineRule="auto" w:before="133"/>
        <w:ind w:left="138" w:right="0"/>
        <w:jc w:val="both"/>
      </w:pPr>
      <w:r>
        <w:rPr/>
        <w:t>业会计准则——基本准则》（财政部令第</w:t>
      </w:r>
      <w:r>
        <w:rPr>
          <w:spacing w:val="-54"/>
        </w:rPr>
        <w:t> </w:t>
      </w:r>
      <w:r>
        <w:rPr>
          <w:rFonts w:ascii="宋体" w:hAnsi="宋体" w:cs="宋体" w:eastAsia="宋体" w:hint="default"/>
        </w:rPr>
        <w:t>33</w:t>
      </w:r>
      <w:r>
        <w:rPr>
          <w:rFonts w:ascii="宋体" w:hAnsi="宋体" w:cs="宋体" w:eastAsia="宋体" w:hint="default"/>
          <w:spacing w:val="-56"/>
        </w:rPr>
        <w:t> </w:t>
      </w:r>
      <w:r>
        <w:rPr/>
        <w:t>号发布、财政部令第</w:t>
      </w:r>
      <w:r>
        <w:rPr>
          <w:spacing w:val="-54"/>
        </w:rPr>
        <w:t> </w:t>
      </w:r>
      <w:r>
        <w:rPr>
          <w:rFonts w:ascii="宋体" w:hAnsi="宋体" w:cs="宋体" w:eastAsia="宋体" w:hint="default"/>
        </w:rPr>
        <w:t>76</w:t>
      </w:r>
      <w:r>
        <w:rPr>
          <w:rFonts w:ascii="宋体" w:hAnsi="宋体" w:cs="宋体" w:eastAsia="宋体" w:hint="default"/>
          <w:spacing w:val="-54"/>
        </w:rPr>
        <w:t> </w:t>
      </w:r>
      <w:r>
        <w:rPr/>
        <w:t>号修订）、于</w:t>
      </w:r>
      <w:r>
        <w:rPr>
          <w:spacing w:val="-53"/>
        </w:rPr>
        <w:t> </w:t>
      </w:r>
      <w:r>
        <w:rPr>
          <w:rFonts w:ascii="宋体" w:hAnsi="宋体" w:cs="宋体" w:eastAsia="宋体" w:hint="default"/>
        </w:rPr>
        <w:t>2006</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p>
    <w:p>
      <w:pPr>
        <w:pStyle w:val="BodyText"/>
        <w:spacing w:line="357" w:lineRule="auto" w:before="133"/>
        <w:ind w:left="138" w:right="137"/>
        <w:jc w:val="both"/>
      </w:pPr>
      <w:r>
        <w:rPr>
          <w:rFonts w:ascii="宋体" w:hAnsi="宋体" w:cs="宋体" w:eastAsia="宋体" w:hint="default"/>
        </w:rPr>
        <w:t>15</w:t>
      </w:r>
      <w:r>
        <w:rPr>
          <w:rFonts w:ascii="宋体" w:hAnsi="宋体" w:cs="宋体" w:eastAsia="宋体" w:hint="default"/>
          <w:spacing w:val="-55"/>
        </w:rPr>
        <w:t> </w:t>
      </w:r>
      <w:r>
        <w:rPr/>
        <w:t>日及其后颁布和修订的</w:t>
      </w:r>
      <w:r>
        <w:rPr>
          <w:spacing w:val="-57"/>
        </w:rPr>
        <w:t> </w:t>
      </w:r>
      <w:r>
        <w:rPr>
          <w:rFonts w:ascii="宋体" w:hAnsi="宋体" w:cs="宋体" w:eastAsia="宋体" w:hint="default"/>
        </w:rPr>
        <w:t>42</w:t>
      </w:r>
      <w:r>
        <w:rPr>
          <w:rFonts w:ascii="宋体" w:hAnsi="宋体" w:cs="宋体" w:eastAsia="宋体" w:hint="default"/>
          <w:spacing w:val="-55"/>
        </w:rPr>
        <w:t> </w:t>
      </w:r>
      <w:r>
        <w:rPr/>
        <w:t>项具体会计准则、企业会计准则应用指南、企业会计准则解释及其</w:t>
      </w:r>
      <w:r>
        <w:rPr>
          <w:w w:val="100"/>
        </w:rPr>
        <w:t> </w:t>
      </w:r>
      <w:r>
        <w:rPr>
          <w:spacing w:val="-2"/>
        </w:rPr>
        <w:t>他相关规定（以下合称“企业会计准则”），以及中国证券监督管理委员会《公开发行证券的公</w:t>
      </w:r>
      <w:r>
        <w:rPr>
          <w:spacing w:val="-26"/>
        </w:rPr>
        <w:t> </w:t>
      </w:r>
      <w:r>
        <w:rPr>
          <w:spacing w:val="-26"/>
        </w:rPr>
      </w:r>
      <w:r>
        <w:rPr/>
        <w:t>司信息披露编报规则第</w:t>
      </w:r>
      <w:r>
        <w:rPr>
          <w:spacing w:val="-55"/>
        </w:rPr>
        <w:t> </w:t>
      </w:r>
      <w:r>
        <w:rPr>
          <w:rFonts w:ascii="宋体" w:hAnsi="宋体" w:cs="宋体" w:eastAsia="宋体" w:hint="default"/>
        </w:rPr>
        <w:t>15</w:t>
      </w:r>
      <w:r>
        <w:rPr>
          <w:rFonts w:ascii="宋体" w:hAnsi="宋体" w:cs="宋体" w:eastAsia="宋体" w:hint="default"/>
          <w:spacing w:val="-58"/>
        </w:rPr>
        <w:t> </w:t>
      </w:r>
      <w:r>
        <w:rPr/>
        <w:t>号——财务报告的一般规定》（</w:t>
      </w:r>
      <w:r>
        <w:rPr>
          <w:rFonts w:ascii="宋体" w:hAnsi="宋体" w:cs="宋体" w:eastAsia="宋体" w:hint="default"/>
        </w:rPr>
        <w:t>2014</w:t>
      </w:r>
      <w:r>
        <w:rPr>
          <w:rFonts w:ascii="宋体" w:hAnsi="宋体" w:cs="宋体" w:eastAsia="宋体" w:hint="default"/>
          <w:spacing w:val="-56"/>
        </w:rPr>
        <w:t> </w:t>
      </w:r>
      <w:r>
        <w:rPr/>
        <w:t>年修订）的披露规定编制。</w:t>
      </w:r>
    </w:p>
    <w:p>
      <w:pPr>
        <w:pStyle w:val="BodyText"/>
        <w:spacing w:line="355" w:lineRule="auto" w:before="30"/>
        <w:ind w:left="138" w:right="130" w:firstLine="419"/>
        <w:jc w:val="both"/>
      </w:pPr>
      <w:r>
        <w:rPr>
          <w:spacing w:val="-2"/>
        </w:rPr>
        <w:t>根据企业会计准则的相关规定，本公司会计核算以权责发生制为基础。除某些金融工具外，</w:t>
      </w:r>
      <w:r>
        <w:rPr>
          <w:w w:val="100"/>
        </w:rPr>
        <w:t> </w:t>
      </w:r>
      <w:r>
        <w:rPr>
          <w:spacing w:val="-7"/>
          <w:w w:val="100"/>
        </w:rPr>
        <w:t>本财务报表均以历史成本为计量基础。资产如果发生减值，则按照相关规定计提相应的减值准备。</w:t>
      </w:r>
    </w:p>
    <w:p>
      <w:pPr>
        <w:pStyle w:val="Heading2"/>
        <w:tabs>
          <w:tab w:pos="562" w:val="left" w:leader="none"/>
        </w:tabs>
        <w:spacing w:line="290" w:lineRule="auto" w:before="92"/>
        <w:ind w:left="138" w:right="6640"/>
        <w:jc w:val="left"/>
        <w:rPr>
          <w:b w:val="0"/>
          <w:bCs w:val="0"/>
        </w:rPr>
      </w:pPr>
      <w:r>
        <w:rPr/>
        <w:t>四、财务报表的编制基础</w:t>
      </w:r>
      <w:r>
        <w:rPr>
          <w:spacing w:val="-100"/>
        </w:rPr>
        <w:t> </w:t>
      </w:r>
      <w:r>
        <w:rPr>
          <w:spacing w:val="-100"/>
        </w:rPr>
      </w:r>
      <w:r>
        <w:rPr>
          <w:rFonts w:ascii="宋体" w:hAnsi="宋体" w:cs="宋体" w:eastAsia="宋体" w:hint="default"/>
          <w:w w:val="95"/>
        </w:rPr>
        <w:t>1.</w:t>
        <w:tab/>
      </w:r>
      <w:r>
        <w:rPr/>
        <w:t>编制基础</w:t>
      </w:r>
      <w:r>
        <w:rPr>
          <w:b w:val="0"/>
          <w:bCs w:val="0"/>
        </w:rPr>
      </w:r>
    </w:p>
    <w:p>
      <w:pPr>
        <w:pStyle w:val="BodyText"/>
        <w:spacing w:line="360" w:lineRule="auto" w:before="12"/>
        <w:ind w:left="138" w:right="128" w:firstLine="419"/>
        <w:jc w:val="both"/>
      </w:pPr>
      <w:r>
        <w:rPr>
          <w:spacing w:val="-7"/>
        </w:rPr>
        <w:t>本公司财务报表以持续经营假设为基础，根据实际发生的交易和事项，按照财政部发布的《企</w:t>
      </w:r>
      <w:r>
        <w:rPr>
          <w:w w:val="100"/>
        </w:rPr>
        <w:t> </w:t>
      </w:r>
      <w:r>
        <w:rPr/>
        <w:t>业会计准则——基本准则》（财政部令第</w:t>
      </w:r>
      <w:r>
        <w:rPr>
          <w:spacing w:val="-53"/>
        </w:rPr>
        <w:t> </w:t>
      </w:r>
      <w:r>
        <w:rPr>
          <w:rFonts w:ascii="宋体" w:hAnsi="宋体" w:cs="宋体" w:eastAsia="宋体" w:hint="default"/>
        </w:rPr>
        <w:t>33</w:t>
      </w:r>
      <w:r>
        <w:rPr>
          <w:rFonts w:ascii="宋体" w:hAnsi="宋体" w:cs="宋体" w:eastAsia="宋体" w:hint="default"/>
          <w:spacing w:val="-56"/>
        </w:rPr>
        <w:t> </w:t>
      </w:r>
      <w:r>
        <w:rPr/>
        <w:t>号发布、财政部令第</w:t>
      </w:r>
      <w:r>
        <w:rPr>
          <w:spacing w:val="-54"/>
        </w:rPr>
        <w:t> </w:t>
      </w:r>
      <w:r>
        <w:rPr>
          <w:rFonts w:ascii="宋体" w:hAnsi="宋体" w:cs="宋体" w:eastAsia="宋体" w:hint="default"/>
        </w:rPr>
        <w:t>76</w:t>
      </w:r>
      <w:r>
        <w:rPr>
          <w:rFonts w:ascii="宋体" w:hAnsi="宋体" w:cs="宋体" w:eastAsia="宋体" w:hint="default"/>
          <w:spacing w:val="-54"/>
        </w:rPr>
        <w:t> </w:t>
      </w:r>
      <w:r>
        <w:rPr/>
        <w:t>号修订）、于</w:t>
      </w:r>
      <w:r>
        <w:rPr>
          <w:spacing w:val="-53"/>
        </w:rPr>
        <w:t> </w:t>
      </w:r>
      <w:r>
        <w:rPr>
          <w:rFonts w:ascii="宋体" w:hAnsi="宋体" w:cs="宋体" w:eastAsia="宋体" w:hint="default"/>
        </w:rPr>
        <w:t>2006</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w:t>
      </w:r>
    </w:p>
    <w:p>
      <w:pPr>
        <w:pStyle w:val="BodyText"/>
        <w:spacing w:line="355" w:lineRule="auto" w:before="28"/>
        <w:ind w:left="138" w:right="137"/>
        <w:jc w:val="both"/>
      </w:pPr>
      <w:r>
        <w:rPr>
          <w:rFonts w:ascii="宋体" w:hAnsi="宋体" w:cs="宋体" w:eastAsia="宋体" w:hint="default"/>
        </w:rPr>
        <w:t>15</w:t>
      </w:r>
      <w:r>
        <w:rPr>
          <w:rFonts w:ascii="宋体" w:hAnsi="宋体" w:cs="宋体" w:eastAsia="宋体" w:hint="default"/>
          <w:spacing w:val="-55"/>
        </w:rPr>
        <w:t> </w:t>
      </w:r>
      <w:r>
        <w:rPr/>
        <w:t>日及其后颁布和修订的</w:t>
      </w:r>
      <w:r>
        <w:rPr>
          <w:spacing w:val="-57"/>
        </w:rPr>
        <w:t> </w:t>
      </w:r>
      <w:r>
        <w:rPr>
          <w:rFonts w:ascii="宋体" w:hAnsi="宋体" w:cs="宋体" w:eastAsia="宋体" w:hint="default"/>
        </w:rPr>
        <w:t>42</w:t>
      </w:r>
      <w:r>
        <w:rPr>
          <w:rFonts w:ascii="宋体" w:hAnsi="宋体" w:cs="宋体" w:eastAsia="宋体" w:hint="default"/>
          <w:spacing w:val="-55"/>
        </w:rPr>
        <w:t> </w:t>
      </w:r>
      <w:r>
        <w:rPr/>
        <w:t>项具体会计准则、企业会计准则应用指南、企业会计准则解释及其</w:t>
      </w:r>
      <w:r>
        <w:rPr>
          <w:w w:val="100"/>
        </w:rPr>
        <w:t> </w:t>
      </w:r>
      <w:r>
        <w:rPr>
          <w:spacing w:val="-2"/>
        </w:rPr>
        <w:t>他相关规定（以下合称“企业会计准则”），以及中国证券监督管理委员会《公开发行证券的公</w:t>
      </w:r>
      <w:r>
        <w:rPr>
          <w:spacing w:val="-26"/>
        </w:rPr>
        <w:t> </w:t>
      </w:r>
      <w:r>
        <w:rPr>
          <w:spacing w:val="-26"/>
        </w:rPr>
      </w:r>
      <w:r>
        <w:rPr/>
        <w:t>司信息披露编报规则第</w:t>
      </w:r>
      <w:r>
        <w:rPr>
          <w:spacing w:val="-55"/>
        </w:rPr>
        <w:t> </w:t>
      </w:r>
      <w:r>
        <w:rPr>
          <w:rFonts w:ascii="宋体" w:hAnsi="宋体" w:cs="宋体" w:eastAsia="宋体" w:hint="default"/>
        </w:rPr>
        <w:t>15</w:t>
      </w:r>
      <w:r>
        <w:rPr>
          <w:rFonts w:ascii="宋体" w:hAnsi="宋体" w:cs="宋体" w:eastAsia="宋体" w:hint="default"/>
          <w:spacing w:val="-58"/>
        </w:rPr>
        <w:t> </w:t>
      </w:r>
      <w:r>
        <w:rPr/>
        <w:t>号——财务报告的一般规定》（</w:t>
      </w:r>
      <w:r>
        <w:rPr>
          <w:rFonts w:ascii="宋体" w:hAnsi="宋体" w:cs="宋体" w:eastAsia="宋体" w:hint="default"/>
        </w:rPr>
        <w:t>2014</w:t>
      </w:r>
      <w:r>
        <w:rPr>
          <w:rFonts w:ascii="宋体" w:hAnsi="宋体" w:cs="宋体" w:eastAsia="宋体" w:hint="default"/>
          <w:spacing w:val="-56"/>
        </w:rPr>
        <w:t> </w:t>
      </w:r>
      <w:r>
        <w:rPr/>
        <w:t>年修订）的披露规定编制。</w:t>
      </w:r>
    </w:p>
    <w:p>
      <w:pPr>
        <w:pStyle w:val="BodyText"/>
        <w:spacing w:line="357" w:lineRule="auto" w:before="32"/>
        <w:ind w:left="138" w:right="130" w:firstLine="419"/>
        <w:jc w:val="both"/>
      </w:pPr>
      <w:r>
        <w:rPr>
          <w:spacing w:val="-2"/>
        </w:rPr>
        <w:t>根据企业会计准则的相关规定，本公司会计核算以权责发生制为基础。除某些金融工具外，</w:t>
      </w:r>
      <w:r>
        <w:rPr>
          <w:w w:val="100"/>
        </w:rPr>
        <w:t> </w:t>
      </w:r>
      <w:r>
        <w:rPr>
          <w:spacing w:val="-7"/>
          <w:w w:val="100"/>
        </w:rPr>
        <w:t>本财务报表均以历史成本为计量基础。资产如果发生减值，则按照相关规定计提相应的减值准备。</w:t>
      </w:r>
    </w:p>
    <w:p>
      <w:pPr>
        <w:pStyle w:val="Heading2"/>
        <w:spacing w:line="240" w:lineRule="auto" w:before="90"/>
        <w:ind w:left="138" w:right="0"/>
        <w:jc w:val="both"/>
        <w:rPr>
          <w:b w:val="0"/>
          <w:bCs w:val="0"/>
        </w:rPr>
      </w:pPr>
      <w:r>
        <w:rPr>
          <w:rFonts w:ascii="宋体" w:hAnsi="宋体" w:cs="宋体" w:eastAsia="宋体" w:hint="default"/>
        </w:rPr>
        <w:t>2. </w:t>
      </w:r>
      <w:r>
        <w:rPr>
          <w:rFonts w:ascii="宋体" w:hAnsi="宋体" w:cs="宋体" w:eastAsia="宋体" w:hint="default"/>
          <w:spacing w:val="2"/>
        </w:rPr>
        <w:t> </w:t>
      </w:r>
      <w:r>
        <w:rPr/>
        <w:t>持续经营</w:t>
      </w:r>
      <w:r>
        <w:rPr>
          <w:b w:val="0"/>
          <w:bCs w:val="0"/>
        </w:rPr>
      </w:r>
    </w:p>
    <w:p>
      <w:pPr>
        <w:pStyle w:val="BodyText"/>
        <w:spacing w:line="240" w:lineRule="auto" w:before="56"/>
        <w:ind w:left="138" w:right="0"/>
        <w:jc w:val="both"/>
      </w:pPr>
      <w:r>
        <w:rPr/>
        <w:t>√适用</w:t>
      </w:r>
      <w:r>
        <w:rPr>
          <w:spacing w:val="104"/>
        </w:rPr>
        <w:t> </w:t>
      </w:r>
      <w:r>
        <w:rPr/>
        <w:t>□不适用</w:t>
      </w:r>
    </w:p>
    <w:p>
      <w:pPr>
        <w:spacing w:after="0" w:line="240" w:lineRule="auto"/>
        <w:jc w:val="both"/>
        <w:sectPr>
          <w:headerReference w:type="default" r:id="rId49"/>
          <w:footerReference w:type="default" r:id="rId50"/>
          <w:pgSz w:w="11910" w:h="16840"/>
          <w:pgMar w:header="882" w:footer="1195" w:top="1120" w:bottom="1380" w:left="1660" w:right="1140"/>
          <w:pgNumType w:start="85"/>
        </w:sectPr>
      </w:pPr>
    </w:p>
    <w:p>
      <w:pPr>
        <w:spacing w:line="240" w:lineRule="auto" w:before="1"/>
        <w:rPr>
          <w:rFonts w:ascii="宋体" w:hAnsi="宋体" w:cs="宋体" w:eastAsia="宋体" w:hint="default"/>
          <w:sz w:val="25"/>
          <w:szCs w:val="25"/>
        </w:rPr>
      </w:pPr>
    </w:p>
    <w:p>
      <w:pPr>
        <w:pStyle w:val="BodyText"/>
        <w:spacing w:line="357" w:lineRule="auto" w:before="36"/>
        <w:ind w:left="138" w:right="128" w:firstLine="419"/>
        <w:jc w:val="both"/>
      </w:pPr>
      <w:r>
        <w:rPr>
          <w:spacing w:val="-7"/>
        </w:rPr>
        <w:t>本公司财务报表以持续经营假设为基础，根据实际发生的交易和事项，按照财政部发布的《企</w:t>
      </w:r>
      <w:r>
        <w:rPr>
          <w:w w:val="100"/>
        </w:rPr>
        <w:t> </w:t>
      </w:r>
      <w:r>
        <w:rPr>
          <w:spacing w:val="-2"/>
        </w:rPr>
        <w:t>业会计准则—基本准则》及具体会计准则、应用指南、解释以及其他相关规定进行确认和计量，</w:t>
      </w:r>
      <w:r>
        <w:rPr>
          <w:spacing w:val="-25"/>
        </w:rPr>
        <w:t> </w:t>
      </w:r>
      <w:r>
        <w:rPr>
          <w:spacing w:val="-25"/>
        </w:rPr>
      </w:r>
      <w:r>
        <w:rPr/>
        <w:t>在此基础上编制财务报表。</w:t>
      </w:r>
    </w:p>
    <w:p>
      <w:pPr>
        <w:spacing w:line="290" w:lineRule="auto" w:before="90"/>
        <w:ind w:left="138" w:right="3467"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5" w:lineRule="exact"/>
        <w:ind w:left="138" w:right="125"/>
        <w:jc w:val="left"/>
      </w:pPr>
      <w:r>
        <w:rPr/>
        <w:t>√适用</w:t>
      </w:r>
      <w:r>
        <w:rPr>
          <w:spacing w:val="-1"/>
        </w:rPr>
        <w:t> </w:t>
      </w:r>
      <w:r>
        <w:rPr/>
        <w:t>□不适用</w:t>
      </w:r>
    </w:p>
    <w:p>
      <w:pPr>
        <w:pStyle w:val="BodyText"/>
        <w:spacing w:line="357" w:lineRule="auto"/>
        <w:ind w:left="138" w:right="137" w:firstLine="419"/>
        <w:jc w:val="both"/>
      </w:pPr>
      <w:r>
        <w:rPr>
          <w:spacing w:val="-2"/>
        </w:rPr>
        <w:t>本公司及各子公司从事新闻资讯服务、互联网信息服务、技术服务等。本公司及各子公司根</w:t>
      </w:r>
      <w:r>
        <w:rPr>
          <w:w w:val="100"/>
        </w:rPr>
        <w:t> </w:t>
      </w:r>
      <w:r>
        <w:rPr>
          <w:spacing w:val="-2"/>
        </w:rPr>
        <w:t>据实际生产经营特点，依据相关企业会计准则的规定，对收入确认、研究开发支出等交易和事项</w:t>
      </w:r>
      <w:r>
        <w:rPr>
          <w:spacing w:val="-25"/>
        </w:rPr>
        <w:t> </w:t>
      </w:r>
      <w:r>
        <w:rPr>
          <w:spacing w:val="-25"/>
        </w:rPr>
      </w:r>
      <w:r>
        <w:rPr>
          <w:spacing w:val="-2"/>
        </w:rPr>
        <w:t>制定了若干项具体会计政策和会计估计，详见本报告第十一节、五、</w:t>
      </w:r>
      <w:r>
        <w:rPr>
          <w:rFonts w:ascii="宋体" w:hAnsi="宋体" w:cs="宋体" w:eastAsia="宋体" w:hint="default"/>
          <w:spacing w:val="-2"/>
        </w:rPr>
        <w:t>28</w:t>
      </w:r>
      <w:r>
        <w:rPr>
          <w:spacing w:val="-2"/>
        </w:rPr>
        <w:t>、收入等各项描述。关于</w:t>
      </w:r>
      <w:r>
        <w:rPr>
          <w:spacing w:val="-24"/>
        </w:rPr>
        <w:t> </w:t>
      </w:r>
      <w:r>
        <w:rPr>
          <w:spacing w:val="-24"/>
        </w:rPr>
      </w:r>
      <w:r>
        <w:rPr>
          <w:spacing w:val="-2"/>
        </w:rPr>
        <w:t>管理层所作出的重大会计判断和估计的说明，请参阅第十一节、五、</w:t>
      </w:r>
      <w:r>
        <w:rPr>
          <w:rFonts w:ascii="宋体" w:hAnsi="宋体" w:cs="宋体" w:eastAsia="宋体" w:hint="default"/>
          <w:spacing w:val="-2"/>
        </w:rPr>
        <w:t>32</w:t>
      </w:r>
      <w:r>
        <w:rPr>
          <w:spacing w:val="-2"/>
        </w:rPr>
        <w:t>“其他重要的会计政策和</w:t>
      </w:r>
      <w:r>
        <w:rPr>
          <w:spacing w:val="-22"/>
        </w:rPr>
        <w:t> </w:t>
      </w:r>
      <w:r>
        <w:rPr>
          <w:spacing w:val="-22"/>
        </w:rPr>
      </w:r>
      <w:r>
        <w:rPr/>
        <w:t>会计估计”。</w:t>
      </w:r>
    </w:p>
    <w:p>
      <w:pPr>
        <w:tabs>
          <w:tab w:pos="562" w:val="left" w:leader="none"/>
        </w:tabs>
        <w:spacing w:line="290" w:lineRule="auto" w:before="92"/>
        <w:ind w:left="558" w:right="137"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40" w:lineRule="auto" w:before="89"/>
        <w:ind w:left="138" w:right="125"/>
        <w:jc w:val="left"/>
      </w:pPr>
      <w:r>
        <w:rPr/>
        <w:t>经营成果、股东权益变动和现金流量等有关信息。</w:t>
      </w:r>
    </w:p>
    <w:p>
      <w:pPr>
        <w:spacing w:line="240" w:lineRule="auto" w:before="10"/>
        <w:rPr>
          <w:rFonts w:ascii="宋体" w:hAnsi="宋体" w:cs="宋体" w:eastAsia="宋体" w:hint="default"/>
          <w:sz w:val="14"/>
          <w:szCs w:val="14"/>
        </w:rPr>
      </w:pPr>
    </w:p>
    <w:p>
      <w:pPr>
        <w:pStyle w:val="Heading2"/>
        <w:tabs>
          <w:tab w:pos="562" w:val="left" w:leader="none"/>
        </w:tabs>
        <w:spacing w:line="240" w:lineRule="auto" w:before="0"/>
        <w:ind w:left="138" w:right="125"/>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8"/>
        <w:ind w:left="558" w:right="125"/>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10"/>
        <w:rPr>
          <w:rFonts w:ascii="宋体" w:hAnsi="宋体" w:cs="宋体" w:eastAsia="宋体" w:hint="default"/>
          <w:sz w:val="14"/>
          <w:szCs w:val="14"/>
        </w:rPr>
      </w:pPr>
    </w:p>
    <w:p>
      <w:pPr>
        <w:pStyle w:val="Heading2"/>
        <w:tabs>
          <w:tab w:pos="562" w:val="left" w:leader="none"/>
        </w:tabs>
        <w:spacing w:line="240" w:lineRule="auto" w:before="0"/>
        <w:ind w:left="138" w:right="125"/>
        <w:jc w:val="left"/>
        <w:rPr>
          <w:b w:val="0"/>
          <w:bCs w:val="0"/>
        </w:rPr>
      </w:pPr>
      <w:r>
        <w:rPr>
          <w:rFonts w:ascii="宋体" w:hAnsi="宋体" w:cs="宋体" w:eastAsia="宋体" w:hint="default"/>
          <w:w w:val="95"/>
        </w:rPr>
        <w:t>3.</w:t>
        <w:tab/>
      </w:r>
      <w:r>
        <w:rPr/>
        <w:t>营业周期</w:t>
      </w:r>
      <w:r>
        <w:rPr>
          <w:b w:val="0"/>
          <w:bCs w:val="0"/>
        </w:rPr>
      </w:r>
    </w:p>
    <w:p>
      <w:pPr>
        <w:pStyle w:val="BodyText"/>
        <w:tabs>
          <w:tab w:pos="980" w:val="left" w:leader="none"/>
        </w:tabs>
        <w:spacing w:line="273" w:lineRule="exact" w:before="59"/>
        <w:ind w:left="138" w:right="125"/>
        <w:jc w:val="left"/>
      </w:pPr>
      <w:r>
        <w:rPr>
          <w:spacing w:val="-1"/>
        </w:rPr>
        <w:t>√适用</w:t>
        <w:tab/>
      </w:r>
      <w:r>
        <w:rPr>
          <w:spacing w:val="-2"/>
        </w:rPr>
        <w:t>□不适用</w:t>
      </w:r>
    </w:p>
    <w:p>
      <w:pPr>
        <w:pStyle w:val="BodyText"/>
        <w:spacing w:line="273" w:lineRule="exact"/>
        <w:ind w:left="558" w:right="125"/>
        <w:jc w:val="left"/>
      </w:pPr>
      <w:r>
        <w:rPr/>
        <w:t>本公司以</w:t>
      </w:r>
      <w:r>
        <w:rPr>
          <w:spacing w:val="-57"/>
        </w:rPr>
        <w:t> </w:t>
      </w:r>
      <w:r>
        <w:rPr>
          <w:rFonts w:ascii="宋体" w:hAnsi="宋体" w:cs="宋体" w:eastAsia="宋体" w:hint="default"/>
        </w:rPr>
        <w:t>12</w:t>
      </w:r>
      <w:r>
        <w:rPr>
          <w:rFonts w:ascii="宋体" w:hAnsi="宋体" w:cs="宋体" w:eastAsia="宋体" w:hint="default"/>
          <w:spacing w:val="-57"/>
        </w:rPr>
        <w:t> </w:t>
      </w:r>
      <w:r>
        <w:rPr/>
        <w:t>月作为一个营业周期，并以其作为资产和负债的流动性划分标准。</w:t>
      </w:r>
    </w:p>
    <w:p>
      <w:pPr>
        <w:spacing w:line="240" w:lineRule="auto" w:before="10"/>
        <w:rPr>
          <w:rFonts w:ascii="宋体" w:hAnsi="宋体" w:cs="宋体" w:eastAsia="宋体" w:hint="default"/>
          <w:sz w:val="14"/>
          <w:szCs w:val="14"/>
        </w:rPr>
      </w:pPr>
    </w:p>
    <w:p>
      <w:pPr>
        <w:tabs>
          <w:tab w:pos="562" w:val="left" w:leader="none"/>
        </w:tabs>
        <w:spacing w:line="290" w:lineRule="auto" w:before="0"/>
        <w:ind w:left="558" w:right="5601" w:hanging="420"/>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pStyle w:val="Heading2"/>
        <w:tabs>
          <w:tab w:pos="562" w:val="left" w:leader="none"/>
        </w:tabs>
        <w:spacing w:line="240" w:lineRule="auto" w:before="149"/>
        <w:ind w:left="138" w:right="125"/>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2"/>
        </w:rPr>
        <w:t>企业合并，是指将两个或两个以上单独的企业合并形成一个报告主体的交易或事项。企业合</w:t>
      </w:r>
    </w:p>
    <w:p>
      <w:pPr>
        <w:pStyle w:val="BodyText"/>
        <w:spacing w:line="240" w:lineRule="auto" w:before="133"/>
        <w:ind w:left="138" w:right="125"/>
        <w:jc w:val="left"/>
      </w:pPr>
      <w:r>
        <w:rPr/>
        <w:t>并分为同一控制下企业合并和非同一控制下企业合并。</w:t>
      </w:r>
    </w:p>
    <w:p>
      <w:pPr>
        <w:pStyle w:val="BodyText"/>
        <w:spacing w:line="360" w:lineRule="auto" w:before="133"/>
        <w:ind w:left="558" w:right="125"/>
        <w:jc w:val="left"/>
      </w:pPr>
      <w:r>
        <w:rPr/>
        <w:t>（</w:t>
      </w:r>
      <w:r>
        <w:rPr>
          <w:rFonts w:ascii="宋体" w:hAnsi="宋体" w:cs="宋体" w:eastAsia="宋体" w:hint="default"/>
        </w:rPr>
        <w:t>1</w:t>
      </w:r>
      <w:r>
        <w:rPr/>
        <w:t>）同一控制下企业合并</w:t>
      </w:r>
      <w:r>
        <w:rPr>
          <w:w w:val="100"/>
        </w:rPr>
        <w:t> </w:t>
      </w:r>
      <w:r>
        <w:rPr>
          <w:spacing w:val="-2"/>
        </w:rPr>
        <w:t>参与合并的企业在合并前后均受同一方或相同的多方最终控制，且该控制并非暂时性的，为</w:t>
      </w:r>
    </w:p>
    <w:p>
      <w:pPr>
        <w:pStyle w:val="BodyText"/>
        <w:spacing w:line="355" w:lineRule="auto" w:before="28"/>
        <w:ind w:left="138" w:right="137"/>
        <w:jc w:val="both"/>
      </w:pPr>
      <w:r>
        <w:rPr>
          <w:spacing w:val="-2"/>
        </w:rPr>
        <w:t>同一控制下的企业合并。同一控制下的企业合并，在合并日取得对其他参与合并企业控制权的一</w:t>
      </w:r>
      <w:r>
        <w:rPr>
          <w:spacing w:val="-26"/>
        </w:rPr>
        <w:t> </w:t>
      </w:r>
      <w:r>
        <w:rPr>
          <w:spacing w:val="-26"/>
        </w:rPr>
      </w:r>
      <w:r>
        <w:rPr>
          <w:spacing w:val="-2"/>
        </w:rPr>
        <w:t>方为合并方，参与合并的其他企业为被合并方。合并日，是指合并方实际取得对被合并方控制权</w:t>
      </w:r>
      <w:r>
        <w:rPr>
          <w:spacing w:val="-25"/>
        </w:rPr>
        <w:t> </w:t>
      </w:r>
      <w:r>
        <w:rPr>
          <w:spacing w:val="-25"/>
        </w:rPr>
      </w:r>
      <w:r>
        <w:rPr/>
        <w:t>的日期。</w:t>
      </w:r>
    </w:p>
    <w:p>
      <w:pPr>
        <w:pStyle w:val="BodyText"/>
        <w:spacing w:line="357" w:lineRule="auto" w:before="32"/>
        <w:ind w:left="138" w:right="137" w:firstLine="419"/>
        <w:jc w:val="both"/>
      </w:pPr>
      <w:r>
        <w:rPr>
          <w:spacing w:val="-2"/>
        </w:rPr>
        <w:t>合并方取得的资产和负债均按合并日在被合并方的账面价值计量。合并方取得的净资产账面</w:t>
      </w:r>
      <w:r>
        <w:rPr>
          <w:w w:val="100"/>
        </w:rPr>
        <w:t> </w:t>
      </w:r>
      <w:r>
        <w:rPr>
          <w:spacing w:val="-2"/>
        </w:rPr>
        <w:t>价值与支付的合并对价账面价值（或发行股份面值总额）的差额，调整资本公积（股本溢价）；</w:t>
      </w:r>
      <w:r>
        <w:rPr>
          <w:spacing w:val="-25"/>
        </w:rPr>
        <w:t> </w:t>
      </w:r>
      <w:r>
        <w:rPr>
          <w:spacing w:val="-25"/>
        </w:rPr>
      </w:r>
      <w:r>
        <w:rPr/>
        <w:t>资本公积（股本溢价）不足以冲减的，调整留存收益。</w:t>
      </w:r>
    </w:p>
    <w:p>
      <w:pPr>
        <w:pStyle w:val="BodyText"/>
        <w:spacing w:line="240" w:lineRule="auto" w:before="30"/>
        <w:ind w:left="558" w:right="125"/>
        <w:jc w:val="left"/>
      </w:pPr>
      <w:r>
        <w:rPr/>
        <w:t>合并方为进行企业合并发生的各项直接费用，于发生时计入当期损益。</w:t>
      </w:r>
    </w:p>
    <w:p>
      <w:pPr>
        <w:pStyle w:val="BodyText"/>
        <w:spacing w:line="240" w:lineRule="auto" w:before="133"/>
        <w:ind w:left="558" w:right="125"/>
        <w:jc w:val="left"/>
      </w:pPr>
      <w:r>
        <w:rPr/>
        <w:t>（</w:t>
      </w:r>
      <w:r>
        <w:rPr>
          <w:rFonts w:ascii="宋体" w:hAnsi="宋体" w:cs="宋体" w:eastAsia="宋体" w:hint="default"/>
        </w:rPr>
        <w:t>2</w:t>
      </w:r>
      <w:r>
        <w:rPr/>
        <w:t>）非同一控制下企业合并</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17" w:firstLine="419"/>
        <w:jc w:val="both"/>
      </w:pPr>
      <w:r>
        <w:rPr>
          <w:spacing w:val="-2"/>
        </w:rPr>
        <w:t>参与合并的企业在合并前后不受同一方或相同的多方最终控制的，为非同一控制下的企业合</w:t>
      </w:r>
      <w:r>
        <w:rPr>
          <w:w w:val="100"/>
        </w:rPr>
        <w:t> </w:t>
      </w:r>
      <w:r>
        <w:rPr>
          <w:spacing w:val="-2"/>
        </w:rPr>
        <w:t>并。非同一控制下的企业合并，在购买日取得对其他参与合并企业控制权的一方为购买方，参与</w:t>
      </w:r>
      <w:r>
        <w:rPr>
          <w:spacing w:val="-25"/>
        </w:rPr>
        <w:t> </w:t>
      </w:r>
      <w:r>
        <w:rPr>
          <w:spacing w:val="-25"/>
        </w:rPr>
      </w:r>
      <w:r>
        <w:rPr/>
        <w:t>合并的其他企业为被购买方。购买日，是指为购买方实际取得对被购买方控制权的日期。</w:t>
      </w:r>
    </w:p>
    <w:p>
      <w:pPr>
        <w:pStyle w:val="BodyText"/>
        <w:spacing w:line="357" w:lineRule="auto" w:before="30"/>
        <w:ind w:left="138" w:right="208" w:firstLine="419"/>
        <w:jc w:val="both"/>
      </w:pPr>
      <w:r>
        <w:rPr>
          <w:spacing w:val="-2"/>
        </w:rPr>
        <w:t>对于非同一控制下的企业合并，合并成本包含购买日购买方为取得对被购买方的控制权而付</w:t>
      </w:r>
      <w:r>
        <w:rPr>
          <w:w w:val="100"/>
        </w:rPr>
        <w:t> </w:t>
      </w:r>
      <w:r>
        <w:rPr>
          <w:spacing w:val="-2"/>
        </w:rPr>
        <w:t>出的资产、发生或承担的负债以及发行的权益性证券的公允价值，为企业合并发生的审计、法律</w:t>
      </w:r>
      <w:r>
        <w:rPr>
          <w:spacing w:val="-25"/>
        </w:rPr>
        <w:t> </w:t>
      </w:r>
      <w:r>
        <w:rPr>
          <w:spacing w:val="-25"/>
        </w:rPr>
      </w:r>
      <w:r>
        <w:rPr>
          <w:spacing w:val="-2"/>
        </w:rPr>
        <w:t>服务、评估咨询等中介费用以及其他管理费用于发生时计入当期损益。购买方作为合并对价发行</w:t>
      </w:r>
      <w:r>
        <w:rPr>
          <w:spacing w:val="-25"/>
        </w:rPr>
        <w:t> </w:t>
      </w:r>
      <w:r>
        <w:rPr>
          <w:spacing w:val="-25"/>
        </w:rPr>
      </w:r>
      <w:r>
        <w:rPr>
          <w:spacing w:val="-2"/>
        </w:rPr>
        <w:t>的权益性证券或债务性证券的交易费用，计入权益性证券或债务性证券的初始确认金额。所涉及</w:t>
      </w:r>
      <w:r>
        <w:rPr>
          <w:spacing w:val="-25"/>
        </w:rPr>
        <w:t> </w:t>
      </w:r>
      <w:r>
        <w:rPr>
          <w:spacing w:val="-25"/>
        </w:rPr>
      </w:r>
      <w:r>
        <w:rPr>
          <w:spacing w:val="-5"/>
          <w:w w:val="100"/>
        </w:rPr>
        <w:t>的或有对价按其在购买日的公允价值计入合并成本，购买日后</w:t>
      </w:r>
      <w:r>
        <w:rPr>
          <w:spacing w:val="-47"/>
          <w:w w:val="100"/>
        </w:rPr>
        <w:t> </w:t>
      </w:r>
      <w:r>
        <w:rPr>
          <w:rFonts w:ascii="宋体" w:hAnsi="宋体" w:cs="宋体" w:eastAsia="宋体" w:hint="default"/>
          <w:spacing w:val="-2"/>
          <w:w w:val="100"/>
        </w:rPr>
        <w:t>12</w:t>
      </w:r>
      <w:r>
        <w:rPr>
          <w:rFonts w:ascii="宋体" w:hAnsi="宋体" w:cs="宋体" w:eastAsia="宋体" w:hint="default"/>
          <w:spacing w:val="-47"/>
          <w:w w:val="100"/>
        </w:rPr>
        <w:t> </w:t>
      </w:r>
      <w:r>
        <w:rPr>
          <w:spacing w:val="-2"/>
          <w:w w:val="100"/>
        </w:rPr>
        <w:t>个月内出现对购买日已存在情况</w:t>
      </w:r>
      <w:r>
        <w:rPr>
          <w:spacing w:val="-103"/>
          <w:w w:val="100"/>
        </w:rPr>
        <w:t> </w:t>
      </w:r>
      <w:r>
        <w:rPr>
          <w:spacing w:val="-103"/>
          <w:w w:val="100"/>
        </w:rPr>
      </w:r>
      <w:r>
        <w:rPr>
          <w:spacing w:val="-2"/>
        </w:rPr>
        <w:t>的新的或进一步证据而需要调整或有对价的，相应调整合并商誉。购买方发生的合并成本及在合</w:t>
      </w:r>
      <w:r>
        <w:rPr>
          <w:spacing w:val="-25"/>
        </w:rPr>
        <w:t> </w:t>
      </w:r>
      <w:r>
        <w:rPr>
          <w:spacing w:val="-25"/>
        </w:rPr>
      </w:r>
      <w:r>
        <w:rPr>
          <w:spacing w:val="-2"/>
        </w:rPr>
        <w:t>并中取得的可辨认净资产按购买日的公允价值计量。合并成本大于合并中取得的被购买方于购买</w:t>
      </w:r>
      <w:r>
        <w:rPr>
          <w:spacing w:val="-25"/>
        </w:rPr>
        <w:t> </w:t>
      </w:r>
      <w:r>
        <w:rPr>
          <w:spacing w:val="-25"/>
        </w:rPr>
      </w:r>
      <w:r>
        <w:rPr>
          <w:spacing w:val="-2"/>
        </w:rPr>
        <w:t>日可辨认净资产公允价值份额的差额，确认为商誉。合并成本小于合并中取得的被购买方可辨认</w:t>
      </w:r>
      <w:r>
        <w:rPr>
          <w:spacing w:val="-25"/>
        </w:rPr>
        <w:t> </w:t>
      </w:r>
      <w:r>
        <w:rPr>
          <w:spacing w:val="-25"/>
        </w:rPr>
      </w:r>
      <w:r>
        <w:rPr>
          <w:spacing w:val="-2"/>
        </w:rPr>
        <w:t>净资产公允价值份额的，首先对取得的被购买方各项可辨认资产、负债及或有负债的公允价值以</w:t>
      </w:r>
      <w:r>
        <w:rPr>
          <w:spacing w:val="-25"/>
        </w:rPr>
        <w:t> </w:t>
      </w:r>
      <w:r>
        <w:rPr>
          <w:spacing w:val="-25"/>
        </w:rPr>
      </w:r>
      <w:r>
        <w:rPr>
          <w:spacing w:val="-2"/>
        </w:rPr>
        <w:t>及合并成本的计量进行复核，复核后合并成本仍小于合并中取得的被购买方可辨认净资产公允价</w:t>
      </w:r>
      <w:r>
        <w:rPr>
          <w:spacing w:val="-25"/>
        </w:rPr>
        <w:t> </w:t>
      </w:r>
      <w:r>
        <w:rPr>
          <w:spacing w:val="-25"/>
        </w:rPr>
      </w:r>
      <w:r>
        <w:rPr/>
        <w:t>值份额的，其差额计入当期损益。</w:t>
      </w:r>
    </w:p>
    <w:p>
      <w:pPr>
        <w:pStyle w:val="BodyText"/>
        <w:spacing w:line="357" w:lineRule="auto" w:before="30"/>
        <w:ind w:left="138" w:right="103" w:firstLine="419"/>
        <w:jc w:val="left"/>
      </w:pPr>
      <w:r>
        <w:rPr/>
        <w:t>购买方取得被购买方的可抵扣暂时性差异，在购买日因不符合递延所得税资产确认条件而未</w:t>
      </w:r>
      <w:r>
        <w:rPr>
          <w:w w:val="100"/>
        </w:rPr>
        <w:t> </w:t>
      </w:r>
      <w:r>
        <w:rPr/>
        <w:t>予确认的，在购买日后</w:t>
      </w:r>
      <w:r>
        <w:rPr>
          <w:spacing w:val="-51"/>
        </w:rPr>
        <w:t> </w:t>
      </w:r>
      <w:r>
        <w:rPr>
          <w:rFonts w:ascii="宋体" w:hAnsi="宋体" w:cs="宋体" w:eastAsia="宋体" w:hint="default"/>
        </w:rPr>
        <w:t>12</w:t>
      </w:r>
      <w:r>
        <w:rPr>
          <w:rFonts w:ascii="宋体" w:hAnsi="宋体" w:cs="宋体" w:eastAsia="宋体" w:hint="default"/>
          <w:spacing w:val="-54"/>
        </w:rPr>
        <w:t> </w:t>
      </w:r>
      <w:r>
        <w:rPr/>
        <w:t>个月内，如取得新的或进一步的信息表明购买日的相关情况已经存在，</w:t>
      </w:r>
      <w:r>
        <w:rPr>
          <w:w w:val="100"/>
        </w:rPr>
        <w:t> </w:t>
      </w:r>
      <w:r>
        <w:rPr/>
        <w:t>预期被购买方在购买日可抵扣暂时性差异带来的经济利益能够实现的，则确认相关的递延所得税</w:t>
      </w:r>
      <w:r>
        <w:rPr>
          <w:w w:val="100"/>
        </w:rPr>
        <w:t> </w:t>
      </w:r>
      <w:r>
        <w:rPr/>
        <w:t>资产，同时减少商誉，商誉不足冲减的，差额部分确认为当期损益；除上述情况以外，确认与企</w:t>
      </w:r>
      <w:r>
        <w:rPr>
          <w:w w:val="100"/>
        </w:rPr>
        <w:t> </w:t>
      </w:r>
      <w:r>
        <w:rPr/>
        <w:t>业合并相关的递延所得税资产的，计入当期损益。</w:t>
      </w:r>
    </w:p>
    <w:p>
      <w:pPr>
        <w:pStyle w:val="BodyText"/>
        <w:spacing w:line="357" w:lineRule="auto" w:before="30"/>
        <w:ind w:left="138" w:right="217" w:firstLine="419"/>
        <w:jc w:val="both"/>
      </w:pPr>
      <w:r>
        <w:rPr>
          <w:spacing w:val="-2"/>
        </w:rPr>
        <w:t>通过多次交易分步实现的非同一控制下企业合并，根据《财政部关于印发企业会计准则解释</w:t>
      </w:r>
      <w:r>
        <w:rPr>
          <w:w w:val="100"/>
        </w:rPr>
        <w:t> </w:t>
      </w:r>
      <w:r>
        <w:rPr/>
        <w:t>第</w:t>
      </w:r>
      <w:r>
        <w:rPr>
          <w:spacing w:val="-55"/>
        </w:rPr>
        <w:t> </w:t>
      </w:r>
      <w:r>
        <w:rPr>
          <w:rFonts w:ascii="宋体" w:hAnsi="宋体" w:cs="宋体" w:eastAsia="宋体" w:hint="default"/>
        </w:rPr>
        <w:t>5</w:t>
      </w:r>
      <w:r>
        <w:rPr>
          <w:rFonts w:ascii="宋体" w:hAnsi="宋体" w:cs="宋体" w:eastAsia="宋体" w:hint="default"/>
          <w:spacing w:val="-55"/>
        </w:rPr>
        <w:t> </w:t>
      </w:r>
      <w:r>
        <w:rPr/>
        <w:t>号的通知》（财会〔</w:t>
      </w:r>
      <w:r>
        <w:rPr>
          <w:rFonts w:ascii="宋体" w:hAnsi="宋体" w:cs="宋体" w:eastAsia="宋体" w:hint="default"/>
        </w:rPr>
        <w:t>2012</w:t>
      </w:r>
      <w:r>
        <w:rPr/>
        <w:t>〕</w:t>
      </w:r>
      <w:r>
        <w:rPr>
          <w:rFonts w:ascii="宋体" w:hAnsi="宋体" w:cs="宋体" w:eastAsia="宋体" w:hint="default"/>
        </w:rPr>
        <w:t>19</w:t>
      </w:r>
      <w:r>
        <w:rPr>
          <w:rFonts w:ascii="宋体" w:hAnsi="宋体" w:cs="宋体" w:eastAsia="宋体" w:hint="default"/>
          <w:spacing w:val="-55"/>
        </w:rPr>
        <w:t> </w:t>
      </w:r>
      <w:r>
        <w:rPr/>
        <w:t>号）和《企业会计准则第</w:t>
      </w:r>
      <w:r>
        <w:rPr>
          <w:spacing w:val="-55"/>
        </w:rPr>
        <w:t> </w:t>
      </w:r>
      <w:r>
        <w:rPr>
          <w:rFonts w:ascii="宋体" w:hAnsi="宋体" w:cs="宋体" w:eastAsia="宋体" w:hint="default"/>
        </w:rPr>
        <w:t>33</w:t>
      </w:r>
      <w:r>
        <w:rPr>
          <w:rFonts w:ascii="宋体" w:hAnsi="宋体" w:cs="宋体" w:eastAsia="宋体" w:hint="default"/>
          <w:spacing w:val="-55"/>
        </w:rPr>
        <w:t> </w:t>
      </w:r>
      <w:r>
        <w:rPr/>
        <w:t>号——合并财务报表》第五十一</w:t>
      </w:r>
      <w:r>
        <w:rPr>
          <w:w w:val="100"/>
        </w:rPr>
        <w:t> </w:t>
      </w:r>
      <w:r>
        <w:rPr>
          <w:spacing w:val="-2"/>
        </w:rPr>
        <w:t>条关于“一揽子交易”的判断标准（参见本报告第十一节、五、</w:t>
      </w:r>
      <w:r>
        <w:rPr>
          <w:rFonts w:ascii="宋体" w:hAnsi="宋体" w:cs="宋体" w:eastAsia="宋体" w:hint="default"/>
          <w:spacing w:val="-2"/>
        </w:rPr>
        <w:t>6</w:t>
      </w:r>
      <w:r>
        <w:rPr>
          <w:spacing w:val="-2"/>
        </w:rPr>
        <w:t>（</w:t>
      </w:r>
      <w:r>
        <w:rPr>
          <w:rFonts w:ascii="宋体" w:hAnsi="宋体" w:cs="宋体" w:eastAsia="宋体" w:hint="default"/>
          <w:spacing w:val="-2"/>
        </w:rPr>
        <w:t>2</w:t>
      </w:r>
      <w:r>
        <w:rPr>
          <w:spacing w:val="-2"/>
        </w:rPr>
        <w:t>）），判断该多次交易是否</w:t>
      </w:r>
      <w:r>
        <w:rPr>
          <w:spacing w:val="-24"/>
        </w:rPr>
        <w:t> </w:t>
      </w:r>
      <w:r>
        <w:rPr>
          <w:spacing w:val="-24"/>
        </w:rPr>
      </w:r>
      <w:r>
        <w:rPr>
          <w:spacing w:val="-2"/>
        </w:rPr>
        <w:t>属于“一揽子交易”。属于“一揽子交易”的，参考本部分前面各段描述及本报告第十一节、五</w:t>
      </w:r>
      <w:r>
        <w:rPr>
          <w:spacing w:val="-27"/>
        </w:rPr>
        <w:t> </w:t>
      </w:r>
      <w:r>
        <w:rPr>
          <w:spacing w:val="-27"/>
        </w:rPr>
      </w:r>
      <w:r>
        <w:rPr>
          <w:rFonts w:ascii="宋体" w:hAnsi="宋体" w:cs="宋体" w:eastAsia="宋体" w:hint="default"/>
          <w:spacing w:val="-2"/>
        </w:rPr>
        <w:t>14</w:t>
      </w:r>
      <w:r>
        <w:rPr>
          <w:spacing w:val="-2"/>
        </w:rPr>
        <w:t>“长期股权投资”进行会计处理；不属于“一揽子交易”的，区分个别财务报表和合并财务报</w:t>
      </w:r>
      <w:r>
        <w:rPr>
          <w:spacing w:val="-24"/>
        </w:rPr>
        <w:t> </w:t>
      </w:r>
      <w:r>
        <w:rPr>
          <w:spacing w:val="-24"/>
        </w:rPr>
      </w:r>
      <w:r>
        <w:rPr/>
        <w:t>表进行相关会计处理：</w:t>
      </w:r>
    </w:p>
    <w:p>
      <w:pPr>
        <w:pStyle w:val="BodyText"/>
        <w:spacing w:line="357" w:lineRule="auto" w:before="30"/>
        <w:ind w:left="138" w:right="207" w:firstLine="419"/>
        <w:jc w:val="both"/>
      </w:pPr>
      <w:r>
        <w:rPr>
          <w:spacing w:val="-2"/>
        </w:rPr>
        <w:t>在个别财务报表中，以购买日之前所持被购买方的股权投资的账面价值与购买日新增投资成</w:t>
      </w:r>
      <w:r>
        <w:rPr>
          <w:w w:val="100"/>
        </w:rPr>
        <w:t> </w:t>
      </w:r>
      <w:r>
        <w:rPr>
          <w:spacing w:val="-6"/>
          <w:w w:val="100"/>
        </w:rPr>
        <w:t>本之和，作为该项投资的初始投资成本；购买日之前持有的被购买方的股权涉及其他综合收益的，</w:t>
      </w:r>
      <w:r>
        <w:rPr>
          <w:w w:val="100"/>
        </w:rPr>
        <w:t> </w:t>
      </w:r>
      <w:r>
        <w:rPr>
          <w:spacing w:val="-2"/>
        </w:rPr>
        <w:t>在处置该项投资时将与其相关的其他综合收益采用与被购买方直接处置相关资产或负债相同的基</w:t>
      </w:r>
      <w:r>
        <w:rPr>
          <w:spacing w:val="-25"/>
        </w:rPr>
        <w:t> </w:t>
      </w:r>
      <w:r>
        <w:rPr>
          <w:spacing w:val="-25"/>
        </w:rPr>
      </w:r>
      <w:r>
        <w:rPr>
          <w:spacing w:val="-2"/>
        </w:rPr>
        <w:t>础进行会计处理（即，除了按照权益法核算的在被购买方重新计量设定受益计划净负债或净资产</w:t>
      </w:r>
      <w:r>
        <w:rPr>
          <w:spacing w:val="-25"/>
        </w:rPr>
        <w:t> </w:t>
      </w:r>
      <w:r>
        <w:rPr>
          <w:spacing w:val="-25"/>
        </w:rPr>
      </w:r>
      <w:r>
        <w:rPr/>
        <w:t>导致的变动中的相应份额以外，其余转入当期投资收益）。</w:t>
      </w:r>
    </w:p>
    <w:p>
      <w:pPr>
        <w:pStyle w:val="BodyText"/>
        <w:spacing w:line="357" w:lineRule="auto" w:before="30"/>
        <w:ind w:left="138" w:right="217" w:firstLine="419"/>
        <w:jc w:val="both"/>
      </w:pPr>
      <w:r>
        <w:rPr>
          <w:spacing w:val="-2"/>
        </w:rPr>
        <w:t>在合并财务报表中，对于购买日之前持有的被购买方的股权，按照该股权在购买日的公允价</w:t>
      </w:r>
      <w:r>
        <w:rPr>
          <w:w w:val="100"/>
        </w:rPr>
        <w:t> </w:t>
      </w:r>
      <w:r>
        <w:rPr>
          <w:spacing w:val="-2"/>
        </w:rPr>
        <w:t>值进行重新计量，公允价值与其账面价值的差额计入当期投资收益；购买日之前持有的被购买方</w:t>
      </w:r>
      <w:r>
        <w:rPr>
          <w:spacing w:val="-25"/>
        </w:rPr>
        <w:t> </w:t>
      </w:r>
      <w:r>
        <w:rPr>
          <w:spacing w:val="-25"/>
        </w:rPr>
      </w:r>
      <w:r>
        <w:rPr>
          <w:spacing w:val="-2"/>
        </w:rPr>
        <w:t>的股权涉及其他综合收益的，与其相关的其他综合收益应当采用与被购买方直接处置相关资产或</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217"/>
        <w:jc w:val="both"/>
      </w:pPr>
      <w:r>
        <w:rPr>
          <w:spacing w:val="-2"/>
        </w:rPr>
        <w:t>负债相同的基础进行会计处理（即，除了按照权益法核算的在被购买方重新计量设定受益计划净</w:t>
      </w:r>
      <w:r>
        <w:rPr>
          <w:spacing w:val="-25"/>
        </w:rPr>
        <w:t> </w:t>
      </w:r>
      <w:r>
        <w:rPr>
          <w:spacing w:val="-25"/>
        </w:rPr>
      </w:r>
      <w:r>
        <w:rPr/>
        <w:t>负债或净资产导致的变动中的相应份额以外，其余转为购买日所属当期投资收益）。</w:t>
      </w:r>
    </w:p>
    <w:p>
      <w:pPr>
        <w:pStyle w:val="Heading2"/>
        <w:spacing w:line="240" w:lineRule="auto" w:before="90"/>
        <w:ind w:left="138" w:right="0"/>
        <w:jc w:val="both"/>
        <w:rPr>
          <w:b w:val="0"/>
          <w:bCs w:val="0"/>
        </w:rPr>
      </w:pPr>
      <w:r>
        <w:rPr>
          <w:rFonts w:ascii="宋体" w:hAnsi="宋体" w:cs="宋体" w:eastAsia="宋体" w:hint="default"/>
        </w:rPr>
        <w:t>6. </w:t>
      </w:r>
      <w:r>
        <w:rPr>
          <w:rFonts w:ascii="宋体" w:hAnsi="宋体" w:cs="宋体" w:eastAsia="宋体" w:hint="default"/>
          <w:spacing w:val="1"/>
        </w:rPr>
        <w:t> </w:t>
      </w:r>
      <w:r>
        <w:rPr/>
        <w:t>合并财务报表的编制方法</w:t>
      </w:r>
      <w:r>
        <w:rPr>
          <w:b w:val="0"/>
          <w:bCs w:val="0"/>
        </w:rPr>
      </w:r>
    </w:p>
    <w:p>
      <w:pPr>
        <w:pStyle w:val="BodyText"/>
        <w:spacing w:line="274" w:lineRule="exact" w:before="56"/>
        <w:ind w:left="138" w:right="0"/>
        <w:jc w:val="both"/>
      </w:pPr>
      <w:r>
        <w:rPr/>
        <w:t>√适用</w:t>
      </w:r>
      <w:r>
        <w:rPr>
          <w:spacing w:val="104"/>
        </w:rPr>
        <w:t> </w:t>
      </w:r>
      <w:r>
        <w:rPr/>
        <w:t>□不适用</w:t>
      </w:r>
    </w:p>
    <w:p>
      <w:pPr>
        <w:pStyle w:val="BodyText"/>
        <w:spacing w:line="355" w:lineRule="auto"/>
        <w:ind w:left="558" w:right="212"/>
        <w:jc w:val="left"/>
      </w:pPr>
      <w:r>
        <w:rPr/>
        <w:t>（</w:t>
      </w:r>
      <w:r>
        <w:rPr>
          <w:rFonts w:ascii="宋体" w:hAnsi="宋体" w:cs="宋体" w:eastAsia="宋体" w:hint="default"/>
        </w:rPr>
        <w:t>1</w:t>
      </w:r>
      <w:r>
        <w:rPr/>
        <w:t>）合并财务报表范围的确定原则</w:t>
      </w:r>
      <w:r>
        <w:rPr>
          <w:w w:val="100"/>
        </w:rPr>
        <w:t> </w:t>
      </w:r>
      <w:r>
        <w:rPr>
          <w:spacing w:val="-2"/>
        </w:rPr>
        <w:t>合并财务报表的合并范围以控制为基础予以确定。控制是指本公司拥有对被投资方的权力，</w:t>
      </w:r>
    </w:p>
    <w:p>
      <w:pPr>
        <w:pStyle w:val="BodyText"/>
        <w:spacing w:line="355" w:lineRule="auto" w:before="32"/>
        <w:ind w:left="138" w:right="217"/>
        <w:jc w:val="both"/>
      </w:pPr>
      <w:r>
        <w:rPr>
          <w:spacing w:val="-2"/>
        </w:rPr>
        <w:t>通过参与被投资方的相关活动而享有可变回报，并且有能力运用对被投资方的权力影响该回报金</w:t>
      </w:r>
      <w:r>
        <w:rPr>
          <w:spacing w:val="-25"/>
        </w:rPr>
        <w:t> </w:t>
      </w:r>
      <w:r>
        <w:rPr>
          <w:spacing w:val="-25"/>
        </w:rPr>
      </w:r>
      <w:r>
        <w:rPr/>
        <w:t>额。合并范围包括本公司及全部子公司。子公司，是指被本公司控制的主体。</w:t>
      </w:r>
    </w:p>
    <w:p>
      <w:pPr>
        <w:pStyle w:val="BodyText"/>
        <w:spacing w:line="357" w:lineRule="auto" w:before="34"/>
        <w:ind w:left="138" w:right="217" w:firstLine="419"/>
        <w:jc w:val="both"/>
      </w:pPr>
      <w:r>
        <w:rPr>
          <w:spacing w:val="-2"/>
        </w:rPr>
        <w:t>一旦相关事实和情况的变化导致上述控制定义涉及的相关要素发生了变化，本公司将进行重</w:t>
      </w:r>
      <w:r>
        <w:rPr>
          <w:w w:val="100"/>
        </w:rPr>
        <w:t> </w:t>
      </w:r>
      <w:r>
        <w:rPr/>
        <w:t>新评估。</w:t>
      </w:r>
    </w:p>
    <w:p>
      <w:pPr>
        <w:pStyle w:val="BodyText"/>
        <w:spacing w:line="355" w:lineRule="auto" w:before="30"/>
        <w:ind w:left="558" w:right="0"/>
        <w:jc w:val="left"/>
      </w:pPr>
      <w:r>
        <w:rPr/>
        <w:t>（</w:t>
      </w:r>
      <w:r>
        <w:rPr>
          <w:rFonts w:ascii="宋体" w:hAnsi="宋体" w:cs="宋体" w:eastAsia="宋体" w:hint="default"/>
        </w:rPr>
        <w:t>2</w:t>
      </w:r>
      <w:r>
        <w:rPr/>
        <w:t>）合并财务报表编制的方法</w:t>
      </w:r>
      <w:r>
        <w:rPr>
          <w:w w:val="100"/>
        </w:rPr>
        <w:t> </w:t>
      </w:r>
      <w:r>
        <w:rPr>
          <w:spacing w:val="-4"/>
          <w:w w:val="100"/>
        </w:rPr>
        <w:t>从取得子公司的净资产和生产经营决策的实际控制权之日起，本公司开始将其纳入合并范围；</w:t>
      </w:r>
    </w:p>
    <w:p>
      <w:pPr>
        <w:pStyle w:val="BodyText"/>
        <w:spacing w:line="357" w:lineRule="auto" w:before="34"/>
        <w:ind w:left="138" w:right="104"/>
        <w:jc w:val="both"/>
      </w:pPr>
      <w:r>
        <w:rPr/>
        <w:t>从丧失实际控制权之日起停止纳入合并范围。对于处置的子公司，处置日前的经营成果和现金流</w:t>
      </w:r>
      <w:r>
        <w:rPr>
          <w:w w:val="100"/>
        </w:rPr>
        <w:t> </w:t>
      </w:r>
      <w:r>
        <w:rPr/>
        <w:t>量已经适当地包括在合并利润表和合并现金流量表中；当期处置的子公司，不调整合并资产负债</w:t>
      </w:r>
      <w:r>
        <w:rPr>
          <w:w w:val="100"/>
        </w:rPr>
        <w:t> </w:t>
      </w:r>
      <w:r>
        <w:rPr/>
        <w:t>表的期初数。非同一控制下企业合并增加的子公司，其购买日后的经营成果及现金流量已经适当</w:t>
      </w:r>
      <w:r>
        <w:rPr>
          <w:w w:val="100"/>
        </w:rPr>
        <w:t> </w:t>
      </w:r>
      <w:r>
        <w:rPr/>
        <w:t>地包括在合并利润表和合并现金流量表中，且不调整合并财务报表的期初数和对比数。同一控制</w:t>
      </w:r>
      <w:r>
        <w:rPr>
          <w:w w:val="100"/>
        </w:rPr>
        <w:t> </w:t>
      </w:r>
      <w:r>
        <w:rPr/>
        <w:t>下企业合并增加的子公司及吸收合并下的被合并方，其自合并当期期初至合并日的经营成果和现</w:t>
      </w:r>
      <w:r>
        <w:rPr>
          <w:w w:val="100"/>
        </w:rPr>
        <w:t> </w:t>
      </w:r>
      <w:r>
        <w:rPr>
          <w:spacing w:val="-4"/>
          <w:w w:val="100"/>
        </w:rPr>
        <w:t>金流量已经适当地包括在合并利润表和合并现金流量表中，并且同时调整合并财务报表的对比数。</w:t>
      </w:r>
    </w:p>
    <w:p>
      <w:pPr>
        <w:pStyle w:val="BodyText"/>
        <w:spacing w:line="355" w:lineRule="auto" w:before="30"/>
        <w:ind w:left="138" w:right="217" w:firstLine="419"/>
        <w:jc w:val="both"/>
      </w:pPr>
      <w:r>
        <w:rPr>
          <w:spacing w:val="-2"/>
        </w:rPr>
        <w:t>在编制合并财务报表时，子公司与本公司采用的会计政策或会计期间不一致的，按照本公司</w:t>
      </w:r>
      <w:r>
        <w:rPr>
          <w:w w:val="100"/>
        </w:rPr>
        <w:t> </w:t>
      </w:r>
      <w:r>
        <w:rPr>
          <w:spacing w:val="-2"/>
        </w:rPr>
        <w:t>的会计政策和会计期间对子公司财务报表进行必要的调整。对于非同一控制下企业合并取得的子</w:t>
      </w:r>
      <w:r>
        <w:rPr>
          <w:spacing w:val="-25"/>
        </w:rPr>
        <w:t> </w:t>
      </w:r>
      <w:r>
        <w:rPr>
          <w:spacing w:val="-25"/>
        </w:rPr>
      </w:r>
      <w:r>
        <w:rPr/>
        <w:t>公司，以购买日可辨认净资产公允价值为基础对其财务报表进行调整。</w:t>
      </w:r>
    </w:p>
    <w:p>
      <w:pPr>
        <w:pStyle w:val="BodyText"/>
        <w:spacing w:line="357" w:lineRule="auto" w:before="32"/>
        <w:ind w:left="558" w:right="212"/>
        <w:jc w:val="left"/>
      </w:pPr>
      <w:r>
        <w:rPr/>
        <w:t>公司内所有重大往来余额、交易及未实现利润在合并财务报表编制时予以抵销。</w:t>
      </w:r>
      <w:r>
        <w:rPr>
          <w:w w:val="100"/>
        </w:rPr>
        <w:t> </w:t>
      </w:r>
      <w:r>
        <w:rPr>
          <w:spacing w:val="-2"/>
        </w:rPr>
        <w:t>子公司的股东权益及当期净损益中不属于本公司所拥有的部分分别作为少数股东权益及少数</w:t>
      </w:r>
    </w:p>
    <w:p>
      <w:pPr>
        <w:pStyle w:val="BodyText"/>
        <w:spacing w:line="357" w:lineRule="auto" w:before="30"/>
        <w:ind w:left="138" w:right="217"/>
        <w:jc w:val="both"/>
      </w:pPr>
      <w:r>
        <w:rPr>
          <w:spacing w:val="-2"/>
        </w:rPr>
        <w:t>股东损益在合并财务报表中股东权益及净利润项下单独列示。子公司当期净损益中属于少数股东</w:t>
      </w:r>
      <w:r>
        <w:rPr>
          <w:spacing w:val="-25"/>
        </w:rPr>
        <w:t> </w:t>
      </w:r>
      <w:r>
        <w:rPr>
          <w:spacing w:val="-25"/>
        </w:rPr>
      </w:r>
      <w:r>
        <w:rPr>
          <w:spacing w:val="-2"/>
        </w:rPr>
        <w:t>权益的份额，在合并利润表中净利润项目下以“少数股东损益”项目列示。少数股东分担的子公</w:t>
      </w:r>
      <w:r>
        <w:rPr>
          <w:spacing w:val="-25"/>
        </w:rPr>
        <w:t> </w:t>
      </w:r>
      <w:r>
        <w:rPr>
          <w:spacing w:val="-25"/>
        </w:rPr>
      </w:r>
      <w:r>
        <w:rPr/>
        <w:t>司的亏损超过了少数股东在该子公司期初股东权益中所享有的份额，仍冲减少数股东权益。</w:t>
      </w:r>
    </w:p>
    <w:p>
      <w:pPr>
        <w:pStyle w:val="BodyText"/>
        <w:spacing w:line="357" w:lineRule="auto" w:before="32"/>
        <w:ind w:left="138" w:right="207" w:firstLine="419"/>
        <w:jc w:val="both"/>
      </w:pPr>
      <w:r>
        <w:rPr>
          <w:spacing w:val="-2"/>
        </w:rPr>
        <w:t>当因处置部分股权投资或其他原因丧失了对原有子公司的控制权时，对于剩余股权，按照其</w:t>
      </w:r>
      <w:r>
        <w:rPr>
          <w:w w:val="100"/>
        </w:rPr>
        <w:t> </w:t>
      </w:r>
      <w:r>
        <w:rPr>
          <w:spacing w:val="-2"/>
        </w:rPr>
        <w:t>在丧失控制权日的公允价值进行重新计量。处置股权取得的对价与剩余股权公允价值之和，减去</w:t>
      </w:r>
      <w:r>
        <w:rPr>
          <w:spacing w:val="-25"/>
        </w:rPr>
        <w:t> </w:t>
      </w:r>
      <w:r>
        <w:rPr>
          <w:spacing w:val="-25"/>
        </w:rPr>
      </w:r>
      <w:r>
        <w:rPr>
          <w:spacing w:val="-2"/>
        </w:rPr>
        <w:t>按原持股比例计算应享有原有子公司自购买日开始持续计算的净资产的份额之间的差额，计入丧</w:t>
      </w:r>
      <w:r>
        <w:rPr>
          <w:spacing w:val="-25"/>
        </w:rPr>
        <w:t> </w:t>
      </w:r>
      <w:r>
        <w:rPr>
          <w:spacing w:val="-25"/>
        </w:rPr>
      </w:r>
      <w:r>
        <w:rPr>
          <w:spacing w:val="-2"/>
        </w:rPr>
        <w:t>失控制权当期的投资收益。与原有子公司股权投资相关的其他综合收益，在丧失控制权时采用与</w:t>
      </w:r>
      <w:r>
        <w:rPr>
          <w:spacing w:val="-25"/>
        </w:rPr>
        <w:t> </w:t>
      </w:r>
      <w:r>
        <w:rPr>
          <w:spacing w:val="-25"/>
        </w:rPr>
      </w:r>
      <w:r>
        <w:rPr>
          <w:spacing w:val="-2"/>
        </w:rPr>
        <w:t>被购买方直接处置相关资产或负债相同的基础进行会计处理（即，除了在该原有子公司重新计量</w:t>
      </w:r>
      <w:r>
        <w:rPr>
          <w:spacing w:val="-25"/>
        </w:rPr>
        <w:t> </w:t>
      </w:r>
      <w:r>
        <w:rPr>
          <w:spacing w:val="-25"/>
        </w:rPr>
      </w:r>
      <w:r>
        <w:rPr>
          <w:spacing w:val="-2"/>
        </w:rPr>
        <w:t>设定受益计划净负债或净资产导致的变动以外，其余一并转为当期投资收益）。其后，对该部分</w:t>
      </w:r>
      <w:r>
        <w:rPr>
          <w:spacing w:val="-25"/>
        </w:rPr>
        <w:t> </w:t>
      </w:r>
      <w:r>
        <w:rPr>
          <w:spacing w:val="-25"/>
        </w:rPr>
      </w:r>
      <w:r>
        <w:rPr>
          <w:spacing w:val="-4"/>
        </w:rPr>
        <w:t>剩余股权按照《企业会计准则第</w:t>
      </w:r>
      <w:r>
        <w:rPr>
          <w:spacing w:val="-40"/>
        </w:rPr>
        <w:t> </w:t>
      </w:r>
      <w:r>
        <w:rPr>
          <w:rFonts w:ascii="宋体" w:hAnsi="宋体" w:cs="宋体" w:eastAsia="宋体" w:hint="default"/>
        </w:rPr>
        <w:t>2</w:t>
      </w:r>
      <w:r>
        <w:rPr>
          <w:rFonts w:ascii="宋体" w:hAnsi="宋体" w:cs="宋体" w:eastAsia="宋体" w:hint="default"/>
          <w:spacing w:val="-40"/>
        </w:rPr>
        <w:t> </w:t>
      </w:r>
      <w:r>
        <w:rPr>
          <w:spacing w:val="-5"/>
        </w:rPr>
        <w:t>号——长期股权投资》或《企业会计准则第</w:t>
      </w:r>
      <w:r>
        <w:rPr>
          <w:spacing w:val="-39"/>
        </w:rPr>
        <w:t> </w:t>
      </w:r>
      <w:r>
        <w:rPr>
          <w:rFonts w:ascii="宋体" w:hAnsi="宋体" w:cs="宋体" w:eastAsia="宋体" w:hint="default"/>
        </w:rPr>
        <w:t>22</w:t>
      </w:r>
      <w:r>
        <w:rPr>
          <w:rFonts w:ascii="宋体" w:hAnsi="宋体" w:cs="宋体" w:eastAsia="宋体" w:hint="default"/>
          <w:spacing w:val="-43"/>
        </w:rPr>
        <w:t> </w:t>
      </w:r>
      <w:r>
        <w:rPr/>
        <w:t>号——金融工具</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217"/>
        <w:jc w:val="both"/>
      </w:pPr>
      <w:r>
        <w:rPr>
          <w:spacing w:val="-2"/>
        </w:rPr>
        <w:t>确认和计量》等相关规定进行后续计量，详见本报告第十一节、五、</w:t>
      </w:r>
      <w:r>
        <w:rPr>
          <w:rFonts w:ascii="宋体" w:hAnsi="宋体" w:cs="宋体" w:eastAsia="宋体" w:hint="default"/>
          <w:spacing w:val="-2"/>
        </w:rPr>
        <w:t>14</w:t>
      </w:r>
      <w:r>
        <w:rPr>
          <w:spacing w:val="-2"/>
        </w:rPr>
        <w:t>“长期股权投资”或本报</w:t>
      </w:r>
      <w:r>
        <w:rPr>
          <w:spacing w:val="-23"/>
        </w:rPr>
        <w:t> </w:t>
      </w:r>
      <w:r>
        <w:rPr>
          <w:spacing w:val="-23"/>
        </w:rPr>
      </w:r>
      <w:r>
        <w:rPr/>
        <w:t>告第十一节、五、</w:t>
      </w:r>
      <w:r>
        <w:rPr>
          <w:rFonts w:ascii="宋体" w:hAnsi="宋体" w:cs="宋体" w:eastAsia="宋体" w:hint="default"/>
        </w:rPr>
        <w:t>10</w:t>
      </w:r>
      <w:r>
        <w:rPr/>
        <w:t>“金融工具”。</w:t>
      </w:r>
    </w:p>
    <w:p>
      <w:pPr>
        <w:pStyle w:val="BodyText"/>
        <w:spacing w:line="357" w:lineRule="auto" w:before="30"/>
        <w:ind w:left="138" w:right="0" w:firstLine="199"/>
        <w:jc w:val="left"/>
      </w:pPr>
      <w:r>
        <w:rPr/>
        <w:t>本公司通过多次交易分步处置对子公司股权投资直至丧失控制权的，需区分处置对子公司股权</w:t>
      </w:r>
      <w:r>
        <w:rPr>
          <w:w w:val="100"/>
        </w:rPr>
        <w:t> </w:t>
      </w:r>
      <w:r>
        <w:rPr>
          <w:spacing w:val="-4"/>
          <w:w w:val="100"/>
        </w:rPr>
        <w:t>投资直至丧失控制权的各项交易是否属于一揽子交易。处置对子公司股权投资的各项交易的条款、</w:t>
      </w:r>
      <w:r>
        <w:rPr>
          <w:spacing w:val="-85"/>
          <w:w w:val="100"/>
        </w:rPr>
        <w:t> </w:t>
      </w:r>
      <w:r>
        <w:rPr>
          <w:spacing w:val="-85"/>
          <w:w w:val="100"/>
        </w:rPr>
      </w:r>
      <w:r>
        <w:rPr/>
        <w:t>条件以及经济影响符合以下一种或多种情况，通常表明应将多次交易事项作为一揽子交易进行会</w:t>
      </w:r>
      <w:r>
        <w:rPr>
          <w:w w:val="100"/>
        </w:rPr>
        <w:t> </w:t>
      </w:r>
      <w:r>
        <w:rPr/>
        <w:t>计处理：①这些交易是同时或者在考虑了彼此影响的情况下订立的；②这些交易整体才能达成一</w:t>
      </w:r>
      <w:r>
        <w:rPr>
          <w:w w:val="100"/>
        </w:rPr>
        <w:t> </w:t>
      </w:r>
      <w:r>
        <w:rPr/>
        <w:t>项完整的商业结果；③一项交易的发生取决于其他至少一项交易的发生；④一项交易单独看是不</w:t>
      </w:r>
      <w:r>
        <w:rPr>
          <w:w w:val="100"/>
        </w:rPr>
        <w:t> </w:t>
      </w:r>
      <w:r>
        <w:rPr/>
        <w:t>经济的，但是和其他交易一并考虑时是经济的。不属于一揽子交易的，对其中的每一项交易视情</w:t>
      </w:r>
      <w:r>
        <w:rPr>
          <w:w w:val="100"/>
        </w:rPr>
        <w:t> </w:t>
      </w:r>
      <w:r>
        <w:rPr>
          <w:spacing w:val="-6"/>
          <w:w w:val="100"/>
        </w:rPr>
        <w:t>况分别按照“不丧失控制权的情况下部分处置对子公司的长期股权投资”（详见本报告第十一节、</w:t>
      </w:r>
      <w:r>
        <w:rPr>
          <w:w w:val="100"/>
        </w:rPr>
        <w:t> </w:t>
      </w:r>
      <w:r>
        <w:rPr>
          <w:spacing w:val="-4"/>
        </w:rPr>
        <w:t>五、</w:t>
      </w:r>
      <w:r>
        <w:rPr>
          <w:rFonts w:ascii="宋体" w:hAnsi="宋体" w:cs="宋体" w:eastAsia="宋体" w:hint="default"/>
          <w:spacing w:val="-4"/>
        </w:rPr>
        <w:t>14</w:t>
      </w:r>
      <w:r>
        <w:rPr>
          <w:spacing w:val="-4"/>
        </w:rPr>
        <w:t>、（</w:t>
      </w:r>
      <w:r>
        <w:rPr>
          <w:rFonts w:ascii="宋体" w:hAnsi="宋体" w:cs="宋体" w:eastAsia="宋体" w:hint="default"/>
          <w:spacing w:val="-4"/>
        </w:rPr>
        <w:t>2</w:t>
      </w:r>
      <w:r>
        <w:rPr>
          <w:spacing w:val="-4"/>
        </w:rPr>
        <w:t>）④）和“因处置部分股权投资或其他原因丧失了对原有子公司的控制权”（详见前</w:t>
      </w:r>
      <w:r>
        <w:rPr>
          <w:spacing w:val="-29"/>
        </w:rPr>
        <w:t> </w:t>
      </w:r>
      <w:r>
        <w:rPr>
          <w:spacing w:val="-29"/>
        </w:rPr>
      </w:r>
      <w:r>
        <w:rPr/>
        <w:t>段）适用的原则进行会计处理。处置对子公司股权投资直至丧失控制权的各项交易属于一揽子交</w:t>
      </w:r>
      <w:r>
        <w:rPr>
          <w:w w:val="100"/>
        </w:rPr>
        <w:t> </w:t>
      </w:r>
      <w:r>
        <w:rPr/>
        <w:t>易的，将各项交易作为一项处置子公司并丧失控制权的交易进行会计处理；但是，在丧失控制权</w:t>
      </w:r>
      <w:r>
        <w:rPr>
          <w:w w:val="100"/>
        </w:rPr>
        <w:t> </w:t>
      </w:r>
      <w:r>
        <w:rPr/>
        <w:t>之前每一次处置价款与处置投资对应的享有该子公司净资产份额的差额，在合并财务报表中确认</w:t>
      </w:r>
      <w:r>
        <w:rPr>
          <w:w w:val="100"/>
        </w:rPr>
        <w:t> </w:t>
      </w:r>
      <w:r>
        <w:rPr/>
        <w:t>为其他综合收益，在丧失控制权时一并转入丧失控制权当期的损益。</w:t>
      </w:r>
    </w:p>
    <w:p>
      <w:pPr>
        <w:pStyle w:val="Heading2"/>
        <w:tabs>
          <w:tab w:pos="562" w:val="left" w:leader="none"/>
        </w:tabs>
        <w:spacing w:line="240" w:lineRule="auto" w:before="90"/>
        <w:ind w:left="138" w:right="212"/>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tabs>
          <w:tab w:pos="980" w:val="left" w:leader="none"/>
        </w:tabs>
        <w:spacing w:line="272" w:lineRule="exact" w:before="86"/>
        <w:ind w:left="558" w:right="217" w:hanging="420"/>
        <w:jc w:val="left"/>
      </w:pPr>
      <w:r>
        <w:rPr>
          <w:spacing w:val="-1"/>
        </w:rPr>
        <w:t>√适用</w:t>
        <w:tab/>
      </w:r>
      <w:r>
        <w:rPr>
          <w:spacing w:val="-2"/>
        </w:rPr>
        <w:t>□不适用</w:t>
      </w:r>
      <w:r>
        <w:rPr>
          <w:spacing w:val="-99"/>
        </w:rPr>
        <w:t> </w:t>
      </w:r>
      <w:r>
        <w:rPr>
          <w:spacing w:val="-99"/>
        </w:rPr>
      </w:r>
      <w:r>
        <w:rPr>
          <w:spacing w:val="-2"/>
        </w:rPr>
        <w:t>合营安排，是指一项由两个或两个以上的参与方共同控制的安排。本公司根据在合营安排中</w:t>
      </w:r>
    </w:p>
    <w:p>
      <w:pPr>
        <w:pStyle w:val="BodyText"/>
        <w:spacing w:line="355" w:lineRule="auto" w:before="111"/>
        <w:ind w:left="138" w:right="217"/>
        <w:jc w:val="both"/>
      </w:pPr>
      <w:r>
        <w:rPr>
          <w:spacing w:val="-2"/>
        </w:rPr>
        <w:t>享有的权利和承担的义务，将合营安排分为共同经营和合营企业。共同经营，是指本公司享有该</w:t>
      </w:r>
      <w:r>
        <w:rPr>
          <w:spacing w:val="-25"/>
        </w:rPr>
        <w:t> </w:t>
      </w:r>
      <w:r>
        <w:rPr>
          <w:spacing w:val="-25"/>
        </w:rPr>
      </w:r>
      <w:r>
        <w:rPr>
          <w:spacing w:val="-2"/>
        </w:rPr>
        <w:t>安排相关资产且承担该安排相关负债的合营安排。合营企业，是指本公司仅对该安排的净资产享</w:t>
      </w:r>
      <w:r>
        <w:rPr>
          <w:spacing w:val="-25"/>
        </w:rPr>
        <w:t> </w:t>
      </w:r>
      <w:r>
        <w:rPr>
          <w:spacing w:val="-25"/>
        </w:rPr>
      </w:r>
      <w:r>
        <w:rPr/>
        <w:t>有权利的合营安排。</w:t>
      </w:r>
    </w:p>
    <w:p>
      <w:pPr>
        <w:pStyle w:val="BodyText"/>
        <w:spacing w:line="355" w:lineRule="auto" w:before="32"/>
        <w:ind w:left="138" w:right="207" w:firstLine="419"/>
        <w:jc w:val="both"/>
      </w:pPr>
      <w:r>
        <w:rPr>
          <w:spacing w:val="-4"/>
        </w:rPr>
        <w:t>本公司对合营企业的投资采用权益法核算，按照本报告第十一节、五、</w:t>
      </w:r>
      <w:r>
        <w:rPr>
          <w:rFonts w:ascii="宋体" w:hAnsi="宋体" w:cs="宋体" w:eastAsia="宋体" w:hint="default"/>
          <w:spacing w:val="-4"/>
        </w:rPr>
        <w:t>14</w:t>
      </w:r>
      <w:r>
        <w:rPr>
          <w:spacing w:val="-4"/>
        </w:rPr>
        <w:t>（</w:t>
      </w:r>
      <w:r>
        <w:rPr>
          <w:rFonts w:ascii="宋体" w:hAnsi="宋体" w:cs="宋体" w:eastAsia="宋体" w:hint="default"/>
          <w:spacing w:val="-4"/>
        </w:rPr>
        <w:t>2</w:t>
      </w:r>
      <w:r>
        <w:rPr>
          <w:spacing w:val="-4"/>
        </w:rPr>
        <w:t>）②“权益法核</w:t>
      </w:r>
      <w:r>
        <w:rPr>
          <w:w w:val="100"/>
        </w:rPr>
        <w:t> </w:t>
      </w:r>
      <w:r>
        <w:rPr/>
        <w:t>算的长期股权投资”中所述的会计政策处理。</w:t>
      </w:r>
    </w:p>
    <w:p>
      <w:pPr>
        <w:pStyle w:val="BodyText"/>
        <w:spacing w:line="357" w:lineRule="auto" w:before="34"/>
        <w:ind w:left="138" w:right="208" w:firstLine="419"/>
        <w:jc w:val="both"/>
      </w:pPr>
      <w:r>
        <w:rPr>
          <w:spacing w:val="-2"/>
        </w:rPr>
        <w:t>本公司作为合营方对共同经营，确认本公司单独持有的资产、单独所承担的负债，以及按本</w:t>
      </w:r>
      <w:r>
        <w:rPr>
          <w:w w:val="100"/>
        </w:rPr>
        <w:t> </w:t>
      </w:r>
      <w:r>
        <w:rPr>
          <w:spacing w:val="-2"/>
        </w:rPr>
        <w:t>公司份额确认共同持有的资产和共同承担的负债；确认出售本公司享有的共同经营产出份额所产</w:t>
      </w:r>
      <w:r>
        <w:rPr>
          <w:spacing w:val="-25"/>
        </w:rPr>
        <w:t> </w:t>
      </w:r>
      <w:r>
        <w:rPr>
          <w:spacing w:val="-25"/>
        </w:rPr>
      </w:r>
      <w:r>
        <w:rPr>
          <w:spacing w:val="-6"/>
          <w:w w:val="100"/>
        </w:rPr>
        <w:t>生的收入；按本公司份额确认共同经营因出售产出所产生的收入；确认本公司单独所发生的费用，</w:t>
      </w:r>
      <w:r>
        <w:rPr>
          <w:w w:val="100"/>
        </w:rPr>
        <w:t> </w:t>
      </w:r>
      <w:r>
        <w:rPr/>
        <w:t>以及按本公司份额确认共同经营发生的费用。</w:t>
      </w:r>
    </w:p>
    <w:p>
      <w:pPr>
        <w:pStyle w:val="BodyText"/>
        <w:spacing w:line="355" w:lineRule="auto" w:before="32"/>
        <w:ind w:left="138" w:right="217" w:firstLine="419"/>
        <w:jc w:val="both"/>
      </w:pPr>
      <w:r>
        <w:rPr>
          <w:spacing w:val="-2"/>
        </w:rPr>
        <w:t>当本公司作为合营方向共同经营投出或出售资产（该资产不构成业务，下同）、或者自共同</w:t>
      </w:r>
      <w:r>
        <w:rPr>
          <w:w w:val="100"/>
        </w:rPr>
        <w:t> </w:t>
      </w:r>
      <w:r>
        <w:rPr>
          <w:spacing w:val="-2"/>
        </w:rPr>
        <w:t>经营购买资产时，在该等资产出售给第三方之前，本公司仅确认因该交易产生的损益中归属于共</w:t>
      </w:r>
      <w:r>
        <w:rPr>
          <w:spacing w:val="-25"/>
        </w:rPr>
        <w:t> </w:t>
      </w:r>
      <w:r>
        <w:rPr>
          <w:spacing w:val="-25"/>
        </w:rPr>
      </w:r>
      <w:r>
        <w:rPr/>
        <w:t>同经营其他参与方的部分。该等资产发生符合《企业会计准则第</w:t>
      </w:r>
      <w:r>
        <w:rPr>
          <w:spacing w:val="-54"/>
        </w:rPr>
        <w:t> </w:t>
      </w:r>
      <w:r>
        <w:rPr>
          <w:rFonts w:ascii="宋体" w:hAnsi="宋体" w:cs="宋体" w:eastAsia="宋体" w:hint="default"/>
        </w:rPr>
        <w:t>8</w:t>
      </w:r>
      <w:r>
        <w:rPr>
          <w:rFonts w:ascii="宋体" w:hAnsi="宋体" w:cs="宋体" w:eastAsia="宋体" w:hint="default"/>
          <w:spacing w:val="-56"/>
        </w:rPr>
        <w:t> </w:t>
      </w:r>
      <w:r>
        <w:rPr/>
        <w:t>号——资产减值》等规定的资</w:t>
      </w:r>
      <w:r>
        <w:rPr>
          <w:w w:val="100"/>
        </w:rPr>
        <w:t> </w:t>
      </w:r>
      <w:r>
        <w:rPr>
          <w:spacing w:val="-2"/>
        </w:rPr>
        <w:t>产减值损失的，对于由本公司向共同经营投出或出售资产的情况，本公司全额确认该损失；对于</w:t>
      </w:r>
      <w:r>
        <w:rPr>
          <w:spacing w:val="-25"/>
        </w:rPr>
        <w:t> </w:t>
      </w:r>
      <w:r>
        <w:rPr>
          <w:spacing w:val="-25"/>
        </w:rPr>
      </w:r>
      <w:r>
        <w:rPr/>
        <w:t>本公司自共同经营购买资产的情况，本公司按承担的份额确认该损失。</w:t>
      </w:r>
    </w:p>
    <w:p>
      <w:pPr>
        <w:tabs>
          <w:tab w:pos="562" w:val="left" w:leader="none"/>
        </w:tabs>
        <w:spacing w:line="290" w:lineRule="auto" w:before="94"/>
        <w:ind w:left="558" w:right="217"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40" w:lineRule="auto" w:before="89"/>
        <w:ind w:left="138" w:right="212"/>
        <w:jc w:val="left"/>
      </w:pPr>
      <w:r>
        <w:rPr/>
        <w:t>换为已知金额现金、价值变动风险很小的投资。</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2"/>
        <w:spacing w:line="240" w:lineRule="auto"/>
        <w:ind w:left="138" w:right="0"/>
        <w:jc w:val="both"/>
        <w:rPr>
          <w:b w:val="0"/>
          <w:bCs w:val="0"/>
        </w:rPr>
      </w:pPr>
      <w:r>
        <w:rPr>
          <w:rFonts w:ascii="宋体" w:hAnsi="宋体" w:cs="宋体" w:eastAsia="宋体" w:hint="default"/>
        </w:rPr>
        <w:t>9. </w:t>
      </w:r>
      <w:r>
        <w:rPr>
          <w:rFonts w:ascii="宋体" w:hAnsi="宋体" w:cs="宋体" w:eastAsia="宋体" w:hint="default"/>
          <w:spacing w:val="1"/>
        </w:rPr>
        <w:t> </w:t>
      </w:r>
      <w:r>
        <w:rPr/>
        <w:t>外币业务和外币报表折算</w:t>
      </w:r>
      <w:r>
        <w:rPr>
          <w:b w:val="0"/>
          <w:bCs w:val="0"/>
        </w:rPr>
      </w:r>
    </w:p>
    <w:p>
      <w:pPr>
        <w:pStyle w:val="BodyText"/>
        <w:spacing w:line="273" w:lineRule="exact" w:before="58"/>
        <w:ind w:left="138" w:right="0"/>
        <w:jc w:val="both"/>
      </w:pPr>
      <w:r>
        <w:rPr/>
        <w:t>√适用</w:t>
      </w:r>
      <w:r>
        <w:rPr>
          <w:spacing w:val="104"/>
        </w:rPr>
        <w:t> </w:t>
      </w:r>
      <w:r>
        <w:rPr/>
        <w:t>□不适用</w:t>
      </w:r>
    </w:p>
    <w:p>
      <w:pPr>
        <w:pStyle w:val="BodyText"/>
        <w:spacing w:line="357" w:lineRule="auto"/>
        <w:ind w:left="558" w:right="212"/>
        <w:jc w:val="left"/>
      </w:pPr>
      <w:r>
        <w:rPr/>
        <w:t>（</w:t>
      </w:r>
      <w:r>
        <w:rPr>
          <w:rFonts w:ascii="宋体" w:hAnsi="宋体" w:cs="宋体" w:eastAsia="宋体" w:hint="default"/>
        </w:rPr>
        <w:t>1</w:t>
      </w:r>
      <w:r>
        <w:rPr/>
        <w:t>）外币交易的折算方法</w:t>
      </w:r>
      <w:r>
        <w:rPr>
          <w:w w:val="100"/>
        </w:rPr>
        <w:t> </w:t>
      </w:r>
      <w:r>
        <w:rPr>
          <w:spacing w:val="-2"/>
        </w:rPr>
        <w:t>本公司发生的外币交易在初始确认时，按交易日的即期汇率（通常指中国人民银行公布的当</w:t>
      </w:r>
    </w:p>
    <w:p>
      <w:pPr>
        <w:pStyle w:val="BodyText"/>
        <w:spacing w:line="355" w:lineRule="auto" w:before="30"/>
        <w:ind w:left="138" w:right="217"/>
        <w:jc w:val="both"/>
      </w:pPr>
      <w:r>
        <w:rPr>
          <w:spacing w:val="-2"/>
        </w:rPr>
        <w:t>日外汇牌价的中间价，下同）折算为记账本位币金额，但公司发生的外币兑换业务或涉及外币兑</w:t>
      </w:r>
      <w:r>
        <w:rPr>
          <w:spacing w:val="-25"/>
        </w:rPr>
        <w:t> </w:t>
      </w:r>
      <w:r>
        <w:rPr>
          <w:spacing w:val="-25"/>
        </w:rPr>
      </w:r>
      <w:r>
        <w:rPr/>
        <w:t>换的交易事项，按照实际采用的汇率折算为记账本位币金额。</w:t>
      </w:r>
    </w:p>
    <w:p>
      <w:pPr>
        <w:pStyle w:val="BodyText"/>
        <w:spacing w:line="355" w:lineRule="auto" w:before="32"/>
        <w:ind w:left="558" w:right="212"/>
        <w:jc w:val="left"/>
      </w:pPr>
      <w:r>
        <w:rPr/>
        <w:t>（</w:t>
      </w:r>
      <w:r>
        <w:rPr>
          <w:rFonts w:ascii="宋体" w:hAnsi="宋体" w:cs="宋体" w:eastAsia="宋体" w:hint="default"/>
        </w:rPr>
        <w:t>2</w:t>
      </w:r>
      <w:r>
        <w:rPr/>
        <w:t>）对于外币货币性项目和外币非货币性项目的折算方法</w:t>
      </w:r>
      <w:r>
        <w:rPr>
          <w:w w:val="100"/>
        </w:rPr>
        <w:t> </w:t>
      </w:r>
      <w:r>
        <w:rPr>
          <w:spacing w:val="-7"/>
          <w:w w:val="100"/>
        </w:rPr>
        <w:t>资产负债表日，对于外币货币性项目采用资产负债表日即期汇率折算，由此产生的汇兑差额，</w:t>
      </w:r>
    </w:p>
    <w:p>
      <w:pPr>
        <w:pStyle w:val="BodyText"/>
        <w:spacing w:line="357" w:lineRule="auto" w:before="34"/>
        <w:ind w:left="138" w:right="217"/>
        <w:jc w:val="both"/>
      </w:pPr>
      <w:r>
        <w:rPr>
          <w:spacing w:val="-2"/>
        </w:rPr>
        <w:t>除：①属于与购建符合资本化条件的资产相关的外币专门借款产生的汇兑差额按照借款费用资本</w:t>
      </w:r>
      <w:r>
        <w:rPr>
          <w:spacing w:val="-25"/>
        </w:rPr>
        <w:t> </w:t>
      </w:r>
      <w:r>
        <w:rPr>
          <w:spacing w:val="-25"/>
        </w:rPr>
      </w:r>
      <w:r>
        <w:rPr>
          <w:spacing w:val="-2"/>
        </w:rPr>
        <w:t>化的原则处理；以及②可供出售的外币货币性项目除摊余成本之外的其他账面余额变动产生的汇</w:t>
      </w:r>
      <w:r>
        <w:rPr>
          <w:spacing w:val="-25"/>
        </w:rPr>
        <w:t> </w:t>
      </w:r>
      <w:r>
        <w:rPr>
          <w:spacing w:val="-25"/>
        </w:rPr>
      </w:r>
      <w:r>
        <w:rPr/>
        <w:t>兑差额计入其他综合收益之外，均计入当期损益。</w:t>
      </w:r>
    </w:p>
    <w:p>
      <w:pPr>
        <w:pStyle w:val="BodyText"/>
        <w:spacing w:line="357" w:lineRule="auto" w:before="30"/>
        <w:ind w:left="138" w:right="212" w:firstLine="419"/>
        <w:jc w:val="left"/>
      </w:pPr>
      <w:r>
        <w:rPr>
          <w:spacing w:val="-2"/>
        </w:rPr>
        <w:t>编制合并财务报表涉及境外经营的，如有实质上构成对境外经营净投资的外币货币性项目，</w:t>
      </w:r>
      <w:r>
        <w:rPr>
          <w:w w:val="100"/>
        </w:rPr>
        <w:t> </w:t>
      </w:r>
      <w:r>
        <w:rPr/>
        <w:t>因汇率变动而产生的汇兑差额，计入其他综合收益；处置境外经营时，转入处置当期损益。</w:t>
      </w:r>
    </w:p>
    <w:p>
      <w:pPr>
        <w:pStyle w:val="BodyText"/>
        <w:spacing w:line="355" w:lineRule="auto" w:before="30"/>
        <w:ind w:left="138" w:right="217" w:firstLine="419"/>
        <w:jc w:val="both"/>
      </w:pPr>
      <w:r>
        <w:rPr>
          <w:spacing w:val="-2"/>
        </w:rPr>
        <w:t>以历史成本计量的外币非货币性项目，仍采用交易发生日的即期汇率折算的记账本位币金额</w:t>
      </w:r>
      <w:r>
        <w:rPr>
          <w:w w:val="100"/>
        </w:rPr>
        <w:t> </w:t>
      </w:r>
      <w:r>
        <w:rPr>
          <w:spacing w:val="-2"/>
        </w:rPr>
        <w:t>计量。以公允价值计量的外币非货币性项目，采用公允价值确定日的即期汇率折算，折算后的记</w:t>
      </w:r>
      <w:r>
        <w:rPr>
          <w:spacing w:val="-25"/>
        </w:rPr>
        <w:t> </w:t>
      </w:r>
      <w:r>
        <w:rPr>
          <w:spacing w:val="-25"/>
        </w:rPr>
      </w:r>
      <w:r>
        <w:rPr>
          <w:spacing w:val="-2"/>
        </w:rPr>
        <w:t>账本位币金额与原记账本位币金额的差额，作为公允价值变动（含汇率变动）处理，计入当期损</w:t>
      </w:r>
      <w:r>
        <w:rPr>
          <w:spacing w:val="-25"/>
        </w:rPr>
        <w:t> </w:t>
      </w:r>
      <w:r>
        <w:rPr>
          <w:spacing w:val="-25"/>
        </w:rPr>
      </w:r>
      <w:r>
        <w:rPr/>
        <w:t>益或确认为其他综合收益。</w:t>
      </w:r>
    </w:p>
    <w:p>
      <w:pPr>
        <w:pStyle w:val="BodyText"/>
        <w:spacing w:line="355" w:lineRule="auto" w:before="35"/>
        <w:ind w:left="558" w:right="212"/>
        <w:jc w:val="left"/>
      </w:pPr>
      <w:r>
        <w:rPr/>
        <w:t>（</w:t>
      </w:r>
      <w:r>
        <w:rPr>
          <w:rFonts w:ascii="宋体" w:hAnsi="宋体" w:cs="宋体" w:eastAsia="宋体" w:hint="default"/>
        </w:rPr>
        <w:t>3</w:t>
      </w:r>
      <w:r>
        <w:rPr/>
        <w:t>）外币财务报表的折算方法</w:t>
      </w:r>
      <w:r>
        <w:rPr>
          <w:w w:val="100"/>
        </w:rPr>
        <w:t> </w:t>
      </w:r>
      <w:r>
        <w:rPr>
          <w:spacing w:val="-2"/>
        </w:rPr>
        <w:t>编制合并财务报表涉及境外经营的，如有实质上构成对境外经营净投资的外币货币性项目，</w:t>
      </w:r>
    </w:p>
    <w:p>
      <w:pPr>
        <w:pStyle w:val="BodyText"/>
        <w:spacing w:line="355" w:lineRule="auto" w:before="32"/>
        <w:ind w:left="138" w:right="217"/>
        <w:jc w:val="both"/>
      </w:pPr>
      <w:r>
        <w:rPr>
          <w:spacing w:val="-2"/>
        </w:rPr>
        <w:t>因汇率变动而产生的汇兑差额，作为“外币报表折算差额”确认为其他综合收益；处置境外经营</w:t>
      </w:r>
      <w:r>
        <w:rPr>
          <w:spacing w:val="-25"/>
        </w:rPr>
        <w:t> </w:t>
      </w:r>
      <w:r>
        <w:rPr>
          <w:spacing w:val="-25"/>
        </w:rPr>
      </w:r>
      <w:r>
        <w:rPr/>
        <w:t>时，计入处置当期损益。</w:t>
      </w:r>
    </w:p>
    <w:p>
      <w:pPr>
        <w:pStyle w:val="BodyText"/>
        <w:spacing w:line="357" w:lineRule="auto" w:before="32"/>
        <w:ind w:left="138" w:right="0" w:firstLine="419"/>
        <w:jc w:val="left"/>
      </w:pPr>
      <w:r>
        <w:rPr/>
        <w:t>境外经营的外币财务报表按以下方法折算为人民币报表：资产负债表中的资产和负债项目，</w:t>
      </w:r>
      <w:r>
        <w:rPr>
          <w:w w:val="100"/>
        </w:rPr>
        <w:t> </w:t>
      </w:r>
      <w:r>
        <w:rPr/>
        <w:t>采用资产负债表日的即期汇率折算；股东权益类项目除“未分配利润”项目外，其他项目采用发</w:t>
      </w:r>
      <w:r>
        <w:rPr>
          <w:w w:val="100"/>
        </w:rPr>
        <w:t> </w:t>
      </w:r>
      <w:r>
        <w:rPr/>
        <w:t>生时的即期汇率折算。利润表中的收入和费用项目，采用交易发生日的即期汇率折算。年初未分</w:t>
      </w:r>
      <w:r>
        <w:rPr>
          <w:w w:val="100"/>
        </w:rPr>
        <w:t> </w:t>
      </w:r>
      <w:r>
        <w:rPr>
          <w:spacing w:val="-4"/>
          <w:w w:val="100"/>
        </w:rPr>
        <w:t>配利润为上一年折算后的年末未分配利润；年末未分配利润按折算后的利润分配各项目计算列示；</w:t>
      </w:r>
      <w:r>
        <w:rPr>
          <w:spacing w:val="-85"/>
          <w:w w:val="100"/>
        </w:rPr>
        <w:t> </w:t>
      </w:r>
      <w:r>
        <w:rPr>
          <w:spacing w:val="-85"/>
          <w:w w:val="100"/>
        </w:rPr>
      </w:r>
      <w:r>
        <w:rPr/>
        <w:t>折算后资产类项目与负债类项目和股东权益类项目合计数的差额，作为外币报表折算差额，确认</w:t>
      </w:r>
      <w:r>
        <w:rPr>
          <w:w w:val="100"/>
        </w:rPr>
        <w:t> </w:t>
      </w:r>
      <w:r>
        <w:rPr/>
        <w:t>为其他综合收益。处置境外经营并丧失控制权时，将资产负债表中股东权益项目下列示的、与该</w:t>
      </w:r>
      <w:r>
        <w:rPr>
          <w:w w:val="100"/>
        </w:rPr>
        <w:t> </w:t>
      </w:r>
      <w:r>
        <w:rPr/>
        <w:t>境外经营相关的外币报表折算差额，全部或按处置该境外经营的比例转入处置当期损益。</w:t>
      </w:r>
    </w:p>
    <w:p>
      <w:pPr>
        <w:pStyle w:val="BodyText"/>
        <w:spacing w:line="355" w:lineRule="auto" w:before="30"/>
        <w:ind w:left="138" w:right="212" w:firstLine="419"/>
        <w:jc w:val="left"/>
      </w:pPr>
      <w:r>
        <w:rPr>
          <w:spacing w:val="-2"/>
        </w:rPr>
        <w:t>外币现金流量以及境外子公司的现金流量，采用现金流量发生日的即期汇率折算。汇率变动</w:t>
      </w:r>
      <w:r>
        <w:rPr>
          <w:w w:val="100"/>
        </w:rPr>
        <w:t> </w:t>
      </w:r>
      <w:r>
        <w:rPr/>
        <w:t>对现金的影响额作为调节项目，在现金流量表中单独列报。</w:t>
      </w:r>
    </w:p>
    <w:p>
      <w:pPr>
        <w:pStyle w:val="BodyText"/>
        <w:spacing w:line="357" w:lineRule="auto" w:before="32"/>
        <w:ind w:left="558" w:right="212"/>
        <w:jc w:val="left"/>
      </w:pPr>
      <w:r>
        <w:rPr/>
        <w:t>年初数和上年实际数按照上年财务报表折算后的数额列示。</w:t>
      </w:r>
      <w:r>
        <w:rPr>
          <w:w w:val="100"/>
        </w:rPr>
        <w:t> </w:t>
      </w:r>
      <w:r>
        <w:rPr>
          <w:spacing w:val="-2"/>
        </w:rPr>
        <w:t>在处置本公司在境外经营的全部所有者权益或因处置部分股权投资或其他原因丧失了对境外</w:t>
      </w:r>
    </w:p>
    <w:p>
      <w:pPr>
        <w:pStyle w:val="BodyText"/>
        <w:spacing w:line="357" w:lineRule="auto" w:before="30"/>
        <w:ind w:left="138" w:right="217"/>
        <w:jc w:val="both"/>
      </w:pPr>
      <w:r>
        <w:rPr>
          <w:spacing w:val="-2"/>
        </w:rPr>
        <w:t>经营控制权时，将资产负债表中股东权益项目下列示的、与该境外经营相关的归属于母公司所有</w:t>
      </w:r>
      <w:r>
        <w:rPr>
          <w:spacing w:val="-25"/>
        </w:rPr>
        <w:t> </w:t>
      </w:r>
      <w:r>
        <w:rPr>
          <w:spacing w:val="-25"/>
        </w:rPr>
      </w:r>
      <w:r>
        <w:rPr/>
        <w:t>者权益的外币报表折算差额，全部转入处置当期损益。</w:t>
      </w:r>
    </w:p>
    <w:p>
      <w:pPr>
        <w:spacing w:after="0" w:line="357" w:lineRule="auto"/>
        <w:jc w:val="both"/>
        <w:sectPr>
          <w:footerReference w:type="default" r:id="rId51"/>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217" w:firstLine="419"/>
        <w:jc w:val="both"/>
      </w:pPr>
      <w:r>
        <w:rPr>
          <w:spacing w:val="-2"/>
        </w:rPr>
        <w:t>在处置部分股权投资或其他原因导致持有境外经营权益比例降低但不丧失对境外经营控制权</w:t>
      </w:r>
      <w:r>
        <w:rPr>
          <w:w w:val="100"/>
        </w:rPr>
        <w:t> </w:t>
      </w:r>
      <w:r>
        <w:rPr>
          <w:spacing w:val="-2"/>
        </w:rPr>
        <w:t>时，与该境外经营处置部分相关的外币报表折算差额将归属于少数股东权益，不转入当期损益。</w:t>
      </w:r>
      <w:r>
        <w:rPr>
          <w:spacing w:val="-25"/>
        </w:rPr>
        <w:t> </w:t>
      </w:r>
      <w:r>
        <w:rPr>
          <w:spacing w:val="-25"/>
        </w:rPr>
      </w:r>
      <w:r>
        <w:rPr>
          <w:spacing w:val="-2"/>
        </w:rPr>
        <w:t>在处置境外经营为联营企业或合营企业的部分股权时，与该境外经营相关的外币报表折算差额，</w:t>
      </w:r>
      <w:r>
        <w:rPr>
          <w:spacing w:val="-25"/>
        </w:rPr>
        <w:t> </w:t>
      </w:r>
      <w:r>
        <w:rPr>
          <w:spacing w:val="-25"/>
        </w:rPr>
      </w:r>
      <w:r>
        <w:rPr/>
        <w:t>按处置该境外经营的比例转入处置当期损益。</w:t>
      </w:r>
    </w:p>
    <w:p>
      <w:pPr>
        <w:pStyle w:val="Heading2"/>
        <w:spacing w:line="240" w:lineRule="auto" w:before="90"/>
        <w:ind w:left="138"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tabs>
          <w:tab w:pos="980" w:val="left" w:leader="none"/>
        </w:tabs>
        <w:spacing w:line="272" w:lineRule="exact" w:before="86"/>
        <w:ind w:left="558" w:right="217" w:hanging="420"/>
        <w:jc w:val="left"/>
      </w:pPr>
      <w:r>
        <w:rPr>
          <w:spacing w:val="-1"/>
        </w:rPr>
        <w:t>√适用</w:t>
        <w:tab/>
      </w:r>
      <w:r>
        <w:rPr>
          <w:spacing w:val="-2"/>
        </w:rPr>
        <w:t>□不适用</w:t>
      </w:r>
      <w:r>
        <w:rPr>
          <w:spacing w:val="-99"/>
        </w:rPr>
        <w:t> </w:t>
      </w:r>
      <w:r>
        <w:rPr>
          <w:spacing w:val="-99"/>
        </w:rPr>
      </w:r>
      <w:r>
        <w:rPr>
          <w:spacing w:val="-2"/>
        </w:rPr>
        <w:t>在本公司成为金融工具合同的一方时确认一项金融资产或金融负债。金融资产和金融负债在</w:t>
      </w:r>
    </w:p>
    <w:p>
      <w:pPr>
        <w:pStyle w:val="BodyText"/>
        <w:spacing w:line="357" w:lineRule="auto" w:before="108"/>
        <w:ind w:left="138" w:right="0"/>
        <w:jc w:val="left"/>
      </w:pPr>
      <w:r>
        <w:rPr>
          <w:spacing w:val="-4"/>
          <w:w w:val="100"/>
        </w:rPr>
        <w:t>初始确认时以公允价值计量。对于以公允价值计量且其变动计入当期损益的金融资产和金融负债，</w:t>
      </w:r>
      <w:r>
        <w:rPr>
          <w:spacing w:val="-85"/>
          <w:w w:val="100"/>
        </w:rPr>
        <w:t> </w:t>
      </w:r>
      <w:r>
        <w:rPr>
          <w:spacing w:val="-85"/>
          <w:w w:val="100"/>
        </w:rPr>
      </w:r>
      <w:r>
        <w:rPr/>
        <w:t>相关的交易费用直接计入损益；对于其他类别的金融资产和金融负债，相关交易费用计入初始确</w:t>
      </w:r>
      <w:r>
        <w:rPr>
          <w:w w:val="100"/>
        </w:rPr>
        <w:t> </w:t>
      </w:r>
      <w:r>
        <w:rPr/>
        <w:t>认金额。</w:t>
      </w:r>
    </w:p>
    <w:p>
      <w:pPr>
        <w:pStyle w:val="BodyText"/>
        <w:spacing w:line="355" w:lineRule="auto" w:before="30"/>
        <w:ind w:left="558" w:right="212"/>
        <w:jc w:val="left"/>
      </w:pPr>
      <w:r>
        <w:rPr/>
        <w:t>（</w:t>
      </w:r>
      <w:r>
        <w:rPr>
          <w:rFonts w:ascii="宋体" w:hAnsi="宋体" w:cs="宋体" w:eastAsia="宋体" w:hint="default"/>
        </w:rPr>
        <w:t>1</w:t>
      </w:r>
      <w:r>
        <w:rPr/>
        <w:t>）金融资产和金融负债的公允价值确定方法</w:t>
      </w:r>
      <w:r>
        <w:rPr>
          <w:w w:val="100"/>
        </w:rPr>
        <w:t> </w:t>
      </w:r>
      <w:r>
        <w:rPr>
          <w:spacing w:val="-2"/>
        </w:rPr>
        <w:t>公允价值，是指市场参与者在计量日发生的有序交易中，出售一项资产所能收到或者转移一</w:t>
      </w:r>
    </w:p>
    <w:p>
      <w:pPr>
        <w:pStyle w:val="BodyText"/>
        <w:spacing w:line="355" w:lineRule="auto" w:before="34"/>
        <w:ind w:left="138" w:right="208"/>
        <w:jc w:val="both"/>
      </w:pPr>
      <w:r>
        <w:rPr>
          <w:spacing w:val="-2"/>
        </w:rPr>
        <w:t>项负债所需支付的价格。金融工具存在活跃市场的，本公司采用活跃市场中的报价确定其公允价</w:t>
      </w:r>
      <w:r>
        <w:rPr>
          <w:spacing w:val="-25"/>
        </w:rPr>
        <w:t> </w:t>
      </w:r>
      <w:r>
        <w:rPr>
          <w:spacing w:val="-25"/>
        </w:rPr>
      </w:r>
      <w:r>
        <w:rPr>
          <w:spacing w:val="-6"/>
        </w:rPr>
        <w:t>值。活跃市场中的报价是指易于定期从交易所、经纪商、行业协会、定价服务机构等获得的价格，</w:t>
      </w:r>
      <w:r>
        <w:rPr>
          <w:spacing w:val="-53"/>
        </w:rPr>
        <w:t> </w:t>
      </w:r>
      <w:r>
        <w:rPr>
          <w:spacing w:val="-53"/>
        </w:rPr>
      </w:r>
      <w:r>
        <w:rPr>
          <w:spacing w:val="-2"/>
        </w:rPr>
        <w:t>且代表了在公平交易中实际发生的市场交易的价格。金融工具不存在活跃市场的，本公司采用估</w:t>
      </w:r>
      <w:r>
        <w:rPr>
          <w:spacing w:val="-25"/>
        </w:rPr>
        <w:t> </w:t>
      </w:r>
      <w:r>
        <w:rPr>
          <w:spacing w:val="-25"/>
        </w:rPr>
      </w:r>
      <w:r>
        <w:rPr>
          <w:spacing w:val="-2"/>
        </w:rPr>
        <w:t>值技术确定其公允价值。估值技术包括参考熟悉情况并自愿交易的各方最近进行的市场交易中使</w:t>
      </w:r>
      <w:r>
        <w:rPr>
          <w:spacing w:val="-25"/>
        </w:rPr>
        <w:t> </w:t>
      </w:r>
      <w:r>
        <w:rPr>
          <w:spacing w:val="-25"/>
        </w:rPr>
      </w:r>
      <w:r>
        <w:rPr>
          <w:spacing w:val="-6"/>
          <w:w w:val="100"/>
        </w:rPr>
        <w:t>用的价格、参照实质上相同的其他金融工具当前的公允价值、现金流量折现法和期权定价模型等。</w:t>
      </w:r>
    </w:p>
    <w:p>
      <w:pPr>
        <w:pStyle w:val="BodyText"/>
        <w:spacing w:line="355" w:lineRule="auto" w:before="35"/>
        <w:ind w:left="558" w:right="212"/>
        <w:jc w:val="left"/>
      </w:pPr>
      <w:r>
        <w:rPr/>
        <w:t>（</w:t>
      </w:r>
      <w:r>
        <w:rPr>
          <w:rFonts w:ascii="宋体" w:hAnsi="宋体" w:cs="宋体" w:eastAsia="宋体" w:hint="default"/>
        </w:rPr>
        <w:t>2</w:t>
      </w:r>
      <w:r>
        <w:rPr/>
        <w:t>）金融资产的分类、确认和计量</w:t>
      </w:r>
      <w:r>
        <w:rPr>
          <w:w w:val="100"/>
        </w:rPr>
        <w:t> </w:t>
      </w:r>
      <w:r>
        <w:rPr>
          <w:spacing w:val="-2"/>
        </w:rPr>
        <w:t>以常规方式买卖金融资产，按交易日进行会计确认和终止确认。金融资产在初始确认时划分</w:t>
      </w:r>
    </w:p>
    <w:p>
      <w:pPr>
        <w:pStyle w:val="BodyText"/>
        <w:spacing w:line="355" w:lineRule="auto" w:before="32"/>
        <w:ind w:left="138" w:right="217"/>
        <w:jc w:val="both"/>
      </w:pPr>
      <w:r>
        <w:rPr>
          <w:spacing w:val="-2"/>
        </w:rPr>
        <w:t>为以公允价值计量且其变动计入当期损益的金融资产、持有至到期投资、贷款和应收款项以及可</w:t>
      </w:r>
      <w:r>
        <w:rPr>
          <w:spacing w:val="-25"/>
        </w:rPr>
        <w:t> </w:t>
      </w:r>
      <w:r>
        <w:rPr>
          <w:spacing w:val="-25"/>
        </w:rPr>
      </w:r>
      <w:r>
        <w:rPr/>
        <w:t>供出售金融资产。</w:t>
      </w:r>
    </w:p>
    <w:p>
      <w:pPr>
        <w:pStyle w:val="BodyText"/>
        <w:spacing w:line="357" w:lineRule="auto" w:before="32"/>
        <w:ind w:left="558" w:right="212"/>
        <w:jc w:val="left"/>
      </w:pPr>
      <w:r>
        <w:rPr/>
        <w:t>①</w:t>
      </w:r>
      <w:r>
        <w:rPr>
          <w:spacing w:val="-1"/>
        </w:rPr>
        <w:t> </w:t>
      </w:r>
      <w:r>
        <w:rPr/>
        <w:t>以公允价值计量且其变动计入当期损益的金融资产</w:t>
      </w:r>
      <w:r>
        <w:rPr>
          <w:w w:val="100"/>
        </w:rPr>
        <w:t> </w:t>
      </w:r>
      <w:r>
        <w:rPr/>
        <w:t>包括交易性金融资产和指定为以公允价值计量且其变动计入当期损益的金融资产。</w:t>
      </w:r>
      <w:r>
        <w:rPr>
          <w:w w:val="100"/>
        </w:rPr>
        <w:t> </w:t>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w:t>
      </w:r>
    </w:p>
    <w:p>
      <w:pPr>
        <w:pStyle w:val="BodyText"/>
        <w:spacing w:line="357" w:lineRule="auto" w:before="30"/>
        <w:ind w:left="138" w:right="217"/>
        <w:jc w:val="both"/>
      </w:pPr>
      <w:r>
        <w:rPr>
          <w:spacing w:val="-2"/>
        </w:rPr>
        <w:t>近期内出售；</w:t>
      </w:r>
      <w:r>
        <w:rPr>
          <w:rFonts w:ascii="宋体" w:hAnsi="宋体" w:cs="宋体" w:eastAsia="宋体" w:hint="default"/>
          <w:spacing w:val="-2"/>
        </w:rPr>
        <w:t>B.</w:t>
      </w:r>
      <w:r>
        <w:rPr>
          <w:spacing w:val="-2"/>
        </w:rPr>
        <w:t>属于进行集中管理的可辨认金融工具组合的一部分，且有客观证据表明本公司近</w:t>
      </w:r>
      <w:r>
        <w:rPr>
          <w:spacing w:val="-24"/>
        </w:rPr>
        <w:t> </w:t>
      </w:r>
      <w:r>
        <w:rPr>
          <w:spacing w:val="-24"/>
        </w:rPr>
      </w:r>
      <w:r>
        <w:rPr>
          <w:spacing w:val="-2"/>
        </w:rPr>
        <w:t>期采用短期获利方式对该组合进行管理；</w:t>
      </w:r>
      <w:r>
        <w:rPr>
          <w:rFonts w:ascii="宋体" w:hAnsi="宋体" w:cs="宋体" w:eastAsia="宋体" w:hint="default"/>
          <w:spacing w:val="-2"/>
        </w:rPr>
        <w:t>C.</w:t>
      </w:r>
      <w:r>
        <w:rPr>
          <w:spacing w:val="-2"/>
        </w:rPr>
        <w:t>属于衍生工具，但是，被指定且为有效套期工具的衍</w:t>
      </w:r>
      <w:r>
        <w:rPr>
          <w:spacing w:val="-23"/>
        </w:rPr>
        <w:t> </w:t>
      </w:r>
      <w:r>
        <w:rPr>
          <w:spacing w:val="-23"/>
        </w:rPr>
      </w:r>
      <w:r>
        <w:rPr>
          <w:spacing w:val="-2"/>
        </w:rPr>
        <w:t>生工具、属于财务担保合同的衍生工具、与在活跃市场中没有报价且其公允价值不能可靠计量的</w:t>
      </w:r>
      <w:r>
        <w:rPr>
          <w:spacing w:val="-25"/>
        </w:rPr>
        <w:t> </w:t>
      </w:r>
      <w:r>
        <w:rPr>
          <w:spacing w:val="-25"/>
        </w:rPr>
      </w:r>
      <w:r>
        <w:rPr/>
        <w:t>权益工具投资挂钩并须通过交付该权益工具结算的衍生工具除外。</w:t>
      </w:r>
    </w:p>
    <w:p>
      <w:pPr>
        <w:pStyle w:val="BodyText"/>
        <w:spacing w:line="357" w:lineRule="auto" w:before="30"/>
        <w:ind w:left="138" w:right="217" w:firstLine="419"/>
        <w:jc w:val="both"/>
      </w:pPr>
      <w:r>
        <w:rPr>
          <w:spacing w:val="-2"/>
        </w:rPr>
        <w:t>符合下述条件之一的金融资产，在初始确认时可指定为以公允价值计量且其变动计入当期损</w:t>
      </w:r>
      <w:r>
        <w:rPr>
          <w:w w:val="100"/>
        </w:rPr>
        <w:t> </w:t>
      </w:r>
      <w:r>
        <w:rPr>
          <w:spacing w:val="-2"/>
        </w:rPr>
        <w:t>益的金融资产：</w:t>
      </w:r>
      <w:r>
        <w:rPr>
          <w:rFonts w:ascii="宋体" w:hAnsi="宋体" w:cs="宋体" w:eastAsia="宋体" w:hint="default"/>
          <w:spacing w:val="-2"/>
        </w:rPr>
        <w:t>A.</w:t>
      </w:r>
      <w:r>
        <w:rPr>
          <w:spacing w:val="-2"/>
        </w:rPr>
        <w:t>该指定可以消除或明显减少由于该金融资产的计量基础不同所导致的相关利得</w:t>
      </w:r>
      <w:r>
        <w:rPr>
          <w:spacing w:val="-23"/>
        </w:rPr>
        <w:t> </w:t>
      </w:r>
      <w:r>
        <w:rPr>
          <w:spacing w:val="-23"/>
        </w:rPr>
      </w:r>
      <w:r>
        <w:rPr>
          <w:spacing w:val="-2"/>
        </w:rPr>
        <w:t>或损失在确认或计量方面不一致的情况；</w:t>
      </w:r>
      <w:r>
        <w:rPr>
          <w:rFonts w:ascii="宋体" w:hAnsi="宋体" w:cs="宋体" w:eastAsia="宋体" w:hint="default"/>
          <w:spacing w:val="-2"/>
        </w:rPr>
        <w:t>B.</w:t>
      </w:r>
      <w:r>
        <w:rPr>
          <w:spacing w:val="-2"/>
        </w:rPr>
        <w:t>本公司风险管理或投资策略的正式书面文件已载明，</w:t>
      </w:r>
      <w:r>
        <w:rPr>
          <w:spacing w:val="-23"/>
        </w:rPr>
        <w:t> </w:t>
      </w:r>
      <w:r>
        <w:rPr>
          <w:spacing w:val="-23"/>
        </w:rPr>
      </w:r>
      <w:r>
        <w:rPr>
          <w:spacing w:val="-2"/>
        </w:rPr>
        <w:t>对该金融资产所在的金融资产组合或金融资产和金融负债组合以公允价值为基础进行管理、评价</w:t>
      </w:r>
      <w:r>
        <w:rPr>
          <w:spacing w:val="-25"/>
        </w:rPr>
        <w:t> </w:t>
      </w:r>
      <w:r>
        <w:rPr>
          <w:spacing w:val="-25"/>
        </w:rPr>
      </w:r>
      <w:r>
        <w:rPr/>
        <w:t>并向关键管理人员报告。</w:t>
      </w:r>
    </w:p>
    <w:p>
      <w:pPr>
        <w:spacing w:after="0" w:line="357" w:lineRule="auto"/>
        <w:jc w:val="both"/>
        <w:sectPr>
          <w:footerReference w:type="default" r:id="rId52"/>
          <w:pgSz w:w="11910" w:h="16840"/>
          <w:pgMar w:footer="1195" w:header="882" w:top="1120" w:bottom="1380" w:left="1660" w:right="1060"/>
          <w:pgNumType w:start="91"/>
        </w:sectPr>
      </w:pPr>
    </w:p>
    <w:p>
      <w:pPr>
        <w:spacing w:line="240" w:lineRule="auto" w:before="1"/>
        <w:rPr>
          <w:rFonts w:ascii="宋体" w:hAnsi="宋体" w:cs="宋体" w:eastAsia="宋体" w:hint="default"/>
          <w:sz w:val="25"/>
          <w:szCs w:val="25"/>
        </w:rPr>
      </w:pPr>
    </w:p>
    <w:p>
      <w:pPr>
        <w:pStyle w:val="BodyText"/>
        <w:spacing w:line="357" w:lineRule="auto" w:before="36"/>
        <w:ind w:left="138" w:right="212" w:firstLine="419"/>
        <w:jc w:val="left"/>
      </w:pPr>
      <w:r>
        <w:rPr>
          <w:spacing w:val="-2"/>
        </w:rPr>
        <w:t>以公允价值计量且其变动计入当期损益的金融资产采用公允价值进行后续计量，公允价值变</w:t>
      </w:r>
      <w:r>
        <w:rPr>
          <w:w w:val="100"/>
        </w:rPr>
        <w:t> </w:t>
      </w:r>
      <w:r>
        <w:rPr/>
        <w:t>动形成的利得或损失以及与该等金融资产相关的股利和利息收入计入当期损益。</w:t>
      </w:r>
    </w:p>
    <w:p>
      <w:pPr>
        <w:pStyle w:val="BodyText"/>
        <w:spacing w:line="355" w:lineRule="auto" w:before="30"/>
        <w:ind w:left="558" w:right="212"/>
        <w:jc w:val="left"/>
      </w:pPr>
      <w:r>
        <w:rPr/>
        <w:t>② 持有至到期投资</w:t>
      </w:r>
      <w:r>
        <w:rPr>
          <w:w w:val="100"/>
        </w:rPr>
        <w:t> </w:t>
      </w:r>
      <w:r>
        <w:rPr>
          <w:spacing w:val="-2"/>
        </w:rPr>
        <w:t>是指到期日固定、回收金额固定或可确定，且本公司有明确意图和能力持有至到期的非衍生</w:t>
      </w:r>
    </w:p>
    <w:p>
      <w:pPr>
        <w:pStyle w:val="BodyText"/>
        <w:spacing w:line="240" w:lineRule="auto" w:before="32"/>
        <w:ind w:left="138" w:right="212"/>
        <w:jc w:val="left"/>
      </w:pPr>
      <w:r>
        <w:rPr/>
        <w:t>金融资产。</w:t>
      </w:r>
    </w:p>
    <w:p>
      <w:pPr>
        <w:pStyle w:val="BodyText"/>
        <w:spacing w:line="357" w:lineRule="auto" w:before="133"/>
        <w:ind w:left="138" w:right="212" w:firstLine="419"/>
        <w:jc w:val="left"/>
      </w:pPr>
      <w:r>
        <w:rPr>
          <w:spacing w:val="-2"/>
        </w:rPr>
        <w:t>持有至到期投资采用实际利率法，按摊余成本进行后续计量，在终止确认、发生减值或摊销</w:t>
      </w:r>
      <w:r>
        <w:rPr>
          <w:w w:val="100"/>
        </w:rPr>
        <w:t> </w:t>
      </w:r>
      <w:r>
        <w:rPr/>
        <w:t>时产生的利得或损失，计入当期损益。</w:t>
      </w:r>
    </w:p>
    <w:p>
      <w:pPr>
        <w:pStyle w:val="BodyText"/>
        <w:spacing w:line="357" w:lineRule="auto" w:before="30"/>
        <w:ind w:left="138" w:right="217" w:firstLine="419"/>
        <w:jc w:val="right"/>
      </w:pPr>
      <w:r>
        <w:rPr>
          <w:spacing w:val="-2"/>
        </w:rPr>
        <w:t>实际利率法是指按照金融资产或金融负债（含一组金融资产或金融负债）的实际利率计算其</w:t>
      </w:r>
      <w:r>
        <w:rPr>
          <w:w w:val="100"/>
        </w:rPr>
        <w:t> </w:t>
      </w:r>
      <w:r>
        <w:rPr>
          <w:spacing w:val="-2"/>
        </w:rPr>
        <w:t>摊余成本及各期利息收入或支出的方法。实际利率是指将金融资产或金融负债在预期存续期间或</w:t>
      </w:r>
      <w:r>
        <w:rPr>
          <w:spacing w:val="-43"/>
        </w:rPr>
        <w:t> </w:t>
      </w:r>
      <w:r>
        <w:rPr>
          <w:spacing w:val="-43"/>
        </w:rPr>
      </w:r>
      <w:r>
        <w:rPr>
          <w:spacing w:val="-2"/>
        </w:rPr>
        <w:t>适用的更短期间内的未来现金流量，折现为该金融资产或金融负债当前账面价值所使用的利率。</w:t>
      </w:r>
      <w:r>
        <w:rPr>
          <w:spacing w:val="-43"/>
        </w:rPr>
        <w:t> </w:t>
      </w:r>
      <w:r>
        <w:rPr>
          <w:spacing w:val="-43"/>
        </w:rPr>
      </w:r>
      <w:r>
        <w:rPr>
          <w:spacing w:val="-2"/>
        </w:rPr>
        <w:t>在计算实际利率时，本公司将在考虑金融资产或金融负债所有合同条款的基础上预计未来现</w:t>
      </w:r>
      <w:r>
        <w:rPr>
          <w:w w:val="100"/>
        </w:rPr>
        <w:t> </w:t>
      </w:r>
      <w:r>
        <w:rPr>
          <w:spacing w:val="-2"/>
        </w:rPr>
        <w:t>金流量（不考虑未来的信用损失），同时还将考虑金融资产或金融负债合同各方之间支付或收取</w:t>
      </w:r>
    </w:p>
    <w:p>
      <w:pPr>
        <w:pStyle w:val="BodyText"/>
        <w:spacing w:line="240" w:lineRule="auto" w:before="30"/>
        <w:ind w:left="138" w:right="212"/>
        <w:jc w:val="left"/>
      </w:pPr>
      <w:r>
        <w:rPr/>
        <w:t>的、属于实际利率组成部分的各项收费、交易费用及折价或溢价等。</w:t>
      </w:r>
    </w:p>
    <w:p>
      <w:pPr>
        <w:pStyle w:val="BodyText"/>
        <w:spacing w:line="355" w:lineRule="auto" w:before="133"/>
        <w:ind w:left="558" w:right="212"/>
        <w:jc w:val="left"/>
      </w:pPr>
      <w:r>
        <w:rPr/>
        <w:t>③ 贷款和应收款项</w:t>
      </w:r>
      <w:r>
        <w:rPr>
          <w:w w:val="100"/>
        </w:rPr>
        <w:t> </w:t>
      </w:r>
      <w:r>
        <w:rPr>
          <w:spacing w:val="-2"/>
        </w:rPr>
        <w:t>是指在活跃市场中没有报价、回收金额固定或可确定的非衍生金融资产。本公司划分为贷款</w:t>
      </w:r>
    </w:p>
    <w:p>
      <w:pPr>
        <w:pStyle w:val="BodyText"/>
        <w:spacing w:line="357" w:lineRule="auto" w:before="34"/>
        <w:ind w:left="558" w:right="212" w:hanging="420"/>
        <w:jc w:val="left"/>
      </w:pPr>
      <w:r>
        <w:rPr/>
        <w:t>和应收款的金融资产包括应收票据、应收账款、应收利息、应收股利及其他应收款等。</w:t>
      </w:r>
      <w:r>
        <w:rPr>
          <w:w w:val="100"/>
        </w:rPr>
        <w:t> </w:t>
      </w:r>
      <w:r>
        <w:rPr>
          <w:spacing w:val="-2"/>
        </w:rPr>
        <w:t>贷款和应收款项采用实际利率法，按摊余成本进行后续计量，在终止确认、发生减值或摊销</w:t>
      </w:r>
    </w:p>
    <w:p>
      <w:pPr>
        <w:pStyle w:val="BodyText"/>
        <w:spacing w:line="240" w:lineRule="auto" w:before="30"/>
        <w:ind w:left="138" w:right="212"/>
        <w:jc w:val="left"/>
      </w:pPr>
      <w:r>
        <w:rPr/>
        <w:t>时产生的利得或损失，计入当期损益。</w:t>
      </w:r>
    </w:p>
    <w:p>
      <w:pPr>
        <w:pStyle w:val="BodyText"/>
        <w:spacing w:line="355" w:lineRule="auto" w:before="133"/>
        <w:ind w:left="558" w:right="212"/>
        <w:jc w:val="left"/>
      </w:pPr>
      <w:r>
        <w:rPr/>
        <w:t>④ 可供出售金融资产</w:t>
      </w:r>
      <w:r>
        <w:rPr>
          <w:w w:val="100"/>
        </w:rPr>
        <w:t> </w:t>
      </w:r>
      <w:r>
        <w:rPr>
          <w:spacing w:val="-2"/>
        </w:rPr>
        <w:t>包括初始确认时即被指定为可供出售的非衍生金融资产，以及除了以公允价值计量且其变动</w:t>
      </w:r>
    </w:p>
    <w:p>
      <w:pPr>
        <w:pStyle w:val="BodyText"/>
        <w:spacing w:line="355" w:lineRule="auto" w:before="34"/>
        <w:ind w:left="558" w:right="0" w:hanging="420"/>
        <w:jc w:val="left"/>
      </w:pPr>
      <w:r>
        <w:rPr/>
        <w:t>计入当期损益的金融资产、贷款和应收款项、持有至到期投资以外的金融资产。</w:t>
      </w:r>
      <w:r>
        <w:rPr>
          <w:w w:val="100"/>
        </w:rPr>
        <w:t> </w:t>
      </w:r>
      <w:r>
        <w:rPr>
          <w:spacing w:val="-4"/>
          <w:w w:val="100"/>
        </w:rPr>
        <w:t>可供出售债务工具投资的期末成本按照摊余成本法确定，即初始确认金额扣除已偿还的本金，</w:t>
      </w:r>
    </w:p>
    <w:p>
      <w:pPr>
        <w:pStyle w:val="BodyText"/>
        <w:spacing w:line="357" w:lineRule="auto" w:before="32"/>
        <w:ind w:left="0" w:right="217"/>
        <w:jc w:val="right"/>
      </w:pPr>
      <w:r>
        <w:rPr>
          <w:spacing w:val="-2"/>
        </w:rPr>
        <w:t>加上或减去采用实际利率法将该初始确认金额与到期日金额之间的差额进行摊销形成的累计摊销</w:t>
      </w:r>
      <w:r>
        <w:rPr>
          <w:spacing w:val="-43"/>
        </w:rPr>
        <w:t> </w:t>
      </w:r>
      <w:r>
        <w:rPr>
          <w:spacing w:val="-43"/>
        </w:rPr>
      </w:r>
      <w:r>
        <w:rPr>
          <w:spacing w:val="-2"/>
        </w:rPr>
        <w:t>额，并扣除已发生的减值损失后的金额。可供出售权益工具投资的期末成本为其初始取得成本。</w:t>
      </w:r>
      <w:r>
        <w:rPr>
          <w:spacing w:val="-43"/>
        </w:rPr>
        <w:t> </w:t>
      </w:r>
      <w:r>
        <w:rPr>
          <w:spacing w:val="-43"/>
        </w:rPr>
      </w:r>
      <w:r>
        <w:rPr>
          <w:spacing w:val="-2"/>
        </w:rPr>
        <w:t>可供出售金融资产采用公允价值进行后续计量，公允价值变动形成的利得或损失，除减值损</w:t>
      </w:r>
      <w:r>
        <w:rPr>
          <w:w w:val="100"/>
        </w:rPr>
        <w:t> </w:t>
      </w:r>
      <w:r>
        <w:rPr>
          <w:spacing w:val="-2"/>
        </w:rPr>
        <w:t>失和外币货币性金融资产与摊余成本相关的汇兑差额计入当期损益外，确认为其他综合收益，在</w:t>
      </w:r>
      <w:r>
        <w:rPr>
          <w:spacing w:val="-43"/>
        </w:rPr>
        <w:t> </w:t>
      </w:r>
      <w:r>
        <w:rPr>
          <w:spacing w:val="-43"/>
        </w:rPr>
      </w:r>
      <w:r>
        <w:rPr>
          <w:spacing w:val="-2"/>
        </w:rPr>
        <w:t>该金融资产终止确认时转出，计入当期损益。但是，在活跃市场中没有报价且其公允价值不能可</w:t>
      </w:r>
      <w:r>
        <w:rPr>
          <w:spacing w:val="-43"/>
        </w:rPr>
        <w:t> </w:t>
      </w:r>
      <w:r>
        <w:rPr>
          <w:spacing w:val="-43"/>
        </w:rPr>
      </w:r>
      <w:r>
        <w:rPr>
          <w:spacing w:val="-2"/>
        </w:rPr>
        <w:t>靠计量的权益工具投资，以及与该权益工具挂钩并须通过交付该权益工具结算的衍生金融资产，</w:t>
      </w:r>
    </w:p>
    <w:p>
      <w:pPr>
        <w:pStyle w:val="BodyText"/>
        <w:spacing w:line="357" w:lineRule="auto" w:before="30"/>
        <w:ind w:left="558" w:right="212" w:hanging="420"/>
        <w:jc w:val="left"/>
      </w:pPr>
      <w:r>
        <w:rPr/>
        <w:t>按照成本进行后续计量。</w:t>
      </w:r>
      <w:r>
        <w:rPr>
          <w:w w:val="100"/>
        </w:rPr>
        <w:t> </w:t>
      </w:r>
      <w:r>
        <w:rPr>
          <w:spacing w:val="-2"/>
        </w:rPr>
        <w:t>可供出售金融资产持有期间取得的利息及被投资单位宣告发放的现金股利，计入投资收益。</w:t>
      </w:r>
    </w:p>
    <w:p>
      <w:pPr>
        <w:pStyle w:val="BodyText"/>
        <w:spacing w:line="355" w:lineRule="auto" w:before="30"/>
        <w:ind w:left="558" w:right="212"/>
        <w:jc w:val="left"/>
      </w:pPr>
      <w:r>
        <w:rPr/>
        <w:t>（</w:t>
      </w:r>
      <w:r>
        <w:rPr>
          <w:rFonts w:ascii="宋体" w:hAnsi="宋体" w:cs="宋体" w:eastAsia="宋体" w:hint="default"/>
        </w:rPr>
        <w:t>3</w:t>
      </w:r>
      <w:r>
        <w:rPr/>
        <w:t>）金融资产减值</w:t>
      </w:r>
      <w:r>
        <w:rPr>
          <w:w w:val="100"/>
        </w:rPr>
        <w:t> </w:t>
      </w:r>
      <w:r>
        <w:rPr>
          <w:spacing w:val="-2"/>
        </w:rPr>
        <w:t>除了以公允价值计量且其变动计入当期损益的金融资产外，本公司在每个资产负债表日对其</w:t>
      </w:r>
    </w:p>
    <w:p>
      <w:pPr>
        <w:pStyle w:val="BodyText"/>
        <w:spacing w:line="240" w:lineRule="auto" w:before="32"/>
        <w:ind w:left="138" w:right="212"/>
        <w:jc w:val="left"/>
      </w:pPr>
      <w:r>
        <w:rPr/>
        <w:t>他金融资产的账面价值进行检查，有客观证据表明金融资产发生减值的，计提减值准备。</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217" w:firstLine="419"/>
        <w:jc w:val="both"/>
      </w:pPr>
      <w:r>
        <w:rPr>
          <w:spacing w:val="-2"/>
        </w:rPr>
        <w:t>本公司对单项金额重大的金融资产单独进行减值测试；对单项金额不重大的金融资产，单独</w:t>
      </w:r>
      <w:r>
        <w:rPr>
          <w:w w:val="100"/>
        </w:rPr>
        <w:t> </w:t>
      </w:r>
      <w:r>
        <w:rPr>
          <w:spacing w:val="-2"/>
        </w:rPr>
        <w:t>进行减值测试或包括在具有类似信用风险特征的金融资产组合中进行减值测试。单独测试未发生</w:t>
      </w:r>
      <w:r>
        <w:rPr>
          <w:spacing w:val="-25"/>
        </w:rPr>
        <w:t> </w:t>
      </w:r>
      <w:r>
        <w:rPr>
          <w:spacing w:val="-25"/>
        </w:rPr>
      </w:r>
      <w:r>
        <w:rPr>
          <w:spacing w:val="-2"/>
        </w:rPr>
        <w:t>减值的金融资产（包括单项金额重大和不重大的金融资产），包括在具有类似信用风险特征的金</w:t>
      </w:r>
      <w:r>
        <w:rPr>
          <w:spacing w:val="-25"/>
        </w:rPr>
        <w:t> </w:t>
      </w:r>
      <w:r>
        <w:rPr>
          <w:spacing w:val="-25"/>
        </w:rPr>
      </w:r>
      <w:r>
        <w:rPr>
          <w:spacing w:val="-2"/>
        </w:rPr>
        <w:t>融资产组合中再进行减值测试。已单项确认减值损失的金融资产，不包括在具有类似信用风险特</w:t>
      </w:r>
      <w:r>
        <w:rPr>
          <w:spacing w:val="-25"/>
        </w:rPr>
        <w:t> </w:t>
      </w:r>
      <w:r>
        <w:rPr>
          <w:spacing w:val="-25"/>
        </w:rPr>
      </w:r>
      <w:r>
        <w:rPr/>
        <w:t>征的金融资产组合中进行减值测试。</w:t>
      </w:r>
    </w:p>
    <w:p>
      <w:pPr>
        <w:pStyle w:val="BodyText"/>
        <w:spacing w:line="357" w:lineRule="auto" w:before="30"/>
        <w:ind w:left="558" w:right="212"/>
        <w:jc w:val="left"/>
      </w:pPr>
      <w:r>
        <w:rPr/>
        <w:t>①</w:t>
      </w:r>
      <w:r>
        <w:rPr>
          <w:spacing w:val="-1"/>
        </w:rPr>
        <w:t> </w:t>
      </w:r>
      <w:r>
        <w:rPr/>
        <w:t>持有至到期投资、贷款和应收款项减值</w:t>
      </w:r>
      <w:r>
        <w:rPr>
          <w:w w:val="100"/>
        </w:rPr>
        <w:t> </w:t>
      </w:r>
      <w:r>
        <w:rPr>
          <w:spacing w:val="-2"/>
        </w:rPr>
        <w:t>以成本或摊余成本计量的金融资产将其账面价值减记至预计未来现金流量现值，减记金额确</w:t>
      </w:r>
    </w:p>
    <w:p>
      <w:pPr>
        <w:pStyle w:val="BodyText"/>
        <w:spacing w:line="357" w:lineRule="auto" w:before="30"/>
        <w:ind w:left="138" w:right="217"/>
        <w:jc w:val="both"/>
      </w:pPr>
      <w:r>
        <w:rPr>
          <w:spacing w:val="-2"/>
        </w:rPr>
        <w:t>认为减值损失，计入当期损益。金融资产在确认减值损失后，如有客观证据表明该金融资产价值</w:t>
      </w:r>
      <w:r>
        <w:rPr>
          <w:spacing w:val="-25"/>
        </w:rPr>
        <w:t> </w:t>
      </w:r>
      <w:r>
        <w:rPr>
          <w:spacing w:val="-25"/>
        </w:rPr>
      </w:r>
      <w:r>
        <w:rPr>
          <w:spacing w:val="-2"/>
        </w:rPr>
        <w:t>已恢复，且客观上与确认该损失后发生的事项有关，原确认的减值损失予以转回，金融资产转回</w:t>
      </w:r>
      <w:r>
        <w:rPr>
          <w:spacing w:val="-25"/>
        </w:rPr>
        <w:t> </w:t>
      </w:r>
      <w:r>
        <w:rPr>
          <w:spacing w:val="-25"/>
        </w:rPr>
      </w:r>
      <w:r>
        <w:rPr/>
        <w:t>减值损失后的账面价值不超过假定不计提减值准备情况下该金融资产在转回日的摊余成本。</w:t>
      </w:r>
    </w:p>
    <w:p>
      <w:pPr>
        <w:pStyle w:val="BodyText"/>
        <w:spacing w:line="355" w:lineRule="auto" w:before="32"/>
        <w:ind w:left="558" w:right="212"/>
        <w:jc w:val="left"/>
      </w:pPr>
      <w:r>
        <w:rPr/>
        <w:t>②</w:t>
      </w:r>
      <w:r>
        <w:rPr>
          <w:spacing w:val="-1"/>
        </w:rPr>
        <w:t> </w:t>
      </w:r>
      <w:r>
        <w:rPr/>
        <w:t>可供出售金融资产减值</w:t>
      </w:r>
      <w:r>
        <w:rPr>
          <w:w w:val="100"/>
        </w:rPr>
        <w:t> </w:t>
      </w:r>
      <w:r>
        <w:rPr>
          <w:spacing w:val="-2"/>
        </w:rPr>
        <w:t>当综合相关因素判断可供出售权益工具投资公允价值下跌是严重或非暂时性下跌时，表明该</w:t>
      </w:r>
    </w:p>
    <w:p>
      <w:pPr>
        <w:pStyle w:val="BodyText"/>
        <w:spacing w:line="355" w:lineRule="auto" w:before="32"/>
        <w:ind w:left="138" w:right="270"/>
        <w:jc w:val="both"/>
      </w:pPr>
      <w:r>
        <w:rPr>
          <w:spacing w:val="-2"/>
        </w:rPr>
        <w:t>可供出售权益工具投资发生减值。其中“严重下跌”是指公允价值下跌幅度累计超过</w:t>
      </w:r>
      <w:r>
        <w:rPr/>
        <w:t> </w:t>
      </w:r>
      <w:r>
        <w:rPr>
          <w:rFonts w:ascii="宋体" w:hAnsi="宋体" w:cs="宋体" w:eastAsia="宋体" w:hint="default"/>
          <w:spacing w:val="-2"/>
        </w:rPr>
        <w:t>20%</w:t>
      </w:r>
      <w:r>
        <w:rPr>
          <w:spacing w:val="-2"/>
        </w:rPr>
        <w:t>；“非</w:t>
      </w:r>
      <w:r>
        <w:rPr>
          <w:spacing w:val="-76"/>
        </w:rPr>
        <w:t> </w:t>
      </w:r>
      <w:r>
        <w:rPr>
          <w:spacing w:val="-76"/>
        </w:rPr>
      </w:r>
      <w:r>
        <w:rPr/>
        <w:t>暂时性下跌”是指公允价值连续下跌时间超过</w:t>
      </w:r>
      <w:r>
        <w:rPr>
          <w:spacing w:val="-54"/>
        </w:rPr>
        <w:t> </w:t>
      </w:r>
      <w:r>
        <w:rPr>
          <w:rFonts w:ascii="宋体" w:hAnsi="宋体" w:cs="宋体" w:eastAsia="宋体" w:hint="default"/>
        </w:rPr>
        <w:t>12</w:t>
      </w:r>
      <w:r>
        <w:rPr>
          <w:rFonts w:ascii="宋体" w:hAnsi="宋体" w:cs="宋体" w:eastAsia="宋体" w:hint="default"/>
          <w:spacing w:val="-56"/>
        </w:rPr>
        <w:t> </w:t>
      </w:r>
      <w:r>
        <w:rPr/>
        <w:t>个月。</w:t>
      </w:r>
    </w:p>
    <w:p>
      <w:pPr>
        <w:pStyle w:val="BodyText"/>
        <w:spacing w:line="357" w:lineRule="auto" w:before="32"/>
        <w:ind w:left="138" w:right="0" w:firstLine="419"/>
        <w:jc w:val="left"/>
      </w:pPr>
      <w:r>
        <w:rPr/>
        <w:t>可供出售金融资产发生减值时，将原计入其他综合收益的因公允价值下降形成的累计损失予</w:t>
      </w:r>
      <w:r>
        <w:rPr>
          <w:w w:val="100"/>
        </w:rPr>
        <w:t> </w:t>
      </w:r>
      <w:r>
        <w:rPr>
          <w:spacing w:val="-4"/>
          <w:w w:val="100"/>
        </w:rPr>
        <w:t>以转出并计入当期损益，该转出的累计损失为该资产初始取得成本扣除已收回本金和已摊销金额、</w:t>
      </w:r>
      <w:r>
        <w:rPr>
          <w:spacing w:val="-86"/>
          <w:w w:val="100"/>
        </w:rPr>
        <w:t> </w:t>
      </w:r>
      <w:r>
        <w:rPr>
          <w:spacing w:val="-86"/>
          <w:w w:val="100"/>
        </w:rPr>
      </w:r>
      <w:r>
        <w:rPr/>
        <w:t>当前公允价值和原已计入损益的减值损失后的余额。</w:t>
      </w:r>
    </w:p>
    <w:p>
      <w:pPr>
        <w:pStyle w:val="BodyText"/>
        <w:spacing w:line="355" w:lineRule="auto" w:before="30"/>
        <w:ind w:left="138" w:right="217" w:firstLine="419"/>
        <w:jc w:val="both"/>
      </w:pPr>
      <w:r>
        <w:rPr>
          <w:spacing w:val="-2"/>
        </w:rPr>
        <w:t>在确认减值损失后，期后如有客观证据表明该金融资产价值已恢复，且客观上与确认该损失</w:t>
      </w:r>
      <w:r>
        <w:rPr>
          <w:w w:val="100"/>
        </w:rPr>
        <w:t> </w:t>
      </w:r>
      <w:r>
        <w:rPr>
          <w:spacing w:val="-2"/>
        </w:rPr>
        <w:t>后发生的事项有关，原确认的减值损失予以转回，可供出售权益工具投资的减值损失转回确认为</w:t>
      </w:r>
      <w:r>
        <w:rPr>
          <w:spacing w:val="-25"/>
        </w:rPr>
        <w:t> </w:t>
      </w:r>
      <w:r>
        <w:rPr>
          <w:spacing w:val="-25"/>
        </w:rPr>
      </w:r>
      <w:r>
        <w:rPr/>
        <w:t>其他综合收益，可供出售债务工具的减值损失转回计入当期损益。</w:t>
      </w:r>
    </w:p>
    <w:p>
      <w:pPr>
        <w:pStyle w:val="BodyText"/>
        <w:spacing w:line="355" w:lineRule="auto" w:before="34"/>
        <w:ind w:left="138" w:right="217" w:firstLine="419"/>
        <w:jc w:val="both"/>
      </w:pPr>
      <w:r>
        <w:rPr>
          <w:spacing w:val="-2"/>
        </w:rPr>
        <w:t>在活跃市场中没有报价且其公允价值不能可靠计量的权益工具投资，或与该权益工具挂钩并</w:t>
      </w:r>
      <w:r>
        <w:rPr>
          <w:w w:val="100"/>
        </w:rPr>
        <w:t> </w:t>
      </w:r>
      <w:r>
        <w:rPr/>
        <w:t>须通过交付该权益工具结算的衍生金融资产的减值损失，不予转回。</w:t>
      </w:r>
    </w:p>
    <w:p>
      <w:pPr>
        <w:pStyle w:val="BodyText"/>
        <w:spacing w:line="240" w:lineRule="auto" w:before="32"/>
        <w:ind w:left="558" w:right="212"/>
        <w:jc w:val="left"/>
      </w:pPr>
      <w:r>
        <w:rPr/>
        <w:t>（</w:t>
      </w:r>
      <w:r>
        <w:rPr>
          <w:rFonts w:ascii="宋体" w:hAnsi="宋体" w:cs="宋体" w:eastAsia="宋体" w:hint="default"/>
        </w:rPr>
        <w:t>4</w:t>
      </w:r>
      <w:r>
        <w:rPr/>
        <w:t>）金融资产转移的确认依据和计量方法</w:t>
      </w:r>
    </w:p>
    <w:p>
      <w:pPr>
        <w:pStyle w:val="BodyText"/>
        <w:spacing w:line="240" w:lineRule="auto" w:before="133"/>
        <w:ind w:left="558" w:right="0"/>
        <w:jc w:val="left"/>
      </w:pPr>
      <w:r>
        <w:rPr>
          <w:w w:val="100"/>
        </w:rPr>
        <w:t>满足</w:t>
      </w:r>
      <w:r>
        <w:rPr>
          <w:spacing w:val="-3"/>
          <w:w w:val="100"/>
        </w:rPr>
        <w:t>下</w:t>
      </w:r>
      <w:r>
        <w:rPr>
          <w:w w:val="100"/>
        </w:rPr>
        <w:t>列</w:t>
      </w:r>
      <w:r>
        <w:rPr>
          <w:spacing w:val="-3"/>
          <w:w w:val="100"/>
        </w:rPr>
        <w:t>条</w:t>
      </w:r>
      <w:r>
        <w:rPr>
          <w:w w:val="100"/>
        </w:rPr>
        <w:t>件</w:t>
      </w:r>
      <w:r>
        <w:rPr>
          <w:spacing w:val="-3"/>
          <w:w w:val="100"/>
        </w:rPr>
        <w:t>之</w:t>
      </w:r>
      <w:r>
        <w:rPr>
          <w:w w:val="100"/>
        </w:rPr>
        <w:t>一</w:t>
      </w:r>
      <w:r>
        <w:rPr>
          <w:spacing w:val="-3"/>
          <w:w w:val="100"/>
        </w:rPr>
        <w:t>的</w:t>
      </w:r>
      <w:r>
        <w:rPr>
          <w:w w:val="100"/>
        </w:rPr>
        <w:t>金</w:t>
      </w:r>
      <w:r>
        <w:rPr>
          <w:spacing w:val="-3"/>
          <w:w w:val="100"/>
        </w:rPr>
        <w:t>融</w:t>
      </w:r>
      <w:r>
        <w:rPr>
          <w:w w:val="100"/>
        </w:rPr>
        <w:t>资</w:t>
      </w:r>
      <w:r>
        <w:rPr>
          <w:spacing w:val="-3"/>
          <w:w w:val="100"/>
        </w:rPr>
        <w:t>产</w:t>
      </w:r>
      <w:r>
        <w:rPr>
          <w:spacing w:val="-99"/>
          <w:w w:val="100"/>
        </w:rPr>
        <w:t>，</w:t>
      </w:r>
      <w:r>
        <w:rPr>
          <w:spacing w:val="-3"/>
          <w:w w:val="100"/>
        </w:rPr>
        <w:t>予</w:t>
      </w:r>
      <w:r>
        <w:rPr>
          <w:w w:val="100"/>
        </w:rPr>
        <w:t>以终</w:t>
      </w:r>
      <w:r>
        <w:rPr>
          <w:spacing w:val="-3"/>
          <w:w w:val="100"/>
        </w:rPr>
        <w:t>止</w:t>
      </w:r>
      <w:r>
        <w:rPr>
          <w:w w:val="100"/>
        </w:rPr>
        <w:t>确</w:t>
      </w:r>
      <w:r>
        <w:rPr>
          <w:spacing w:val="-3"/>
          <w:w w:val="100"/>
        </w:rPr>
        <w:t>认</w:t>
      </w:r>
      <w:r>
        <w:rPr>
          <w:spacing w:val="-101"/>
          <w:w w:val="100"/>
        </w:rPr>
        <w:t>：</w:t>
      </w:r>
      <w:r>
        <w:rPr>
          <w:w w:val="100"/>
        </w:rPr>
        <w:t>①</w:t>
      </w:r>
      <w:r>
        <w:rPr/>
        <w:t> </w:t>
      </w:r>
      <w:r>
        <w:rPr>
          <w:spacing w:val="-3"/>
          <w:w w:val="100"/>
        </w:rPr>
        <w:t>收</w:t>
      </w:r>
      <w:r>
        <w:rPr>
          <w:w w:val="100"/>
        </w:rPr>
        <w:t>取该</w:t>
      </w:r>
      <w:r>
        <w:rPr>
          <w:spacing w:val="-3"/>
          <w:w w:val="100"/>
        </w:rPr>
        <w:t>金</w:t>
      </w:r>
      <w:r>
        <w:rPr>
          <w:w w:val="100"/>
        </w:rPr>
        <w:t>融</w:t>
      </w:r>
      <w:r>
        <w:rPr>
          <w:spacing w:val="-3"/>
          <w:w w:val="100"/>
        </w:rPr>
        <w:t>资</w:t>
      </w:r>
      <w:r>
        <w:rPr>
          <w:w w:val="100"/>
        </w:rPr>
        <w:t>产</w:t>
      </w:r>
      <w:r>
        <w:rPr>
          <w:spacing w:val="-3"/>
          <w:w w:val="100"/>
        </w:rPr>
        <w:t>现</w:t>
      </w:r>
      <w:r>
        <w:rPr>
          <w:w w:val="100"/>
        </w:rPr>
        <w:t>金</w:t>
      </w:r>
      <w:r>
        <w:rPr>
          <w:spacing w:val="-3"/>
          <w:w w:val="100"/>
        </w:rPr>
        <w:t>流</w:t>
      </w:r>
      <w:r>
        <w:rPr>
          <w:w w:val="100"/>
        </w:rPr>
        <w:t>量</w:t>
      </w:r>
      <w:r>
        <w:rPr>
          <w:spacing w:val="-3"/>
          <w:w w:val="100"/>
        </w:rPr>
        <w:t>的</w:t>
      </w:r>
      <w:r>
        <w:rPr>
          <w:w w:val="100"/>
        </w:rPr>
        <w:t>合同</w:t>
      </w:r>
      <w:r>
        <w:rPr>
          <w:spacing w:val="-3"/>
          <w:w w:val="100"/>
        </w:rPr>
        <w:t>权</w:t>
      </w:r>
      <w:r>
        <w:rPr>
          <w:w w:val="100"/>
        </w:rPr>
        <w:t>利</w:t>
      </w:r>
      <w:r>
        <w:rPr>
          <w:spacing w:val="-3"/>
          <w:w w:val="100"/>
        </w:rPr>
        <w:t>终止</w:t>
      </w:r>
      <w:r>
        <w:rPr>
          <w:w w:val="100"/>
        </w:rPr>
        <w:t>；</w:t>
      </w:r>
    </w:p>
    <w:p>
      <w:pPr>
        <w:pStyle w:val="BodyText"/>
        <w:spacing w:line="355" w:lineRule="auto" w:before="136"/>
        <w:ind w:left="138" w:right="207"/>
        <w:jc w:val="both"/>
      </w:pPr>
      <w:r>
        <w:rPr/>
        <w:t>②</w:t>
      </w:r>
      <w:r>
        <w:rPr>
          <w:spacing w:val="54"/>
        </w:rPr>
        <w:t> </w:t>
      </w:r>
      <w:r>
        <w:rPr>
          <w:spacing w:val="-4"/>
        </w:rPr>
        <w:t>该金融资产已转移，且将金融资产所有权上几乎所有的风险和报酬转移给转入方；③该金融资</w:t>
      </w:r>
      <w:r>
        <w:rPr>
          <w:spacing w:val="-95"/>
        </w:rPr>
        <w:t> </w:t>
      </w:r>
      <w:r>
        <w:rPr>
          <w:spacing w:val="-95"/>
        </w:rPr>
      </w:r>
      <w:r>
        <w:rPr>
          <w:spacing w:val="-2"/>
        </w:rPr>
        <w:t>产已转移，虽然企业既没有转移也没有保留金融资产所有权上几乎所有的风险和报酬，但是放弃</w:t>
      </w:r>
      <w:r>
        <w:rPr>
          <w:spacing w:val="-25"/>
        </w:rPr>
        <w:t> </w:t>
      </w:r>
      <w:r>
        <w:rPr>
          <w:spacing w:val="-25"/>
        </w:rPr>
      </w:r>
      <w:r>
        <w:rPr/>
        <w:t>了对该金融资产的控制。</w:t>
      </w:r>
    </w:p>
    <w:p>
      <w:pPr>
        <w:pStyle w:val="BodyText"/>
        <w:spacing w:line="357" w:lineRule="auto" w:before="32"/>
        <w:ind w:left="138" w:right="208" w:firstLine="419"/>
        <w:jc w:val="both"/>
      </w:pPr>
      <w:r>
        <w:rPr>
          <w:spacing w:val="-2"/>
        </w:rPr>
        <w:t>若企业既没有转移也没有保留金融资产所有权上几乎所有的风险和报酬，且未放弃对该金融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继续涉入所转移金融资产的程度，是指该金融资产价值变动使企业面临的风险水平。</w:t>
      </w:r>
    </w:p>
    <w:p>
      <w:pPr>
        <w:pStyle w:val="BodyText"/>
        <w:spacing w:line="355" w:lineRule="auto" w:before="30"/>
        <w:ind w:left="138" w:right="217" w:firstLine="419"/>
        <w:jc w:val="both"/>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p>
    <w:p>
      <w:pPr>
        <w:spacing w:after="0" w:line="355"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28" w:firstLine="419"/>
        <w:jc w:val="right"/>
      </w:pPr>
      <w:r>
        <w:rPr>
          <w:spacing w:val="-2"/>
        </w:rPr>
        <w:t>金融资产部分转移满足终止确认条件的，将所转移金融资产的账面价值在终止确认及未终止</w:t>
      </w:r>
      <w:r>
        <w:rPr>
          <w:w w:val="100"/>
        </w:rPr>
        <w:t> </w:t>
      </w:r>
      <w:r>
        <w:rPr>
          <w:spacing w:val="-2"/>
        </w:rPr>
        <w:t>确认部分之间按其相对的公允价值进行分摊，并将因转移而收到的对价与应分摊至终止确认部分</w:t>
      </w:r>
      <w:r>
        <w:rPr>
          <w:spacing w:val="-52"/>
        </w:rPr>
        <w:t> </w:t>
      </w:r>
      <w:r>
        <w:rPr>
          <w:spacing w:val="-52"/>
        </w:rPr>
      </w:r>
      <w:r>
        <w:rPr>
          <w:spacing w:val="-2"/>
        </w:rPr>
        <w:t>的原计入其他综合收益的公允价值变动累计额之和与分摊的前述账面金额之差额计入当期损益。</w:t>
      </w:r>
      <w:r>
        <w:rPr>
          <w:spacing w:val="-52"/>
        </w:rPr>
        <w:t> </w:t>
      </w:r>
      <w:r>
        <w:rPr>
          <w:spacing w:val="-52"/>
        </w:rPr>
      </w:r>
      <w:r>
        <w:rPr>
          <w:spacing w:val="-2"/>
        </w:rPr>
        <w:t>本公司对采用附追索权方式出售的金融资产，或将持有的金融资产背书转让，需确定该金融</w:t>
      </w:r>
      <w:r>
        <w:rPr>
          <w:w w:val="100"/>
        </w:rPr>
        <w:t> </w:t>
      </w:r>
      <w:r>
        <w:rPr>
          <w:spacing w:val="-2"/>
        </w:rPr>
        <w:t>资产所有权上几乎所有的风险和报酬是否已经转移。已将该金融资产所有权上几乎所有的风险和</w:t>
      </w:r>
      <w:r>
        <w:rPr>
          <w:spacing w:val="-52"/>
        </w:rPr>
        <w:t> </w:t>
      </w:r>
      <w:r>
        <w:rPr>
          <w:spacing w:val="-52"/>
        </w:rPr>
      </w:r>
      <w:r>
        <w:rPr>
          <w:spacing w:val="-6"/>
          <w:w w:val="100"/>
        </w:rPr>
        <w:t>报酬转移给转入方的，终止确认该金融资产；保留了金融资产所有权上几乎所有的风险和报酬的，</w:t>
      </w:r>
      <w:r>
        <w:rPr>
          <w:w w:val="100"/>
        </w:rPr>
        <w:t> </w:t>
      </w:r>
      <w:r>
        <w:rPr>
          <w:spacing w:val="-2"/>
        </w:rPr>
        <w:t>不终止确认该金融资产；既没有转移也没有保留金融资产所有权上几乎所有的风险和报酬的，则</w:t>
      </w:r>
    </w:p>
    <w:p>
      <w:pPr>
        <w:pStyle w:val="BodyText"/>
        <w:spacing w:line="240" w:lineRule="auto" w:before="30"/>
        <w:ind w:left="138" w:right="125"/>
        <w:jc w:val="left"/>
      </w:pPr>
      <w:r>
        <w:rPr/>
        <w:t>继续判断企业是否对该资产保留了控制，并根据前面各段所述的原则进行会计处理。</w:t>
      </w:r>
    </w:p>
    <w:p>
      <w:pPr>
        <w:pStyle w:val="BodyText"/>
        <w:spacing w:line="355" w:lineRule="auto" w:before="133"/>
        <w:ind w:left="558" w:right="125"/>
        <w:jc w:val="left"/>
      </w:pPr>
      <w:r>
        <w:rPr/>
        <w:t>（</w:t>
      </w:r>
      <w:r>
        <w:rPr>
          <w:rFonts w:ascii="宋体" w:hAnsi="宋体" w:cs="宋体" w:eastAsia="宋体" w:hint="default"/>
        </w:rPr>
        <w:t>5</w:t>
      </w:r>
      <w:r>
        <w:rPr/>
        <w:t>）金融负债的分类和计量</w:t>
      </w:r>
      <w:r>
        <w:rPr>
          <w:w w:val="100"/>
        </w:rPr>
        <w:t> </w:t>
      </w:r>
      <w:r>
        <w:rPr>
          <w:spacing w:val="-2"/>
        </w:rPr>
        <w:t>金融负债在初始确认时划分为以公允价值计量且其变动计入当期损益的金融负债和其他金融</w:t>
      </w:r>
    </w:p>
    <w:p>
      <w:pPr>
        <w:pStyle w:val="BodyText"/>
        <w:spacing w:line="355" w:lineRule="auto" w:before="34"/>
        <w:ind w:left="138" w:right="125"/>
        <w:jc w:val="left"/>
      </w:pPr>
      <w:r>
        <w:rPr>
          <w:spacing w:val="-2"/>
        </w:rPr>
        <w:t>负债。初始确认金融负债，以公允价值计量。对于以公允价值计量且其变动计入当期损益的金融</w:t>
      </w:r>
      <w:r>
        <w:rPr>
          <w:spacing w:val="-25"/>
        </w:rPr>
        <w:t> </w:t>
      </w:r>
      <w:r>
        <w:rPr>
          <w:spacing w:val="-25"/>
        </w:rPr>
      </w:r>
      <w:r>
        <w:rPr>
          <w:spacing w:val="-7"/>
        </w:rPr>
        <w:t>负债，相关的交易费用直接计入当期损益；对于其他金融负债，相关交易费用计入初始确认金额。</w:t>
      </w:r>
    </w:p>
    <w:p>
      <w:pPr>
        <w:pStyle w:val="BodyText"/>
        <w:spacing w:line="355" w:lineRule="auto" w:before="32"/>
        <w:ind w:left="558" w:right="125"/>
        <w:jc w:val="left"/>
      </w:pPr>
      <w:r>
        <w:rPr/>
        <w:t>①</w:t>
      </w:r>
      <w:r>
        <w:rPr>
          <w:spacing w:val="-1"/>
        </w:rPr>
        <w:t> </w:t>
      </w:r>
      <w:r>
        <w:rPr/>
        <w:t>以公允价值计量且其变动计入当期损益的金融负债</w:t>
      </w:r>
      <w:r>
        <w:rPr>
          <w:w w:val="100"/>
        </w:rPr>
        <w:t> </w:t>
      </w:r>
      <w:r>
        <w:rPr>
          <w:spacing w:val="-2"/>
        </w:rPr>
        <w:t>分类为交易性金融负债和在初始确认时指定为以公允价值计量且其变动计入当期损益的金融</w:t>
      </w:r>
    </w:p>
    <w:p>
      <w:pPr>
        <w:pStyle w:val="BodyText"/>
        <w:spacing w:line="357" w:lineRule="auto" w:before="32"/>
        <w:ind w:left="138" w:right="125"/>
        <w:jc w:val="left"/>
      </w:pPr>
      <w:r>
        <w:rPr>
          <w:spacing w:val="-2"/>
        </w:rPr>
        <w:t>负债的条件与分类为交易性金融资产和在初始确认时指定为以公允价值计量且其变动计入当期损</w:t>
      </w:r>
      <w:r>
        <w:rPr>
          <w:spacing w:val="-25"/>
        </w:rPr>
        <w:t> </w:t>
      </w:r>
      <w:r>
        <w:rPr>
          <w:spacing w:val="-25"/>
        </w:rPr>
      </w:r>
      <w:r>
        <w:rPr/>
        <w:t>益的金融资产的条件一致。</w:t>
      </w:r>
    </w:p>
    <w:p>
      <w:pPr>
        <w:pStyle w:val="BodyText"/>
        <w:spacing w:line="355" w:lineRule="auto" w:before="30"/>
        <w:ind w:left="138" w:right="125" w:firstLine="419"/>
        <w:jc w:val="left"/>
      </w:pPr>
      <w:r>
        <w:rPr>
          <w:spacing w:val="-2"/>
        </w:rPr>
        <w:t>以公允价值计量且其变动计入当期损益的金融负债采用公允价值进行后续计量，公允价值的</w:t>
      </w:r>
      <w:r>
        <w:rPr>
          <w:w w:val="100"/>
        </w:rPr>
        <w:t> </w:t>
      </w:r>
      <w:r>
        <w:rPr/>
        <w:t>变动形成的利得或损失以及与该等金融负债相关的股利和利息支出计入当期损益。</w:t>
      </w:r>
    </w:p>
    <w:p>
      <w:pPr>
        <w:pStyle w:val="BodyText"/>
        <w:spacing w:line="355" w:lineRule="auto" w:before="32"/>
        <w:ind w:left="558" w:right="125"/>
        <w:jc w:val="left"/>
      </w:pPr>
      <w:r>
        <w:rPr/>
        <w:t>② 其他金融负债</w:t>
      </w:r>
      <w:r>
        <w:rPr>
          <w:w w:val="100"/>
        </w:rPr>
        <w:t> </w:t>
      </w:r>
      <w:r>
        <w:rPr>
          <w:spacing w:val="-2"/>
        </w:rPr>
        <w:t>与在活跃市场中没有报价、公允价值不能可靠计量的权益工具挂钩并须通过交付该权益工具</w:t>
      </w:r>
    </w:p>
    <w:p>
      <w:pPr>
        <w:pStyle w:val="BodyText"/>
        <w:spacing w:line="355" w:lineRule="auto" w:before="34"/>
        <w:ind w:left="138" w:right="125"/>
        <w:jc w:val="left"/>
      </w:pPr>
      <w:r>
        <w:rPr>
          <w:spacing w:val="-2"/>
        </w:rPr>
        <w:t>结算的衍生金融负债，按照成本进行后续计量。其他金融负债采用实际利率法，按摊余成本进行</w:t>
      </w:r>
      <w:r>
        <w:rPr>
          <w:spacing w:val="-25"/>
        </w:rPr>
        <w:t> </w:t>
      </w:r>
      <w:r>
        <w:rPr>
          <w:spacing w:val="-25"/>
        </w:rPr>
      </w:r>
      <w:r>
        <w:rPr/>
        <w:t>后续计量，终止确认或摊销产生的利得或损失计入当期损益。</w:t>
      </w:r>
    </w:p>
    <w:p>
      <w:pPr>
        <w:pStyle w:val="BodyText"/>
        <w:spacing w:line="355" w:lineRule="auto" w:before="32"/>
        <w:ind w:left="558" w:right="125"/>
        <w:jc w:val="left"/>
      </w:pPr>
      <w:r>
        <w:rPr/>
        <w:t>③ 财务担保合同</w:t>
      </w:r>
      <w:r>
        <w:rPr>
          <w:w w:val="100"/>
        </w:rPr>
        <w:t> </w:t>
      </w:r>
      <w:r>
        <w:rPr>
          <w:spacing w:val="-2"/>
        </w:rPr>
        <w:t>不属于指定为以公允价值计量且其变动计入当期损益的金融负债的财务担保合同，以公允价</w:t>
      </w:r>
    </w:p>
    <w:p>
      <w:pPr>
        <w:pStyle w:val="BodyText"/>
        <w:spacing w:line="240" w:lineRule="auto" w:before="35"/>
        <w:ind w:left="138" w:right="0"/>
        <w:jc w:val="left"/>
      </w:pPr>
      <w:r>
        <w:rPr>
          <w:spacing w:val="-4"/>
        </w:rPr>
        <w:t>值进行初始确认，在初始确认后按照《企业会计准则第 </w:t>
      </w:r>
      <w:r>
        <w:rPr>
          <w:rFonts w:ascii="宋体" w:hAnsi="宋体" w:cs="宋体" w:eastAsia="宋体" w:hint="default"/>
        </w:rPr>
        <w:t>13</w:t>
      </w:r>
      <w:r>
        <w:rPr>
          <w:rFonts w:ascii="宋体" w:hAnsi="宋体" w:cs="宋体" w:eastAsia="宋体" w:hint="default"/>
          <w:spacing w:val="-40"/>
        </w:rPr>
        <w:t> </w:t>
      </w:r>
      <w:r>
        <w:rPr>
          <w:spacing w:val="-4"/>
        </w:rPr>
        <w:t>号—或有事项》确定的金额和初始确认</w:t>
      </w:r>
    </w:p>
    <w:p>
      <w:pPr>
        <w:pStyle w:val="BodyText"/>
        <w:spacing w:line="355" w:lineRule="auto" w:before="133"/>
        <w:ind w:left="138" w:right="125"/>
        <w:jc w:val="left"/>
      </w:pPr>
      <w:r>
        <w:rPr>
          <w:spacing w:val="-5"/>
        </w:rPr>
        <w:t>金额扣除按照《企业会计准则第</w:t>
      </w:r>
      <w:r>
        <w:rPr>
          <w:spacing w:val="-19"/>
        </w:rPr>
        <w:t> </w:t>
      </w:r>
      <w:r>
        <w:rPr>
          <w:rFonts w:ascii="宋体" w:hAnsi="宋体" w:cs="宋体" w:eastAsia="宋体" w:hint="default"/>
        </w:rPr>
        <w:t>14</w:t>
      </w:r>
      <w:r>
        <w:rPr>
          <w:rFonts w:ascii="宋体" w:hAnsi="宋体" w:cs="宋体" w:eastAsia="宋体" w:hint="default"/>
          <w:spacing w:val="-22"/>
        </w:rPr>
        <w:t> </w:t>
      </w:r>
      <w:r>
        <w:rPr>
          <w:spacing w:val="-4"/>
        </w:rPr>
        <w:t>号—收入》的原则确定的累计摊销额后的余额之中的较高者进</w:t>
      </w:r>
      <w:r>
        <w:rPr>
          <w:spacing w:val="-93"/>
        </w:rPr>
        <w:t> </w:t>
      </w:r>
      <w:r>
        <w:rPr>
          <w:spacing w:val="-93"/>
        </w:rPr>
      </w:r>
      <w:r>
        <w:rPr/>
        <w:t>行后续计量。</w:t>
      </w:r>
    </w:p>
    <w:p>
      <w:pPr>
        <w:pStyle w:val="BodyText"/>
        <w:spacing w:line="355" w:lineRule="auto" w:before="32"/>
        <w:ind w:left="558" w:right="125"/>
        <w:jc w:val="left"/>
      </w:pPr>
      <w:r>
        <w:rPr/>
        <w:t>（</w:t>
      </w:r>
      <w:r>
        <w:rPr>
          <w:rFonts w:ascii="宋体" w:hAnsi="宋体" w:cs="宋体" w:eastAsia="宋体" w:hint="default"/>
        </w:rPr>
        <w:t>6</w:t>
      </w:r>
      <w:r>
        <w:rPr/>
        <w:t>）金融负债的终止确认</w:t>
      </w:r>
      <w:r>
        <w:rPr>
          <w:w w:val="100"/>
        </w:rPr>
        <w:t> </w:t>
      </w:r>
      <w:r>
        <w:rPr>
          <w:spacing w:val="-2"/>
        </w:rPr>
        <w:t>金融负债的现时义务全部或部分已经解除的，才能终止确认该金融负债或其一部分。本公司</w:t>
      </w:r>
    </w:p>
    <w:p>
      <w:pPr>
        <w:pStyle w:val="BodyText"/>
        <w:spacing w:line="355" w:lineRule="auto" w:before="34"/>
        <w:ind w:left="138" w:right="125"/>
        <w:jc w:val="left"/>
      </w:pPr>
      <w:r>
        <w:rPr>
          <w:spacing w:val="-2"/>
        </w:rPr>
        <w:t>（债务人）与债权人之间签订协议，以承担新金融负债方式替换现存金融负债，且新金融负债与</w:t>
      </w:r>
      <w:r>
        <w:rPr>
          <w:spacing w:val="-25"/>
        </w:rPr>
        <w:t> </w:t>
      </w:r>
      <w:r>
        <w:rPr>
          <w:spacing w:val="-25"/>
        </w:rPr>
      </w:r>
      <w:r>
        <w:rPr/>
        <w:t>现存金融负债的合同条款实质上不同的，终止确认现存金融负债，并同时确认新金融负债。</w:t>
      </w:r>
    </w:p>
    <w:p>
      <w:pPr>
        <w:pStyle w:val="BodyText"/>
        <w:spacing w:line="357" w:lineRule="auto" w:before="32"/>
        <w:ind w:left="138" w:right="125" w:firstLine="419"/>
        <w:jc w:val="left"/>
      </w:pPr>
      <w:r>
        <w:rPr>
          <w:spacing w:val="-2"/>
        </w:rPr>
        <w:t>金融负债全部或部分终止确认的，将终止确认部分的账面价值与支付的对价（包括转出的非</w:t>
      </w:r>
      <w:r>
        <w:rPr>
          <w:w w:val="100"/>
        </w:rPr>
        <w:t> </w:t>
      </w:r>
      <w:r>
        <w:rPr/>
        <w:t>现金资产或承担的新金融负债）之间的差额，计入当期损益。</w:t>
      </w:r>
    </w:p>
    <w:p>
      <w:pPr>
        <w:pStyle w:val="BodyText"/>
        <w:spacing w:line="240" w:lineRule="auto" w:before="32"/>
        <w:ind w:left="558" w:right="125"/>
        <w:jc w:val="left"/>
      </w:pPr>
      <w:r>
        <w:rPr/>
        <w:t>（</w:t>
      </w:r>
      <w:r>
        <w:rPr>
          <w:rFonts w:ascii="宋体" w:hAnsi="宋体" w:cs="宋体" w:eastAsia="宋体" w:hint="default"/>
        </w:rPr>
        <w:t>7</w:t>
      </w:r>
      <w:r>
        <w:rPr/>
        <w:t>）衍生工具及嵌入衍生工具</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237" w:firstLine="419"/>
        <w:jc w:val="both"/>
      </w:pPr>
      <w:r>
        <w:rPr>
          <w:spacing w:val="-2"/>
        </w:rPr>
        <w:t>衍生工具于相关合同签署日以公允价值进行初始计量，并以公允价值进行后续计量。衍生工</w:t>
      </w:r>
      <w:r>
        <w:rPr>
          <w:w w:val="100"/>
        </w:rPr>
        <w:t> </w:t>
      </w:r>
      <w:r>
        <w:rPr/>
        <w:t>具的公允价值变动计入当期损益。</w:t>
      </w:r>
    </w:p>
    <w:p>
      <w:pPr>
        <w:pStyle w:val="BodyText"/>
        <w:spacing w:line="357" w:lineRule="auto" w:before="30"/>
        <w:ind w:right="237" w:firstLine="419"/>
        <w:jc w:val="both"/>
      </w:pPr>
      <w:r>
        <w:rPr>
          <w:spacing w:val="-2"/>
        </w:rPr>
        <w:t>对包含嵌入衍生工具的混合工具，如未指定为以公允价值计量且其变动计入当期损益的金融</w:t>
      </w:r>
      <w:r>
        <w:rPr>
          <w:w w:val="100"/>
        </w:rPr>
        <w:t> </w:t>
      </w:r>
      <w:r>
        <w:rPr>
          <w:spacing w:val="-2"/>
        </w:rPr>
        <w:t>资产或金融负债，嵌入衍生工具与该主合同在经济特征及风险方面不存在紧密关系，且与嵌入衍</w:t>
      </w:r>
      <w:r>
        <w:rPr>
          <w:spacing w:val="-25"/>
        </w:rPr>
        <w:t> </w:t>
      </w:r>
      <w:r>
        <w:rPr>
          <w:spacing w:val="-25"/>
        </w:rPr>
      </w:r>
      <w:r>
        <w:rPr>
          <w:spacing w:val="-2"/>
        </w:rPr>
        <w:t>生工具条件相同，单独存在的工具符合衍生工具定义的，嵌入衍生工具从混合工具中分拆，作为</w:t>
      </w:r>
      <w:r>
        <w:rPr>
          <w:spacing w:val="-25"/>
        </w:rPr>
        <w:t> </w:t>
      </w:r>
      <w:r>
        <w:rPr>
          <w:spacing w:val="-25"/>
        </w:rPr>
      </w:r>
      <w:r>
        <w:rPr>
          <w:spacing w:val="-2"/>
        </w:rPr>
        <w:t>单独的衍生金融工具处理。如果无法在取得时或后续的资产负债表日对嵌入衍生工具进行单独计</w:t>
      </w:r>
      <w:r>
        <w:rPr>
          <w:spacing w:val="-25"/>
        </w:rPr>
        <w:t> </w:t>
      </w:r>
      <w:r>
        <w:rPr>
          <w:spacing w:val="-25"/>
        </w:rPr>
      </w:r>
      <w:r>
        <w:rPr/>
        <w:t>量，则将混合工具整体指定为以公允价值计量且其变动计入当期损益的金融资产或金融负债。</w:t>
      </w:r>
    </w:p>
    <w:p>
      <w:pPr>
        <w:pStyle w:val="BodyText"/>
        <w:spacing w:line="357" w:lineRule="auto" w:before="30"/>
        <w:ind w:left="638" w:right="227"/>
        <w:jc w:val="left"/>
      </w:pPr>
      <w:r>
        <w:rPr/>
        <w:t>（</w:t>
      </w:r>
      <w:r>
        <w:rPr>
          <w:rFonts w:ascii="宋体" w:hAnsi="宋体" w:cs="宋体" w:eastAsia="宋体" w:hint="default"/>
        </w:rPr>
        <w:t>8</w:t>
      </w:r>
      <w:r>
        <w:rPr/>
        <w:t>）金融资产和金融负债的抵销</w:t>
      </w:r>
      <w:r>
        <w:rPr>
          <w:w w:val="100"/>
        </w:rPr>
        <w:t> </w:t>
      </w:r>
      <w:r>
        <w:rPr>
          <w:spacing w:val="-2"/>
        </w:rPr>
        <w:t>当本公司具有抵销已确认金融资产和金融负债的法定权利，且目前可执行该种法定权利，同</w:t>
      </w:r>
    </w:p>
    <w:p>
      <w:pPr>
        <w:pStyle w:val="BodyText"/>
        <w:spacing w:line="357" w:lineRule="auto" w:before="30"/>
        <w:ind w:right="228"/>
        <w:jc w:val="both"/>
      </w:pPr>
      <w:r>
        <w:rPr>
          <w:spacing w:val="-2"/>
        </w:rPr>
        <w:t>时本公司计划以净额结算或同时变现该金融资产和清偿该金融负债时，金融资产和金融负债以相</w:t>
      </w:r>
      <w:r>
        <w:rPr>
          <w:spacing w:val="-25"/>
        </w:rPr>
        <w:t> </w:t>
      </w:r>
      <w:r>
        <w:rPr>
          <w:spacing w:val="-25"/>
        </w:rPr>
      </w:r>
      <w:r>
        <w:rPr>
          <w:spacing w:val="-6"/>
          <w:w w:val="100"/>
        </w:rPr>
        <w:t>互抵销后的金额在资产负债表内列示。除此以外，金融资产和金融负债在资产负债表内分别列示，</w:t>
      </w:r>
      <w:r>
        <w:rPr>
          <w:w w:val="100"/>
        </w:rPr>
        <w:t> </w:t>
      </w:r>
      <w:r>
        <w:rPr/>
        <w:t>不予相互抵销。</w:t>
      </w:r>
    </w:p>
    <w:p>
      <w:pPr>
        <w:pStyle w:val="BodyText"/>
        <w:spacing w:line="355" w:lineRule="auto" w:before="30"/>
        <w:ind w:left="638" w:right="227"/>
        <w:jc w:val="left"/>
      </w:pPr>
      <w:r>
        <w:rPr/>
        <w:t>（</w:t>
      </w:r>
      <w:r>
        <w:rPr>
          <w:rFonts w:ascii="宋体" w:hAnsi="宋体" w:cs="宋体" w:eastAsia="宋体" w:hint="default"/>
        </w:rPr>
        <w:t>9</w:t>
      </w:r>
      <w:r>
        <w:rPr/>
        <w:t>）权益工具</w:t>
      </w:r>
      <w:r>
        <w:rPr>
          <w:w w:val="100"/>
        </w:rPr>
        <w:t> </w:t>
      </w:r>
      <w:r>
        <w:rPr>
          <w:spacing w:val="-2"/>
        </w:rPr>
        <w:t>权益工具是指能证明拥有本公司在扣除所有负债后的资产中的剩余权益的合同。本公司发行</w:t>
      </w:r>
    </w:p>
    <w:p>
      <w:pPr>
        <w:pStyle w:val="BodyText"/>
        <w:spacing w:line="357" w:lineRule="auto" w:before="32"/>
        <w:ind w:right="237"/>
        <w:jc w:val="both"/>
      </w:pPr>
      <w:r>
        <w:rPr>
          <w:spacing w:val="-2"/>
        </w:rPr>
        <w:t>（含再融资）、回购、出售或注销权益工具作为权益的变动处理。本公司不确认权益工具的公允</w:t>
      </w:r>
      <w:r>
        <w:rPr>
          <w:spacing w:val="-25"/>
        </w:rPr>
        <w:t> </w:t>
      </w:r>
      <w:r>
        <w:rPr>
          <w:spacing w:val="-25"/>
        </w:rPr>
      </w:r>
      <w:r>
        <w:rPr/>
        <w:t>价值变动。与权益性交易相关的交易费用从权益中扣减。</w:t>
      </w:r>
    </w:p>
    <w:p>
      <w:pPr>
        <w:pStyle w:val="BodyText"/>
        <w:spacing w:line="355" w:lineRule="auto" w:before="30"/>
        <w:ind w:right="237" w:firstLine="419"/>
        <w:jc w:val="both"/>
      </w:pPr>
      <w:r>
        <w:rPr>
          <w:spacing w:val="-2"/>
        </w:rPr>
        <w:t>本公司对权益工具持有方的各种分配（不包括股票股利），减少股东权益。本公司不确认权</w:t>
      </w:r>
      <w:r>
        <w:rPr>
          <w:w w:val="100"/>
        </w:rPr>
        <w:t> </w:t>
      </w:r>
      <w:r>
        <w:rPr/>
        <w:t>益工具的公允价值变动额。</w:t>
      </w:r>
    </w:p>
    <w:p>
      <w:pPr>
        <w:pStyle w:val="Heading2"/>
        <w:spacing w:line="290" w:lineRule="auto" w:before="92"/>
        <w:ind w:right="4408"/>
        <w:jc w:val="left"/>
        <w:rPr>
          <w:b w:val="0"/>
          <w:bCs w:val="0"/>
        </w:rPr>
      </w:pPr>
      <w:r>
        <w:rPr>
          <w:rFonts w:ascii="宋体" w:hAnsi="宋体" w:cs="宋体" w:eastAsia="宋体" w:hint="default"/>
        </w:rPr>
        <w:t>11.</w:t>
      </w:r>
      <w:r>
        <w:rPr>
          <w:rFonts w:ascii="宋体" w:hAnsi="宋体" w:cs="宋体" w:eastAsia="宋体" w:hint="default"/>
          <w:spacing w:val="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pStyle w:val="BodyText"/>
        <w:spacing w:line="240" w:lineRule="auto" w:before="12"/>
        <w:ind w:right="0"/>
        <w:jc w:val="both"/>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3"/>
        <w:gridCol w:w="5257"/>
      </w:tblGrid>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金额为人民币</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万以上的应收账款确认为单项金额重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大的应收款项。</w:t>
            </w:r>
          </w:p>
        </w:tc>
      </w:tr>
      <w:tr>
        <w:trPr>
          <w:trHeight w:val="137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pacing w:val="-1"/>
                <w:sz w:val="21"/>
                <w:szCs w:val="21"/>
              </w:rPr>
              <w:t>单项金额重大并单项计提坏账准备的计</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提方法</w:t>
            </w:r>
          </w:p>
        </w:tc>
        <w:tc>
          <w:tcPr>
            <w:tcW w:w="52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本公司对单项金额重大的应收款项单独进行减值测试，</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单独测试未发生减值的金融资产，包括在具有类似信用</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风险特征的金融资产组合中进行减值测试。单项测试已</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确认减值损失的应收款项，不再包括在具有类似信用风</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险特征的应收款项组合中进行减值测试。</w:t>
            </w:r>
          </w:p>
        </w:tc>
      </w:tr>
    </w:tbl>
    <w:p>
      <w:pPr>
        <w:pStyle w:val="Heading2"/>
        <w:spacing w:line="240" w:lineRule="auto" w:before="26"/>
        <w:ind w:right="3319"/>
        <w:jc w:val="left"/>
        <w:rPr>
          <w:b w:val="0"/>
          <w:bCs w:val="0"/>
        </w:rPr>
      </w:pPr>
      <w:r>
        <w:rPr>
          <w:rFonts w:ascii="宋体" w:hAnsi="宋体" w:cs="宋体" w:eastAsia="宋体" w:hint="default"/>
        </w:rPr>
        <w:t>(2).</w:t>
      </w:r>
      <w:r>
        <w:rPr/>
        <w:t>按信用风险特征组合计提坏账准备的应收款项</w:t>
      </w:r>
      <w:r>
        <w:rPr>
          <w:b w:val="0"/>
          <w:bCs w:val="0"/>
        </w:rPr>
      </w:r>
    </w:p>
    <w:p>
      <w:pPr>
        <w:pStyle w:val="BodyText"/>
        <w:spacing w:line="240" w:lineRule="auto" w:before="56"/>
        <w:ind w:right="331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5113"/>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z w:val="21"/>
                <w:szCs w:val="21"/>
              </w:rPr>
              <w:t>：账龄分析法组合（账龄分析法、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余额百分比法、其他方法）</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指除个别认定组合外的应收款项账龄。</w:t>
            </w:r>
          </w:p>
        </w:tc>
      </w:tr>
      <w:tr>
        <w:trPr>
          <w:trHeight w:val="55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z w:val="21"/>
                <w:szCs w:val="21"/>
              </w:rPr>
              <w:t>：个别认定组合</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合并报表范围内的各财务报表主体之间的应收款项、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公司职工个人备用金及代垫职工保险费等。</w:t>
            </w:r>
          </w:p>
        </w:tc>
      </w:tr>
    </w:tbl>
    <w:p>
      <w:pPr>
        <w:pStyle w:val="BodyText"/>
        <w:spacing w:line="239" w:lineRule="exact"/>
        <w:ind w:right="3319"/>
        <w:jc w:val="left"/>
      </w:pPr>
      <w:r>
        <w:rPr/>
        <w:t>组合中，采用账龄分析法计提坏账准备的</w:t>
      </w:r>
    </w:p>
    <w:p>
      <w:pPr>
        <w:pStyle w:val="BodyText"/>
        <w:spacing w:line="273" w:lineRule="exact"/>
        <w:ind w:right="331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33"/>
        <w:gridCol w:w="3072"/>
        <w:gridCol w:w="3145"/>
      </w:tblGrid>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33"/>
        <w:gridCol w:w="3072"/>
        <w:gridCol w:w="3145"/>
      </w:tblGrid>
      <w:tr>
        <w:trPr>
          <w:trHeight w:val="284"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10.00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r>
      <w:tr>
        <w:trPr>
          <w:trHeight w:val="281"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100.00</w:t>
            </w:r>
          </w:p>
        </w:tc>
      </w:tr>
    </w:tbl>
    <w:p>
      <w:pPr>
        <w:pStyle w:val="BodyText"/>
        <w:spacing w:line="240" w:lineRule="exact"/>
        <w:ind w:right="3319"/>
        <w:jc w:val="left"/>
      </w:pPr>
      <w:r>
        <w:rPr/>
        <w:t>组合中，采用余额百分比法计提坏账准备的</w:t>
      </w:r>
    </w:p>
    <w:p>
      <w:pPr>
        <w:pStyle w:val="BodyText"/>
        <w:spacing w:line="272" w:lineRule="exact" w:before="27"/>
        <w:ind w:right="4688"/>
        <w:jc w:val="left"/>
      </w:pPr>
      <w:r>
        <w:rPr/>
        <w:t>□适用</w:t>
      </w:r>
      <w:r>
        <w:rPr>
          <w:spacing w:val="-2"/>
        </w:rPr>
        <w:t> </w:t>
      </w:r>
      <w:r>
        <w:rPr/>
        <w:t>√不适用</w:t>
      </w:r>
      <w:r>
        <w:rPr>
          <w:w w:val="100"/>
        </w:rPr>
        <w:t> </w:t>
      </w:r>
      <w:r>
        <w:rPr>
          <w:spacing w:val="-2"/>
        </w:rPr>
        <w:t>组合中，采用其他方法计提坏账准备的</w:t>
      </w:r>
    </w:p>
    <w:p>
      <w:pPr>
        <w:pStyle w:val="BodyText"/>
        <w:spacing w:line="249" w:lineRule="exact"/>
        <w:ind w:right="3319"/>
        <w:jc w:val="left"/>
      </w:pPr>
      <w:r>
        <w:rPr/>
        <w:t>□适用</w:t>
      </w:r>
      <w:r>
        <w:rPr>
          <w:spacing w:val="-1"/>
        </w:rPr>
        <w:t> </w:t>
      </w:r>
      <w:r>
        <w:rPr/>
        <w:t>√不适用</w:t>
      </w:r>
    </w:p>
    <w:p>
      <w:pPr>
        <w:pStyle w:val="Heading2"/>
        <w:spacing w:line="240" w:lineRule="auto" w:before="56"/>
        <w:ind w:right="3319"/>
        <w:jc w:val="left"/>
        <w:rPr>
          <w:b w:val="0"/>
          <w:bCs w:val="0"/>
        </w:rPr>
      </w:pPr>
      <w:r>
        <w:rPr>
          <w:rFonts w:ascii="宋体" w:hAnsi="宋体" w:cs="宋体" w:eastAsia="宋体" w:hint="default"/>
        </w:rPr>
        <w:t>(3).</w:t>
      </w:r>
      <w:r>
        <w:rPr/>
        <w:t>单项金额不重大但单独计提坏账准备的应收款项</w:t>
      </w:r>
      <w:r>
        <w:rPr>
          <w:b w:val="0"/>
          <w:bCs w:val="0"/>
        </w:rPr>
      </w:r>
    </w:p>
    <w:p>
      <w:pPr>
        <w:pStyle w:val="BodyText"/>
        <w:spacing w:line="240" w:lineRule="auto" w:before="58"/>
        <w:ind w:right="3319"/>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0"/>
        <w:gridCol w:w="6390"/>
      </w:tblGrid>
      <w:tr>
        <w:trPr>
          <w:trHeight w:val="55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与对方存在争议或涉及诉讼、仲裁的应收款项；已有明显迹象表明</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债务人很可能无法履行还款义务的应收款项等。</w:t>
            </w:r>
          </w:p>
        </w:tc>
      </w:tr>
      <w:tr>
        <w:trPr>
          <w:trHeight w:val="82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本公司对于单项金额虽不重大但具备以下特征的应收款项，单独进</w:t>
            </w:r>
          </w:p>
          <w:p>
            <w:pPr>
              <w:pStyle w:val="TableParagraph"/>
              <w:spacing w:line="272" w:lineRule="exact" w:before="27"/>
              <w:ind w:left="103" w:right="178"/>
              <w:jc w:val="left"/>
              <w:rPr>
                <w:rFonts w:ascii="宋体" w:hAnsi="宋体" w:cs="宋体" w:eastAsia="宋体" w:hint="default"/>
                <w:sz w:val="21"/>
                <w:szCs w:val="21"/>
              </w:rPr>
            </w:pPr>
            <w:r>
              <w:rPr>
                <w:rFonts w:ascii="宋体" w:hAnsi="宋体" w:cs="宋体" w:eastAsia="宋体" w:hint="default"/>
                <w:spacing w:val="-2"/>
                <w:sz w:val="21"/>
                <w:szCs w:val="21"/>
              </w:rPr>
              <w:t>行减值测试，有客观证据表明其发生减值的，根据其未来现金流量</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现值低于其账面价值的差额，确认减值损失，计提坏账准备</w:t>
            </w:r>
          </w:p>
        </w:tc>
      </w:tr>
    </w:tbl>
    <w:p>
      <w:pPr>
        <w:spacing w:line="290" w:lineRule="auto" w:before="26"/>
        <w:ind w:left="638" w:right="227"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坏账准备的转回</w:t>
      </w:r>
      <w:r>
        <w:rPr>
          <w:rFonts w:ascii="宋体" w:hAnsi="宋体" w:cs="宋体" w:eastAsia="宋体" w:hint="default"/>
          <w:b/>
          <w:bCs/>
          <w:spacing w:val="-103"/>
          <w:sz w:val="21"/>
          <w:szCs w:val="21"/>
        </w:rPr>
        <w:t> </w:t>
      </w:r>
      <w:r>
        <w:rPr>
          <w:rFonts w:ascii="宋体" w:hAnsi="宋体" w:cs="宋体" w:eastAsia="宋体" w:hint="default"/>
          <w:spacing w:val="-2"/>
          <w:sz w:val="21"/>
          <w:szCs w:val="21"/>
        </w:rPr>
        <w:t>如有客观证据表明该应收款项价值已恢复，且客观上与确认该损失后发生的事项有关，原确</w:t>
      </w:r>
    </w:p>
    <w:p>
      <w:pPr>
        <w:pStyle w:val="BodyText"/>
        <w:spacing w:line="355" w:lineRule="auto" w:before="91"/>
        <w:ind w:right="227"/>
        <w:jc w:val="left"/>
      </w:pPr>
      <w:r>
        <w:rPr>
          <w:spacing w:val="-2"/>
        </w:rPr>
        <w:t>认的减值损失予以转回，计入当期损益。但是，该转回后的账面价值不超过假定不计提减值准备</w:t>
      </w:r>
      <w:r>
        <w:rPr>
          <w:spacing w:val="-25"/>
        </w:rPr>
        <w:t> </w:t>
      </w:r>
      <w:r>
        <w:rPr>
          <w:spacing w:val="-25"/>
        </w:rPr>
      </w:r>
      <w:r>
        <w:rPr/>
        <w:t>情况下该应收款项在转回日的摊余成本。</w:t>
      </w:r>
    </w:p>
    <w:p>
      <w:pPr>
        <w:pStyle w:val="BodyText"/>
        <w:spacing w:line="355" w:lineRule="auto" w:before="32"/>
        <w:ind w:right="237" w:firstLine="419"/>
        <w:jc w:val="both"/>
      </w:pPr>
      <w:r>
        <w:rPr>
          <w:spacing w:val="-2"/>
        </w:rPr>
        <w:t>本公司向金融机构以不附追索权方式转让应收款项的，按交易款项扣除已转销应收账款的账</w:t>
      </w:r>
      <w:r>
        <w:rPr>
          <w:w w:val="100"/>
        </w:rPr>
        <w:t> </w:t>
      </w:r>
      <w:r>
        <w:rPr/>
        <w:t>面价值和相关税费后的差额计入当期损益。</w:t>
      </w:r>
    </w:p>
    <w:p>
      <w:pPr>
        <w:pStyle w:val="Heading2"/>
        <w:spacing w:line="240" w:lineRule="auto" w:before="92"/>
        <w:ind w:right="3319"/>
        <w:jc w:val="left"/>
        <w:rPr>
          <w:b w:val="0"/>
          <w:bCs w:val="0"/>
        </w:rPr>
      </w:pPr>
      <w:r>
        <w:rPr>
          <w:rFonts w:ascii="宋体" w:hAnsi="宋体" w:cs="宋体" w:eastAsia="宋体" w:hint="default"/>
        </w:rPr>
        <w:t>12.</w:t>
      </w:r>
      <w:r>
        <w:rPr>
          <w:rFonts w:ascii="宋体" w:hAnsi="宋体" w:cs="宋体" w:eastAsia="宋体" w:hint="default"/>
          <w:spacing w:val="2"/>
        </w:rPr>
        <w:t> </w:t>
      </w:r>
      <w:r>
        <w:rPr/>
        <w:t>存货</w:t>
      </w:r>
      <w:r>
        <w:rPr>
          <w:b w:val="0"/>
          <w:bCs w:val="0"/>
        </w:rPr>
      </w:r>
    </w:p>
    <w:p>
      <w:pPr>
        <w:pStyle w:val="BodyText"/>
        <w:tabs>
          <w:tab w:pos="1060" w:val="left" w:leader="none"/>
        </w:tabs>
        <w:spacing w:line="273" w:lineRule="exact" w:before="58"/>
        <w:ind w:right="3319"/>
        <w:jc w:val="left"/>
      </w:pPr>
      <w:r>
        <w:rPr>
          <w:spacing w:val="-1"/>
        </w:rPr>
        <w:t>√适用</w:t>
        <w:tab/>
      </w:r>
      <w:r>
        <w:rPr>
          <w:spacing w:val="-2"/>
        </w:rPr>
        <w:t>□不适用</w:t>
      </w:r>
    </w:p>
    <w:p>
      <w:pPr>
        <w:pStyle w:val="BodyText"/>
        <w:spacing w:line="357" w:lineRule="auto"/>
        <w:ind w:left="638" w:right="6323"/>
        <w:jc w:val="left"/>
      </w:pPr>
      <w:r>
        <w:rPr/>
        <w:t>（</w:t>
      </w:r>
      <w:r>
        <w:rPr>
          <w:rFonts w:ascii="宋体" w:hAnsi="宋体" w:cs="宋体" w:eastAsia="宋体" w:hint="default"/>
        </w:rPr>
        <w:t>1</w:t>
      </w:r>
      <w:r>
        <w:rPr/>
        <w:t>）存货的分类</w:t>
      </w:r>
      <w:r>
        <w:rPr>
          <w:w w:val="100"/>
        </w:rPr>
        <w:t> </w:t>
      </w:r>
      <w:r>
        <w:rPr>
          <w:spacing w:val="-2"/>
        </w:rPr>
        <w:t>存货主要包括库存商品。</w:t>
      </w:r>
    </w:p>
    <w:p>
      <w:pPr>
        <w:pStyle w:val="BodyText"/>
        <w:spacing w:line="355" w:lineRule="auto" w:before="30"/>
        <w:ind w:left="638" w:right="227"/>
        <w:jc w:val="left"/>
      </w:pPr>
      <w:r>
        <w:rPr/>
        <w:t>（</w:t>
      </w:r>
      <w:r>
        <w:rPr>
          <w:rFonts w:ascii="宋体" w:hAnsi="宋体" w:cs="宋体" w:eastAsia="宋体" w:hint="default"/>
        </w:rPr>
        <w:t>2</w:t>
      </w:r>
      <w:r>
        <w:rPr/>
        <w:t>）存货取得和发出的计价方法</w:t>
      </w:r>
      <w:r>
        <w:rPr>
          <w:w w:val="100"/>
        </w:rPr>
        <w:t> </w:t>
      </w:r>
      <w:r>
        <w:rPr>
          <w:spacing w:val="-2"/>
        </w:rPr>
        <w:t>存货在取得时按实际成本计价，存货成本包括采购成本和其他成本。领用和发出时按先进先</w:t>
      </w:r>
    </w:p>
    <w:p>
      <w:pPr>
        <w:pStyle w:val="BodyText"/>
        <w:spacing w:line="240" w:lineRule="auto" w:before="32"/>
        <w:ind w:right="3319"/>
        <w:jc w:val="left"/>
      </w:pPr>
      <w:r>
        <w:rPr/>
        <w:t>出法计价。</w:t>
      </w:r>
    </w:p>
    <w:p>
      <w:pPr>
        <w:pStyle w:val="BodyText"/>
        <w:spacing w:line="360" w:lineRule="auto" w:before="133"/>
        <w:ind w:left="638" w:right="227"/>
        <w:jc w:val="left"/>
      </w:pPr>
      <w:r>
        <w:rPr/>
        <w:t>（</w:t>
      </w:r>
      <w:r>
        <w:rPr>
          <w:rFonts w:ascii="宋体" w:hAnsi="宋体" w:cs="宋体" w:eastAsia="宋体" w:hint="default"/>
        </w:rPr>
        <w:t>3</w:t>
      </w:r>
      <w:r>
        <w:rPr/>
        <w:t>）存货可变现净值的确认和跌价准备的计提方法</w:t>
      </w:r>
      <w:r>
        <w:rPr>
          <w:w w:val="100"/>
        </w:rPr>
        <w:t> </w:t>
      </w:r>
      <w:r>
        <w:rPr>
          <w:spacing w:val="-2"/>
        </w:rPr>
        <w:t>可变现净值是指在日常活动中，存货的估计售价减去至完工时估计将要发生的成本、估计的</w:t>
      </w:r>
    </w:p>
    <w:p>
      <w:pPr>
        <w:pStyle w:val="BodyText"/>
        <w:spacing w:line="355" w:lineRule="auto" w:before="28"/>
        <w:ind w:right="227"/>
        <w:jc w:val="left"/>
      </w:pPr>
      <w:r>
        <w:rPr>
          <w:spacing w:val="-2"/>
        </w:rPr>
        <w:t>销售费用以及相关税费后的金额。在确定存货的可变现净值时，以取得的确凿证据为基础，同时</w:t>
      </w:r>
      <w:r>
        <w:rPr>
          <w:spacing w:val="-25"/>
        </w:rPr>
        <w:t> </w:t>
      </w:r>
      <w:r>
        <w:rPr>
          <w:spacing w:val="-25"/>
        </w:rPr>
      </w:r>
      <w:r>
        <w:rPr/>
        <w:t>考虑持有存货的目的以及资产负债表日后事项的影响。</w:t>
      </w:r>
    </w:p>
    <w:p>
      <w:pPr>
        <w:pStyle w:val="BodyText"/>
        <w:spacing w:line="357" w:lineRule="auto" w:before="32"/>
        <w:ind w:right="237" w:firstLine="419"/>
        <w:jc w:val="both"/>
      </w:pPr>
      <w:r>
        <w:rPr>
          <w:spacing w:val="-2"/>
        </w:rPr>
        <w:t>在资产负债表日，存货按照成本与可变现净值孰低计量。当其可变现净值低于成本时，提取</w:t>
      </w:r>
      <w:r>
        <w:rPr>
          <w:w w:val="100"/>
        </w:rPr>
        <w:t> </w:t>
      </w:r>
      <w:r>
        <w:rPr>
          <w:spacing w:val="-2"/>
        </w:rPr>
        <w:t>存货跌价准备。存货跌价准备通常按单个存货项目的成本高于其可变现净值的差额提取。对于数</w:t>
      </w:r>
      <w:r>
        <w:rPr>
          <w:spacing w:val="-25"/>
        </w:rPr>
        <w:t> </w:t>
      </w:r>
      <w:r>
        <w:rPr>
          <w:spacing w:val="-25"/>
        </w:rPr>
      </w:r>
      <w:r>
        <w:rPr>
          <w:spacing w:val="-2"/>
        </w:rPr>
        <w:t>量繁多、单价较低的存货，按存货类别计提存货跌价准备；对在同一地区生产和销售的产品系列</w:t>
      </w:r>
      <w:r>
        <w:rPr>
          <w:spacing w:val="-25"/>
        </w:rPr>
        <w:t> </w:t>
      </w:r>
      <w:r>
        <w:rPr>
          <w:spacing w:val="-25"/>
        </w:rPr>
      </w:r>
      <w:r>
        <w:rPr>
          <w:spacing w:val="-2"/>
        </w:rPr>
        <w:t>相关、具有相同或类似最终用途或目的，且难以与其他项目分开计量的存货，可合并计提存货跌</w:t>
      </w:r>
      <w:r>
        <w:rPr>
          <w:spacing w:val="-25"/>
        </w:rPr>
        <w:t> </w:t>
      </w:r>
      <w:r>
        <w:rPr>
          <w:spacing w:val="-25"/>
        </w:rPr>
      </w:r>
      <w:r>
        <w:rPr/>
        <w:t>价准备。</w:t>
      </w:r>
    </w:p>
    <w:p>
      <w:pPr>
        <w:pStyle w:val="BodyText"/>
        <w:spacing w:line="357" w:lineRule="auto" w:before="30"/>
        <w:ind w:right="237" w:firstLine="419"/>
        <w:jc w:val="both"/>
      </w:pPr>
      <w:r>
        <w:rPr>
          <w:spacing w:val="-2"/>
        </w:rPr>
        <w:t>计提存货跌价准备后，如果以前减记存货价值的影响因素已经消失，导致存货的可变现净值</w:t>
      </w:r>
      <w:r>
        <w:rPr>
          <w:w w:val="100"/>
        </w:rPr>
        <w:t> </w:t>
      </w:r>
      <w:r>
        <w:rPr/>
        <w:t>高于其账面价值的，在原已计提的存货跌价准备金额内予以转回，转回的金额计入当期损益。</w:t>
      </w:r>
    </w:p>
    <w:p>
      <w:pPr>
        <w:spacing w:after="0" w:line="357" w:lineRule="auto"/>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558" w:right="125"/>
        <w:jc w:val="left"/>
      </w:pPr>
      <w:r>
        <w:rPr/>
        <w:t>（</w:t>
      </w:r>
      <w:r>
        <w:rPr>
          <w:rFonts w:ascii="宋体" w:hAnsi="宋体" w:cs="宋体" w:eastAsia="宋体" w:hint="default"/>
        </w:rPr>
        <w:t>4</w:t>
      </w:r>
      <w:r>
        <w:rPr/>
        <w:t>）存货的盘存制度为永续盘存制。</w:t>
      </w:r>
    </w:p>
    <w:p>
      <w:pPr>
        <w:pStyle w:val="BodyText"/>
        <w:spacing w:line="355" w:lineRule="auto" w:before="135"/>
        <w:ind w:left="558" w:right="2543"/>
        <w:jc w:val="left"/>
      </w:pPr>
      <w:r>
        <w:rPr/>
        <w:t>（</w:t>
      </w:r>
      <w:r>
        <w:rPr>
          <w:rFonts w:ascii="宋体" w:hAnsi="宋体" w:cs="宋体" w:eastAsia="宋体" w:hint="default"/>
        </w:rPr>
        <w:t>5</w:t>
      </w:r>
      <w:r>
        <w:rPr/>
        <w:t>）低值易耗品和包装物的摊销方法</w:t>
      </w:r>
      <w:r>
        <w:rPr>
          <w:w w:val="100"/>
        </w:rPr>
        <w:t> </w:t>
      </w:r>
      <w:r>
        <w:rPr>
          <w:spacing w:val="-2"/>
        </w:rPr>
        <w:t>低值易耗品和包装物于领用时按一次摊销法摊销。</w:t>
      </w:r>
    </w:p>
    <w:p>
      <w:pPr>
        <w:pStyle w:val="Heading2"/>
        <w:spacing w:line="240" w:lineRule="auto" w:before="92"/>
        <w:ind w:left="138" w:right="0"/>
        <w:jc w:val="both"/>
        <w:rPr>
          <w:b w:val="0"/>
          <w:bCs w:val="0"/>
        </w:rPr>
      </w:pPr>
      <w:r>
        <w:rPr>
          <w:rFonts w:ascii="宋体" w:hAnsi="宋体" w:cs="宋体" w:eastAsia="宋体" w:hint="default"/>
        </w:rPr>
        <w:t>13.</w:t>
      </w:r>
      <w:r>
        <w:rPr>
          <w:rFonts w:ascii="宋体" w:hAnsi="宋体" w:cs="宋体" w:eastAsia="宋体" w:hint="default"/>
          <w:spacing w:val="3"/>
        </w:rPr>
        <w:t> </w:t>
      </w:r>
      <w:r>
        <w:rPr/>
        <w:t>持有待售资产</w:t>
      </w:r>
      <w:r>
        <w:rPr>
          <w:b w:val="0"/>
          <w:bCs w:val="0"/>
        </w:rPr>
      </w:r>
    </w:p>
    <w:p>
      <w:pPr>
        <w:tabs>
          <w:tab w:pos="980" w:val="left" w:leader="none"/>
        </w:tabs>
        <w:spacing w:line="290" w:lineRule="auto" w:before="58"/>
        <w:ind w:left="138" w:right="727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14.</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tabs>
          <w:tab w:pos="980" w:val="left" w:leader="none"/>
        </w:tabs>
        <w:spacing w:line="240" w:lineRule="auto" w:before="12"/>
        <w:ind w:left="558" w:right="137" w:hanging="420"/>
        <w:jc w:val="left"/>
      </w:pPr>
      <w:r>
        <w:rPr>
          <w:spacing w:val="-1"/>
        </w:rPr>
        <w:t>√适用</w:t>
        <w:tab/>
      </w:r>
      <w:r>
        <w:rPr>
          <w:spacing w:val="-2"/>
        </w:rPr>
        <w:t>□不适用</w:t>
      </w:r>
      <w:r>
        <w:rPr>
          <w:spacing w:val="-99"/>
        </w:rPr>
        <w:t> </w:t>
      </w:r>
      <w:r>
        <w:rPr>
          <w:spacing w:val="-99"/>
        </w:rPr>
      </w:r>
      <w:r>
        <w:rPr>
          <w:spacing w:val="-2"/>
        </w:rPr>
        <w:t>本部分所指的长期股权投资是指本公司对被投资单位具有控制、共同控制或重大影响的长期</w:t>
      </w:r>
    </w:p>
    <w:p>
      <w:pPr>
        <w:pStyle w:val="BodyText"/>
        <w:spacing w:line="357" w:lineRule="auto" w:before="133"/>
        <w:ind w:left="138" w:right="137"/>
        <w:jc w:val="both"/>
      </w:pPr>
      <w:r>
        <w:rPr>
          <w:spacing w:val="-2"/>
        </w:rPr>
        <w:t>股权投资。本公司对被投资单位不具有控制、共同控制或重大影响的长期股权投资，作为可供出</w:t>
      </w:r>
      <w:r>
        <w:rPr>
          <w:spacing w:val="-25"/>
        </w:rPr>
        <w:t> </w:t>
      </w:r>
      <w:r>
        <w:rPr>
          <w:spacing w:val="-25"/>
        </w:rPr>
      </w:r>
      <w:r>
        <w:rPr>
          <w:spacing w:val="-2"/>
        </w:rPr>
        <w:t>售金融资产或以公允价值计量且其变动计入当期损益的金融资产核算，其会计政策详见本报告第</w:t>
      </w:r>
      <w:r>
        <w:rPr>
          <w:spacing w:val="-25"/>
        </w:rPr>
        <w:t> </w:t>
      </w:r>
      <w:r>
        <w:rPr>
          <w:spacing w:val="-25"/>
        </w:rPr>
      </w:r>
      <w:r>
        <w:rPr/>
        <w:t>十一节、五、10“金融工具”。</w:t>
      </w:r>
    </w:p>
    <w:p>
      <w:pPr>
        <w:pStyle w:val="BodyText"/>
        <w:spacing w:line="355" w:lineRule="auto" w:before="30"/>
        <w:ind w:left="138" w:right="137" w:firstLine="419"/>
        <w:jc w:val="both"/>
      </w:pPr>
      <w:r>
        <w:rPr>
          <w:spacing w:val="-2"/>
        </w:rPr>
        <w:t>共同控制，是指本公司按照相关约定对某项安排所共有的控制，并且该安排的相关活动必须</w:t>
      </w:r>
      <w:r>
        <w:rPr>
          <w:w w:val="100"/>
        </w:rPr>
        <w:t> </w:t>
      </w:r>
      <w:r>
        <w:rPr>
          <w:spacing w:val="-2"/>
        </w:rPr>
        <w:t>经过分享控制权的参与方一致同意后才能决策。重大影响，是指本公司对被投资单位的财务和经</w:t>
      </w:r>
      <w:r>
        <w:rPr>
          <w:spacing w:val="-25"/>
        </w:rPr>
        <w:t> </w:t>
      </w:r>
      <w:r>
        <w:rPr>
          <w:spacing w:val="-25"/>
        </w:rPr>
      </w:r>
      <w:r>
        <w:rPr/>
        <w:t>营政策有参与决策的权力，但并不能够控制或者与其他方一起共同控制这些政策的制定。</w:t>
      </w:r>
    </w:p>
    <w:p>
      <w:pPr>
        <w:pStyle w:val="BodyText"/>
        <w:spacing w:line="357" w:lineRule="auto" w:before="32"/>
        <w:ind w:left="558" w:right="125"/>
        <w:jc w:val="left"/>
      </w:pPr>
      <w:r>
        <w:rPr/>
        <w:t>（</w:t>
      </w:r>
      <w:r>
        <w:rPr>
          <w:rFonts w:ascii="宋体" w:hAnsi="宋体" w:cs="宋体" w:eastAsia="宋体" w:hint="default"/>
        </w:rPr>
        <w:t>1</w:t>
      </w:r>
      <w:r>
        <w:rPr/>
        <w:t>）投资成本的确定</w:t>
      </w:r>
      <w:r>
        <w:rPr>
          <w:w w:val="100"/>
        </w:rPr>
        <w:t> </w:t>
      </w:r>
      <w:r>
        <w:rPr>
          <w:spacing w:val="-2"/>
        </w:rPr>
        <w:t>对于同一控制下的企业合并取得的长期股权投资，在合并日按照被合并方股东权益在最终控</w:t>
      </w:r>
    </w:p>
    <w:p>
      <w:pPr>
        <w:pStyle w:val="BodyText"/>
        <w:spacing w:line="357" w:lineRule="auto" w:before="30"/>
        <w:ind w:left="138" w:right="137"/>
        <w:jc w:val="both"/>
      </w:pPr>
      <w:r>
        <w:rPr>
          <w:spacing w:val="-2"/>
        </w:rPr>
        <w:t>制方合并财务报表中的账面价值的份额作为长期股权投资的初始投资成本。长期股权投资初始投</w:t>
      </w:r>
      <w:r>
        <w:rPr>
          <w:spacing w:val="-25"/>
        </w:rPr>
        <w:t> </w:t>
      </w:r>
      <w:r>
        <w:rPr>
          <w:spacing w:val="-25"/>
        </w:rPr>
      </w:r>
      <w:r>
        <w:rPr>
          <w:spacing w:val="-2"/>
        </w:rPr>
        <w:t>资成本与支付的现金、转让的非现金资产以及所承担债务账面价值之间的差额，调整资本公积；</w:t>
      </w:r>
      <w:r>
        <w:rPr>
          <w:spacing w:val="-25"/>
        </w:rPr>
        <w:t> </w:t>
      </w:r>
      <w:r>
        <w:rPr>
          <w:spacing w:val="-25"/>
        </w:rPr>
      </w:r>
      <w:r>
        <w:rPr>
          <w:spacing w:val="-2"/>
        </w:rPr>
        <w:t>资本公积不足冲减的，调整留存收益。以发行权益性证券作为合并对价的，在合并日按照被合并</w:t>
      </w:r>
      <w:r>
        <w:rPr>
          <w:spacing w:val="-25"/>
        </w:rPr>
        <w:t> </w:t>
      </w:r>
      <w:r>
        <w:rPr>
          <w:spacing w:val="-25"/>
        </w:rPr>
      </w:r>
      <w:r>
        <w:rPr>
          <w:spacing w:val="-2"/>
        </w:rPr>
        <w:t>方股东权益在最终控制方合并财务报表中的账面价值的份额作为长期股权投资的初始投资成本，</w:t>
      </w:r>
      <w:r>
        <w:rPr>
          <w:spacing w:val="-25"/>
        </w:rPr>
        <w:t> </w:t>
      </w:r>
      <w:r>
        <w:rPr>
          <w:spacing w:val="-25"/>
        </w:rPr>
      </w:r>
      <w:r>
        <w:rPr>
          <w:spacing w:val="-2"/>
        </w:rPr>
        <w:t>按照发行股份的面值总额作为股本，长期股权投资初始投资成本与所发行股份面值总额之间的差</w:t>
      </w:r>
      <w:r>
        <w:rPr>
          <w:spacing w:val="-25"/>
        </w:rPr>
        <w:t> </w:t>
      </w:r>
      <w:r>
        <w:rPr>
          <w:spacing w:val="-25"/>
        </w:rPr>
      </w:r>
      <w:r>
        <w:rPr>
          <w:spacing w:val="-2"/>
        </w:rPr>
        <w:t>额，调整资本公积；资本公积不足冲减的，调整留存收益。通过多次交易分步取得同一控制下被</w:t>
      </w:r>
      <w:r>
        <w:rPr>
          <w:spacing w:val="-25"/>
        </w:rPr>
        <w:t> </w:t>
      </w:r>
      <w:r>
        <w:rPr>
          <w:spacing w:val="-25"/>
        </w:rPr>
      </w:r>
      <w:r>
        <w:rPr>
          <w:spacing w:val="-2"/>
        </w:rPr>
        <w:t>合并方的股权，最终形成同一控制下企业合并的，应分别是否属于“一揽子交易”进行处理：属</w:t>
      </w:r>
      <w:r>
        <w:rPr>
          <w:spacing w:val="-25"/>
        </w:rPr>
        <w:t> </w:t>
      </w:r>
      <w:r>
        <w:rPr>
          <w:spacing w:val="-25"/>
        </w:rPr>
      </w:r>
      <w:r>
        <w:rPr>
          <w:spacing w:val="-2"/>
        </w:rPr>
        <w:t>于“一揽子交易”的，将各项交易作为一项取得控制权的交易进行会计处理。不属于“一揽子交</w:t>
      </w:r>
      <w:r>
        <w:rPr>
          <w:spacing w:val="-25"/>
        </w:rPr>
        <w:t> </w:t>
      </w:r>
      <w:r>
        <w:rPr>
          <w:spacing w:val="-25"/>
        </w:rPr>
      </w:r>
      <w:r>
        <w:rPr>
          <w:spacing w:val="-2"/>
        </w:rPr>
        <w:t>易”的，在合并日按照应享有被合并方股东权益在最终控制方合并财务报表中的账面价值的份额</w:t>
      </w:r>
      <w:r>
        <w:rPr>
          <w:spacing w:val="-25"/>
        </w:rPr>
        <w:t> </w:t>
      </w:r>
      <w:r>
        <w:rPr>
          <w:spacing w:val="-25"/>
        </w:rPr>
      </w:r>
      <w:r>
        <w:rPr>
          <w:spacing w:val="-2"/>
        </w:rPr>
        <w:t>作为长期股权投资的初始投资成本，长期股权投资初始投资成本与达到合并前的长期股权投资账</w:t>
      </w:r>
      <w:r>
        <w:rPr>
          <w:spacing w:val="-25"/>
        </w:rPr>
        <w:t> </w:t>
      </w:r>
      <w:r>
        <w:rPr>
          <w:spacing w:val="-25"/>
        </w:rPr>
      </w:r>
      <w:r>
        <w:rPr>
          <w:spacing w:val="-2"/>
        </w:rPr>
        <w:t>面价值加上合并日进一步取得股份新支付对价的账面价值之和的差额，调整资本公积；资本公积</w:t>
      </w:r>
      <w:r>
        <w:rPr>
          <w:spacing w:val="-25"/>
        </w:rPr>
        <w:t> </w:t>
      </w:r>
      <w:r>
        <w:rPr>
          <w:spacing w:val="-25"/>
        </w:rPr>
      </w:r>
      <w:r>
        <w:rPr>
          <w:spacing w:val="-2"/>
        </w:rPr>
        <w:t>不足冲减的，调整留存收益。合并日之前持有的股权投资因采用权益法核算或为可供出售金融资</w:t>
      </w:r>
      <w:r>
        <w:rPr>
          <w:spacing w:val="-25"/>
        </w:rPr>
        <w:t> </w:t>
      </w:r>
      <w:r>
        <w:rPr>
          <w:spacing w:val="-25"/>
        </w:rPr>
      </w:r>
      <w:r>
        <w:rPr/>
        <w:t>产而确认的其他综合收益，暂不进行会计处理。</w:t>
      </w:r>
    </w:p>
    <w:p>
      <w:pPr>
        <w:pStyle w:val="BodyText"/>
        <w:spacing w:line="357" w:lineRule="auto" w:before="32"/>
        <w:ind w:left="138" w:right="137" w:firstLine="419"/>
        <w:jc w:val="both"/>
      </w:pPr>
      <w:r>
        <w:rPr>
          <w:spacing w:val="-2"/>
        </w:rPr>
        <w:t>对于非同一控制下的企业合并取得的长期股权投资，在购买日按照合并成本作为长期股权投</w:t>
      </w:r>
      <w:r>
        <w:rPr>
          <w:w w:val="100"/>
        </w:rPr>
        <w:t> </w:t>
      </w:r>
      <w:r>
        <w:rPr>
          <w:spacing w:val="-2"/>
        </w:rPr>
        <w:t>资的初始投资成本，合并成本包括购买方付出的资产、发生或承担的负债、发行的权益性证券的</w:t>
      </w:r>
      <w:r>
        <w:rPr>
          <w:spacing w:val="-25"/>
        </w:rPr>
        <w:t> </w:t>
      </w:r>
      <w:r>
        <w:rPr>
          <w:spacing w:val="-25"/>
        </w:rPr>
      </w:r>
      <w:r>
        <w:rPr>
          <w:spacing w:val="-2"/>
        </w:rPr>
        <w:t>公允价值之和。通过多次交易分步取得被购买方的股权，最终形成非同一控制下的企业合并的，</w:t>
      </w:r>
      <w:r>
        <w:rPr>
          <w:spacing w:val="-25"/>
        </w:rPr>
        <w:t> </w:t>
      </w:r>
      <w:r>
        <w:rPr>
          <w:spacing w:val="-25"/>
        </w:rPr>
      </w:r>
      <w:r>
        <w:rPr>
          <w:spacing w:val="-2"/>
        </w:rPr>
        <w:t>应分别是否属于“一揽子交易”进行处理：属于“一揽子交易”的，将各项交易作为一项取得控</w:t>
      </w:r>
      <w:r>
        <w:rPr>
          <w:spacing w:val="-25"/>
        </w:rPr>
        <w:t> </w:t>
      </w:r>
      <w:r>
        <w:rPr>
          <w:spacing w:val="-25"/>
        </w:rPr>
      </w:r>
      <w:r>
        <w:rPr>
          <w:spacing w:val="-2"/>
        </w:rPr>
        <w:t>制权的交易进行会计处理。不属于“一揽子交易”的，按照原持有被购买方的股权投资账面价值</w:t>
      </w:r>
    </w:p>
    <w:p>
      <w:pPr>
        <w:pStyle w:val="BodyText"/>
        <w:spacing w:line="240" w:lineRule="auto" w:before="30"/>
        <w:ind w:left="138" w:right="0"/>
        <w:jc w:val="both"/>
      </w:pPr>
      <w:r>
        <w:rPr/>
        <w:t>加上新增投资成本之和，作为改按成本法核算的长期股权投资的初始投资成本。原持有的股权采</w:t>
      </w:r>
    </w:p>
    <w:p>
      <w:pPr>
        <w:spacing w:after="0" w:line="240" w:lineRule="auto"/>
        <w:jc w:val="both"/>
        <w:sectPr>
          <w:footerReference w:type="default" r:id="rId53"/>
          <w:pgSz w:w="11910" w:h="16840"/>
          <w:pgMar w:footer="1195" w:header="882" w:top="1120" w:bottom="1380" w:left="1660" w:right="1140"/>
          <w:pgNumType w:start="97"/>
        </w:sectPr>
      </w:pPr>
    </w:p>
    <w:p>
      <w:pPr>
        <w:spacing w:line="240" w:lineRule="auto" w:before="1"/>
        <w:rPr>
          <w:rFonts w:ascii="宋体" w:hAnsi="宋体" w:cs="宋体" w:eastAsia="宋体" w:hint="default"/>
          <w:sz w:val="25"/>
          <w:szCs w:val="25"/>
        </w:rPr>
      </w:pPr>
    </w:p>
    <w:p>
      <w:pPr>
        <w:pStyle w:val="BodyText"/>
        <w:spacing w:line="357" w:lineRule="auto" w:before="36"/>
        <w:ind w:left="138" w:right="101"/>
        <w:jc w:val="left"/>
      </w:pPr>
      <w:r>
        <w:rPr>
          <w:w w:val="100"/>
        </w:rPr>
        <w:t>用权</w:t>
      </w:r>
      <w:r>
        <w:rPr>
          <w:spacing w:val="-3"/>
          <w:w w:val="100"/>
        </w:rPr>
        <w:t>益</w:t>
      </w:r>
      <w:r>
        <w:rPr>
          <w:w w:val="100"/>
        </w:rPr>
        <w:t>法</w:t>
      </w:r>
      <w:r>
        <w:rPr>
          <w:spacing w:val="-3"/>
          <w:w w:val="100"/>
        </w:rPr>
        <w:t>核</w:t>
      </w:r>
      <w:r>
        <w:rPr>
          <w:w w:val="100"/>
        </w:rPr>
        <w:t>算</w:t>
      </w:r>
      <w:r>
        <w:rPr>
          <w:spacing w:val="-3"/>
          <w:w w:val="100"/>
        </w:rPr>
        <w:t>的</w:t>
      </w:r>
      <w:r>
        <w:rPr>
          <w:spacing w:val="-99"/>
          <w:w w:val="100"/>
        </w:rPr>
        <w:t>，</w:t>
      </w:r>
      <w:r>
        <w:rPr>
          <w:spacing w:val="-3"/>
          <w:w w:val="100"/>
        </w:rPr>
        <w:t>相</w:t>
      </w:r>
      <w:r>
        <w:rPr>
          <w:w w:val="100"/>
        </w:rPr>
        <w:t>关</w:t>
      </w:r>
      <w:r>
        <w:rPr>
          <w:spacing w:val="-3"/>
          <w:w w:val="100"/>
        </w:rPr>
        <w:t>其他</w:t>
      </w:r>
      <w:r>
        <w:rPr>
          <w:w w:val="100"/>
        </w:rPr>
        <w:t>综合</w:t>
      </w:r>
      <w:r>
        <w:rPr>
          <w:spacing w:val="-3"/>
          <w:w w:val="100"/>
        </w:rPr>
        <w:t>收</w:t>
      </w:r>
      <w:r>
        <w:rPr>
          <w:w w:val="100"/>
        </w:rPr>
        <w:t>益</w:t>
      </w:r>
      <w:r>
        <w:rPr>
          <w:spacing w:val="-3"/>
          <w:w w:val="100"/>
        </w:rPr>
        <w:t>暂</w:t>
      </w:r>
      <w:r>
        <w:rPr>
          <w:w w:val="100"/>
        </w:rPr>
        <w:t>不</w:t>
      </w:r>
      <w:r>
        <w:rPr>
          <w:spacing w:val="-3"/>
          <w:w w:val="100"/>
        </w:rPr>
        <w:t>进</w:t>
      </w:r>
      <w:r>
        <w:rPr>
          <w:w w:val="100"/>
        </w:rPr>
        <w:t>行</w:t>
      </w:r>
      <w:r>
        <w:rPr>
          <w:spacing w:val="-3"/>
          <w:w w:val="100"/>
        </w:rPr>
        <w:t>会</w:t>
      </w:r>
      <w:r>
        <w:rPr>
          <w:w w:val="100"/>
        </w:rPr>
        <w:t>计</w:t>
      </w:r>
      <w:r>
        <w:rPr>
          <w:spacing w:val="-3"/>
          <w:w w:val="100"/>
        </w:rPr>
        <w:t>处</w:t>
      </w:r>
      <w:r>
        <w:rPr>
          <w:w w:val="100"/>
        </w:rPr>
        <w:t>理</w:t>
      </w:r>
      <w:r>
        <w:rPr>
          <w:spacing w:val="-101"/>
          <w:w w:val="100"/>
        </w:rPr>
        <w:t>。</w:t>
      </w:r>
      <w:r>
        <w:rPr>
          <w:w w:val="100"/>
        </w:rPr>
        <w:t>原</w:t>
      </w:r>
      <w:r>
        <w:rPr>
          <w:spacing w:val="-3"/>
          <w:w w:val="100"/>
        </w:rPr>
        <w:t>持</w:t>
      </w:r>
      <w:r>
        <w:rPr>
          <w:w w:val="100"/>
        </w:rPr>
        <w:t>有股</w:t>
      </w:r>
      <w:r>
        <w:rPr>
          <w:spacing w:val="-3"/>
          <w:w w:val="100"/>
        </w:rPr>
        <w:t>权</w:t>
      </w:r>
      <w:r>
        <w:rPr>
          <w:w w:val="100"/>
        </w:rPr>
        <w:t>投</w:t>
      </w:r>
      <w:r>
        <w:rPr>
          <w:spacing w:val="-3"/>
          <w:w w:val="100"/>
        </w:rPr>
        <w:t>资</w:t>
      </w:r>
      <w:r>
        <w:rPr>
          <w:w w:val="100"/>
        </w:rPr>
        <w:t>为</w:t>
      </w:r>
      <w:r>
        <w:rPr>
          <w:spacing w:val="-3"/>
          <w:w w:val="100"/>
        </w:rPr>
        <w:t>可供</w:t>
      </w:r>
      <w:r>
        <w:rPr>
          <w:w w:val="100"/>
        </w:rPr>
        <w:t>出售</w:t>
      </w:r>
      <w:r>
        <w:rPr>
          <w:spacing w:val="-3"/>
          <w:w w:val="100"/>
        </w:rPr>
        <w:t>金</w:t>
      </w:r>
      <w:r>
        <w:rPr>
          <w:w w:val="100"/>
        </w:rPr>
        <w:t>融</w:t>
      </w:r>
      <w:r>
        <w:rPr>
          <w:spacing w:val="-3"/>
          <w:w w:val="100"/>
        </w:rPr>
        <w:t>资</w:t>
      </w:r>
      <w:r>
        <w:rPr>
          <w:w w:val="100"/>
        </w:rPr>
        <w:t>产</w:t>
      </w:r>
      <w:r>
        <w:rPr>
          <w:spacing w:val="-3"/>
          <w:w w:val="100"/>
        </w:rPr>
        <w:t>的</w:t>
      </w:r>
      <w:r>
        <w:rPr>
          <w:w w:val="100"/>
        </w:rPr>
        <w:t>，</w:t>
      </w:r>
      <w:r>
        <w:rPr>
          <w:w w:val="100"/>
        </w:rPr>
        <w:t> 其公</w:t>
      </w:r>
      <w:r>
        <w:rPr>
          <w:spacing w:val="-3"/>
          <w:w w:val="100"/>
        </w:rPr>
        <w:t>允</w:t>
      </w:r>
      <w:r>
        <w:rPr>
          <w:w w:val="100"/>
        </w:rPr>
        <w:t>价</w:t>
      </w:r>
      <w:r>
        <w:rPr>
          <w:spacing w:val="-3"/>
          <w:w w:val="100"/>
        </w:rPr>
        <w:t>值</w:t>
      </w:r>
      <w:r>
        <w:rPr>
          <w:w w:val="100"/>
        </w:rPr>
        <w:t>与</w:t>
      </w:r>
      <w:r>
        <w:rPr>
          <w:spacing w:val="-3"/>
          <w:w w:val="100"/>
        </w:rPr>
        <w:t>账</w:t>
      </w:r>
      <w:r>
        <w:rPr>
          <w:w w:val="100"/>
        </w:rPr>
        <w:t>面</w:t>
      </w:r>
      <w:r>
        <w:rPr>
          <w:spacing w:val="-3"/>
          <w:w w:val="100"/>
        </w:rPr>
        <w:t>价</w:t>
      </w:r>
      <w:r>
        <w:rPr>
          <w:w w:val="100"/>
        </w:rPr>
        <w:t>值</w:t>
      </w:r>
      <w:r>
        <w:rPr>
          <w:spacing w:val="-3"/>
          <w:w w:val="100"/>
        </w:rPr>
        <w:t>之</w:t>
      </w:r>
      <w:r>
        <w:rPr>
          <w:w w:val="100"/>
        </w:rPr>
        <w:t>间的</w:t>
      </w:r>
      <w:r>
        <w:rPr>
          <w:spacing w:val="-3"/>
          <w:w w:val="100"/>
        </w:rPr>
        <w:t>差额</w:t>
      </w:r>
      <w:r>
        <w:rPr>
          <w:spacing w:val="-92"/>
          <w:w w:val="100"/>
        </w:rPr>
        <w:t>，</w:t>
      </w:r>
      <w:r>
        <w:rPr>
          <w:spacing w:val="-3"/>
          <w:w w:val="100"/>
        </w:rPr>
        <w:t>以</w:t>
      </w:r>
      <w:r>
        <w:rPr>
          <w:w w:val="100"/>
        </w:rPr>
        <w:t>及</w:t>
      </w:r>
      <w:r>
        <w:rPr>
          <w:spacing w:val="-3"/>
          <w:w w:val="100"/>
        </w:rPr>
        <w:t>原</w:t>
      </w:r>
      <w:r>
        <w:rPr>
          <w:w w:val="100"/>
        </w:rPr>
        <w:t>计</w:t>
      </w:r>
      <w:r>
        <w:rPr>
          <w:spacing w:val="-3"/>
          <w:w w:val="100"/>
        </w:rPr>
        <w:t>入</w:t>
      </w:r>
      <w:r>
        <w:rPr>
          <w:w w:val="100"/>
        </w:rPr>
        <w:t>其</w:t>
      </w:r>
      <w:r>
        <w:rPr>
          <w:spacing w:val="-3"/>
          <w:w w:val="100"/>
        </w:rPr>
        <w:t>他</w:t>
      </w:r>
      <w:r>
        <w:rPr>
          <w:w w:val="100"/>
        </w:rPr>
        <w:t>综合</w:t>
      </w:r>
      <w:r>
        <w:rPr>
          <w:spacing w:val="-3"/>
          <w:w w:val="100"/>
        </w:rPr>
        <w:t>收</w:t>
      </w:r>
      <w:r>
        <w:rPr>
          <w:w w:val="100"/>
        </w:rPr>
        <w:t>益</w:t>
      </w:r>
      <w:r>
        <w:rPr>
          <w:spacing w:val="-3"/>
          <w:w w:val="100"/>
        </w:rPr>
        <w:t>的</w:t>
      </w:r>
      <w:r>
        <w:rPr>
          <w:w w:val="100"/>
        </w:rPr>
        <w:t>累</w:t>
      </w:r>
      <w:r>
        <w:rPr>
          <w:spacing w:val="-3"/>
          <w:w w:val="100"/>
        </w:rPr>
        <w:t>计</w:t>
      </w:r>
      <w:r>
        <w:rPr>
          <w:w w:val="100"/>
        </w:rPr>
        <w:t>公</w:t>
      </w:r>
      <w:r>
        <w:rPr>
          <w:spacing w:val="-3"/>
          <w:w w:val="100"/>
        </w:rPr>
        <w:t>允</w:t>
      </w:r>
      <w:r>
        <w:rPr>
          <w:w w:val="100"/>
        </w:rPr>
        <w:t>价</w:t>
      </w:r>
      <w:r>
        <w:rPr>
          <w:spacing w:val="-3"/>
          <w:w w:val="100"/>
        </w:rPr>
        <w:t>值</w:t>
      </w:r>
      <w:r>
        <w:rPr>
          <w:w w:val="100"/>
        </w:rPr>
        <w:t>变动</w:t>
      </w:r>
      <w:r>
        <w:rPr>
          <w:spacing w:val="-3"/>
          <w:w w:val="100"/>
        </w:rPr>
        <w:t>转</w:t>
      </w:r>
      <w:r>
        <w:rPr>
          <w:w w:val="100"/>
        </w:rPr>
        <w:t>入</w:t>
      </w:r>
      <w:r>
        <w:rPr>
          <w:spacing w:val="-3"/>
          <w:w w:val="100"/>
        </w:rPr>
        <w:t>当期损益</w:t>
      </w:r>
      <w:r>
        <w:rPr>
          <w:w w:val="100"/>
        </w:rPr>
        <w:t>。</w:t>
      </w:r>
    </w:p>
    <w:p>
      <w:pPr>
        <w:pStyle w:val="BodyText"/>
        <w:spacing w:line="355" w:lineRule="auto" w:before="30"/>
        <w:ind w:left="138" w:right="212" w:firstLine="419"/>
        <w:jc w:val="left"/>
      </w:pPr>
      <w:r>
        <w:rPr>
          <w:spacing w:val="-2"/>
        </w:rPr>
        <w:t>合并方或购买方为企业合并发生的审计、法律服务、评估咨询等中介费用以及其他相关管理</w:t>
      </w:r>
      <w:r>
        <w:rPr>
          <w:w w:val="100"/>
        </w:rPr>
        <w:t> </w:t>
      </w:r>
      <w:r>
        <w:rPr/>
        <w:t>费用，于发生时计入当期损益。</w:t>
      </w:r>
    </w:p>
    <w:p>
      <w:pPr>
        <w:pStyle w:val="BodyText"/>
        <w:spacing w:line="357" w:lineRule="auto" w:before="32"/>
        <w:ind w:left="138" w:right="104" w:firstLine="419"/>
        <w:jc w:val="left"/>
      </w:pPr>
      <w:r>
        <w:rPr/>
        <w:t>除企业合并形成的长期股权投资外的其他股权投资，按成本进行初始计量，该成本视长期股</w:t>
      </w:r>
      <w:r>
        <w:rPr>
          <w:w w:val="100"/>
        </w:rPr>
        <w:t> </w:t>
      </w:r>
      <w:r>
        <w:rPr/>
        <w:t>权投资取得方式的不同，分别按照本公司实际支付的现金购买价款、本公司发行的权益性证券的</w:t>
      </w:r>
      <w:r>
        <w:rPr>
          <w:w w:val="100"/>
        </w:rPr>
        <w:t> </w:t>
      </w:r>
      <w:r>
        <w:rPr/>
        <w:t>公允价值、投资合同或协议约定的价值、非货币性资产交换交易中换出资产的公允价值或原账面</w:t>
      </w:r>
      <w:r>
        <w:rPr>
          <w:w w:val="100"/>
        </w:rPr>
        <w:t> </w:t>
      </w:r>
      <w:r>
        <w:rPr/>
        <w:t>价值、该项长期股权投资自身的公允价值等方式确定。与取得长期股权投资直接相关的费用、税</w:t>
      </w:r>
      <w:r>
        <w:rPr>
          <w:w w:val="100"/>
        </w:rPr>
        <w:t> </w:t>
      </w:r>
      <w:r>
        <w:rPr/>
        <w:t>金及其他必要支出也计入投资成本。对于因追加投资能够对被投资单位实施重大影响或实施共同</w:t>
      </w:r>
      <w:r>
        <w:rPr>
          <w:w w:val="100"/>
        </w:rPr>
        <w:t> </w:t>
      </w:r>
      <w:r>
        <w:rPr>
          <w:spacing w:val="-9"/>
          <w:w w:val="100"/>
        </w:rPr>
        <w:t>控制但不构成控制的，长期股权投资成本为按照《企业会计准则第</w:t>
      </w:r>
      <w:r>
        <w:rPr>
          <w:spacing w:val="-41"/>
          <w:w w:val="100"/>
        </w:rPr>
        <w:t> </w:t>
      </w:r>
      <w:r>
        <w:rPr>
          <w:rFonts w:ascii="宋体" w:hAnsi="宋体" w:cs="宋体" w:eastAsia="宋体" w:hint="default"/>
          <w:w w:val="100"/>
        </w:rPr>
        <w:t>22</w:t>
      </w:r>
      <w:r>
        <w:rPr>
          <w:rFonts w:ascii="宋体" w:hAnsi="宋体" w:cs="宋体" w:eastAsia="宋体" w:hint="default"/>
          <w:spacing w:val="-44"/>
          <w:w w:val="100"/>
        </w:rPr>
        <w:t> </w:t>
      </w:r>
      <w:r>
        <w:rPr>
          <w:spacing w:val="-2"/>
          <w:w w:val="100"/>
        </w:rPr>
        <w:t>号——金融工具确认和计量》</w:t>
      </w:r>
      <w:r>
        <w:rPr>
          <w:spacing w:val="-101"/>
          <w:w w:val="100"/>
        </w:rPr>
        <w:t> </w:t>
      </w:r>
      <w:r>
        <w:rPr>
          <w:spacing w:val="-101"/>
          <w:w w:val="100"/>
        </w:rPr>
      </w:r>
      <w:r>
        <w:rPr/>
        <w:t>确定的原持有股权投资的公允价值加上新增投资成本之和。</w:t>
      </w:r>
    </w:p>
    <w:p>
      <w:pPr>
        <w:pStyle w:val="BodyText"/>
        <w:spacing w:line="355" w:lineRule="auto" w:before="30"/>
        <w:ind w:left="558" w:right="212"/>
        <w:jc w:val="left"/>
      </w:pPr>
      <w:r>
        <w:rPr/>
        <w:t>（</w:t>
      </w:r>
      <w:r>
        <w:rPr>
          <w:rFonts w:ascii="宋体" w:hAnsi="宋体" w:cs="宋体" w:eastAsia="宋体" w:hint="default"/>
        </w:rPr>
        <w:t>2</w:t>
      </w:r>
      <w:r>
        <w:rPr/>
        <w:t>）后续计量及损益确认方法</w:t>
      </w:r>
      <w:r>
        <w:rPr>
          <w:w w:val="100"/>
        </w:rPr>
        <w:t> </w:t>
      </w:r>
      <w:r>
        <w:rPr>
          <w:spacing w:val="-2"/>
        </w:rPr>
        <w:t>对被投资单位具有共同控制（构成共同经营者除外）或重大影响的长期股权投资，采用权益</w:t>
      </w:r>
    </w:p>
    <w:p>
      <w:pPr>
        <w:pStyle w:val="BodyText"/>
        <w:spacing w:line="240" w:lineRule="auto" w:before="32"/>
        <w:ind w:left="138" w:right="212"/>
        <w:jc w:val="left"/>
      </w:pPr>
      <w:r>
        <w:rPr/>
        <w:t>法核算。此外，公司财务报表采用成本法核算能够对被投资单位实施控制的长期股权投资。</w:t>
      </w:r>
    </w:p>
    <w:p>
      <w:pPr>
        <w:pStyle w:val="BodyText"/>
        <w:spacing w:line="357" w:lineRule="auto" w:before="133"/>
        <w:ind w:left="558" w:right="212"/>
        <w:jc w:val="left"/>
      </w:pPr>
      <w:r>
        <w:rPr/>
        <w:t>①</w:t>
      </w:r>
      <w:r>
        <w:rPr>
          <w:spacing w:val="-1"/>
        </w:rPr>
        <w:t> </w:t>
      </w:r>
      <w:r>
        <w:rPr/>
        <w:t>成本法核算的长期股权投资</w:t>
      </w:r>
      <w:r>
        <w:rPr>
          <w:w w:val="100"/>
        </w:rPr>
        <w:t> </w:t>
      </w:r>
      <w:r>
        <w:rPr>
          <w:spacing w:val="-2"/>
        </w:rPr>
        <w:t>采用成本法核算时，长期股权投资按初始投资成本计价，追加或收回投资调整长期股权投资</w:t>
      </w:r>
    </w:p>
    <w:p>
      <w:pPr>
        <w:pStyle w:val="BodyText"/>
        <w:spacing w:line="355" w:lineRule="auto" w:before="30"/>
        <w:ind w:left="138" w:right="212"/>
        <w:jc w:val="left"/>
      </w:pPr>
      <w:r>
        <w:rPr>
          <w:spacing w:val="-2"/>
        </w:rPr>
        <w:t>的成本。除取得投资时实际支付的价款或者对价中包含的已宣告但尚未发放的现金股利或者利润</w:t>
      </w:r>
      <w:r>
        <w:rPr>
          <w:spacing w:val="-25"/>
        </w:rPr>
        <w:t> </w:t>
      </w:r>
      <w:r>
        <w:rPr>
          <w:spacing w:val="-25"/>
        </w:rPr>
      </w:r>
      <w:r>
        <w:rPr/>
        <w:t>外，当期投资收益按照享有被投资单位宣告发放的现金股利或利润确认。</w:t>
      </w:r>
    </w:p>
    <w:p>
      <w:pPr>
        <w:pStyle w:val="BodyText"/>
        <w:spacing w:line="355" w:lineRule="auto" w:before="32"/>
        <w:ind w:left="558" w:right="212"/>
        <w:jc w:val="left"/>
      </w:pPr>
      <w:r>
        <w:rPr/>
        <w:t>②</w:t>
      </w:r>
      <w:r>
        <w:rPr>
          <w:spacing w:val="-1"/>
        </w:rPr>
        <w:t> </w:t>
      </w:r>
      <w:r>
        <w:rPr/>
        <w:t>权益法核算的长期股权投资</w:t>
      </w:r>
      <w:r>
        <w:rPr>
          <w:w w:val="100"/>
        </w:rPr>
        <w:t> </w:t>
      </w:r>
      <w:r>
        <w:rPr>
          <w:spacing w:val="-2"/>
        </w:rPr>
        <w:t>采用权益法核算时，长期股权投资的初始投资成本大于投资时应享有被投资单位可辨认净资</w:t>
      </w:r>
    </w:p>
    <w:p>
      <w:pPr>
        <w:pStyle w:val="BodyText"/>
        <w:spacing w:line="355" w:lineRule="auto" w:before="34"/>
        <w:ind w:left="138" w:right="212"/>
        <w:jc w:val="left"/>
      </w:pPr>
      <w:r>
        <w:rPr>
          <w:spacing w:val="-2"/>
        </w:rPr>
        <w:t>产公允价值份额的，不调整长期股权投资的初始投资成本；初始投资成本小于投资时应享有被投</w:t>
      </w:r>
      <w:r>
        <w:rPr>
          <w:spacing w:val="-25"/>
        </w:rPr>
        <w:t> </w:t>
      </w:r>
      <w:r>
        <w:rPr>
          <w:spacing w:val="-25"/>
        </w:rPr>
      </w:r>
      <w:r>
        <w:rPr/>
        <w:t>资单位可辨认净资产公允价值份额的，其差额计入当期损益，同时调整长期股权投资的成本。</w:t>
      </w:r>
    </w:p>
    <w:p>
      <w:pPr>
        <w:pStyle w:val="BodyText"/>
        <w:spacing w:line="357" w:lineRule="auto" w:before="32"/>
        <w:ind w:left="138" w:right="0" w:firstLine="419"/>
        <w:jc w:val="left"/>
      </w:pPr>
      <w:r>
        <w:rPr>
          <w:spacing w:val="-4"/>
          <w:w w:val="100"/>
        </w:rPr>
        <w:t>采用权益法核算时，按照应享有或应分担的被投资单位实现的净损益和其他综合收益的份额，</w:t>
      </w:r>
      <w:r>
        <w:rPr>
          <w:w w:val="100"/>
        </w:rPr>
        <w:t> </w:t>
      </w:r>
      <w:r>
        <w:rPr/>
        <w:t>分别确认投资收益和其他综合收益，同时调整长期股权投资的账面价值；按照被投资单位宣告分</w:t>
      </w:r>
      <w:r>
        <w:rPr>
          <w:w w:val="100"/>
        </w:rPr>
        <w:t> </w:t>
      </w:r>
      <w:r>
        <w:rPr/>
        <w:t>派的利润或现金股利计算应享有的部分，相应减少长期股权投资的账面价值；对于被投资单位除</w:t>
      </w:r>
      <w:r>
        <w:rPr>
          <w:w w:val="100"/>
        </w:rPr>
        <w:t> </w:t>
      </w:r>
      <w:r>
        <w:rPr/>
        <w:t>净损益、其他综合收益和利润分配以外所有者权益的其他变动，调整长期股权投资的账面价值并</w:t>
      </w:r>
      <w:r>
        <w:rPr>
          <w:w w:val="100"/>
        </w:rPr>
        <w:t> </w:t>
      </w:r>
      <w:r>
        <w:rPr/>
        <w:t>计入资本公积。在确认应享有被投资单位净损益的份额时，以取得投资时被投资单位各项可辨认</w:t>
      </w:r>
      <w:r>
        <w:rPr>
          <w:w w:val="100"/>
        </w:rPr>
        <w:t> </w:t>
      </w:r>
      <w:r>
        <w:rPr/>
        <w:t>资产等的公允价值为基础，对被投资单位的净利润进行调整后确认。被投资单位采用的会计政策</w:t>
      </w:r>
      <w:r>
        <w:rPr>
          <w:w w:val="100"/>
        </w:rPr>
        <w:t> </w:t>
      </w:r>
      <w:r>
        <w:rPr/>
        <w:t>及会计期间与本公司不一致的，按照本公司的会计政策及会计期间对被投资单位的财务报表进行</w:t>
      </w:r>
      <w:r>
        <w:rPr>
          <w:w w:val="100"/>
        </w:rPr>
        <w:t> </w:t>
      </w:r>
      <w:r>
        <w:rPr>
          <w:spacing w:val="-6"/>
          <w:w w:val="100"/>
        </w:rPr>
        <w:t>调整，并据以确认投资收益和其他综合收益。对于本公司与联营企业及合营企业之间发生的交易，</w:t>
      </w:r>
      <w:r>
        <w:rPr>
          <w:w w:val="100"/>
        </w:rPr>
        <w:t> </w:t>
      </w:r>
      <w:r>
        <w:rPr/>
        <w:t>投出或出售的资产不构成业务的，未实现内部交易损益按照享有的比例计算归属于本公司的部分</w:t>
      </w:r>
      <w:r>
        <w:rPr>
          <w:w w:val="100"/>
        </w:rPr>
        <w:t> </w:t>
      </w:r>
      <w:r>
        <w:rPr/>
        <w:t>予以抵销，在此基础上确认投资损益。但本公司与被投资单位发生的未实现内部交易损失，属于</w:t>
      </w:r>
      <w:r>
        <w:rPr>
          <w:w w:val="100"/>
        </w:rPr>
        <w:t> </w:t>
      </w:r>
      <w:r>
        <w:rPr/>
        <w:t>所转让资产减值损失的，不予以抵销。本公司向合营企业或联营企业投出的资产构成业务的，投</w:t>
      </w:r>
      <w:r>
        <w:rPr>
          <w:w w:val="100"/>
        </w:rPr>
        <w:t> </w:t>
      </w:r>
      <w:r>
        <w:rPr/>
        <w:t>资方因此取得长期股权投资但未取得控制权的，以投出业务的公允价值作为新增长期股权投资的</w:t>
      </w:r>
    </w:p>
    <w:p>
      <w:pPr>
        <w:spacing w:after="0" w:line="357" w:lineRule="auto"/>
        <w:jc w:val="left"/>
        <w:sectPr>
          <w:footerReference w:type="default" r:id="rId54"/>
          <w:pgSz w:w="11910" w:h="16840"/>
          <w:pgMar w:footer="1195" w:header="882" w:top="1120" w:bottom="1380" w:left="1660" w:right="1060"/>
          <w:pgNumType w:start="98"/>
        </w:sectPr>
      </w:pPr>
    </w:p>
    <w:p>
      <w:pPr>
        <w:spacing w:line="240" w:lineRule="auto" w:before="1"/>
        <w:rPr>
          <w:rFonts w:ascii="宋体" w:hAnsi="宋体" w:cs="宋体" w:eastAsia="宋体" w:hint="default"/>
          <w:sz w:val="25"/>
          <w:szCs w:val="25"/>
        </w:rPr>
      </w:pPr>
    </w:p>
    <w:p>
      <w:pPr>
        <w:pStyle w:val="BodyText"/>
        <w:spacing w:line="357" w:lineRule="auto" w:before="36"/>
        <w:ind w:left="138" w:right="103"/>
        <w:jc w:val="left"/>
      </w:pPr>
      <w:r>
        <w:rPr/>
        <w:t>初始投资成本，初始投资成本与投出业务的账面价值之差，全额计入当期损益。本公司向合营企</w:t>
      </w:r>
      <w:r>
        <w:rPr>
          <w:w w:val="100"/>
        </w:rPr>
        <w:t> </w:t>
      </w:r>
      <w:r>
        <w:rPr/>
        <w:t>业或联营企业出售的资产构成业务的，取得的对价与业务的账面价值之差，全额计入当期损益。</w:t>
      </w:r>
      <w:r>
        <w:rPr>
          <w:w w:val="100"/>
        </w:rPr>
        <w:t> </w:t>
      </w:r>
      <w:r>
        <w:rPr/>
        <w:t>本公司自联营企业及合营企业购入的资产构成业务的，按《企业会计准则第</w:t>
      </w:r>
      <w:r>
        <w:rPr>
          <w:spacing w:val="-54"/>
        </w:rPr>
        <w:t> </w:t>
      </w:r>
      <w:r>
        <w:rPr>
          <w:rFonts w:ascii="宋体" w:hAnsi="宋体" w:cs="宋体" w:eastAsia="宋体" w:hint="default"/>
        </w:rPr>
        <w:t>20</w:t>
      </w:r>
      <w:r>
        <w:rPr>
          <w:rFonts w:ascii="宋体" w:hAnsi="宋体" w:cs="宋体" w:eastAsia="宋体" w:hint="default"/>
          <w:spacing w:val="-51"/>
        </w:rPr>
        <w:t> </w:t>
      </w:r>
      <w:r>
        <w:rPr/>
        <w:t>号——企业合并》</w:t>
      </w:r>
      <w:r>
        <w:rPr>
          <w:w w:val="100"/>
        </w:rPr>
        <w:t> </w:t>
      </w:r>
      <w:r>
        <w:rPr/>
        <w:t>的规定进行会计处理，全额确认与交易相关的利得或损失。</w:t>
      </w:r>
    </w:p>
    <w:p>
      <w:pPr>
        <w:pStyle w:val="BodyText"/>
        <w:spacing w:line="357" w:lineRule="auto" w:before="30"/>
        <w:ind w:left="138" w:right="217" w:firstLine="419"/>
        <w:jc w:val="both"/>
      </w:pPr>
      <w:r>
        <w:rPr>
          <w:spacing w:val="-2"/>
        </w:rPr>
        <w:t>在确认应分担被投资单位发生的净亏损时，以长期股权投资的账面价值和其他实质上构成对</w:t>
      </w:r>
      <w:r>
        <w:rPr>
          <w:w w:val="100"/>
        </w:rPr>
        <w:t> </w:t>
      </w:r>
      <w:r>
        <w:rPr>
          <w:spacing w:val="-2"/>
        </w:rPr>
        <w:t>被投资单位净投资的长期权益减记至零为限。此外，如本公司对被投资单位负有承担额外损失的</w:t>
      </w:r>
      <w:r>
        <w:rPr>
          <w:spacing w:val="-25"/>
        </w:rPr>
        <w:t> </w:t>
      </w:r>
      <w:r>
        <w:rPr>
          <w:spacing w:val="-25"/>
        </w:rPr>
      </w:r>
      <w:r>
        <w:rPr>
          <w:spacing w:val="-2"/>
        </w:rPr>
        <w:t>义务，则按预计承担的义务确认预计负债，计入当期投资损失。被投资单位以后期间实现净利润</w:t>
      </w:r>
      <w:r>
        <w:rPr>
          <w:spacing w:val="-25"/>
        </w:rPr>
        <w:t> </w:t>
      </w:r>
      <w:r>
        <w:rPr>
          <w:spacing w:val="-25"/>
        </w:rPr>
      </w:r>
      <w:r>
        <w:rPr/>
        <w:t>的，本公司在收益分享额弥补未确认的亏损分担额后，恢复确认收益分享额。</w:t>
      </w:r>
    </w:p>
    <w:p>
      <w:pPr>
        <w:pStyle w:val="BodyText"/>
        <w:spacing w:line="355" w:lineRule="auto" w:before="31"/>
        <w:ind w:left="558" w:right="212"/>
        <w:jc w:val="left"/>
      </w:pPr>
      <w:r>
        <w:rPr/>
        <w:t>③ 收购少数股权</w:t>
      </w:r>
      <w:r>
        <w:rPr>
          <w:w w:val="100"/>
        </w:rPr>
        <w:t> </w:t>
      </w:r>
      <w:r>
        <w:rPr>
          <w:spacing w:val="-2"/>
        </w:rPr>
        <w:t>在编制合并财务报表时，因购买少数股权新增的长期股权投资与按照新增持股比例计算应享</w:t>
      </w:r>
    </w:p>
    <w:p>
      <w:pPr>
        <w:pStyle w:val="BodyText"/>
        <w:spacing w:line="355" w:lineRule="auto" w:before="34"/>
        <w:ind w:left="138" w:right="212"/>
        <w:jc w:val="left"/>
      </w:pPr>
      <w:r>
        <w:rPr>
          <w:spacing w:val="-2"/>
        </w:rPr>
        <w:t>有子公司自购买日（或合并日）开始持续计算的净资产份额之间的差额，调整资本公积，资本公</w:t>
      </w:r>
      <w:r>
        <w:rPr>
          <w:spacing w:val="-25"/>
        </w:rPr>
        <w:t> </w:t>
      </w:r>
      <w:r>
        <w:rPr>
          <w:spacing w:val="-25"/>
        </w:rPr>
      </w:r>
      <w:r>
        <w:rPr/>
        <w:t>积不足冲减的，调整留存收益。</w:t>
      </w:r>
    </w:p>
    <w:p>
      <w:pPr>
        <w:pStyle w:val="BodyText"/>
        <w:spacing w:line="355" w:lineRule="auto" w:before="32"/>
        <w:ind w:left="558" w:right="212"/>
        <w:jc w:val="left"/>
      </w:pPr>
      <w:r>
        <w:rPr/>
        <w:t>④ 处置长期股权投资</w:t>
      </w:r>
      <w:r>
        <w:rPr>
          <w:w w:val="100"/>
        </w:rPr>
        <w:t> </w:t>
      </w:r>
      <w:r>
        <w:rPr>
          <w:spacing w:val="-2"/>
        </w:rPr>
        <w:t>在合并财务报表中，母公司在不丧失控制权的情况下部分处置对子公司的长期股权投资，处</w:t>
      </w:r>
    </w:p>
    <w:p>
      <w:pPr>
        <w:pStyle w:val="BodyText"/>
        <w:spacing w:line="357" w:lineRule="auto" w:before="32"/>
        <w:ind w:left="138" w:right="217"/>
        <w:jc w:val="both"/>
      </w:pPr>
      <w:r>
        <w:rPr>
          <w:spacing w:val="-2"/>
        </w:rPr>
        <w:t>置价款与处置长期股权投资相对应享有子公司净资产的差额计入股东权益；母公司部分处置对子</w:t>
      </w:r>
      <w:r>
        <w:rPr>
          <w:spacing w:val="-25"/>
        </w:rPr>
        <w:t> </w:t>
      </w:r>
      <w:r>
        <w:rPr>
          <w:spacing w:val="-25"/>
        </w:rPr>
      </w:r>
      <w:r>
        <w:rPr>
          <w:spacing w:val="-2"/>
        </w:rPr>
        <w:t>公司的长期股权投资导致丧失对子公司控制权的，按本报告第十一节、五、</w:t>
      </w:r>
      <w:r>
        <w:rPr>
          <w:rFonts w:ascii="宋体" w:hAnsi="宋体" w:cs="宋体" w:eastAsia="宋体" w:hint="default"/>
          <w:spacing w:val="-2"/>
        </w:rPr>
        <w:t>6</w:t>
      </w:r>
      <w:r>
        <w:rPr>
          <w:spacing w:val="-2"/>
        </w:rPr>
        <w:t>、（</w:t>
      </w:r>
      <w:r>
        <w:rPr>
          <w:rFonts w:ascii="宋体" w:hAnsi="宋体" w:cs="宋体" w:eastAsia="宋体" w:hint="default"/>
          <w:spacing w:val="-2"/>
        </w:rPr>
        <w:t>2</w:t>
      </w:r>
      <w:r>
        <w:rPr>
          <w:spacing w:val="-2"/>
        </w:rPr>
        <w:t>）“合并财务</w:t>
      </w:r>
      <w:r>
        <w:rPr>
          <w:spacing w:val="-27"/>
        </w:rPr>
        <w:t> </w:t>
      </w:r>
      <w:r>
        <w:rPr>
          <w:spacing w:val="-27"/>
        </w:rPr>
      </w:r>
      <w:r>
        <w:rPr/>
        <w:t>报表编制的方法”中所述的相关会计政策处理。</w:t>
      </w:r>
    </w:p>
    <w:p>
      <w:pPr>
        <w:pStyle w:val="BodyText"/>
        <w:spacing w:line="355" w:lineRule="auto" w:before="30"/>
        <w:ind w:left="138" w:right="217" w:firstLine="419"/>
        <w:jc w:val="both"/>
      </w:pPr>
      <w:r>
        <w:rPr>
          <w:spacing w:val="-2"/>
        </w:rPr>
        <w:t>其他情形下的长期股权投资处置，对于处置的股权，其账面价值与实际取得价款的差额，计</w:t>
      </w:r>
      <w:r>
        <w:rPr>
          <w:w w:val="100"/>
        </w:rPr>
        <w:t> </w:t>
      </w:r>
      <w:r>
        <w:rPr/>
        <w:t>入当期损益。</w:t>
      </w:r>
    </w:p>
    <w:p>
      <w:pPr>
        <w:pStyle w:val="BodyText"/>
        <w:spacing w:line="357" w:lineRule="auto" w:before="32"/>
        <w:ind w:left="138" w:right="217" w:firstLine="419"/>
        <w:jc w:val="both"/>
      </w:pPr>
      <w:r>
        <w:rPr>
          <w:spacing w:val="-2"/>
        </w:rPr>
        <w:t>采用权益法核算的长期股权投资，处置后的剩余股权仍采用权益法核算的，在处置时将原计</w:t>
      </w:r>
      <w:r>
        <w:rPr>
          <w:w w:val="100"/>
        </w:rPr>
        <w:t> </w:t>
      </w:r>
      <w:r>
        <w:rPr>
          <w:spacing w:val="-2"/>
        </w:rPr>
        <w:t>入股东权益的其他综合收益部分按相应的比例采用与被投资单位直接处置相关资产或负债相同的</w:t>
      </w:r>
      <w:r>
        <w:rPr>
          <w:spacing w:val="-25"/>
        </w:rPr>
        <w:t> </w:t>
      </w:r>
      <w:r>
        <w:rPr>
          <w:spacing w:val="-25"/>
        </w:rPr>
      </w:r>
      <w:r>
        <w:rPr>
          <w:spacing w:val="-2"/>
        </w:rPr>
        <w:t>基础进行会计处理。因被投资方除净损益、其他综合收益和利润分配以外的其他所有者权益变动</w:t>
      </w:r>
      <w:r>
        <w:rPr>
          <w:spacing w:val="-25"/>
        </w:rPr>
        <w:t> </w:t>
      </w:r>
      <w:r>
        <w:rPr>
          <w:spacing w:val="-25"/>
        </w:rPr>
      </w:r>
      <w:r>
        <w:rPr/>
        <w:t>而确认的所有者权益，按比例结转入当期损益。</w:t>
      </w:r>
    </w:p>
    <w:p>
      <w:pPr>
        <w:pStyle w:val="BodyText"/>
        <w:spacing w:line="357" w:lineRule="auto" w:before="30"/>
        <w:ind w:left="138" w:right="217" w:firstLine="419"/>
        <w:jc w:val="both"/>
      </w:pPr>
      <w:r>
        <w:rPr>
          <w:spacing w:val="-2"/>
        </w:rPr>
        <w:t>采用成本法核算的长期股权投资，处置后剩余股权仍采用成本法核算的，其在取得对被投资</w:t>
      </w:r>
      <w:r>
        <w:rPr>
          <w:w w:val="100"/>
        </w:rPr>
        <w:t> </w:t>
      </w:r>
      <w:r>
        <w:rPr>
          <w:spacing w:val="-2"/>
        </w:rPr>
        <w:t>单位的控制之前因采用权益法核算或金融工具确认和计量准则核算而确认的其他综合收益，采用</w:t>
      </w:r>
      <w:r>
        <w:rPr>
          <w:spacing w:val="-25"/>
        </w:rPr>
        <w:t> </w:t>
      </w:r>
      <w:r>
        <w:rPr>
          <w:spacing w:val="-25"/>
        </w:rPr>
      </w:r>
      <w:r>
        <w:rPr>
          <w:spacing w:val="-2"/>
        </w:rPr>
        <w:t>与被投资单位直接处置相关资产或负债相同的基础进行会计处理，并按比例结转当期损益；因采</w:t>
      </w:r>
      <w:r>
        <w:rPr>
          <w:spacing w:val="-25"/>
        </w:rPr>
        <w:t> </w:t>
      </w:r>
      <w:r>
        <w:rPr>
          <w:spacing w:val="-25"/>
        </w:rPr>
      </w:r>
      <w:r>
        <w:rPr>
          <w:spacing w:val="-2"/>
        </w:rPr>
        <w:t>用权益法核算而确认的被投资单位净资产中除净损益、其他综合收益和利润分配以外的其他所有</w:t>
      </w:r>
      <w:r>
        <w:rPr>
          <w:spacing w:val="-25"/>
        </w:rPr>
        <w:t> </w:t>
      </w:r>
      <w:r>
        <w:rPr>
          <w:spacing w:val="-25"/>
        </w:rPr>
      </w:r>
      <w:r>
        <w:rPr/>
        <w:t>者权益变动按比例结转当期损益。</w:t>
      </w:r>
    </w:p>
    <w:p>
      <w:pPr>
        <w:pStyle w:val="BodyText"/>
        <w:spacing w:line="357" w:lineRule="auto" w:before="30"/>
        <w:ind w:left="138" w:right="217" w:firstLine="419"/>
        <w:jc w:val="both"/>
      </w:pPr>
      <w:r>
        <w:rPr>
          <w:spacing w:val="-2"/>
        </w:rPr>
        <w:t>本公司因处置部分股权投资丧失了对被投资单位的控制的，在编制个别财务报表时，处置后</w:t>
      </w:r>
      <w:r>
        <w:rPr>
          <w:w w:val="100"/>
        </w:rPr>
        <w:t> </w:t>
      </w:r>
      <w:r>
        <w:rPr>
          <w:spacing w:val="-2"/>
        </w:rPr>
        <w:t>的剩余股权能够对被投资单位实施共同控制或施加重大影响的，改按权益法核算，并对该剩余股</w:t>
      </w:r>
      <w:r>
        <w:rPr>
          <w:spacing w:val="-25"/>
        </w:rPr>
        <w:t> </w:t>
      </w:r>
      <w:r>
        <w:rPr>
          <w:spacing w:val="-25"/>
        </w:rPr>
      </w:r>
      <w:r>
        <w:rPr>
          <w:spacing w:val="-2"/>
        </w:rPr>
        <w:t>权视同自取得时即采用权益法核算进行调整；处置后的剩余股权不能对被投资单位实施共同控制</w:t>
      </w:r>
      <w:r>
        <w:rPr>
          <w:spacing w:val="-25"/>
        </w:rPr>
        <w:t> </w:t>
      </w:r>
      <w:r>
        <w:rPr>
          <w:spacing w:val="-25"/>
        </w:rPr>
      </w:r>
      <w:r>
        <w:rPr>
          <w:spacing w:val="-2"/>
        </w:rPr>
        <w:t>或施加重大影响的，改按金融工具确认和计量准则的有关规定进行会计处理，其在丧失控制之日</w:t>
      </w:r>
      <w:r>
        <w:rPr>
          <w:spacing w:val="-25"/>
        </w:rPr>
        <w:t> </w:t>
      </w:r>
      <w:r>
        <w:rPr>
          <w:spacing w:val="-25"/>
        </w:rPr>
      </w:r>
      <w:r>
        <w:rPr>
          <w:spacing w:val="-2"/>
        </w:rPr>
        <w:t>的公允价值与账面价值之间的差额计入当期损益。对于本公司取得对被投资单位的控制之前，因</w:t>
      </w:r>
      <w:r>
        <w:rPr>
          <w:spacing w:val="-25"/>
        </w:rPr>
        <w:t> </w:t>
      </w:r>
      <w:r>
        <w:rPr>
          <w:spacing w:val="-25"/>
        </w:rPr>
      </w:r>
      <w:r>
        <w:rPr>
          <w:spacing w:val="-2"/>
        </w:rPr>
        <w:t>采用权益法核算或金融工具确认和计量准则核算而确认的其他综合收益，在丧失对被投资单位控</w:t>
      </w:r>
    </w:p>
    <w:p>
      <w:pPr>
        <w:spacing w:after="0" w:line="357" w:lineRule="auto"/>
        <w:jc w:val="both"/>
        <w:sectPr>
          <w:footerReference w:type="default" r:id="rId55"/>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237"/>
        <w:jc w:val="both"/>
      </w:pPr>
      <w:r>
        <w:rPr>
          <w:spacing w:val="-2"/>
        </w:rPr>
        <w:t>制时采用与被投资单位直接处置相关资产或负债相同的基础进行会计处理，因采用权益法核算而</w:t>
      </w:r>
      <w:r>
        <w:rPr>
          <w:spacing w:val="-25"/>
        </w:rPr>
        <w:t> </w:t>
      </w:r>
      <w:r>
        <w:rPr>
          <w:spacing w:val="-25"/>
        </w:rPr>
      </w:r>
      <w:r>
        <w:rPr>
          <w:spacing w:val="-2"/>
        </w:rPr>
        <w:t>确认的被投资单位净资产中除净损益、其他综合收益和利润分配以外的其他所有者权益变动在丧</w:t>
      </w:r>
      <w:r>
        <w:rPr>
          <w:spacing w:val="-25"/>
        </w:rPr>
        <w:t> </w:t>
      </w:r>
      <w:r>
        <w:rPr>
          <w:spacing w:val="-25"/>
        </w:rPr>
      </w:r>
      <w:r>
        <w:rPr>
          <w:spacing w:val="-2"/>
        </w:rPr>
        <w:t>失对被投资单位控制时结转入当期损益。其中，处置后的剩余股权采用权益法核算的，其他综合</w:t>
      </w:r>
      <w:r>
        <w:rPr>
          <w:spacing w:val="-25"/>
        </w:rPr>
        <w:t> </w:t>
      </w:r>
      <w:r>
        <w:rPr>
          <w:spacing w:val="-25"/>
        </w:rPr>
      </w:r>
      <w:r>
        <w:rPr>
          <w:spacing w:val="-2"/>
        </w:rPr>
        <w:t>收益和其他所有者权益按比例结转；处置后的剩余股权改按金融工具确认和计量准则进行会计处</w:t>
      </w:r>
      <w:r>
        <w:rPr>
          <w:spacing w:val="-25"/>
        </w:rPr>
        <w:t> </w:t>
      </w:r>
      <w:r>
        <w:rPr>
          <w:spacing w:val="-25"/>
        </w:rPr>
      </w:r>
      <w:r>
        <w:rPr/>
        <w:t>理的，其他综合收益和其他所有者权益全部结转。</w:t>
      </w:r>
    </w:p>
    <w:p>
      <w:pPr>
        <w:pStyle w:val="BodyText"/>
        <w:spacing w:line="357" w:lineRule="auto" w:before="30"/>
        <w:ind w:right="237" w:firstLine="419"/>
        <w:jc w:val="both"/>
      </w:pPr>
      <w:r>
        <w:rPr>
          <w:spacing w:val="-2"/>
        </w:rPr>
        <w:t>本公司因处置部分股权投资丧失了对被投资单位的共同控制或重大影响的，处置后的剩余股</w:t>
      </w:r>
      <w:r>
        <w:rPr>
          <w:w w:val="100"/>
        </w:rPr>
        <w:t> </w:t>
      </w:r>
      <w:r>
        <w:rPr>
          <w:spacing w:val="-2"/>
        </w:rPr>
        <w:t>权改按金融工具确认和计量准则核算，其在丧失共同控制或重大影响之日的公允价值与账面价值</w:t>
      </w:r>
      <w:r>
        <w:rPr>
          <w:spacing w:val="-25"/>
        </w:rPr>
        <w:t> </w:t>
      </w:r>
      <w:r>
        <w:rPr>
          <w:spacing w:val="-25"/>
        </w:rPr>
      </w:r>
      <w:r>
        <w:rPr>
          <w:spacing w:val="-2"/>
        </w:rPr>
        <w:t>之间的差额计入当期损益。原股权投资因采用权益法核算而确认的其他综合收益，在终止采用权</w:t>
      </w:r>
      <w:r>
        <w:rPr>
          <w:spacing w:val="-25"/>
        </w:rPr>
        <w:t> </w:t>
      </w:r>
      <w:r>
        <w:rPr>
          <w:spacing w:val="-25"/>
        </w:rPr>
      </w:r>
      <w:r>
        <w:rPr>
          <w:spacing w:val="-2"/>
        </w:rPr>
        <w:t>益法核算时采用与被投资单位直接处置相关资产或负债相同的基础进行会计处理，因被投资方除</w:t>
      </w:r>
      <w:r>
        <w:rPr>
          <w:spacing w:val="-25"/>
        </w:rPr>
        <w:t> </w:t>
      </w:r>
      <w:r>
        <w:rPr>
          <w:spacing w:val="-25"/>
        </w:rPr>
      </w:r>
      <w:r>
        <w:rPr>
          <w:spacing w:val="-2"/>
        </w:rPr>
        <w:t>净损益、其他综合收益和利润分配以外的其他所有者权益变动而确认的所有者权益，在终止采用</w:t>
      </w:r>
      <w:r>
        <w:rPr>
          <w:spacing w:val="-25"/>
        </w:rPr>
        <w:t> </w:t>
      </w:r>
      <w:r>
        <w:rPr>
          <w:spacing w:val="-25"/>
        </w:rPr>
      </w:r>
      <w:r>
        <w:rPr/>
        <w:t>权益法时全部转入当期投资收益。</w:t>
      </w:r>
    </w:p>
    <w:p>
      <w:pPr>
        <w:pStyle w:val="BodyText"/>
        <w:spacing w:line="355" w:lineRule="auto" w:before="30"/>
        <w:ind w:right="237" w:firstLine="419"/>
        <w:jc w:val="both"/>
      </w:pPr>
      <w:r>
        <w:rPr>
          <w:spacing w:val="-2"/>
        </w:rPr>
        <w:t>本公司通过多次交易分步处置对子公司股权投资直至丧失控制权，如果上述交易属于一揽子</w:t>
      </w:r>
      <w:r>
        <w:rPr>
          <w:w w:val="100"/>
        </w:rPr>
        <w:t> </w:t>
      </w:r>
      <w:r>
        <w:rPr>
          <w:spacing w:val="-2"/>
        </w:rPr>
        <w:t>交易的，将各项交易作为一项处置子公司股权投资并丧失控制权的交易进行会计处理，在丧失控</w:t>
      </w:r>
      <w:r>
        <w:rPr>
          <w:spacing w:val="-25"/>
        </w:rPr>
        <w:t> </w:t>
      </w:r>
      <w:r>
        <w:rPr>
          <w:spacing w:val="-25"/>
        </w:rPr>
      </w:r>
      <w:r>
        <w:rPr>
          <w:spacing w:val="-2"/>
        </w:rPr>
        <w:t>制权之前每一次处置价款与所处置的股权对应的长期股权投资账面价值之间的差额，先确认为其</w:t>
      </w:r>
      <w:r>
        <w:rPr>
          <w:spacing w:val="-25"/>
        </w:rPr>
        <w:t> </w:t>
      </w:r>
      <w:r>
        <w:rPr>
          <w:spacing w:val="-25"/>
        </w:rPr>
      </w:r>
      <w:r>
        <w:rPr/>
        <w:t>他综合收益，到丧失控制权时再一并转入丧失控制权的当期损益。</w:t>
      </w:r>
    </w:p>
    <w:p>
      <w:pPr>
        <w:spacing w:line="290" w:lineRule="auto" w:before="94"/>
        <w:ind w:left="218" w:right="7357" w:firstLine="0"/>
        <w:jc w:val="left"/>
        <w:rPr>
          <w:rFonts w:ascii="宋体" w:hAnsi="宋体" w:cs="宋体" w:eastAsia="宋体" w:hint="default"/>
          <w:sz w:val="21"/>
          <w:szCs w:val="21"/>
        </w:rPr>
      </w:pPr>
      <w:r>
        <w:rPr>
          <w:rFonts w:ascii="宋体" w:hAnsi="宋体" w:cs="宋体" w:eastAsia="宋体" w:hint="default"/>
          <w:b/>
          <w:bCs/>
          <w:sz w:val="21"/>
          <w:szCs w:val="21"/>
        </w:rPr>
        <w:t>15.</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pStyle w:val="Heading2"/>
        <w:spacing w:line="290" w:lineRule="auto" w:before="14"/>
        <w:ind w:right="7779"/>
        <w:jc w:val="left"/>
        <w:rPr>
          <w:b w:val="0"/>
          <w:bCs w:val="0"/>
        </w:rPr>
      </w:pPr>
      <w:r>
        <w:rPr>
          <w:rFonts w:ascii="宋体" w:hAnsi="宋体" w:cs="宋体" w:eastAsia="宋体" w:hint="default"/>
        </w:rPr>
        <w:t>16.</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72" w:lineRule="exact" w:before="42"/>
        <w:ind w:left="638" w:right="227" w:hanging="420"/>
        <w:jc w:val="left"/>
      </w:pPr>
      <w:r>
        <w:rPr/>
        <w:t>√适用</w:t>
      </w:r>
      <w:r>
        <w:rPr>
          <w:spacing w:val="-2"/>
        </w:rPr>
        <w:t> </w:t>
      </w:r>
      <w:r>
        <w:rPr/>
        <w:t>□不适用</w:t>
      </w:r>
      <w:r>
        <w:rPr>
          <w:w w:val="100"/>
        </w:rPr>
        <w:t> </w:t>
      </w:r>
      <w:r>
        <w:rPr>
          <w:spacing w:val="-2"/>
        </w:rPr>
        <w:t>固定资产是指为生产商品、提供劳务、出租或经营管理而持有的，使用寿命超过一个会计年</w:t>
      </w:r>
    </w:p>
    <w:p>
      <w:pPr>
        <w:pStyle w:val="BodyText"/>
        <w:spacing w:line="355" w:lineRule="auto" w:before="108"/>
        <w:ind w:right="227"/>
        <w:jc w:val="left"/>
      </w:pPr>
      <w:r>
        <w:rPr>
          <w:spacing w:val="-2"/>
        </w:rPr>
        <w:t>度的有形资产。固定资产仅在与其有关的经济利益很可能流入本公司，且其成本能够可靠地计量</w:t>
      </w:r>
      <w:r>
        <w:rPr>
          <w:spacing w:val="-25"/>
        </w:rPr>
        <w:t> </w:t>
      </w:r>
      <w:r>
        <w:rPr>
          <w:spacing w:val="-25"/>
        </w:rPr>
      </w:r>
      <w:r>
        <w:rPr/>
        <w:t>时才予以确认。固定资产按成本并考虑预计弃置费用因素的影响进行初始计量。</w:t>
      </w:r>
    </w:p>
    <w:p>
      <w:pPr>
        <w:pStyle w:val="Heading2"/>
        <w:spacing w:line="240" w:lineRule="auto" w:before="94"/>
        <w:ind w:right="0"/>
        <w:jc w:val="both"/>
        <w:rPr>
          <w:b w:val="0"/>
          <w:bCs w:val="0"/>
        </w:rPr>
      </w:pPr>
      <w:r>
        <w:rPr>
          <w:rFonts w:ascii="宋体" w:hAnsi="宋体" w:cs="宋体" w:eastAsia="宋体" w:hint="default"/>
        </w:rPr>
        <w:t>(2).</w:t>
      </w:r>
      <w:r>
        <w:rPr/>
        <w:t>折旧方法</w:t>
      </w:r>
      <w:r>
        <w:rPr>
          <w:b w:val="0"/>
          <w:bCs w:val="0"/>
        </w:rPr>
      </w:r>
    </w:p>
    <w:p>
      <w:pPr>
        <w:pStyle w:val="BodyText"/>
        <w:spacing w:line="240" w:lineRule="auto" w:before="56"/>
        <w:ind w:right="0"/>
        <w:jc w:val="both"/>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13.57</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电子及办公设备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9.50-19.00</w:t>
            </w:r>
          </w:p>
        </w:tc>
      </w:tr>
    </w:tbl>
    <w:p>
      <w:pPr>
        <w:pStyle w:val="Heading2"/>
        <w:spacing w:line="240" w:lineRule="auto" w:before="26"/>
        <w:ind w:right="0"/>
        <w:jc w:val="both"/>
        <w:rPr>
          <w:b w:val="0"/>
          <w:bCs w:val="0"/>
        </w:rPr>
      </w:pPr>
      <w:r>
        <w:rPr>
          <w:rFonts w:ascii="宋体" w:hAnsi="宋体" w:cs="宋体" w:eastAsia="宋体" w:hint="default"/>
        </w:rPr>
        <w:t>(3).</w:t>
      </w:r>
      <w:r>
        <w:rPr/>
        <w:t>融资租入固定资产的认定依据、计价和折旧方法</w:t>
      </w:r>
      <w:r>
        <w:rPr>
          <w:b w:val="0"/>
          <w:bCs w:val="0"/>
        </w:rPr>
      </w:r>
    </w:p>
    <w:p>
      <w:pPr>
        <w:pStyle w:val="BodyText"/>
        <w:tabs>
          <w:tab w:pos="1060" w:val="left" w:leader="none"/>
        </w:tabs>
        <w:spacing w:line="240" w:lineRule="auto" w:before="56"/>
        <w:ind w:left="638" w:right="237" w:hanging="420"/>
        <w:jc w:val="left"/>
      </w:pPr>
      <w:r>
        <w:rPr>
          <w:spacing w:val="-1"/>
        </w:rPr>
        <w:t>√适用</w:t>
        <w:tab/>
      </w:r>
      <w:r>
        <w:rPr>
          <w:spacing w:val="-2"/>
        </w:rPr>
        <w:t>□不适用</w:t>
      </w:r>
      <w:r>
        <w:rPr>
          <w:spacing w:val="-99"/>
        </w:rPr>
        <w:t> </w:t>
      </w:r>
      <w:r>
        <w:rPr>
          <w:spacing w:val="-99"/>
        </w:rPr>
      </w:r>
      <w:r>
        <w:rPr>
          <w:spacing w:val="-2"/>
        </w:rPr>
        <w:t>融资租赁为实质上转移了与资产所有权有关的全部风险和报酬的租赁，其所有权最终可能转</w:t>
      </w:r>
    </w:p>
    <w:p>
      <w:pPr>
        <w:pStyle w:val="BodyText"/>
        <w:spacing w:line="357" w:lineRule="auto" w:before="133"/>
        <w:ind w:right="237"/>
        <w:jc w:val="both"/>
      </w:pPr>
      <w:r>
        <w:rPr>
          <w:spacing w:val="-2"/>
        </w:rPr>
        <w:t>移，也可能不转移。以融资租赁方式租入的固定资产采用与自有固定资产一致的政策计提租赁资</w:t>
      </w:r>
      <w:r>
        <w:rPr>
          <w:spacing w:val="-25"/>
        </w:rPr>
        <w:t> </w:t>
      </w:r>
      <w:r>
        <w:rPr>
          <w:spacing w:val="-25"/>
        </w:rPr>
      </w:r>
      <w:r>
        <w:rPr>
          <w:spacing w:val="-2"/>
        </w:rPr>
        <w:t>产折旧。能够合理确定租赁期届满时取得租赁资产所有权的，在租赁资产使用寿命内计提折旧；</w:t>
      </w:r>
      <w:r>
        <w:rPr>
          <w:spacing w:val="-25"/>
        </w:rPr>
        <w:t> </w:t>
      </w:r>
      <w:r>
        <w:rPr>
          <w:spacing w:val="-25"/>
        </w:rPr>
      </w:r>
      <w:r>
        <w:rPr>
          <w:spacing w:val="-2"/>
        </w:rPr>
        <w:t>无法合理确定租赁期届满能够取得租赁资产所有权的，在租赁期与租赁资产使用寿命两者中较短</w:t>
      </w:r>
      <w:r>
        <w:rPr>
          <w:spacing w:val="-25"/>
        </w:rPr>
        <w:t> </w:t>
      </w:r>
      <w:r>
        <w:rPr>
          <w:spacing w:val="-25"/>
        </w:rPr>
      </w:r>
      <w:r>
        <w:rPr/>
        <w:t>的期间内计提折旧。</w:t>
      </w:r>
    </w:p>
    <w:p>
      <w:pPr>
        <w:spacing w:after="0" w:line="357" w:lineRule="auto"/>
        <w:jc w:val="both"/>
        <w:sectPr>
          <w:footerReference w:type="default" r:id="rId56"/>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spacing w:line="290" w:lineRule="auto" w:before="36"/>
        <w:ind w:left="558" w:right="227"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固定资产的减值测试方法及减值准备计提方法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7"/>
          <w:w w:val="100"/>
          <w:sz w:val="21"/>
          <w:szCs w:val="21"/>
        </w:rPr>
        <w:t>固定资产的减值测试方法和减值准备计提方法详见本报告十一节、五、22“长期资产减值”。</w:t>
      </w:r>
    </w:p>
    <w:p>
      <w:pPr>
        <w:pStyle w:val="Heading2"/>
        <w:spacing w:line="240" w:lineRule="auto" w:before="149"/>
        <w:ind w:left="138" w:right="3319"/>
        <w:jc w:val="left"/>
        <w:rPr>
          <w:b w:val="0"/>
          <w:bCs w:val="0"/>
        </w:rPr>
      </w:pPr>
      <w:r>
        <w:rPr>
          <w:rFonts w:ascii="宋体" w:hAnsi="宋体" w:cs="宋体" w:eastAsia="宋体" w:hint="default"/>
        </w:rPr>
        <w:t>(5).</w:t>
      </w:r>
      <w:r>
        <w:rPr/>
        <w:t>其他说明</w:t>
      </w:r>
      <w:r>
        <w:rPr>
          <w:b w:val="0"/>
          <w:bCs w:val="0"/>
        </w:rPr>
      </w:r>
    </w:p>
    <w:p>
      <w:pPr>
        <w:pStyle w:val="BodyText"/>
        <w:spacing w:line="355" w:lineRule="auto" w:before="58"/>
        <w:ind w:left="138" w:right="317" w:firstLine="419"/>
        <w:jc w:val="both"/>
      </w:pPr>
      <w:r>
        <w:rPr>
          <w:spacing w:val="-2"/>
        </w:rPr>
        <w:t>与固定资产有关的后续支出，如果与该固定资产有关的经济利益很可能流入且其成本能可靠</w:t>
      </w:r>
      <w:r>
        <w:rPr>
          <w:w w:val="100"/>
        </w:rPr>
        <w:t> </w:t>
      </w:r>
      <w:r>
        <w:rPr>
          <w:spacing w:val="-2"/>
        </w:rPr>
        <w:t>地计量，则计入固定资产成本，并终止确认被替换部分的账面价值。除此以外的其他后续支出，</w:t>
      </w:r>
      <w:r>
        <w:rPr>
          <w:spacing w:val="-25"/>
        </w:rPr>
        <w:t> </w:t>
      </w:r>
      <w:r>
        <w:rPr>
          <w:spacing w:val="-25"/>
        </w:rPr>
      </w:r>
      <w:r>
        <w:rPr/>
        <w:t>在发生时计入当期损益。</w:t>
      </w:r>
    </w:p>
    <w:p>
      <w:pPr>
        <w:pStyle w:val="BodyText"/>
        <w:spacing w:line="355" w:lineRule="auto" w:before="32"/>
        <w:ind w:left="138" w:right="199" w:firstLine="419"/>
        <w:jc w:val="left"/>
      </w:pPr>
      <w:r>
        <w:rPr>
          <w:w w:val="100"/>
        </w:rPr>
        <w:t>当固</w:t>
      </w:r>
      <w:r>
        <w:rPr>
          <w:spacing w:val="-3"/>
          <w:w w:val="100"/>
        </w:rPr>
        <w:t>定</w:t>
      </w:r>
      <w:r>
        <w:rPr>
          <w:w w:val="100"/>
        </w:rPr>
        <w:t>资</w:t>
      </w:r>
      <w:r>
        <w:rPr>
          <w:spacing w:val="-3"/>
          <w:w w:val="100"/>
        </w:rPr>
        <w:t>产</w:t>
      </w:r>
      <w:r>
        <w:rPr>
          <w:w w:val="100"/>
        </w:rPr>
        <w:t>处</w:t>
      </w:r>
      <w:r>
        <w:rPr>
          <w:spacing w:val="-3"/>
          <w:w w:val="100"/>
        </w:rPr>
        <w:t>于</w:t>
      </w:r>
      <w:r>
        <w:rPr>
          <w:w w:val="100"/>
        </w:rPr>
        <w:t>处</w:t>
      </w:r>
      <w:r>
        <w:rPr>
          <w:spacing w:val="-3"/>
          <w:w w:val="100"/>
        </w:rPr>
        <w:t>置</w:t>
      </w:r>
      <w:r>
        <w:rPr>
          <w:w w:val="100"/>
        </w:rPr>
        <w:t>状</w:t>
      </w:r>
      <w:r>
        <w:rPr>
          <w:spacing w:val="-3"/>
          <w:w w:val="100"/>
        </w:rPr>
        <w:t>态</w:t>
      </w:r>
      <w:r>
        <w:rPr>
          <w:w w:val="100"/>
        </w:rPr>
        <w:t>或预</w:t>
      </w:r>
      <w:r>
        <w:rPr>
          <w:spacing w:val="-3"/>
          <w:w w:val="100"/>
        </w:rPr>
        <w:t>期</w:t>
      </w:r>
      <w:r>
        <w:rPr>
          <w:w w:val="100"/>
        </w:rPr>
        <w:t>通</w:t>
      </w:r>
      <w:r>
        <w:rPr>
          <w:spacing w:val="-3"/>
          <w:w w:val="100"/>
        </w:rPr>
        <w:t>过</w:t>
      </w:r>
      <w:r>
        <w:rPr>
          <w:w w:val="100"/>
        </w:rPr>
        <w:t>使</w:t>
      </w:r>
      <w:r>
        <w:rPr>
          <w:spacing w:val="-3"/>
          <w:w w:val="100"/>
        </w:rPr>
        <w:t>用</w:t>
      </w:r>
      <w:r>
        <w:rPr>
          <w:w w:val="100"/>
        </w:rPr>
        <w:t>或</w:t>
      </w:r>
      <w:r>
        <w:rPr>
          <w:spacing w:val="-3"/>
          <w:w w:val="100"/>
        </w:rPr>
        <w:t>处</w:t>
      </w:r>
      <w:r>
        <w:rPr>
          <w:w w:val="100"/>
        </w:rPr>
        <w:t>置</w:t>
      </w:r>
      <w:r>
        <w:rPr>
          <w:spacing w:val="-3"/>
          <w:w w:val="100"/>
        </w:rPr>
        <w:t>不</w:t>
      </w:r>
      <w:r>
        <w:rPr>
          <w:w w:val="100"/>
        </w:rPr>
        <w:t>能产</w:t>
      </w:r>
      <w:r>
        <w:rPr>
          <w:spacing w:val="-3"/>
          <w:w w:val="100"/>
        </w:rPr>
        <w:t>生</w:t>
      </w:r>
      <w:r>
        <w:rPr>
          <w:w w:val="100"/>
        </w:rPr>
        <w:t>经</w:t>
      </w:r>
      <w:r>
        <w:rPr>
          <w:spacing w:val="-3"/>
          <w:w w:val="100"/>
        </w:rPr>
        <w:t>济</w:t>
      </w:r>
      <w:r>
        <w:rPr>
          <w:w w:val="100"/>
        </w:rPr>
        <w:t>利</w:t>
      </w:r>
      <w:r>
        <w:rPr>
          <w:spacing w:val="-3"/>
          <w:w w:val="100"/>
        </w:rPr>
        <w:t>益时</w:t>
      </w:r>
      <w:r>
        <w:rPr>
          <w:spacing w:val="-92"/>
          <w:w w:val="100"/>
        </w:rPr>
        <w:t>，</w:t>
      </w:r>
      <w:r>
        <w:rPr>
          <w:spacing w:val="-3"/>
          <w:w w:val="100"/>
        </w:rPr>
        <w:t>终</w:t>
      </w:r>
      <w:r>
        <w:rPr>
          <w:w w:val="100"/>
        </w:rPr>
        <w:t>止</w:t>
      </w:r>
      <w:r>
        <w:rPr>
          <w:spacing w:val="-3"/>
          <w:w w:val="100"/>
        </w:rPr>
        <w:t>确</w:t>
      </w:r>
      <w:r>
        <w:rPr>
          <w:w w:val="100"/>
        </w:rPr>
        <w:t>认该</w:t>
      </w:r>
      <w:r>
        <w:rPr>
          <w:spacing w:val="-3"/>
          <w:w w:val="100"/>
        </w:rPr>
        <w:t>固</w:t>
      </w:r>
      <w:r>
        <w:rPr>
          <w:w w:val="100"/>
        </w:rPr>
        <w:t>定</w:t>
      </w:r>
      <w:r>
        <w:rPr>
          <w:spacing w:val="-3"/>
          <w:w w:val="100"/>
        </w:rPr>
        <w:t>资产</w:t>
      </w:r>
      <w:r>
        <w:rPr>
          <w:w w:val="100"/>
        </w:rPr>
        <w:t>。</w:t>
      </w:r>
      <w:r>
        <w:rPr>
          <w:w w:val="100"/>
        </w:rPr>
        <w:t> 固定</w:t>
      </w:r>
      <w:r>
        <w:rPr>
          <w:spacing w:val="-3"/>
          <w:w w:val="100"/>
        </w:rPr>
        <w:t>资</w:t>
      </w:r>
      <w:r>
        <w:rPr>
          <w:w w:val="100"/>
        </w:rPr>
        <w:t>产</w:t>
      </w:r>
      <w:r>
        <w:rPr>
          <w:spacing w:val="-3"/>
          <w:w w:val="100"/>
        </w:rPr>
        <w:t>出</w:t>
      </w:r>
      <w:r>
        <w:rPr>
          <w:w w:val="100"/>
        </w:rPr>
        <w:t>售</w:t>
      </w:r>
      <w:r>
        <w:rPr>
          <w:spacing w:val="-101"/>
          <w:w w:val="100"/>
        </w:rPr>
        <w:t>、</w:t>
      </w:r>
      <w:r>
        <w:rPr>
          <w:w w:val="100"/>
        </w:rPr>
        <w:t>转</w:t>
      </w:r>
      <w:r>
        <w:rPr>
          <w:spacing w:val="-3"/>
          <w:w w:val="100"/>
        </w:rPr>
        <w:t>让</w:t>
      </w:r>
      <w:r>
        <w:rPr>
          <w:spacing w:val="-101"/>
          <w:w w:val="100"/>
        </w:rPr>
        <w:t>、</w:t>
      </w:r>
      <w:r>
        <w:rPr>
          <w:w w:val="100"/>
        </w:rPr>
        <w:t>报</w:t>
      </w:r>
      <w:r>
        <w:rPr>
          <w:spacing w:val="-3"/>
          <w:w w:val="100"/>
        </w:rPr>
        <w:t>废</w:t>
      </w:r>
      <w:r>
        <w:rPr>
          <w:w w:val="100"/>
        </w:rPr>
        <w:t>或毁</w:t>
      </w:r>
      <w:r>
        <w:rPr>
          <w:spacing w:val="-3"/>
          <w:w w:val="100"/>
        </w:rPr>
        <w:t>损</w:t>
      </w:r>
      <w:r>
        <w:rPr>
          <w:w w:val="100"/>
        </w:rPr>
        <w:t>的</w:t>
      </w:r>
      <w:r>
        <w:rPr>
          <w:spacing w:val="-3"/>
          <w:w w:val="100"/>
        </w:rPr>
        <w:t>处</w:t>
      </w:r>
      <w:r>
        <w:rPr>
          <w:w w:val="100"/>
        </w:rPr>
        <w:t>置</w:t>
      </w:r>
      <w:r>
        <w:rPr>
          <w:spacing w:val="-3"/>
          <w:w w:val="100"/>
        </w:rPr>
        <w:t>收</w:t>
      </w:r>
      <w:r>
        <w:rPr>
          <w:w w:val="100"/>
        </w:rPr>
        <w:t>入</w:t>
      </w:r>
      <w:r>
        <w:rPr>
          <w:spacing w:val="-3"/>
          <w:w w:val="100"/>
        </w:rPr>
        <w:t>扣</w:t>
      </w:r>
      <w:r>
        <w:rPr>
          <w:w w:val="100"/>
        </w:rPr>
        <w:t>除</w:t>
      </w:r>
      <w:r>
        <w:rPr>
          <w:spacing w:val="-3"/>
          <w:w w:val="100"/>
        </w:rPr>
        <w:t>其</w:t>
      </w:r>
      <w:r>
        <w:rPr>
          <w:w w:val="100"/>
        </w:rPr>
        <w:t>账面</w:t>
      </w:r>
      <w:r>
        <w:rPr>
          <w:spacing w:val="-3"/>
          <w:w w:val="100"/>
        </w:rPr>
        <w:t>价</w:t>
      </w:r>
      <w:r>
        <w:rPr>
          <w:w w:val="100"/>
        </w:rPr>
        <w:t>值</w:t>
      </w:r>
      <w:r>
        <w:rPr>
          <w:spacing w:val="-3"/>
          <w:w w:val="100"/>
        </w:rPr>
        <w:t>和</w:t>
      </w:r>
      <w:r>
        <w:rPr>
          <w:w w:val="100"/>
        </w:rPr>
        <w:t>相</w:t>
      </w:r>
      <w:r>
        <w:rPr>
          <w:spacing w:val="-3"/>
          <w:w w:val="100"/>
        </w:rPr>
        <w:t>关</w:t>
      </w:r>
      <w:r>
        <w:rPr>
          <w:w w:val="100"/>
        </w:rPr>
        <w:t>税</w:t>
      </w:r>
      <w:r>
        <w:rPr>
          <w:spacing w:val="-3"/>
          <w:w w:val="100"/>
        </w:rPr>
        <w:t>费</w:t>
      </w:r>
      <w:r>
        <w:rPr>
          <w:w w:val="100"/>
        </w:rPr>
        <w:t>后</w:t>
      </w:r>
      <w:r>
        <w:rPr>
          <w:spacing w:val="-3"/>
          <w:w w:val="100"/>
        </w:rPr>
        <w:t>的</w:t>
      </w:r>
      <w:r>
        <w:rPr>
          <w:w w:val="100"/>
        </w:rPr>
        <w:t>差额</w:t>
      </w:r>
      <w:r>
        <w:rPr>
          <w:spacing w:val="-3"/>
          <w:w w:val="100"/>
        </w:rPr>
        <w:t>计</w:t>
      </w:r>
      <w:r>
        <w:rPr>
          <w:w w:val="100"/>
        </w:rPr>
        <w:t>入</w:t>
      </w:r>
      <w:r>
        <w:rPr>
          <w:spacing w:val="-3"/>
          <w:w w:val="100"/>
        </w:rPr>
        <w:t>当期损益</w:t>
      </w:r>
      <w:r>
        <w:rPr>
          <w:w w:val="100"/>
        </w:rPr>
        <w:t>。</w:t>
      </w:r>
    </w:p>
    <w:p>
      <w:pPr>
        <w:pStyle w:val="BodyText"/>
        <w:spacing w:line="355" w:lineRule="auto" w:before="35"/>
        <w:ind w:left="138" w:right="317" w:firstLine="419"/>
        <w:jc w:val="both"/>
      </w:pPr>
      <w:r>
        <w:rPr>
          <w:spacing w:val="-2"/>
        </w:rPr>
        <w:t>本公司至少于年度终了对固定资产的使用寿命、预计净残值和折旧方法进行复核，如发生改</w:t>
      </w:r>
      <w:r>
        <w:rPr>
          <w:w w:val="100"/>
        </w:rPr>
        <w:t> </w:t>
      </w:r>
      <w:r>
        <w:rPr/>
        <w:t>变则作为会计估计变更处理。</w:t>
      </w:r>
    </w:p>
    <w:p>
      <w:pPr>
        <w:pStyle w:val="Heading2"/>
        <w:spacing w:line="240" w:lineRule="auto" w:before="92"/>
        <w:ind w:left="138" w:right="3319"/>
        <w:jc w:val="left"/>
        <w:rPr>
          <w:b w:val="0"/>
          <w:bCs w:val="0"/>
        </w:rPr>
      </w:pPr>
      <w:r>
        <w:rPr>
          <w:rFonts w:ascii="宋体" w:hAnsi="宋体" w:cs="宋体" w:eastAsia="宋体" w:hint="default"/>
        </w:rPr>
        <w:t>17.</w:t>
      </w:r>
      <w:r>
        <w:rPr>
          <w:rFonts w:ascii="宋体" w:hAnsi="宋体" w:cs="宋体" w:eastAsia="宋体" w:hint="default"/>
          <w:spacing w:val="2"/>
        </w:rPr>
        <w:t> </w:t>
      </w:r>
      <w:r>
        <w:rPr/>
        <w:t>在建工程</w:t>
      </w:r>
      <w:r>
        <w:rPr>
          <w:b w:val="0"/>
          <w:bCs w:val="0"/>
        </w:rPr>
      </w:r>
    </w:p>
    <w:p>
      <w:pPr>
        <w:pStyle w:val="BodyText"/>
        <w:tabs>
          <w:tab w:pos="980" w:val="left" w:leader="none"/>
        </w:tabs>
        <w:spacing w:line="272" w:lineRule="exact" w:before="86"/>
        <w:ind w:left="558" w:right="202" w:hanging="420"/>
        <w:jc w:val="left"/>
      </w:pPr>
      <w:r>
        <w:rPr>
          <w:spacing w:val="-1"/>
        </w:rPr>
        <w:t>√适用</w:t>
        <w:tab/>
      </w:r>
      <w:r>
        <w:rPr>
          <w:spacing w:val="-2"/>
        </w:rPr>
        <w:t>□不适用</w:t>
      </w:r>
      <w:r>
        <w:rPr>
          <w:spacing w:val="-99"/>
        </w:rPr>
        <w:t> </w:t>
      </w:r>
      <w:r>
        <w:rPr>
          <w:spacing w:val="-99"/>
        </w:rPr>
      </w:r>
      <w:r>
        <w:rPr>
          <w:spacing w:val="-4"/>
          <w:w w:val="100"/>
        </w:rPr>
        <w:t>在建工程成本按实际工程支出确定，包括在建期间发生的各项工程支出以及其他相关费用等。</w:t>
      </w:r>
    </w:p>
    <w:p>
      <w:pPr>
        <w:pStyle w:val="BodyText"/>
        <w:spacing w:line="355" w:lineRule="auto" w:before="108"/>
        <w:ind w:left="558" w:right="0" w:hanging="420"/>
        <w:jc w:val="left"/>
      </w:pPr>
      <w:r>
        <w:rPr/>
        <w:t>在建工程在达到预定可使用状态后结转为固定资产。</w:t>
      </w:r>
      <w:r>
        <w:rPr>
          <w:w w:val="100"/>
        </w:rPr>
        <w:t> </w:t>
      </w:r>
      <w:r>
        <w:rPr>
          <w:spacing w:val="-7"/>
          <w:w w:val="100"/>
        </w:rPr>
        <w:t>在建工程的减值测试方法和减值准备计提方法详见本报告第十一节、五、</w:t>
      </w:r>
      <w:r>
        <w:rPr>
          <w:rFonts w:ascii="宋体" w:hAnsi="宋体" w:cs="宋体" w:eastAsia="宋体" w:hint="default"/>
          <w:spacing w:val="-7"/>
          <w:w w:val="100"/>
        </w:rPr>
        <w:t>22</w:t>
      </w:r>
      <w:r>
        <w:rPr>
          <w:spacing w:val="-7"/>
          <w:w w:val="100"/>
        </w:rPr>
        <w:t>“长期资产减值”。</w:t>
      </w:r>
    </w:p>
    <w:p>
      <w:pPr>
        <w:pStyle w:val="Heading2"/>
        <w:spacing w:line="240" w:lineRule="auto" w:before="94"/>
        <w:ind w:left="138" w:right="3319"/>
        <w:jc w:val="left"/>
        <w:rPr>
          <w:b w:val="0"/>
          <w:bCs w:val="0"/>
        </w:rPr>
      </w:pPr>
      <w:r>
        <w:rPr>
          <w:rFonts w:ascii="宋体" w:hAnsi="宋体" w:cs="宋体" w:eastAsia="宋体" w:hint="default"/>
        </w:rPr>
        <w:t>18.</w:t>
      </w:r>
      <w:r>
        <w:rPr>
          <w:rFonts w:ascii="宋体" w:hAnsi="宋体" w:cs="宋体" w:eastAsia="宋体" w:hint="default"/>
          <w:spacing w:val="2"/>
        </w:rPr>
        <w:t> </w:t>
      </w:r>
      <w:r>
        <w:rPr/>
        <w:t>借款费用</w:t>
      </w:r>
      <w:r>
        <w:rPr>
          <w:b w:val="0"/>
          <w:bCs w:val="0"/>
        </w:rPr>
      </w:r>
    </w:p>
    <w:p>
      <w:pPr>
        <w:tabs>
          <w:tab w:pos="980" w:val="left" w:leader="none"/>
        </w:tabs>
        <w:spacing w:line="292" w:lineRule="auto" w:before="56"/>
        <w:ind w:left="138" w:right="74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19.</w:t>
      </w:r>
      <w:r>
        <w:rPr>
          <w:rFonts w:ascii="宋体" w:hAnsi="宋体" w:cs="宋体" w:eastAsia="宋体" w:hint="default"/>
          <w:b/>
          <w:bCs/>
          <w:spacing w:val="2"/>
          <w:sz w:val="21"/>
          <w:szCs w:val="21"/>
        </w:rPr>
        <w:t> </w:t>
      </w:r>
      <w:r>
        <w:rPr>
          <w:rFonts w:ascii="宋体" w:hAnsi="宋体" w:cs="宋体" w:eastAsia="宋体" w:hint="default"/>
          <w:b/>
          <w:bCs/>
          <w:sz w:val="21"/>
          <w:szCs w:val="21"/>
        </w:rPr>
        <w:t>生物资产</w:t>
      </w:r>
      <w:r>
        <w:rPr>
          <w:rFonts w:ascii="宋体" w:hAnsi="宋体" w:cs="宋体" w:eastAsia="宋体" w:hint="default"/>
          <w:sz w:val="21"/>
          <w:szCs w:val="21"/>
        </w:rPr>
      </w:r>
    </w:p>
    <w:p>
      <w:pPr>
        <w:tabs>
          <w:tab w:pos="980" w:val="left" w:leader="none"/>
        </w:tabs>
        <w:spacing w:line="290" w:lineRule="auto" w:before="10"/>
        <w:ind w:left="138" w:right="74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20.</w:t>
      </w:r>
      <w:r>
        <w:rPr>
          <w:rFonts w:ascii="宋体" w:hAnsi="宋体" w:cs="宋体" w:eastAsia="宋体" w:hint="default"/>
          <w:b/>
          <w:bCs/>
          <w:spacing w:val="2"/>
          <w:sz w:val="21"/>
          <w:szCs w:val="21"/>
        </w:rPr>
        <w:t> </w:t>
      </w:r>
      <w:r>
        <w:rPr>
          <w:rFonts w:ascii="宋体" w:hAnsi="宋体" w:cs="宋体" w:eastAsia="宋体" w:hint="default"/>
          <w:b/>
          <w:bCs/>
          <w:sz w:val="21"/>
          <w:szCs w:val="21"/>
        </w:rPr>
        <w:t>油气资产</w:t>
      </w:r>
      <w:r>
        <w:rPr>
          <w:rFonts w:ascii="宋体" w:hAnsi="宋体" w:cs="宋体" w:eastAsia="宋体" w:hint="default"/>
          <w:sz w:val="21"/>
          <w:szCs w:val="21"/>
        </w:rPr>
      </w:r>
    </w:p>
    <w:p>
      <w:pPr>
        <w:tabs>
          <w:tab w:pos="980" w:val="left" w:leader="none"/>
        </w:tabs>
        <w:spacing w:line="290" w:lineRule="auto" w:before="12"/>
        <w:ind w:left="138" w:right="74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21.</w:t>
      </w:r>
      <w:r>
        <w:rPr>
          <w:rFonts w:ascii="宋体" w:hAnsi="宋体" w:cs="宋体" w:eastAsia="宋体" w:hint="default"/>
          <w:b/>
          <w:bCs/>
          <w:spacing w:val="2"/>
          <w:sz w:val="21"/>
          <w:szCs w:val="21"/>
        </w:rPr>
        <w:t> </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2"/>
        <w:spacing w:line="240" w:lineRule="auto" w:before="12"/>
        <w:ind w:left="138" w:right="3319"/>
        <w:jc w:val="left"/>
        <w:rPr>
          <w:b w:val="0"/>
          <w:bCs w:val="0"/>
        </w:rPr>
      </w:pPr>
      <w:r>
        <w:rPr>
          <w:rFonts w:ascii="宋体" w:hAnsi="宋体" w:cs="宋体" w:eastAsia="宋体" w:hint="default"/>
        </w:rPr>
        <w:t>(1).</w:t>
      </w:r>
      <w:r>
        <w:rPr/>
        <w:t>计价方法、使用寿命、减值测试</w:t>
      </w:r>
      <w:r>
        <w:rPr>
          <w:b w:val="0"/>
          <w:bCs w:val="0"/>
        </w:rPr>
      </w:r>
    </w:p>
    <w:p>
      <w:pPr>
        <w:pStyle w:val="BodyText"/>
        <w:spacing w:line="240" w:lineRule="auto" w:before="56"/>
        <w:ind w:left="558" w:right="910" w:hanging="420"/>
        <w:jc w:val="left"/>
      </w:pPr>
      <w:r>
        <w:rPr/>
        <w:t>√适用</w:t>
      </w:r>
      <w:r>
        <w:rPr>
          <w:spacing w:val="-2"/>
        </w:rPr>
        <w:t> </w:t>
      </w:r>
      <w:r>
        <w:rPr/>
        <w:t>□不适用</w:t>
      </w:r>
      <w:r>
        <w:rPr>
          <w:w w:val="100"/>
        </w:rPr>
        <w:t> </w:t>
      </w:r>
      <w:r>
        <w:rPr>
          <w:spacing w:val="-2"/>
        </w:rPr>
        <w:t>无形资产是指本公司拥有或者控制的没有实物形态的可辨认非货币性资产。</w:t>
      </w:r>
    </w:p>
    <w:p>
      <w:pPr>
        <w:pStyle w:val="BodyText"/>
        <w:spacing w:line="357" w:lineRule="auto" w:before="133"/>
        <w:ind w:left="138" w:right="317" w:firstLine="419"/>
        <w:jc w:val="both"/>
      </w:pPr>
      <w:r>
        <w:rPr>
          <w:spacing w:val="-2"/>
        </w:rPr>
        <w:t>无形资产按成本进行初始计量。与无形资产有关的支出，如果相关的经济利益很可能流入本</w:t>
      </w:r>
      <w:r>
        <w:rPr>
          <w:w w:val="100"/>
        </w:rPr>
        <w:t> </w:t>
      </w:r>
      <w:r>
        <w:rPr>
          <w:spacing w:val="-2"/>
        </w:rPr>
        <w:t>公司且其成本能可靠地计量，则计入无形资产成本。除此以外的其他项目的支出，在发生时计入</w:t>
      </w:r>
      <w:r>
        <w:rPr>
          <w:spacing w:val="-25"/>
        </w:rPr>
        <w:t> </w:t>
      </w:r>
      <w:r>
        <w:rPr>
          <w:spacing w:val="-25"/>
        </w:rPr>
      </w:r>
      <w:r>
        <w:rPr/>
        <w:t>当期损益。</w:t>
      </w:r>
    </w:p>
    <w:p>
      <w:pPr>
        <w:pStyle w:val="BodyText"/>
        <w:spacing w:line="355" w:lineRule="auto" w:before="30"/>
        <w:ind w:left="138" w:right="317" w:firstLine="419"/>
        <w:jc w:val="both"/>
      </w:pPr>
      <w:r>
        <w:rPr>
          <w:spacing w:val="-2"/>
        </w:rPr>
        <w:t>取得的土地使用权通常作为无形资产核算。自行开发建造厂房等建筑物，相关的土地使用权</w:t>
      </w:r>
      <w:r>
        <w:rPr>
          <w:w w:val="100"/>
        </w:rPr>
        <w:t> </w:t>
      </w:r>
      <w:r>
        <w:rPr>
          <w:spacing w:val="-2"/>
        </w:rPr>
        <w:t>支出和建筑物建造成本则分别作为无形资产和固定资产核算。如为外购的房屋及建筑物，则将有</w:t>
      </w:r>
      <w:r>
        <w:rPr>
          <w:spacing w:val="-25"/>
        </w:rPr>
        <w:t> </w:t>
      </w:r>
      <w:r>
        <w:rPr>
          <w:spacing w:val="-25"/>
        </w:rPr>
      </w:r>
      <w:r>
        <w:rPr/>
        <w:t>关价款在土地使用权和建筑物之间进行分配，难以合理分配的，全部作为固定资产处理。</w:t>
      </w:r>
    </w:p>
    <w:p>
      <w:pPr>
        <w:pStyle w:val="BodyText"/>
        <w:spacing w:line="357" w:lineRule="auto" w:before="32"/>
        <w:ind w:left="138" w:right="317" w:firstLine="419"/>
        <w:jc w:val="both"/>
      </w:pPr>
      <w:r>
        <w:rPr>
          <w:spacing w:val="-2"/>
        </w:rPr>
        <w:t>使用寿命有限的无形资产自可供使用时起，对其原值在其预计使用寿命内采用直线法分期平</w:t>
      </w:r>
      <w:r>
        <w:rPr>
          <w:w w:val="100"/>
        </w:rPr>
        <w:t> </w:t>
      </w:r>
      <w:r>
        <w:rPr/>
        <w:t>均摊销。使用寿命不确定的无形资产不予摊销。</w:t>
      </w:r>
    </w:p>
    <w:p>
      <w:pPr>
        <w:pStyle w:val="BodyText"/>
        <w:spacing w:line="357" w:lineRule="auto" w:before="30"/>
        <w:ind w:left="138" w:right="317" w:firstLine="419"/>
        <w:jc w:val="both"/>
      </w:pPr>
      <w:r>
        <w:rPr>
          <w:spacing w:val="-2"/>
        </w:rPr>
        <w:t>期末，对使用寿命有限的无形资产的使用寿命和摊销方法进行复核，如发生变更则作为会计</w:t>
      </w:r>
      <w:r>
        <w:rPr>
          <w:w w:val="100"/>
        </w:rPr>
        <w:t> </w:t>
      </w:r>
      <w:r>
        <w:rPr>
          <w:spacing w:val="-2"/>
        </w:rPr>
        <w:t>估计变更处理。此外，还对使用寿命不确定的无形资产的使用寿命进行复核，如果有证据表明该</w:t>
      </w:r>
    </w:p>
    <w:p>
      <w:pPr>
        <w:spacing w:after="0" w:line="357" w:lineRule="auto"/>
        <w:jc w:val="both"/>
        <w:sectPr>
          <w:footerReference w:type="default" r:id="rId57"/>
          <w:pgSz w:w="11910" w:h="16840"/>
          <w:pgMar w:footer="1195" w:header="882" w:top="1120" w:bottom="1380" w:left="1660" w:right="960"/>
          <w:pgNumType w:start="101"/>
        </w:sectPr>
      </w:pPr>
    </w:p>
    <w:p>
      <w:pPr>
        <w:spacing w:line="240" w:lineRule="auto" w:before="1"/>
        <w:rPr>
          <w:rFonts w:ascii="宋体" w:hAnsi="宋体" w:cs="宋体" w:eastAsia="宋体" w:hint="default"/>
          <w:sz w:val="25"/>
          <w:szCs w:val="25"/>
        </w:rPr>
      </w:pPr>
    </w:p>
    <w:p>
      <w:pPr>
        <w:pStyle w:val="BodyText"/>
        <w:spacing w:line="357" w:lineRule="auto" w:before="36"/>
        <w:ind w:left="138" w:right="137"/>
        <w:jc w:val="both"/>
      </w:pPr>
      <w:r>
        <w:rPr>
          <w:spacing w:val="-2"/>
        </w:rPr>
        <w:t>无形资产为企业带来经济利益的期限是可预见的，则估计其使用寿命并按照使用寿命有限的无形</w:t>
      </w:r>
      <w:r>
        <w:rPr>
          <w:spacing w:val="-25"/>
        </w:rPr>
        <w:t> </w:t>
      </w:r>
      <w:r>
        <w:rPr>
          <w:spacing w:val="-25"/>
        </w:rPr>
      </w:r>
      <w:r>
        <w:rPr/>
        <w:t>资产的摊销政策进行摊销。</w:t>
      </w:r>
    </w:p>
    <w:p>
      <w:pPr>
        <w:pStyle w:val="BodyText"/>
        <w:spacing w:line="240" w:lineRule="auto" w:before="30"/>
        <w:ind w:left="558" w:right="0"/>
        <w:jc w:val="left"/>
      </w:pPr>
      <w:r>
        <w:rPr>
          <w:w w:val="100"/>
        </w:rPr>
        <w:t>无形</w:t>
      </w:r>
      <w:r>
        <w:rPr>
          <w:spacing w:val="-3"/>
          <w:w w:val="100"/>
        </w:rPr>
        <w:t>资</w:t>
      </w:r>
      <w:r>
        <w:rPr>
          <w:w w:val="100"/>
        </w:rPr>
        <w:t>产</w:t>
      </w:r>
      <w:r>
        <w:rPr>
          <w:spacing w:val="-3"/>
          <w:w w:val="100"/>
        </w:rPr>
        <w:t>的</w:t>
      </w:r>
      <w:r>
        <w:rPr>
          <w:w w:val="100"/>
        </w:rPr>
        <w:t>减</w:t>
      </w:r>
      <w:r>
        <w:rPr>
          <w:spacing w:val="-3"/>
          <w:w w:val="100"/>
        </w:rPr>
        <w:t>值</w:t>
      </w:r>
      <w:r>
        <w:rPr>
          <w:w w:val="100"/>
        </w:rPr>
        <w:t>测</w:t>
      </w:r>
      <w:r>
        <w:rPr>
          <w:spacing w:val="-3"/>
          <w:w w:val="100"/>
        </w:rPr>
        <w:t>试</w:t>
      </w:r>
      <w:r>
        <w:rPr>
          <w:w w:val="100"/>
        </w:rPr>
        <w:t>方</w:t>
      </w:r>
      <w:r>
        <w:rPr>
          <w:spacing w:val="-3"/>
          <w:w w:val="100"/>
        </w:rPr>
        <w:t>法</w:t>
      </w:r>
      <w:r>
        <w:rPr>
          <w:w w:val="100"/>
        </w:rPr>
        <w:t>和减</w:t>
      </w:r>
      <w:r>
        <w:rPr>
          <w:spacing w:val="-3"/>
          <w:w w:val="100"/>
        </w:rPr>
        <w:t>值</w:t>
      </w:r>
      <w:r>
        <w:rPr>
          <w:w w:val="100"/>
        </w:rPr>
        <w:t>准</w:t>
      </w:r>
      <w:r>
        <w:rPr>
          <w:spacing w:val="-3"/>
          <w:w w:val="100"/>
        </w:rPr>
        <w:t>备</w:t>
      </w:r>
      <w:r>
        <w:rPr>
          <w:w w:val="100"/>
        </w:rPr>
        <w:t>计</w:t>
      </w:r>
      <w:r>
        <w:rPr>
          <w:spacing w:val="-3"/>
          <w:w w:val="100"/>
        </w:rPr>
        <w:t>提</w:t>
      </w:r>
      <w:r>
        <w:rPr>
          <w:w w:val="100"/>
        </w:rPr>
        <w:t>方</w:t>
      </w:r>
      <w:r>
        <w:rPr>
          <w:spacing w:val="-3"/>
          <w:w w:val="100"/>
        </w:rPr>
        <w:t>法</w:t>
      </w:r>
      <w:r>
        <w:rPr>
          <w:w w:val="100"/>
        </w:rPr>
        <w:t>见</w:t>
      </w:r>
      <w:r>
        <w:rPr>
          <w:spacing w:val="-3"/>
          <w:w w:val="100"/>
        </w:rPr>
        <w:t>本</w:t>
      </w:r>
      <w:r>
        <w:rPr>
          <w:w w:val="100"/>
        </w:rPr>
        <w:t>报告</w:t>
      </w:r>
      <w:r>
        <w:rPr>
          <w:spacing w:val="-3"/>
          <w:w w:val="100"/>
        </w:rPr>
        <w:t>第</w:t>
      </w:r>
      <w:r>
        <w:rPr>
          <w:w w:val="100"/>
        </w:rPr>
        <w:t>十</w:t>
      </w:r>
      <w:r>
        <w:rPr>
          <w:spacing w:val="-3"/>
          <w:w w:val="100"/>
        </w:rPr>
        <w:t>一</w:t>
      </w:r>
      <w:r>
        <w:rPr>
          <w:w w:val="100"/>
        </w:rPr>
        <w:t>节</w:t>
      </w:r>
      <w:r>
        <w:rPr>
          <w:spacing w:val="-101"/>
          <w:w w:val="100"/>
        </w:rPr>
        <w:t>、</w:t>
      </w:r>
      <w:r>
        <w:rPr>
          <w:spacing w:val="-3"/>
          <w:w w:val="100"/>
        </w:rPr>
        <w:t>五</w:t>
      </w:r>
      <w:r>
        <w:rPr>
          <w:spacing w:val="-99"/>
          <w:w w:val="100"/>
        </w:rPr>
        <w:t>、</w:t>
      </w:r>
      <w:r>
        <w:rPr>
          <w:w w:val="100"/>
        </w:rPr>
        <w:t>2</w:t>
      </w:r>
      <w:r>
        <w:rPr>
          <w:spacing w:val="-3"/>
          <w:w w:val="100"/>
        </w:rPr>
        <w:t>2</w:t>
      </w:r>
      <w:r>
        <w:rPr>
          <w:w w:val="100"/>
        </w:rPr>
        <w:t>“</w:t>
      </w:r>
      <w:r>
        <w:rPr>
          <w:spacing w:val="-3"/>
          <w:w w:val="100"/>
        </w:rPr>
        <w:t>长</w:t>
      </w:r>
      <w:r>
        <w:rPr>
          <w:w w:val="100"/>
        </w:rPr>
        <w:t>期资</w:t>
      </w:r>
      <w:r>
        <w:rPr>
          <w:spacing w:val="-3"/>
          <w:w w:val="100"/>
        </w:rPr>
        <w:t>产减值”</w:t>
      </w:r>
      <w:r>
        <w:rPr>
          <w:w w:val="100"/>
        </w:rPr>
        <w:t>。</w:t>
      </w:r>
    </w:p>
    <w:p>
      <w:pPr>
        <w:spacing w:line="240" w:lineRule="auto" w:before="10"/>
        <w:rPr>
          <w:rFonts w:ascii="宋体" w:hAnsi="宋体" w:cs="宋体" w:eastAsia="宋体" w:hint="default"/>
          <w:sz w:val="14"/>
          <w:szCs w:val="14"/>
        </w:rPr>
      </w:pPr>
    </w:p>
    <w:p>
      <w:pPr>
        <w:pStyle w:val="Heading2"/>
        <w:spacing w:line="240" w:lineRule="auto" w:before="0"/>
        <w:ind w:left="138" w:right="125"/>
        <w:jc w:val="left"/>
        <w:rPr>
          <w:b w:val="0"/>
          <w:bCs w:val="0"/>
        </w:rPr>
      </w:pPr>
      <w:r>
        <w:rPr>
          <w:rFonts w:ascii="宋体" w:hAnsi="宋体" w:cs="宋体" w:eastAsia="宋体" w:hint="default"/>
        </w:rPr>
        <w:t>(2).</w:t>
      </w:r>
      <w:r>
        <w:rPr/>
        <w:t>内部研究开发支出会计政策</w:t>
      </w:r>
      <w:r>
        <w:rPr>
          <w:b w:val="0"/>
          <w:bCs w:val="0"/>
        </w:rPr>
      </w:r>
    </w:p>
    <w:p>
      <w:pPr>
        <w:pStyle w:val="BodyText"/>
        <w:spacing w:line="272" w:lineRule="exact" w:before="86"/>
        <w:ind w:left="558" w:right="1175" w:hanging="420"/>
        <w:jc w:val="left"/>
      </w:pPr>
      <w:r>
        <w:rPr/>
        <w:t>√适用</w:t>
      </w:r>
      <w:r>
        <w:rPr>
          <w:spacing w:val="-2"/>
        </w:rPr>
        <w:t> </w:t>
      </w:r>
      <w:r>
        <w:rPr/>
        <w:t>□不适用</w:t>
      </w:r>
      <w:r>
        <w:rPr>
          <w:w w:val="100"/>
        </w:rPr>
        <w:t> </w:t>
      </w:r>
      <w:r>
        <w:rPr>
          <w:spacing w:val="-2"/>
        </w:rPr>
        <w:t>本公司内部研究开发项目的支出分为研究阶段支出与开发阶段支出。</w:t>
      </w:r>
    </w:p>
    <w:p>
      <w:pPr>
        <w:pStyle w:val="BodyText"/>
        <w:spacing w:line="355" w:lineRule="auto" w:before="108"/>
        <w:ind w:left="558" w:right="125"/>
        <w:jc w:val="left"/>
      </w:pPr>
      <w:r>
        <w:rPr/>
        <w:t>研究阶段的支出，于发生时计入当期损益。</w:t>
      </w:r>
      <w:r>
        <w:rPr>
          <w:w w:val="100"/>
        </w:rPr>
        <w:t> </w:t>
      </w:r>
      <w:r>
        <w:rPr>
          <w:spacing w:val="-2"/>
        </w:rPr>
        <w:t>开发阶段的支出同时满足下列条件的，确认为无形资产，不能满足下述条件的开发阶段的支</w:t>
      </w:r>
    </w:p>
    <w:p>
      <w:pPr>
        <w:pStyle w:val="BodyText"/>
        <w:spacing w:line="240" w:lineRule="auto" w:before="34"/>
        <w:ind w:left="138" w:right="125"/>
        <w:jc w:val="left"/>
      </w:pPr>
      <w:r>
        <w:rPr/>
        <w:t>出计入当期损益：</w:t>
      </w:r>
    </w:p>
    <w:p>
      <w:pPr>
        <w:pStyle w:val="BodyText"/>
        <w:spacing w:line="240" w:lineRule="auto" w:before="133"/>
        <w:ind w:left="558" w:right="125"/>
        <w:jc w:val="left"/>
      </w:pPr>
      <w:r>
        <w:rPr/>
        <w:t>①</w:t>
      </w:r>
      <w:r>
        <w:rPr>
          <w:spacing w:val="-6"/>
        </w:rPr>
        <w:t> </w:t>
      </w:r>
      <w:r>
        <w:rPr/>
        <w:t>完成该无形资产以使其能够使用或出售在技术上具有可行性；</w:t>
      </w:r>
    </w:p>
    <w:p>
      <w:pPr>
        <w:pStyle w:val="BodyText"/>
        <w:spacing w:line="240" w:lineRule="auto" w:before="133"/>
        <w:ind w:left="558" w:right="125"/>
        <w:jc w:val="left"/>
      </w:pPr>
      <w:r>
        <w:rPr/>
        <w:t>②</w:t>
      </w:r>
      <w:r>
        <w:rPr>
          <w:spacing w:val="-3"/>
        </w:rPr>
        <w:t> </w:t>
      </w:r>
      <w:r>
        <w:rPr/>
        <w:t>具有完成该无形资产并使用或出售的意图；</w:t>
      </w:r>
    </w:p>
    <w:p>
      <w:pPr>
        <w:pStyle w:val="BodyText"/>
        <w:spacing w:line="357" w:lineRule="auto" w:before="133"/>
        <w:ind w:left="138" w:right="125" w:firstLine="419"/>
        <w:jc w:val="left"/>
      </w:pPr>
      <w:r>
        <w:rPr>
          <w:w w:val="100"/>
        </w:rPr>
        <w:t>③</w:t>
      </w:r>
      <w:r>
        <w:rPr>
          <w:spacing w:val="6"/>
          <w:w w:val="100"/>
        </w:rPr>
        <w:t> </w:t>
      </w:r>
      <w:r>
        <w:rPr>
          <w:spacing w:val="-4"/>
          <w:w w:val="100"/>
        </w:rPr>
        <w:t>无形资产产生经济利益的方式，包括能够证明运用该无形资产生产的产品存在市场或无形</w:t>
      </w:r>
      <w:r>
        <w:rPr>
          <w:w w:val="100"/>
        </w:rPr>
        <w:t> </w:t>
      </w:r>
      <w:r>
        <w:rPr/>
        <w:t>资产自身存在市场，无形资产将在内部使用的，能够证明其有用性；</w:t>
      </w:r>
    </w:p>
    <w:p>
      <w:pPr>
        <w:pStyle w:val="BodyText"/>
        <w:spacing w:line="355" w:lineRule="auto" w:before="30"/>
        <w:ind w:left="138" w:right="125" w:firstLine="419"/>
        <w:jc w:val="left"/>
      </w:pPr>
      <w:r>
        <w:rPr/>
        <w:t>④</w:t>
      </w:r>
      <w:r>
        <w:rPr>
          <w:spacing w:val="46"/>
        </w:rPr>
        <w:t> </w:t>
      </w:r>
      <w:r>
        <w:rPr>
          <w:spacing w:val="-4"/>
        </w:rPr>
        <w:t>有足够的技术、财务资源和其他资源支持，以完成该无形资产的开发，并有能力使用或出</w:t>
      </w:r>
      <w:r>
        <w:rPr>
          <w:w w:val="100"/>
        </w:rPr>
        <w:t> </w:t>
      </w:r>
      <w:r>
        <w:rPr/>
        <w:t>售该无形资产；</w:t>
      </w:r>
    </w:p>
    <w:p>
      <w:pPr>
        <w:pStyle w:val="BodyText"/>
        <w:spacing w:line="355" w:lineRule="auto" w:before="32"/>
        <w:ind w:left="558" w:right="125"/>
        <w:jc w:val="left"/>
      </w:pPr>
      <w:r>
        <w:rPr/>
        <w:t>⑤</w:t>
      </w:r>
      <w:r>
        <w:rPr>
          <w:spacing w:val="-1"/>
        </w:rPr>
        <w:t> </w:t>
      </w:r>
      <w:r>
        <w:rPr/>
        <w:t>归属于该无形资产开发阶段的支出能够可靠地计量。</w:t>
      </w:r>
      <w:r>
        <w:rPr>
          <w:w w:val="100"/>
        </w:rPr>
        <w:t> </w:t>
      </w:r>
      <w:r>
        <w:rPr>
          <w:spacing w:val="-2"/>
        </w:rPr>
        <w:t>无法区分研究阶段支出和开发阶段支出的，将发生的研发支出全部计入当期损益。</w:t>
      </w:r>
    </w:p>
    <w:p>
      <w:pPr>
        <w:pStyle w:val="Heading2"/>
        <w:spacing w:line="240" w:lineRule="auto" w:before="95"/>
        <w:ind w:left="138" w:right="125"/>
        <w:jc w:val="left"/>
        <w:rPr>
          <w:b w:val="0"/>
          <w:bCs w:val="0"/>
        </w:rPr>
      </w:pPr>
      <w:r>
        <w:rPr>
          <w:rFonts w:ascii="宋体" w:hAnsi="宋体" w:cs="宋体" w:eastAsia="宋体" w:hint="default"/>
        </w:rPr>
        <w:t>22.</w:t>
      </w:r>
      <w:r>
        <w:rPr>
          <w:rFonts w:ascii="宋体" w:hAnsi="宋体" w:cs="宋体" w:eastAsia="宋体" w:hint="default"/>
          <w:spacing w:val="3"/>
        </w:rPr>
        <w:t> </w:t>
      </w:r>
      <w:r>
        <w:rPr/>
        <w:t>长期资产减值</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2"/>
        </w:rPr>
        <w:t>对于固定资产、在建工程、使用寿命有限的无形资产、以成本模式计量的投资性房地产及对</w:t>
      </w:r>
    </w:p>
    <w:p>
      <w:pPr>
        <w:pStyle w:val="BodyText"/>
        <w:spacing w:line="355" w:lineRule="auto" w:before="133"/>
        <w:ind w:left="138" w:right="137"/>
        <w:jc w:val="both"/>
      </w:pPr>
      <w:r>
        <w:rPr>
          <w:spacing w:val="-2"/>
        </w:rPr>
        <w:t>子公司、合营企业、联营企业的长期股权投资等非流动非金融资产，本公司于资产负债表日判断</w:t>
      </w:r>
      <w:r>
        <w:rPr>
          <w:spacing w:val="-25"/>
        </w:rPr>
        <w:t> </w:t>
      </w:r>
      <w:r>
        <w:rPr>
          <w:spacing w:val="-25"/>
        </w:rPr>
      </w:r>
      <w:r>
        <w:rPr>
          <w:spacing w:val="-2"/>
        </w:rPr>
        <w:t>是否存在减值迹象。如存在减值迹象的，则估计其可收回金额，进行减值测试。商誉、使用寿命</w:t>
      </w:r>
      <w:r>
        <w:rPr>
          <w:spacing w:val="-25"/>
        </w:rPr>
        <w:t> </w:t>
      </w:r>
      <w:r>
        <w:rPr>
          <w:spacing w:val="-25"/>
        </w:rPr>
      </w:r>
      <w:r>
        <w:rPr>
          <w:spacing w:val="-2"/>
        </w:rPr>
        <w:t>不确定的无形资产和尚未达到可使用状态的无形资产，无论是否存在减值迹象，每年均进行减值</w:t>
      </w:r>
      <w:r>
        <w:rPr>
          <w:spacing w:val="-25"/>
        </w:rPr>
        <w:t> </w:t>
      </w:r>
      <w:r>
        <w:rPr>
          <w:spacing w:val="-25"/>
        </w:rPr>
      </w:r>
      <w:r>
        <w:rPr/>
        <w:t>测试。</w:t>
      </w:r>
    </w:p>
    <w:p>
      <w:pPr>
        <w:pStyle w:val="BodyText"/>
        <w:spacing w:line="357" w:lineRule="auto" w:before="34"/>
        <w:ind w:left="138" w:right="137" w:firstLine="419"/>
        <w:jc w:val="both"/>
      </w:pPr>
      <w:r>
        <w:rPr>
          <w:spacing w:val="-2"/>
        </w:rPr>
        <w:t>减值测试结果表明资产的可收回金额低于其账面价值的，按其差额计提减值准备并计入减值</w:t>
      </w:r>
      <w:r>
        <w:rPr>
          <w:w w:val="100"/>
        </w:rPr>
        <w:t> </w:t>
      </w:r>
      <w:r>
        <w:rPr>
          <w:spacing w:val="-2"/>
        </w:rPr>
        <w:t>损失。可收回金额为资产的公允价值减去处置费用后的净额与资产预计未来现金流量的现值两者</w:t>
      </w:r>
      <w:r>
        <w:rPr>
          <w:spacing w:val="-25"/>
        </w:rPr>
        <w:t> </w:t>
      </w:r>
      <w:r>
        <w:rPr>
          <w:spacing w:val="-25"/>
        </w:rPr>
      </w:r>
      <w:r>
        <w:rPr>
          <w:spacing w:val="-2"/>
        </w:rPr>
        <w:t>之间的较高者。资产的公允价值根据公平交易中销售协议价格确定；不存在销售协议但存在资产</w:t>
      </w:r>
      <w:r>
        <w:rPr>
          <w:spacing w:val="-25"/>
        </w:rPr>
        <w:t> </w:t>
      </w:r>
      <w:r>
        <w:rPr>
          <w:spacing w:val="-25"/>
        </w:rPr>
      </w:r>
      <w:r>
        <w:rPr>
          <w:spacing w:val="-2"/>
        </w:rPr>
        <w:t>活跃市场的，公允价值按照该资产的买方出价确定；不存在销售协议和资产活跃市场的，则以可</w:t>
      </w:r>
      <w:r>
        <w:rPr>
          <w:spacing w:val="-25"/>
        </w:rPr>
        <w:t> </w:t>
      </w:r>
      <w:r>
        <w:rPr>
          <w:spacing w:val="-25"/>
        </w:rPr>
      </w:r>
      <w:r>
        <w:rPr>
          <w:spacing w:val="-2"/>
        </w:rPr>
        <w:t>获取的最佳信息为基础估计资产的公允价值。处置费用包括与资产处置有关的法律费用、相关税</w:t>
      </w:r>
      <w:r>
        <w:rPr>
          <w:spacing w:val="-25"/>
        </w:rPr>
        <w:t> </w:t>
      </w:r>
      <w:r>
        <w:rPr>
          <w:spacing w:val="-25"/>
        </w:rPr>
      </w:r>
      <w:r>
        <w:rPr>
          <w:spacing w:val="-2"/>
        </w:rPr>
        <w:t>费、搬运费以及为使资产达到可销售状态所发生的直接费用。资产预计未来现金流量的现值，按</w:t>
      </w:r>
      <w:r>
        <w:rPr>
          <w:spacing w:val="-25"/>
        </w:rPr>
        <w:t> </w:t>
      </w:r>
      <w:r>
        <w:rPr>
          <w:spacing w:val="-25"/>
        </w:rPr>
      </w:r>
      <w:r>
        <w:rPr>
          <w:spacing w:val="-2"/>
        </w:rPr>
        <w:t>照资产在持续使用过程中和最终处置时所产生的预计未来现金流量，选择恰当的折现率对其进行</w:t>
      </w:r>
      <w:r>
        <w:rPr>
          <w:spacing w:val="-25"/>
        </w:rPr>
        <w:t> </w:t>
      </w:r>
      <w:r>
        <w:rPr>
          <w:spacing w:val="-25"/>
        </w:rPr>
      </w:r>
      <w:r>
        <w:rPr>
          <w:spacing w:val="-2"/>
        </w:rPr>
        <w:t>折现后的金额加以确定。资产减值准备按单项资产为基础计算并确认，如果难以对单项资产的可</w:t>
      </w:r>
      <w:r>
        <w:rPr>
          <w:spacing w:val="-25"/>
        </w:rPr>
        <w:t> </w:t>
      </w:r>
      <w:r>
        <w:rPr>
          <w:spacing w:val="-25"/>
        </w:rPr>
      </w:r>
      <w:r>
        <w:rPr>
          <w:spacing w:val="-2"/>
        </w:rPr>
        <w:t>收回金额进行估计的，以该资产所属的资产组确定资产组的可收回金额。资产组是能够独立产生</w:t>
      </w:r>
      <w:r>
        <w:rPr>
          <w:spacing w:val="-25"/>
        </w:rPr>
        <w:t> </w:t>
      </w:r>
      <w:r>
        <w:rPr>
          <w:spacing w:val="-25"/>
        </w:rPr>
      </w:r>
      <w:r>
        <w:rPr/>
        <w:t>现金流入的最小资产组合。</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17" w:firstLine="419"/>
        <w:jc w:val="both"/>
      </w:pPr>
      <w:r>
        <w:rPr>
          <w:spacing w:val="-2"/>
        </w:rPr>
        <w:t>在财务报表中单独列示的商誉，在进行减值测试时，将商誉的账面价值分摊至预期从企业合</w:t>
      </w:r>
      <w:r>
        <w:rPr>
          <w:w w:val="100"/>
        </w:rPr>
        <w:t> </w:t>
      </w:r>
      <w:r>
        <w:rPr>
          <w:spacing w:val="-2"/>
        </w:rPr>
        <w:t>并的协同效应中受益的资产组或资产组组合。测试结果表明包含分摊的商誉的资产组或资产组组</w:t>
      </w:r>
      <w:r>
        <w:rPr>
          <w:spacing w:val="-25"/>
        </w:rPr>
        <w:t> </w:t>
      </w:r>
      <w:r>
        <w:rPr>
          <w:spacing w:val="-25"/>
        </w:rPr>
      </w:r>
      <w:r>
        <w:rPr>
          <w:spacing w:val="-2"/>
        </w:rPr>
        <w:t>合的可收回金额低于其账面价值的，确认相应的减值损失。减值损失金额先抵减分摊至该资产组</w:t>
      </w:r>
      <w:r>
        <w:rPr>
          <w:spacing w:val="-26"/>
        </w:rPr>
        <w:t> </w:t>
      </w:r>
      <w:r>
        <w:rPr>
          <w:spacing w:val="-26"/>
        </w:rPr>
      </w:r>
      <w:r>
        <w:rPr>
          <w:spacing w:val="-2"/>
        </w:rPr>
        <w:t>或资产组组合的商誉的账面价值，再根据资产组或资产组组合中除商誉以外的其他各项资产的账</w:t>
      </w:r>
      <w:r>
        <w:rPr>
          <w:spacing w:val="-25"/>
        </w:rPr>
        <w:t> </w:t>
      </w:r>
      <w:r>
        <w:rPr>
          <w:spacing w:val="-25"/>
        </w:rPr>
      </w:r>
      <w:r>
        <w:rPr/>
        <w:t>面价值所占比重，按比例抵减其他各项资产的账面价值。</w:t>
      </w:r>
    </w:p>
    <w:p>
      <w:pPr>
        <w:pStyle w:val="BodyText"/>
        <w:spacing w:line="240" w:lineRule="auto" w:before="30"/>
        <w:ind w:left="558" w:right="212"/>
        <w:jc w:val="left"/>
      </w:pPr>
      <w:r>
        <w:rPr/>
        <w:t>上述资产减值损失一经确认，以后期间不予转回价值得以恢复的部分。</w:t>
      </w:r>
    </w:p>
    <w:p>
      <w:pPr>
        <w:spacing w:line="240" w:lineRule="auto" w:before="12"/>
        <w:rPr>
          <w:rFonts w:ascii="宋体" w:hAnsi="宋体" w:cs="宋体" w:eastAsia="宋体" w:hint="default"/>
          <w:sz w:val="14"/>
          <w:szCs w:val="14"/>
        </w:rPr>
      </w:pPr>
    </w:p>
    <w:p>
      <w:pPr>
        <w:pStyle w:val="Heading2"/>
        <w:spacing w:line="240" w:lineRule="auto" w:before="0"/>
        <w:ind w:left="138" w:right="212"/>
        <w:jc w:val="left"/>
        <w:rPr>
          <w:b w:val="0"/>
          <w:bCs w:val="0"/>
        </w:rPr>
      </w:pPr>
      <w:r>
        <w:rPr>
          <w:rFonts w:ascii="宋体" w:hAnsi="宋体" w:cs="宋体" w:eastAsia="宋体" w:hint="default"/>
        </w:rPr>
        <w:t>23.</w:t>
      </w:r>
      <w:r>
        <w:rPr>
          <w:rFonts w:ascii="宋体" w:hAnsi="宋体" w:cs="宋体" w:eastAsia="宋体" w:hint="default"/>
          <w:spacing w:val="3"/>
        </w:rPr>
        <w:t> </w:t>
      </w:r>
      <w:r>
        <w:rPr/>
        <w:t>长期待摊费用</w:t>
      </w:r>
      <w:r>
        <w:rPr>
          <w:b w:val="0"/>
          <w:bCs w:val="0"/>
        </w:rPr>
      </w:r>
    </w:p>
    <w:p>
      <w:pPr>
        <w:pStyle w:val="BodyText"/>
        <w:tabs>
          <w:tab w:pos="980" w:val="left" w:leader="none"/>
        </w:tabs>
        <w:spacing w:line="240" w:lineRule="auto" w:before="56"/>
        <w:ind w:left="558" w:right="217" w:hanging="420"/>
        <w:jc w:val="left"/>
      </w:pPr>
      <w:r>
        <w:rPr>
          <w:spacing w:val="-1"/>
        </w:rPr>
        <w:t>√适用</w:t>
        <w:tab/>
      </w:r>
      <w:r>
        <w:rPr>
          <w:spacing w:val="-2"/>
        </w:rPr>
        <w:t>□不适用</w:t>
      </w:r>
      <w:r>
        <w:rPr>
          <w:spacing w:val="-99"/>
        </w:rPr>
        <w:t> </w:t>
      </w:r>
      <w:r>
        <w:rPr>
          <w:spacing w:val="-99"/>
        </w:rPr>
      </w:r>
      <w:r>
        <w:rPr>
          <w:spacing w:val="-2"/>
        </w:rPr>
        <w:t>长期待摊费用为已经发生但应由报告期和以后各期负担的分摊期限在一年以上的各项费用。</w:t>
      </w:r>
    </w:p>
    <w:p>
      <w:pPr>
        <w:pStyle w:val="BodyText"/>
        <w:spacing w:line="355" w:lineRule="auto" w:before="133"/>
        <w:ind w:left="138" w:right="212"/>
        <w:jc w:val="left"/>
      </w:pPr>
      <w:r>
        <w:rPr>
          <w:spacing w:val="-2"/>
        </w:rPr>
        <w:t>本公司的长期待摊费用主要包括装修费和一年以上房租。长期待摊费用在预计受益期间按直线法</w:t>
      </w:r>
      <w:r>
        <w:rPr>
          <w:spacing w:val="-25"/>
        </w:rPr>
        <w:t> </w:t>
      </w:r>
      <w:r>
        <w:rPr>
          <w:spacing w:val="-25"/>
        </w:rPr>
      </w:r>
      <w:r>
        <w:rPr/>
        <w:t>摊销。</w:t>
      </w:r>
    </w:p>
    <w:p>
      <w:pPr>
        <w:pStyle w:val="Heading2"/>
        <w:spacing w:line="290" w:lineRule="auto" w:before="92"/>
        <w:ind w:left="138" w:right="6286"/>
        <w:jc w:val="left"/>
        <w:rPr>
          <w:b w:val="0"/>
          <w:bCs w:val="0"/>
        </w:rPr>
      </w:pPr>
      <w:r>
        <w:rPr>
          <w:rFonts w:ascii="宋体" w:hAnsi="宋体" w:cs="宋体" w:eastAsia="宋体" w:hint="default"/>
        </w:rPr>
        <w:t>24.</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tabs>
          <w:tab w:pos="980" w:val="left" w:leader="none"/>
        </w:tabs>
        <w:spacing w:line="240" w:lineRule="auto" w:before="12"/>
        <w:ind w:left="558" w:right="217" w:hanging="420"/>
        <w:jc w:val="left"/>
      </w:pPr>
      <w:r>
        <w:rPr>
          <w:spacing w:val="-1"/>
        </w:rPr>
        <w:t>√适用</w:t>
        <w:tab/>
      </w:r>
      <w:r>
        <w:rPr>
          <w:spacing w:val="-2"/>
        </w:rPr>
        <w:t>□不适用</w:t>
      </w:r>
      <w:r>
        <w:rPr>
          <w:spacing w:val="-99"/>
        </w:rPr>
        <w:t> </w:t>
      </w:r>
      <w:r>
        <w:rPr>
          <w:spacing w:val="-99"/>
        </w:rPr>
      </w:r>
      <w:r>
        <w:rPr>
          <w:spacing w:val="-2"/>
        </w:rPr>
        <w:t>短期薪酬主要包括工资、奖金、津贴和补贴、职工福利费、医疗保险费、生育保险费、工伤</w:t>
      </w:r>
    </w:p>
    <w:p>
      <w:pPr>
        <w:pStyle w:val="BodyText"/>
        <w:spacing w:line="357" w:lineRule="auto" w:before="133"/>
        <w:ind w:left="138" w:right="217"/>
        <w:jc w:val="both"/>
      </w:pPr>
      <w:r>
        <w:rPr>
          <w:spacing w:val="-2"/>
        </w:rPr>
        <w:t>保险费、住房公积金、工会经费和职工教育经费、非货币性福利等。本公司在职工为本公司提供</w:t>
      </w:r>
      <w:r>
        <w:rPr>
          <w:spacing w:val="-25"/>
        </w:rPr>
        <w:t> </w:t>
      </w:r>
      <w:r>
        <w:rPr>
          <w:spacing w:val="-25"/>
        </w:rPr>
      </w:r>
      <w:r>
        <w:rPr>
          <w:spacing w:val="-2"/>
        </w:rPr>
        <w:t>服务的会计期间将实际发生的短期职工薪酬确认为负债，并计入当期损益或相关资产成本。其中</w:t>
      </w:r>
      <w:r>
        <w:rPr>
          <w:spacing w:val="-25"/>
        </w:rPr>
        <w:t> </w:t>
      </w:r>
      <w:r>
        <w:rPr>
          <w:spacing w:val="-25"/>
        </w:rPr>
      </w:r>
      <w:r>
        <w:rPr/>
        <w:t>非货币性福利按公允价值计量。</w:t>
      </w:r>
    </w:p>
    <w:p>
      <w:pPr>
        <w:pStyle w:val="Heading2"/>
        <w:spacing w:line="240" w:lineRule="auto" w:before="92"/>
        <w:ind w:left="138" w:right="212"/>
        <w:jc w:val="left"/>
        <w:rPr>
          <w:b w:val="0"/>
          <w:bCs w:val="0"/>
        </w:rPr>
      </w:pPr>
      <w:r>
        <w:rPr>
          <w:rFonts w:ascii="宋体" w:hAnsi="宋体" w:cs="宋体" w:eastAsia="宋体" w:hint="default"/>
        </w:rPr>
        <w:t>(2).</w:t>
      </w:r>
      <w:r>
        <w:rPr/>
        <w:t>离职后福利的会计处理方法</w:t>
      </w:r>
      <w:r>
        <w:rPr>
          <w:b w:val="0"/>
          <w:bCs w:val="0"/>
        </w:rPr>
      </w:r>
    </w:p>
    <w:p>
      <w:pPr>
        <w:pStyle w:val="BodyText"/>
        <w:tabs>
          <w:tab w:pos="980" w:val="left" w:leader="none"/>
        </w:tabs>
        <w:spacing w:line="240" w:lineRule="auto" w:before="56"/>
        <w:ind w:left="558" w:right="217" w:hanging="420"/>
        <w:jc w:val="left"/>
      </w:pPr>
      <w:r>
        <w:rPr>
          <w:spacing w:val="-1"/>
        </w:rPr>
        <w:t>√适用</w:t>
        <w:tab/>
      </w:r>
      <w:r>
        <w:rPr>
          <w:spacing w:val="-2"/>
        </w:rPr>
        <w:t>□不适用</w:t>
      </w:r>
      <w:r>
        <w:rPr>
          <w:spacing w:val="-99"/>
        </w:rPr>
        <w:t> </w:t>
      </w:r>
      <w:r>
        <w:rPr>
          <w:spacing w:val="-99"/>
        </w:rPr>
      </w:r>
      <w:r>
        <w:rPr>
          <w:spacing w:val="-2"/>
        </w:rPr>
        <w:t>离职后福利主要包括基本养老保险、失业保险以及年金等。离职后福利计划包括设定提存计</w:t>
      </w:r>
    </w:p>
    <w:p>
      <w:pPr>
        <w:pStyle w:val="BodyText"/>
        <w:spacing w:line="355" w:lineRule="auto" w:before="133"/>
        <w:ind w:left="138" w:right="212"/>
        <w:jc w:val="left"/>
      </w:pPr>
      <w:r>
        <w:rPr>
          <w:spacing w:val="-2"/>
        </w:rPr>
        <w:t>划及设定受益计划。采用设定提存计划的，相应的应缴存金额于发生时计入相关资产成本或当期</w:t>
      </w:r>
      <w:r>
        <w:rPr>
          <w:spacing w:val="-25"/>
        </w:rPr>
        <w:t> </w:t>
      </w:r>
      <w:r>
        <w:rPr>
          <w:spacing w:val="-25"/>
        </w:rPr>
      </w:r>
      <w:r>
        <w:rPr/>
        <w:t>损益。</w:t>
      </w:r>
    </w:p>
    <w:p>
      <w:pPr>
        <w:pStyle w:val="Heading2"/>
        <w:spacing w:line="240" w:lineRule="auto" w:before="92"/>
        <w:ind w:left="138" w:right="212"/>
        <w:jc w:val="left"/>
        <w:rPr>
          <w:b w:val="0"/>
          <w:bCs w:val="0"/>
        </w:rPr>
      </w:pPr>
      <w:r>
        <w:rPr>
          <w:rFonts w:ascii="宋体" w:hAnsi="宋体" w:cs="宋体" w:eastAsia="宋体" w:hint="default"/>
        </w:rPr>
        <w:t>(3).</w:t>
      </w:r>
      <w:r>
        <w:rPr/>
        <w:t>辞退福利的会计处理方法</w:t>
      </w:r>
      <w:r>
        <w:rPr>
          <w:b w:val="0"/>
          <w:bCs w:val="0"/>
        </w:rPr>
      </w:r>
    </w:p>
    <w:p>
      <w:pPr>
        <w:pStyle w:val="BodyText"/>
        <w:tabs>
          <w:tab w:pos="980" w:val="left" w:leader="none"/>
        </w:tabs>
        <w:spacing w:line="272" w:lineRule="exact" w:before="86"/>
        <w:ind w:left="558" w:right="217" w:hanging="420"/>
        <w:jc w:val="left"/>
      </w:pPr>
      <w:r>
        <w:rPr>
          <w:spacing w:val="-1"/>
        </w:rPr>
        <w:t>√适用</w:t>
        <w:tab/>
      </w:r>
      <w:r>
        <w:rPr>
          <w:spacing w:val="-2"/>
        </w:rPr>
        <w:t>□不适用</w:t>
      </w:r>
      <w:r>
        <w:rPr>
          <w:spacing w:val="-99"/>
        </w:rPr>
        <w:t> </w:t>
      </w:r>
      <w:r>
        <w:rPr>
          <w:spacing w:val="-99"/>
        </w:rPr>
      </w:r>
      <w:r>
        <w:rPr>
          <w:spacing w:val="-2"/>
        </w:rPr>
        <w:t>在职工劳动合同到期之前解除与职工的劳动关系，或为鼓励职工自愿接受裁减而提出给予补</w:t>
      </w:r>
    </w:p>
    <w:p>
      <w:pPr>
        <w:pStyle w:val="BodyText"/>
        <w:spacing w:line="357" w:lineRule="auto" w:before="109"/>
        <w:ind w:left="138" w:right="0"/>
        <w:jc w:val="left"/>
      </w:pPr>
      <w:r>
        <w:rPr/>
        <w:t>偿的建议，在本公司不能单方面撤回因解除劳动关系计划或裁减建议所提供的辞退福利时，和本</w:t>
      </w:r>
      <w:r>
        <w:rPr>
          <w:w w:val="100"/>
        </w:rPr>
        <w:t> </w:t>
      </w:r>
      <w:r>
        <w:rPr>
          <w:spacing w:val="-4"/>
          <w:w w:val="100"/>
        </w:rPr>
        <w:t>公司确认与涉及支付辞退福利的重组相关的成本两者孰早日，确认辞退福利产生的职工薪酬负债，</w:t>
      </w:r>
      <w:r>
        <w:rPr>
          <w:spacing w:val="-86"/>
          <w:w w:val="100"/>
        </w:rPr>
        <w:t> </w:t>
      </w:r>
      <w:r>
        <w:rPr>
          <w:spacing w:val="-86"/>
          <w:w w:val="100"/>
        </w:rPr>
      </w:r>
      <w:r>
        <w:rPr/>
        <w:t>并计入当期损益。但辞退福利预期在年度报告期结束后十二个月不能完全支付的，按照其他长期</w:t>
      </w:r>
      <w:r>
        <w:rPr>
          <w:w w:val="100"/>
        </w:rPr>
        <w:t> </w:t>
      </w:r>
      <w:r>
        <w:rPr/>
        <w:t>职工薪酬处理。</w:t>
      </w:r>
    </w:p>
    <w:p>
      <w:pPr>
        <w:pStyle w:val="BodyText"/>
        <w:spacing w:line="357" w:lineRule="auto" w:before="30"/>
        <w:ind w:left="138" w:right="217" w:firstLine="419"/>
        <w:jc w:val="both"/>
      </w:pPr>
      <w:r>
        <w:rPr>
          <w:spacing w:val="-2"/>
        </w:rPr>
        <w:t>职工内部退休计划采用与上述辞退福利相同的原则处理。本公司将自职工停止提供服务日至</w:t>
      </w:r>
      <w:r>
        <w:rPr>
          <w:w w:val="100"/>
        </w:rPr>
        <w:t> </w:t>
      </w:r>
      <w:r>
        <w:rPr>
          <w:spacing w:val="-2"/>
        </w:rPr>
        <w:t>正常退休日的期间拟支付的内退人员工资和缴纳的社会保险费等，在符合预计负债确认条件时，</w:t>
      </w:r>
      <w:r>
        <w:rPr>
          <w:spacing w:val="-25"/>
        </w:rPr>
        <w:t> </w:t>
      </w:r>
      <w:r>
        <w:rPr>
          <w:spacing w:val="-25"/>
        </w:rPr>
      </w:r>
      <w:r>
        <w:rPr/>
        <w:t>计入当期损益（辞退福利）。</w:t>
      </w:r>
    </w:p>
    <w:p>
      <w:pPr>
        <w:pStyle w:val="Heading2"/>
        <w:spacing w:line="240" w:lineRule="auto" w:before="90"/>
        <w:ind w:left="138" w:right="212"/>
        <w:jc w:val="left"/>
        <w:rPr>
          <w:b w:val="0"/>
          <w:bCs w:val="0"/>
        </w:rPr>
      </w:pPr>
      <w:r>
        <w:rPr>
          <w:rFonts w:ascii="宋体" w:hAnsi="宋体" w:cs="宋体" w:eastAsia="宋体" w:hint="default"/>
        </w:rPr>
        <w:t>(4).</w:t>
      </w:r>
      <w:r>
        <w:rPr/>
        <w:t>其他长期职工福利的会计处理方法</w:t>
      </w:r>
      <w:r>
        <w:rPr>
          <w:b w:val="0"/>
          <w:bCs w:val="0"/>
        </w:rPr>
      </w:r>
    </w:p>
    <w:p>
      <w:pPr>
        <w:pStyle w:val="BodyText"/>
        <w:tabs>
          <w:tab w:pos="980" w:val="left" w:leader="none"/>
        </w:tabs>
        <w:spacing w:line="240" w:lineRule="auto" w:before="56"/>
        <w:ind w:left="138" w:right="212"/>
        <w:jc w:val="left"/>
      </w:pPr>
      <w:r>
        <w:rPr>
          <w:spacing w:val="-1"/>
        </w:rPr>
        <w:t>√适用</w:t>
        <w:tab/>
      </w:r>
      <w:r>
        <w:rPr>
          <w:spacing w:val="-2"/>
        </w:rPr>
        <w:t>□不适用</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37" w:firstLine="419"/>
        <w:jc w:val="both"/>
      </w:pPr>
      <w:r>
        <w:rPr>
          <w:spacing w:val="-2"/>
        </w:rPr>
        <w:t>本公司向职工提供的其他长期职工福利，符合设定提存计划的，按照设定提存计划进行会计</w:t>
      </w:r>
      <w:r>
        <w:rPr>
          <w:w w:val="100"/>
        </w:rPr>
        <w:t> </w:t>
      </w:r>
      <w:r>
        <w:rPr/>
        <w:t>处理，除此之外按照设定受益计划进行会计处理。</w:t>
      </w:r>
    </w:p>
    <w:p>
      <w:pPr>
        <w:pStyle w:val="Heading2"/>
        <w:spacing w:line="240" w:lineRule="auto" w:before="90"/>
        <w:ind w:left="138" w:right="125"/>
        <w:jc w:val="left"/>
        <w:rPr>
          <w:b w:val="0"/>
          <w:bCs w:val="0"/>
        </w:rPr>
      </w:pPr>
      <w:r>
        <w:rPr>
          <w:rFonts w:ascii="宋体" w:hAnsi="宋体" w:cs="宋体" w:eastAsia="宋体" w:hint="default"/>
        </w:rPr>
        <w:t>25.</w:t>
      </w:r>
      <w:r>
        <w:rPr>
          <w:rFonts w:ascii="宋体" w:hAnsi="宋体" w:cs="宋体" w:eastAsia="宋体" w:hint="default"/>
          <w:spacing w:val="2"/>
        </w:rPr>
        <w:t> </w:t>
      </w:r>
      <w:r>
        <w:rPr/>
        <w:t>预计负债</w:t>
      </w:r>
      <w:r>
        <w:rPr>
          <w:b w:val="0"/>
          <w:bCs w:val="0"/>
        </w:rPr>
      </w:r>
    </w:p>
    <w:p>
      <w:pPr>
        <w:pStyle w:val="BodyText"/>
        <w:tabs>
          <w:tab w:pos="980" w:val="left" w:leader="none"/>
        </w:tabs>
        <w:spacing w:line="240" w:lineRule="auto" w:before="56"/>
        <w:ind w:left="558" w:right="137" w:hanging="420"/>
        <w:jc w:val="left"/>
      </w:pPr>
      <w:r>
        <w:rPr>
          <w:spacing w:val="-1"/>
        </w:rPr>
        <w:t>√适用</w:t>
        <w:tab/>
      </w:r>
      <w:r>
        <w:rPr>
          <w:spacing w:val="-2"/>
        </w:rPr>
        <w:t>□不适用</w:t>
      </w:r>
      <w:r>
        <w:rPr>
          <w:spacing w:val="-99"/>
        </w:rPr>
        <w:t> </w:t>
      </w:r>
      <w:r>
        <w:rPr>
          <w:spacing w:val="-99"/>
        </w:rPr>
      </w:r>
      <w:r>
        <w:rPr>
          <w:spacing w:val="-4"/>
        </w:rPr>
        <w:t>当与或有事项相关的义务同时符合以下条件，确认为预计负债：（</w:t>
      </w:r>
      <w:r>
        <w:rPr>
          <w:rFonts w:ascii="宋体" w:hAnsi="宋体" w:cs="宋体" w:eastAsia="宋体" w:hint="default"/>
          <w:spacing w:val="-4"/>
        </w:rPr>
        <w:t>1</w:t>
      </w:r>
      <w:r>
        <w:rPr>
          <w:spacing w:val="-4"/>
        </w:rPr>
        <w:t>）该义务是本公司承担的</w:t>
      </w:r>
    </w:p>
    <w:p>
      <w:pPr>
        <w:pStyle w:val="BodyText"/>
        <w:spacing w:line="355" w:lineRule="auto" w:before="133"/>
        <w:ind w:left="558" w:right="125" w:hanging="420"/>
        <w:jc w:val="left"/>
      </w:pPr>
      <w:r>
        <w:rPr/>
        <w:t>现时义务；（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）该义务的金额能够可靠地计量。</w:t>
      </w:r>
      <w:r>
        <w:rPr>
          <w:w w:val="100"/>
        </w:rPr>
        <w:t> </w:t>
      </w:r>
      <w:r>
        <w:rPr>
          <w:spacing w:val="-2"/>
        </w:rPr>
        <w:t>在资产负债表日，考虑与或有事项有关的风险、不确定性和货币时间价值等因素，按照履行</w:t>
      </w:r>
    </w:p>
    <w:p>
      <w:pPr>
        <w:pStyle w:val="BodyText"/>
        <w:spacing w:line="357" w:lineRule="auto" w:before="32"/>
        <w:ind w:left="558" w:right="125" w:hanging="420"/>
        <w:jc w:val="left"/>
      </w:pPr>
      <w:r>
        <w:rPr/>
        <w:t>相关现时义务所需支出的最佳估计数对预计负债进行计量。</w:t>
      </w:r>
      <w:r>
        <w:rPr>
          <w:w w:val="100"/>
        </w:rPr>
        <w:t> </w:t>
      </w:r>
      <w:r>
        <w:rPr>
          <w:spacing w:val="-2"/>
        </w:rPr>
        <w:t>如果清偿预计负债所需支出全部或部分预期由第三方补偿的，补偿金额在基本确定能够收到</w:t>
      </w:r>
    </w:p>
    <w:p>
      <w:pPr>
        <w:pStyle w:val="BodyText"/>
        <w:spacing w:line="240" w:lineRule="auto" w:before="31"/>
        <w:ind w:left="138" w:right="125"/>
        <w:jc w:val="left"/>
      </w:pPr>
      <w:r>
        <w:rPr/>
        <w:t>时，作为资产单独确认，且确认的补偿金额不超过预计负债的账面价值。</w:t>
      </w:r>
    </w:p>
    <w:p>
      <w:pPr>
        <w:spacing w:line="240" w:lineRule="auto" w:before="10"/>
        <w:rPr>
          <w:rFonts w:ascii="宋体" w:hAnsi="宋体" w:cs="宋体" w:eastAsia="宋体" w:hint="default"/>
          <w:sz w:val="14"/>
          <w:szCs w:val="14"/>
        </w:rPr>
      </w:pPr>
    </w:p>
    <w:p>
      <w:pPr>
        <w:pStyle w:val="Heading2"/>
        <w:spacing w:line="240" w:lineRule="auto" w:before="0"/>
        <w:ind w:left="138" w:right="125"/>
        <w:jc w:val="left"/>
        <w:rPr>
          <w:b w:val="0"/>
          <w:bCs w:val="0"/>
        </w:rPr>
      </w:pPr>
      <w:r>
        <w:rPr>
          <w:rFonts w:ascii="宋体" w:hAnsi="宋体" w:cs="宋体" w:eastAsia="宋体" w:hint="default"/>
        </w:rPr>
        <w:t>26.</w:t>
      </w:r>
      <w:r>
        <w:rPr>
          <w:rFonts w:ascii="宋体" w:hAnsi="宋体" w:cs="宋体" w:eastAsia="宋体" w:hint="default"/>
          <w:spacing w:val="2"/>
        </w:rPr>
        <w:t> </w:t>
      </w:r>
      <w:r>
        <w:rPr/>
        <w:t>股份支付</w:t>
      </w:r>
      <w:r>
        <w:rPr>
          <w:b w:val="0"/>
          <w:bCs w:val="0"/>
        </w:rPr>
      </w:r>
    </w:p>
    <w:p>
      <w:pPr>
        <w:pStyle w:val="BodyText"/>
        <w:tabs>
          <w:tab w:pos="980" w:val="left" w:leader="none"/>
        </w:tabs>
        <w:spacing w:line="240" w:lineRule="auto" w:before="58"/>
        <w:ind w:left="138" w:right="125"/>
        <w:jc w:val="left"/>
      </w:pPr>
      <w:r>
        <w:rPr>
          <w:spacing w:val="-1"/>
        </w:rPr>
        <w:t>□适用</w:t>
        <w:tab/>
      </w:r>
      <w:r>
        <w:rPr>
          <w:spacing w:val="-2"/>
        </w:rPr>
        <w:t>√不适用</w:t>
      </w:r>
    </w:p>
    <w:p>
      <w:pPr>
        <w:pStyle w:val="Heading2"/>
        <w:spacing w:line="240" w:lineRule="auto" w:before="56"/>
        <w:ind w:left="138" w:right="125"/>
        <w:jc w:val="left"/>
        <w:rPr>
          <w:b w:val="0"/>
          <w:bCs w:val="0"/>
        </w:rPr>
      </w:pPr>
      <w:r>
        <w:rPr>
          <w:rFonts w:ascii="宋体" w:hAnsi="宋体" w:cs="宋体" w:eastAsia="宋体" w:hint="default"/>
        </w:rPr>
        <w:t>27. </w:t>
      </w:r>
      <w:r>
        <w:rPr/>
        <w:t>优先股、永续债等其他金融工具</w:t>
      </w:r>
      <w:r>
        <w:rPr>
          <w:b w:val="0"/>
          <w:bCs w:val="0"/>
        </w:rPr>
      </w:r>
    </w:p>
    <w:p>
      <w:pPr>
        <w:tabs>
          <w:tab w:pos="980" w:val="left" w:leader="none"/>
        </w:tabs>
        <w:spacing w:line="290" w:lineRule="auto" w:before="58"/>
        <w:ind w:left="138" w:right="72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28.</w:t>
      </w:r>
      <w:r>
        <w:rPr>
          <w:rFonts w:ascii="宋体" w:hAnsi="宋体" w:cs="宋体" w:eastAsia="宋体" w:hint="default"/>
          <w:b/>
          <w:bCs/>
          <w:spacing w:val="2"/>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pStyle w:val="BodyText"/>
        <w:tabs>
          <w:tab w:pos="980" w:val="left" w:leader="none"/>
        </w:tabs>
        <w:spacing w:line="274" w:lineRule="exact" w:before="12"/>
        <w:ind w:left="138" w:right="125"/>
        <w:jc w:val="left"/>
      </w:pPr>
      <w:r>
        <w:rPr>
          <w:spacing w:val="-1"/>
        </w:rPr>
        <w:t>√适用</w:t>
        <w:tab/>
      </w:r>
      <w:r>
        <w:rPr>
          <w:spacing w:val="-2"/>
        </w:rPr>
        <w:t>□不适用</w:t>
      </w:r>
    </w:p>
    <w:p>
      <w:pPr>
        <w:pStyle w:val="BodyText"/>
        <w:spacing w:line="355" w:lineRule="auto"/>
        <w:ind w:left="558" w:right="125"/>
        <w:jc w:val="left"/>
      </w:pPr>
      <w:r>
        <w:rPr/>
        <w:t>（</w:t>
      </w:r>
      <w:r>
        <w:rPr>
          <w:rFonts w:ascii="宋体" w:hAnsi="宋体" w:cs="宋体" w:eastAsia="宋体" w:hint="default"/>
        </w:rPr>
        <w:t>1</w:t>
      </w:r>
      <w:r>
        <w:rPr/>
        <w:t>）商品销售收入</w:t>
      </w:r>
      <w:r>
        <w:rPr>
          <w:w w:val="100"/>
        </w:rPr>
        <w:t> </w:t>
      </w:r>
      <w:r>
        <w:rPr>
          <w:spacing w:val="-2"/>
        </w:rPr>
        <w:t>在已将商品所有权上的主要风险和报酬转移给买方，既没有保留通常与所有权相联系的继续</w:t>
      </w:r>
    </w:p>
    <w:p>
      <w:pPr>
        <w:pStyle w:val="BodyText"/>
        <w:spacing w:line="357" w:lineRule="auto" w:before="32"/>
        <w:ind w:left="138" w:right="125"/>
        <w:jc w:val="left"/>
      </w:pPr>
      <w:r>
        <w:rPr>
          <w:spacing w:val="-2"/>
        </w:rPr>
        <w:t>管理权，也没有对已售商品实施有效控制，收入的金额能够可靠地计量，相关的经济利益很可能</w:t>
      </w:r>
      <w:r>
        <w:rPr>
          <w:spacing w:val="-25"/>
        </w:rPr>
        <w:t> </w:t>
      </w:r>
      <w:r>
        <w:rPr>
          <w:spacing w:val="-25"/>
        </w:rPr>
      </w:r>
      <w:r>
        <w:rPr/>
        <w:t>流入企业，相关的已发生或将发生的成本能够可靠地计量时，确认商品销售收入的实现。</w:t>
      </w:r>
    </w:p>
    <w:p>
      <w:pPr>
        <w:pStyle w:val="BodyText"/>
        <w:spacing w:line="355" w:lineRule="auto" w:before="30"/>
        <w:ind w:left="558" w:right="125"/>
        <w:jc w:val="left"/>
      </w:pPr>
      <w:r>
        <w:rPr/>
        <w:t>（</w:t>
      </w:r>
      <w:r>
        <w:rPr>
          <w:rFonts w:ascii="宋体" w:hAnsi="宋体" w:cs="宋体" w:eastAsia="宋体" w:hint="default"/>
        </w:rPr>
        <w:t>2</w:t>
      </w:r>
      <w:r>
        <w:rPr/>
        <w:t>）提供劳务收入</w:t>
      </w:r>
      <w:r>
        <w:rPr>
          <w:w w:val="100"/>
        </w:rPr>
        <w:t> </w:t>
      </w:r>
      <w:r>
        <w:rPr>
          <w:spacing w:val="-2"/>
        </w:rPr>
        <w:t>在提供劳务交易的结果能够可靠估计的情况下，于资产负债表日按照完工百分比法确认提供</w:t>
      </w:r>
    </w:p>
    <w:p>
      <w:pPr>
        <w:pStyle w:val="BodyText"/>
        <w:spacing w:line="355" w:lineRule="auto" w:before="32"/>
        <w:ind w:left="558" w:right="125" w:hanging="420"/>
        <w:jc w:val="left"/>
      </w:pPr>
      <w:r>
        <w:rPr/>
        <w:t>的劳务收入。劳务交易的完工进度按已经提供的劳务占应提供劳务总量的比例确定。</w:t>
      </w:r>
      <w:r>
        <w:rPr>
          <w:w w:val="100"/>
        </w:rPr>
        <w:t> </w:t>
      </w:r>
      <w:r>
        <w:rPr>
          <w:spacing w:val="-2"/>
        </w:rPr>
        <w:t>提供劳务交易的结果能够可靠估计是指同时满足：①收入的金额能够可靠地计量；②相关的</w:t>
      </w:r>
    </w:p>
    <w:p>
      <w:pPr>
        <w:pStyle w:val="BodyText"/>
        <w:spacing w:line="355" w:lineRule="auto" w:before="34"/>
        <w:ind w:left="138" w:right="125"/>
        <w:jc w:val="left"/>
      </w:pPr>
      <w:r>
        <w:rPr>
          <w:spacing w:val="-2"/>
        </w:rPr>
        <w:t>经济利益很可能流入企业；③交易的完工程度能够可靠地确定；④交易中已发生和将发生的成本</w:t>
      </w:r>
      <w:r>
        <w:rPr>
          <w:spacing w:val="-25"/>
        </w:rPr>
        <w:t> </w:t>
      </w:r>
      <w:r>
        <w:rPr>
          <w:spacing w:val="-25"/>
        </w:rPr>
      </w:r>
      <w:r>
        <w:rPr/>
        <w:t>能够可靠地计量。</w:t>
      </w:r>
    </w:p>
    <w:p>
      <w:pPr>
        <w:pStyle w:val="BodyText"/>
        <w:spacing w:line="357" w:lineRule="auto" w:before="33"/>
        <w:ind w:left="138" w:right="137" w:firstLine="419"/>
        <w:jc w:val="both"/>
      </w:pPr>
      <w:r>
        <w:rPr>
          <w:spacing w:val="-2"/>
        </w:rPr>
        <w:t>如果提供劳务交易的结果不能够可靠估计，则按已经发生并预计能够得到补偿的劳务成本金</w:t>
      </w:r>
      <w:r>
        <w:rPr>
          <w:w w:val="100"/>
        </w:rPr>
        <w:t> </w:t>
      </w:r>
      <w:r>
        <w:rPr>
          <w:spacing w:val="-2"/>
        </w:rPr>
        <w:t>额确认提供的劳务收入，并将已发生的劳务成本作为当期费用。已经发生的劳务成本如预计不能</w:t>
      </w:r>
      <w:r>
        <w:rPr>
          <w:spacing w:val="-25"/>
        </w:rPr>
        <w:t> </w:t>
      </w:r>
      <w:r>
        <w:rPr>
          <w:spacing w:val="-25"/>
        </w:rPr>
      </w:r>
      <w:r>
        <w:rPr/>
        <w:t>得到补偿的，则不确认收入。</w:t>
      </w:r>
    </w:p>
    <w:p>
      <w:pPr>
        <w:pStyle w:val="BodyText"/>
        <w:spacing w:line="355" w:lineRule="auto" w:before="30"/>
        <w:ind w:left="138" w:right="137" w:firstLine="419"/>
        <w:jc w:val="both"/>
      </w:pPr>
      <w:r>
        <w:rPr>
          <w:spacing w:val="-2"/>
        </w:rPr>
        <w:t>本公司与其他企业签订的合同或协议包括销售商品和提供劳务时，如销售商品部分和提供劳</w:t>
      </w:r>
      <w:r>
        <w:rPr>
          <w:w w:val="100"/>
        </w:rPr>
        <w:t> </w:t>
      </w:r>
      <w:r>
        <w:rPr>
          <w:spacing w:val="-2"/>
        </w:rPr>
        <w:t>务部分能够区分并单独计量的，将销售商品部分和提供劳务部分分别处理；如销售商品部分和提</w:t>
      </w:r>
      <w:r>
        <w:rPr>
          <w:spacing w:val="-25"/>
        </w:rPr>
        <w:t> </w:t>
      </w:r>
      <w:r>
        <w:rPr>
          <w:spacing w:val="-25"/>
        </w:rPr>
      </w:r>
      <w:r>
        <w:rPr/>
        <w:t>供劳务部分不能够区分，或虽能区分但不能够单独计量的，将该合同全部作为销售商品处理。</w:t>
      </w:r>
    </w:p>
    <w:p>
      <w:pPr>
        <w:pStyle w:val="BodyText"/>
        <w:spacing w:line="357" w:lineRule="auto" w:before="32"/>
        <w:ind w:left="558" w:right="3467"/>
        <w:jc w:val="left"/>
      </w:pPr>
      <w:r>
        <w:rPr/>
        <w:t>（</w:t>
      </w:r>
      <w:r>
        <w:rPr>
          <w:rFonts w:ascii="宋体" w:hAnsi="宋体" w:cs="宋体" w:eastAsia="宋体" w:hint="default"/>
        </w:rPr>
        <w:t>4</w:t>
      </w:r>
      <w:r>
        <w:rPr/>
        <w:t>）使用费收入</w:t>
      </w:r>
      <w:r>
        <w:rPr>
          <w:w w:val="100"/>
        </w:rPr>
        <w:t> </w:t>
      </w:r>
      <w:r>
        <w:rPr>
          <w:spacing w:val="-2"/>
        </w:rPr>
        <w:t>根据有关合同或协议，按权责发生制确认收入。</w:t>
      </w:r>
    </w:p>
    <w:p>
      <w:pPr>
        <w:pStyle w:val="BodyText"/>
        <w:spacing w:line="240" w:lineRule="auto" w:before="30"/>
        <w:ind w:left="558" w:right="125"/>
        <w:jc w:val="left"/>
      </w:pPr>
      <w:r>
        <w:rPr/>
        <w:t>（</w:t>
      </w:r>
      <w:r>
        <w:rPr>
          <w:rFonts w:ascii="宋体" w:hAnsi="宋体" w:cs="宋体" w:eastAsia="宋体" w:hint="default"/>
        </w:rPr>
        <w:t>5</w:t>
      </w:r>
      <w:r>
        <w:rPr/>
        <w:t>）利息收入</w:t>
      </w:r>
    </w:p>
    <w:p>
      <w:pPr>
        <w:spacing w:after="0" w:line="240"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558" w:right="125"/>
        <w:jc w:val="left"/>
      </w:pPr>
      <w:r>
        <w:rPr/>
        <w:t>按照他人使用本公司货币资金的时间和实际利率计算确定。</w:t>
      </w:r>
    </w:p>
    <w:p>
      <w:pPr>
        <w:pStyle w:val="BodyText"/>
        <w:spacing w:line="355" w:lineRule="auto" w:before="135"/>
        <w:ind w:left="558" w:right="125"/>
        <w:jc w:val="left"/>
      </w:pPr>
      <w:r>
        <w:rPr/>
        <w:t>（</w:t>
      </w:r>
      <w:r>
        <w:rPr>
          <w:rFonts w:ascii="宋体" w:hAnsi="宋体" w:cs="宋体" w:eastAsia="宋体" w:hint="default"/>
        </w:rPr>
        <w:t>5</w:t>
      </w:r>
      <w:r>
        <w:rPr/>
        <w:t>）本公司收入的具体确认方法</w:t>
      </w:r>
      <w:r>
        <w:rPr>
          <w:w w:val="100"/>
        </w:rPr>
        <w:t> </w:t>
      </w:r>
      <w:r>
        <w:rPr>
          <w:spacing w:val="-2"/>
        </w:rPr>
        <w:t>本公司广告发布及宣传服务收入，按照与客户签订的合同约定服务内容及价格，经与客户确</w:t>
      </w:r>
    </w:p>
    <w:p>
      <w:pPr>
        <w:pStyle w:val="BodyText"/>
        <w:spacing w:line="355" w:lineRule="auto" w:before="32"/>
        <w:ind w:left="138" w:right="125"/>
        <w:jc w:val="left"/>
      </w:pPr>
      <w:r>
        <w:rPr>
          <w:spacing w:val="-2"/>
        </w:rPr>
        <w:t>认的广告发布及宣传服务的排期表（具体发布期间），根据已提供服务的期间占服务总期间的比</w:t>
      </w:r>
      <w:r>
        <w:rPr>
          <w:spacing w:val="-25"/>
        </w:rPr>
        <w:t> </w:t>
      </w:r>
      <w:r>
        <w:rPr>
          <w:spacing w:val="-25"/>
        </w:rPr>
      </w:r>
      <w:r>
        <w:rPr/>
        <w:t>例来确定完工进度，按照完工百分比法确认当期收入。</w:t>
      </w:r>
    </w:p>
    <w:p>
      <w:pPr>
        <w:pStyle w:val="BodyText"/>
        <w:spacing w:line="357" w:lineRule="auto" w:before="32"/>
        <w:ind w:left="138" w:right="137" w:firstLine="419"/>
        <w:jc w:val="both"/>
      </w:pPr>
      <w:r>
        <w:rPr>
          <w:spacing w:val="-2"/>
        </w:rPr>
        <w:t>本公司信息服务收入，按照与客户签订的合同约定的服务内容、价格及信息服务提供期向客</w:t>
      </w:r>
      <w:r>
        <w:rPr>
          <w:w w:val="100"/>
        </w:rPr>
        <w:t> </w:t>
      </w:r>
      <w:r>
        <w:rPr>
          <w:spacing w:val="-2"/>
        </w:rPr>
        <w:t>户提供信息服务（新闻信息、图片信息等），依据已经提供服务期占总服务期的比例来确定完工</w:t>
      </w:r>
      <w:r>
        <w:rPr>
          <w:spacing w:val="-25"/>
        </w:rPr>
        <w:t> </w:t>
      </w:r>
      <w:r>
        <w:rPr>
          <w:spacing w:val="-25"/>
        </w:rPr>
      </w:r>
      <w:r>
        <w:rPr/>
        <w:t>进度，按照完工百分比法确认当期收入。</w:t>
      </w:r>
    </w:p>
    <w:p>
      <w:pPr>
        <w:pStyle w:val="BodyText"/>
        <w:spacing w:line="357" w:lineRule="auto" w:before="31"/>
        <w:ind w:left="138" w:right="137" w:firstLine="419"/>
        <w:jc w:val="both"/>
      </w:pPr>
      <w:r>
        <w:rPr>
          <w:spacing w:val="-2"/>
        </w:rPr>
        <w:t>本公司网络技术服务和移动互联网服务收入，按照与客户签订的合同约定情况：①对于固定</w:t>
      </w:r>
      <w:r>
        <w:rPr>
          <w:w w:val="100"/>
        </w:rPr>
        <w:t> </w:t>
      </w:r>
      <w:r>
        <w:rPr>
          <w:spacing w:val="-2"/>
        </w:rPr>
        <w:t>期限的服务合同，依据合同约定的服务开始时点到财务报告基准日时点的期间占合同服务总期间</w:t>
      </w:r>
      <w:r>
        <w:rPr>
          <w:spacing w:val="-25"/>
        </w:rPr>
        <w:t> </w:t>
      </w:r>
      <w:r>
        <w:rPr>
          <w:spacing w:val="-25"/>
        </w:rPr>
      </w:r>
      <w:r>
        <w:rPr>
          <w:spacing w:val="-2"/>
        </w:rPr>
        <w:t>的比例确认收入；②对于提供一次性服务的服务合同，依据合同约定在项目实施完成并经对方验</w:t>
      </w:r>
      <w:r>
        <w:rPr>
          <w:spacing w:val="-25"/>
        </w:rPr>
        <w:t> </w:t>
      </w:r>
      <w:r>
        <w:rPr>
          <w:spacing w:val="-25"/>
        </w:rPr>
      </w:r>
      <w:r>
        <w:rPr/>
        <w:t>收合格或结算后确认收入。</w:t>
      </w:r>
    </w:p>
    <w:p>
      <w:pPr>
        <w:pStyle w:val="Heading2"/>
        <w:spacing w:line="240" w:lineRule="auto" w:before="90"/>
        <w:ind w:left="138" w:right="125"/>
        <w:jc w:val="left"/>
        <w:rPr>
          <w:b w:val="0"/>
          <w:bCs w:val="0"/>
        </w:rPr>
      </w:pPr>
      <w:r>
        <w:rPr>
          <w:rFonts w:ascii="宋体" w:hAnsi="宋体" w:cs="宋体" w:eastAsia="宋体" w:hint="default"/>
        </w:rPr>
        <w:t>29.</w:t>
      </w:r>
      <w:r>
        <w:rPr>
          <w:rFonts w:ascii="宋体" w:hAnsi="宋体" w:cs="宋体" w:eastAsia="宋体" w:hint="default"/>
          <w:spacing w:val="2"/>
        </w:rPr>
        <w:t> </w:t>
      </w:r>
      <w:r>
        <w:rPr/>
        <w:t>政府补助</w:t>
      </w:r>
      <w:r>
        <w:rPr>
          <w:b w:val="0"/>
          <w:bCs w:val="0"/>
        </w:rPr>
      </w:r>
    </w:p>
    <w:p>
      <w:pPr>
        <w:pStyle w:val="BodyText"/>
        <w:spacing w:line="240" w:lineRule="auto" w:before="56"/>
        <w:ind w:left="558" w:right="125" w:hanging="420"/>
        <w:jc w:val="left"/>
      </w:pPr>
      <w:r>
        <w:rPr/>
        <w:t>√适用</w:t>
      </w:r>
      <w:r>
        <w:rPr>
          <w:spacing w:val="-2"/>
        </w:rPr>
        <w:t> </w:t>
      </w:r>
      <w:r>
        <w:rPr/>
        <w:t>□不适用</w:t>
      </w:r>
      <w:r>
        <w:rPr>
          <w:w w:val="100"/>
        </w:rPr>
        <w:t> </w:t>
      </w:r>
      <w:r>
        <w:rPr>
          <w:spacing w:val="-2"/>
        </w:rPr>
        <w:t>政府补助是指本公司从政府无偿取得货币性资产和非货币性资产，不包括政府以投资者身份</w:t>
      </w:r>
    </w:p>
    <w:p>
      <w:pPr>
        <w:pStyle w:val="BodyText"/>
        <w:spacing w:line="355" w:lineRule="auto" w:before="133"/>
        <w:ind w:left="138" w:right="125"/>
        <w:jc w:val="left"/>
      </w:pPr>
      <w:r>
        <w:rPr>
          <w:spacing w:val="-2"/>
        </w:rPr>
        <w:t>并享有相应所有者权益而投入的资本。政府补助分为与资产相关的政府补助和与收益相关的政府</w:t>
      </w:r>
      <w:r>
        <w:rPr>
          <w:spacing w:val="-25"/>
        </w:rPr>
        <w:t> </w:t>
      </w:r>
      <w:r>
        <w:rPr>
          <w:spacing w:val="-25"/>
        </w:rPr>
      </w:r>
      <w:r>
        <w:rPr/>
        <w:t>补助。</w:t>
      </w:r>
    </w:p>
    <w:p>
      <w:pPr>
        <w:pStyle w:val="BodyText"/>
        <w:spacing w:line="357" w:lineRule="auto" w:before="35"/>
        <w:ind w:left="138" w:right="128" w:firstLine="419"/>
        <w:jc w:val="both"/>
      </w:pPr>
      <w:r>
        <w:rPr>
          <w:spacing w:val="-2"/>
        </w:rPr>
        <w:t>本公司将所取得的用于购建或以其他方式形成长期资产的政府补助界定为与资产相关的政府</w:t>
      </w:r>
      <w:r>
        <w:rPr>
          <w:w w:val="100"/>
        </w:rPr>
        <w:t> </w:t>
      </w:r>
      <w:r>
        <w:rPr>
          <w:spacing w:val="-2"/>
        </w:rPr>
        <w:t>补助；其余政府补助界定为与收益相关的政府补助。若政府文件未明确规定补助对象，则采用以</w:t>
      </w:r>
      <w:r>
        <w:rPr>
          <w:spacing w:val="-25"/>
        </w:rPr>
        <w:t> </w:t>
      </w:r>
      <w:r>
        <w:rPr>
          <w:spacing w:val="-25"/>
        </w:rPr>
      </w:r>
      <w:r>
        <w:rPr>
          <w:spacing w:val="-4"/>
        </w:rPr>
        <w:t>下方式将补助款划分为与收益相关的政府补助和与资产相关的政府补助：（</w:t>
      </w:r>
      <w:r>
        <w:rPr>
          <w:rFonts w:ascii="宋体" w:hAnsi="宋体" w:cs="宋体" w:eastAsia="宋体" w:hint="default"/>
          <w:spacing w:val="-4"/>
        </w:rPr>
        <w:t>1</w:t>
      </w:r>
      <w:r>
        <w:rPr>
          <w:spacing w:val="-4"/>
        </w:rPr>
        <w:t>）政府文件明确了补</w:t>
      </w:r>
      <w:r>
        <w:rPr>
          <w:spacing w:val="-35"/>
        </w:rPr>
        <w:t> </w:t>
      </w:r>
      <w:r>
        <w:rPr>
          <w:spacing w:val="-35"/>
        </w:rPr>
      </w:r>
      <w:r>
        <w:rPr>
          <w:spacing w:val="-2"/>
        </w:rPr>
        <w:t>助所针对的特定项目的，根据该特定项目的预算中将形成资产的支出金额和计入费用的支出金额</w:t>
      </w:r>
      <w:r>
        <w:rPr>
          <w:spacing w:val="-25"/>
        </w:rPr>
        <w:t> </w:t>
      </w:r>
      <w:r>
        <w:rPr>
          <w:spacing w:val="-25"/>
        </w:rPr>
      </w:r>
      <w:r>
        <w:rPr>
          <w:spacing w:val="-5"/>
        </w:rPr>
        <w:t>的相对比例进行划分，对该划分比例需在每个资产负债表日进行复核，必要时进行变更；（</w:t>
      </w:r>
      <w:r>
        <w:rPr>
          <w:rFonts w:ascii="宋体" w:hAnsi="宋体" w:cs="宋体" w:eastAsia="宋体" w:hint="default"/>
          <w:spacing w:val="-5"/>
        </w:rPr>
        <w:t>2</w:t>
      </w:r>
      <w:r>
        <w:rPr>
          <w:spacing w:val="-5"/>
        </w:rPr>
        <w:t>）政</w:t>
      </w:r>
      <w:r>
        <w:rPr>
          <w:spacing w:val="-13"/>
        </w:rPr>
        <w:t> </w:t>
      </w:r>
      <w:r>
        <w:rPr/>
        <w:t>府文件中对用途仅作一般性表述，没有指明特定项目的，作为与收益相关的政府补助。</w:t>
      </w:r>
    </w:p>
    <w:p>
      <w:pPr>
        <w:pStyle w:val="BodyText"/>
        <w:spacing w:line="357" w:lineRule="auto" w:before="30"/>
        <w:ind w:left="138" w:right="128" w:firstLine="419"/>
        <w:jc w:val="both"/>
      </w:pPr>
      <w:r>
        <w:rPr>
          <w:spacing w:val="-2"/>
        </w:rPr>
        <w:t>政府补助为货币性资产的，按照收到或应收的金额计量。政府补助为非货币性资产的，按照</w:t>
      </w:r>
      <w:r>
        <w:rPr>
          <w:w w:val="100"/>
        </w:rPr>
        <w:t> </w:t>
      </w:r>
      <w:r>
        <w:rPr>
          <w:spacing w:val="-6"/>
        </w:rPr>
        <w:t>公允价值计量；公允价值不能够可靠取得的，按照名义金额计量。按照名义金额计量的政府补助，</w:t>
      </w:r>
      <w:r>
        <w:rPr>
          <w:spacing w:val="-54"/>
        </w:rPr>
        <w:t> </w:t>
      </w:r>
      <w:r>
        <w:rPr>
          <w:spacing w:val="-54"/>
        </w:rPr>
      </w:r>
      <w:r>
        <w:rPr/>
        <w:t>直接计入当期损益。</w:t>
      </w:r>
    </w:p>
    <w:p>
      <w:pPr>
        <w:pStyle w:val="BodyText"/>
        <w:spacing w:line="357" w:lineRule="auto" w:before="32"/>
        <w:ind w:left="138" w:right="128" w:firstLine="419"/>
        <w:jc w:val="both"/>
      </w:pPr>
      <w:r>
        <w:rPr>
          <w:spacing w:val="-2"/>
        </w:rPr>
        <w:t>本公司对于政府补助通常在实际收到时，按照实收金额予以确认和计量。但对于期末有确凿</w:t>
      </w:r>
      <w:r>
        <w:rPr>
          <w:w w:val="100"/>
        </w:rPr>
        <w:t> </w:t>
      </w:r>
      <w:r>
        <w:rPr>
          <w:spacing w:val="-2"/>
        </w:rPr>
        <w:t>证据表明能够符合财政扶持政策规定的相关条件预计能够收到财政扶持资金，按照应收的金额计</w:t>
      </w:r>
      <w:r>
        <w:rPr>
          <w:spacing w:val="-25"/>
        </w:rPr>
        <w:t> </w:t>
      </w:r>
      <w:r>
        <w:rPr>
          <w:spacing w:val="-25"/>
        </w:rPr>
      </w:r>
      <w:r>
        <w:rPr>
          <w:spacing w:val="-4"/>
        </w:rPr>
        <w:t>量。按照应收金额计量的政府补助应同时符合以下条件：（</w:t>
      </w:r>
      <w:r>
        <w:rPr>
          <w:rFonts w:ascii="宋体" w:hAnsi="宋体" w:cs="宋体" w:eastAsia="宋体" w:hint="default"/>
          <w:spacing w:val="-4"/>
        </w:rPr>
        <w:t>1</w:t>
      </w:r>
      <w:r>
        <w:rPr>
          <w:spacing w:val="-4"/>
        </w:rPr>
        <w:t>）应收补助款的金额已经过有权政府</w:t>
      </w:r>
      <w:r>
        <w:rPr>
          <w:spacing w:val="-33"/>
        </w:rPr>
        <w:t> </w:t>
      </w:r>
      <w:r>
        <w:rPr>
          <w:spacing w:val="-33"/>
        </w:rPr>
      </w:r>
      <w:r>
        <w:rPr>
          <w:spacing w:val="-2"/>
        </w:rPr>
        <w:t>部门发文确认，或者可根据正式发布的财政资金管理办法的有关规定自行合理测算，且预计其金</w:t>
      </w:r>
      <w:r>
        <w:rPr>
          <w:spacing w:val="-25"/>
        </w:rPr>
        <w:t> </w:t>
      </w:r>
      <w:r>
        <w:rPr>
          <w:spacing w:val="-25"/>
        </w:rPr>
      </w:r>
      <w:r>
        <w:rPr>
          <w:spacing w:val="-4"/>
        </w:rPr>
        <w:t>额不存在重大不确定性；（</w:t>
      </w:r>
      <w:r>
        <w:rPr>
          <w:rFonts w:ascii="宋体" w:hAnsi="宋体" w:cs="宋体" w:eastAsia="宋体" w:hint="default"/>
          <w:spacing w:val="-4"/>
        </w:rPr>
        <w:t>2</w:t>
      </w:r>
      <w:r>
        <w:rPr>
          <w:spacing w:val="-4"/>
        </w:rPr>
        <w:t>）所依据的是当地财政部门正式发布并按照《政府信息公开条例》的</w:t>
      </w:r>
      <w:r>
        <w:rPr>
          <w:spacing w:val="-33"/>
        </w:rPr>
        <w:t> </w:t>
      </w:r>
      <w:r>
        <w:rPr>
          <w:spacing w:val="-33"/>
        </w:rPr>
      </w:r>
      <w:r>
        <w:rPr>
          <w:spacing w:val="-2"/>
        </w:rPr>
        <w:t>规定予以主动公开的财政扶持项目及其财政资金管理办法，且该管理办法应当是普惠性的（任何</w:t>
      </w:r>
      <w:r>
        <w:rPr>
          <w:spacing w:val="-25"/>
        </w:rPr>
        <w:t> </w:t>
      </w:r>
      <w:r>
        <w:rPr>
          <w:spacing w:val="-25"/>
        </w:rPr>
      </w:r>
      <w:r>
        <w:rPr>
          <w:spacing w:val="-4"/>
        </w:rPr>
        <w:t>符合规定条件的企业均可申请），而不是专门针对特定企业制定的；（</w:t>
      </w:r>
      <w:r>
        <w:rPr>
          <w:rFonts w:ascii="宋体" w:hAnsi="宋体" w:cs="宋体" w:eastAsia="宋体" w:hint="default"/>
          <w:spacing w:val="-4"/>
        </w:rPr>
        <w:t>3</w:t>
      </w:r>
      <w:r>
        <w:rPr>
          <w:spacing w:val="-4"/>
        </w:rPr>
        <w:t>）相关的补助款批文中已</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04"/>
        <w:jc w:val="left"/>
      </w:pPr>
      <w:r>
        <w:rPr/>
        <w:t>明确承诺了拨付期限，且该款项的拨付是有相应财政预算作为保障的，因而可以合理保证其可在</w:t>
      </w:r>
      <w:r>
        <w:rPr>
          <w:w w:val="100"/>
        </w:rPr>
        <w:t> </w:t>
      </w:r>
      <w:r>
        <w:rPr>
          <w:spacing w:val="-2"/>
        </w:rPr>
        <w:t>规定期限内收到；（</w:t>
      </w:r>
      <w:r>
        <w:rPr>
          <w:rFonts w:ascii="宋体" w:hAnsi="宋体" w:cs="宋体" w:eastAsia="宋体" w:hint="default"/>
          <w:spacing w:val="-2"/>
        </w:rPr>
        <w:t>4</w:t>
      </w:r>
      <w:r>
        <w:rPr>
          <w:spacing w:val="-2"/>
        </w:rPr>
        <w:t>）根据本公司和该补助事项的具体情况，应满足的其他相关条件（如有）。</w:t>
      </w:r>
    </w:p>
    <w:p>
      <w:pPr>
        <w:spacing w:line="355" w:lineRule="auto" w:before="30"/>
        <w:ind w:left="558" w:right="212" w:hanging="22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与资产相关的政府补助，确认为递延收益，并在相关资产的使用寿命内按照合理、系统的方</w:t>
      </w:r>
    </w:p>
    <w:p>
      <w:pPr>
        <w:spacing w:line="355" w:lineRule="auto" w:before="32"/>
        <w:ind w:left="337" w:right="3333" w:hanging="200"/>
        <w:jc w:val="left"/>
        <w:rPr>
          <w:rFonts w:ascii="宋体" w:hAnsi="宋体" w:cs="宋体" w:eastAsia="宋体" w:hint="default"/>
          <w:sz w:val="21"/>
          <w:szCs w:val="21"/>
        </w:rPr>
      </w:pPr>
      <w:r>
        <w:rPr>
          <w:rFonts w:ascii="宋体" w:hAnsi="宋体" w:cs="宋体" w:eastAsia="宋体" w:hint="default"/>
          <w:sz w:val="21"/>
          <w:szCs w:val="21"/>
        </w:rPr>
        <w:t>法分期计入当期损益。</w:t>
      </w:r>
      <w:r>
        <w:rPr>
          <w:rFonts w:ascii="宋体" w:hAnsi="宋体" w:cs="宋体" w:eastAsia="宋体" w:hint="default"/>
          <w:w w:val="100"/>
          <w:sz w:val="21"/>
          <w:szCs w:val="21"/>
        </w:rPr>
        <w:t> </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与收益相关的政府补助判断依据及会计处理方法</w:t>
      </w:r>
      <w:r>
        <w:rPr>
          <w:rFonts w:ascii="宋体" w:hAnsi="宋体" w:cs="宋体" w:eastAsia="宋体" w:hint="default"/>
          <w:spacing w:val="-1"/>
          <w:sz w:val="21"/>
          <w:szCs w:val="21"/>
        </w:rPr>
      </w:r>
    </w:p>
    <w:p>
      <w:pPr>
        <w:pStyle w:val="BodyText"/>
        <w:spacing w:line="357" w:lineRule="auto" w:before="34"/>
        <w:ind w:left="138" w:right="217" w:firstLine="419"/>
        <w:jc w:val="both"/>
      </w:pPr>
      <w:r>
        <w:rPr>
          <w:spacing w:val="-2"/>
        </w:rPr>
        <w:t>与收益相关的政府补助，用于补偿以后期间的相关成本费用或损失的，确认为递延收益，并</w:t>
      </w:r>
      <w:r>
        <w:rPr>
          <w:w w:val="100"/>
        </w:rPr>
        <w:t> </w:t>
      </w:r>
      <w:r>
        <w:rPr>
          <w:spacing w:val="-2"/>
        </w:rPr>
        <w:t>在确认相关成本费用或损失的期间计入当期损益；用于补偿已经发生的相关成本费用或损失的，</w:t>
      </w:r>
      <w:r>
        <w:rPr>
          <w:spacing w:val="-25"/>
        </w:rPr>
        <w:t> </w:t>
      </w:r>
      <w:r>
        <w:rPr>
          <w:spacing w:val="-25"/>
        </w:rPr>
      </w:r>
      <w:r>
        <w:rPr>
          <w:spacing w:val="-2"/>
        </w:rPr>
        <w:t>直接计入当期损益。同时包含与资产相关部分和与收益相关部分的政府补助，区分不同部分分别</w:t>
      </w:r>
      <w:r>
        <w:rPr>
          <w:spacing w:val="-25"/>
        </w:rPr>
        <w:t> </w:t>
      </w:r>
      <w:r>
        <w:rPr>
          <w:spacing w:val="-25"/>
        </w:rPr>
      </w:r>
      <w:r>
        <w:rPr/>
        <w:t>进行会计处理；难以区分的，将其整体归类为与收益相关的政府补助。</w:t>
      </w:r>
    </w:p>
    <w:p>
      <w:pPr>
        <w:pStyle w:val="BodyText"/>
        <w:spacing w:line="355" w:lineRule="auto" w:before="32"/>
        <w:ind w:left="138" w:right="217" w:firstLine="419"/>
        <w:jc w:val="both"/>
      </w:pPr>
      <w:r>
        <w:rPr>
          <w:spacing w:val="-2"/>
        </w:rPr>
        <w:t>与本公司日常活动相关的政府补助，按照经济业务的实质，计入其他收益或冲减相关成本费</w:t>
      </w:r>
      <w:r>
        <w:rPr>
          <w:w w:val="100"/>
        </w:rPr>
        <w:t> </w:t>
      </w:r>
      <w:r>
        <w:rPr/>
        <w:t>用；与日常活动无关的政府补助，计入营业外收支。</w:t>
      </w:r>
    </w:p>
    <w:p>
      <w:pPr>
        <w:pStyle w:val="BodyText"/>
        <w:spacing w:line="355" w:lineRule="auto" w:before="32"/>
        <w:ind w:left="138" w:right="217" w:firstLine="419"/>
        <w:jc w:val="both"/>
      </w:pPr>
      <w:r>
        <w:rPr>
          <w:spacing w:val="-2"/>
        </w:rPr>
        <w:t>已确认的政府补助需要退回时，存在相关递延收益余额的，冲减相关递延收益账面余额，超</w:t>
      </w:r>
      <w:r>
        <w:rPr>
          <w:w w:val="100"/>
        </w:rPr>
        <w:t> </w:t>
      </w:r>
      <w:r>
        <w:rPr/>
        <w:t>出部分计入当期损益；属于其他情况的，直接计入当期损益。</w:t>
      </w:r>
    </w:p>
    <w:p>
      <w:pPr>
        <w:pStyle w:val="Heading2"/>
        <w:spacing w:line="240" w:lineRule="auto" w:before="92"/>
        <w:ind w:left="138" w:right="212"/>
        <w:jc w:val="left"/>
        <w:rPr>
          <w:b w:val="0"/>
          <w:bCs w:val="0"/>
        </w:rPr>
      </w:pPr>
      <w:r>
        <w:rPr>
          <w:rFonts w:ascii="宋体" w:hAnsi="宋体" w:cs="宋体" w:eastAsia="宋体" w:hint="default"/>
        </w:rPr>
        <w:t>30.</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tabs>
          <w:tab w:pos="980" w:val="left" w:leader="none"/>
        </w:tabs>
        <w:spacing w:line="273" w:lineRule="exact" w:before="32"/>
        <w:ind w:left="138" w:right="212"/>
        <w:jc w:val="left"/>
      </w:pPr>
      <w:r>
        <w:rPr>
          <w:spacing w:val="-1"/>
        </w:rPr>
        <w:t>√适用</w:t>
        <w:tab/>
      </w:r>
      <w:r>
        <w:rPr>
          <w:spacing w:val="-2"/>
        </w:rPr>
        <w:t>□不适用</w:t>
      </w:r>
    </w:p>
    <w:p>
      <w:pPr>
        <w:pStyle w:val="BodyText"/>
        <w:spacing w:line="357" w:lineRule="auto"/>
        <w:ind w:left="558" w:right="212"/>
        <w:jc w:val="left"/>
      </w:pPr>
      <w:r>
        <w:rPr/>
        <w:t>（</w:t>
      </w:r>
      <w:r>
        <w:rPr>
          <w:rFonts w:ascii="宋体" w:hAnsi="宋体" w:cs="宋体" w:eastAsia="宋体" w:hint="default"/>
        </w:rPr>
        <w:t>1</w:t>
      </w:r>
      <w:r>
        <w:rPr/>
        <w:t>）当期所得税</w:t>
      </w:r>
      <w:r>
        <w:rPr>
          <w:w w:val="100"/>
        </w:rPr>
        <w:t> </w:t>
      </w:r>
      <w:r>
        <w:rPr>
          <w:spacing w:val="-2"/>
        </w:rPr>
        <w:t>资产负债表日，对于当期和以前期间形成的当期所得税负债（或资产），以按照税法规定计</w:t>
      </w:r>
    </w:p>
    <w:p>
      <w:pPr>
        <w:pStyle w:val="BodyText"/>
        <w:spacing w:line="355" w:lineRule="auto" w:before="30"/>
        <w:ind w:left="138" w:right="212"/>
        <w:jc w:val="left"/>
      </w:pPr>
      <w:r>
        <w:rPr>
          <w:spacing w:val="-2"/>
        </w:rPr>
        <w:t>算的预期应交纳（或返还）的所得税金额计量。计算当期所得税费用所依据的应纳税所得额系根</w:t>
      </w:r>
      <w:r>
        <w:rPr>
          <w:spacing w:val="-25"/>
        </w:rPr>
        <w:t> </w:t>
      </w:r>
      <w:r>
        <w:rPr>
          <w:spacing w:val="-25"/>
        </w:rPr>
      </w:r>
      <w:r>
        <w:rPr/>
        <w:t>据有关税法规定对本年度税前会计利润作相应调整后计算得出。</w:t>
      </w:r>
    </w:p>
    <w:p>
      <w:pPr>
        <w:pStyle w:val="BodyText"/>
        <w:spacing w:line="355" w:lineRule="auto" w:before="32"/>
        <w:ind w:left="558" w:right="212"/>
        <w:jc w:val="left"/>
      </w:pPr>
      <w:r>
        <w:rPr/>
        <w:t>（</w:t>
      </w:r>
      <w:r>
        <w:rPr>
          <w:rFonts w:ascii="宋体" w:hAnsi="宋体" w:cs="宋体" w:eastAsia="宋体" w:hint="default"/>
        </w:rPr>
        <w:t>2</w:t>
      </w:r>
      <w:r>
        <w:rPr/>
        <w:t>）递延所得税资产及递延所得税负债</w:t>
      </w:r>
      <w:r>
        <w:rPr>
          <w:w w:val="100"/>
        </w:rPr>
        <w:t> </w:t>
      </w:r>
      <w:r>
        <w:rPr>
          <w:spacing w:val="-2"/>
        </w:rPr>
        <w:t>某些资产、负债项目的账面价值与其计税基础之间的差额，以及未作为资产和负债确认但按</w:t>
      </w:r>
    </w:p>
    <w:p>
      <w:pPr>
        <w:pStyle w:val="BodyText"/>
        <w:spacing w:line="355" w:lineRule="auto" w:before="34"/>
        <w:ind w:left="138" w:right="212"/>
        <w:jc w:val="left"/>
      </w:pPr>
      <w:r>
        <w:rPr>
          <w:spacing w:val="-2"/>
        </w:rPr>
        <w:t>照税法规定可以确定其计税基础的项目的账面价值与计税基础之间的差额产生的暂时性差异，采</w:t>
      </w:r>
      <w:r>
        <w:rPr>
          <w:spacing w:val="-25"/>
        </w:rPr>
        <w:t> </w:t>
      </w:r>
      <w:r>
        <w:rPr>
          <w:spacing w:val="-25"/>
        </w:rPr>
      </w:r>
      <w:r>
        <w:rPr/>
        <w:t>用资产负债表债务法确认递延所得税资产及递延所得税负债。</w:t>
      </w:r>
    </w:p>
    <w:p>
      <w:pPr>
        <w:pStyle w:val="BodyText"/>
        <w:spacing w:line="240" w:lineRule="auto" w:before="32"/>
        <w:ind w:left="558" w:right="104"/>
        <w:jc w:val="left"/>
      </w:pPr>
      <w:r>
        <w:rPr/>
        <w:t>与商誉的初始确认有关，以及与既不是企业合并、发生时也不影响会计利润和应纳税所得额</w:t>
      </w:r>
    </w:p>
    <w:p>
      <w:pPr>
        <w:pStyle w:val="BodyText"/>
        <w:spacing w:line="357" w:lineRule="auto" w:before="133"/>
        <w:ind w:left="138" w:right="0"/>
        <w:jc w:val="left"/>
      </w:pPr>
      <w:r>
        <w:rPr/>
        <w:t>（或可抵扣亏损）的交易中产生的资产或负债的初始确认有关的应纳税暂时性差异，不予确认有</w:t>
      </w:r>
      <w:r>
        <w:rPr>
          <w:w w:val="100"/>
        </w:rPr>
        <w:t> </w:t>
      </w:r>
      <w:r>
        <w:rPr/>
        <w:t>关的递延所得税负债。此外，对与子公司、联营企业及合营企业投资相关的应纳税暂时性差异，</w:t>
      </w:r>
      <w:r>
        <w:rPr>
          <w:w w:val="100"/>
        </w:rPr>
        <w:t> </w:t>
      </w:r>
      <w:r>
        <w:rPr>
          <w:spacing w:val="-4"/>
          <w:w w:val="100"/>
        </w:rPr>
        <w:t>如果本公司能够控制暂时性差异转回的时间，而且该暂时性差异在可预见的未来很可能不会转回，</w:t>
      </w:r>
      <w:r>
        <w:rPr>
          <w:spacing w:val="-87"/>
          <w:w w:val="100"/>
        </w:rPr>
        <w:t> </w:t>
      </w:r>
      <w:r>
        <w:rPr>
          <w:spacing w:val="-87"/>
          <w:w w:val="100"/>
        </w:rPr>
      </w:r>
      <w:r>
        <w:rPr/>
        <w:t>也不予确认有关的递延所得税负债。除上述例外情况，本公司确认其他所有应纳税暂时性差异产</w:t>
      </w:r>
      <w:r>
        <w:rPr>
          <w:w w:val="100"/>
        </w:rPr>
        <w:t> </w:t>
      </w:r>
      <w:r>
        <w:rPr/>
        <w:t>生的递延所得税负债。</w:t>
      </w:r>
    </w:p>
    <w:p>
      <w:pPr>
        <w:pStyle w:val="BodyText"/>
        <w:spacing w:line="357" w:lineRule="auto" w:before="30"/>
        <w:ind w:left="138" w:right="217" w:firstLine="419"/>
        <w:jc w:val="both"/>
      </w:pPr>
      <w:r>
        <w:rPr>
          <w:spacing w:val="-2"/>
        </w:rPr>
        <w:t>与既不是企业合并、发生时也不影响会计利润和应纳税所得额（或可抵扣亏损）的交易中产</w:t>
      </w:r>
      <w:r>
        <w:rPr>
          <w:w w:val="100"/>
        </w:rPr>
        <w:t> </w:t>
      </w:r>
      <w:r>
        <w:rPr>
          <w:spacing w:val="-2"/>
        </w:rPr>
        <w:t>生的资产或负债的初始确认有关的可抵扣暂时性差异，不予确认有关的递延所得税资产。此外，</w:t>
      </w:r>
      <w:r>
        <w:rPr>
          <w:spacing w:val="-25"/>
        </w:rPr>
        <w:t> </w:t>
      </w:r>
      <w:r>
        <w:rPr>
          <w:spacing w:val="-25"/>
        </w:rPr>
      </w:r>
      <w:r>
        <w:rPr>
          <w:spacing w:val="-2"/>
        </w:rPr>
        <w:t>对与子公司、联营企业及合营企业投资相关的可抵扣暂时性差异，如果暂时性差异在可预见的未</w:t>
      </w:r>
      <w:r>
        <w:rPr>
          <w:spacing w:val="-25"/>
        </w:rPr>
        <w:t> </w:t>
      </w:r>
      <w:r>
        <w:rPr>
          <w:spacing w:val="-25"/>
        </w:rPr>
      </w:r>
      <w:r>
        <w:rPr>
          <w:spacing w:val="-2"/>
        </w:rPr>
        <w:t>来不是很可能转回，或者未来不是很可能获得用来抵扣可抵扣暂时性差异的应纳税所得额，不予</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212"/>
        <w:jc w:val="left"/>
      </w:pPr>
      <w:r>
        <w:rPr>
          <w:spacing w:val="-2"/>
        </w:rPr>
        <w:t>确认有关的递延所得税资产。除上述例外情况，本公司以很可能取得用来抵扣可抵扣暂时性差异</w:t>
      </w:r>
      <w:r>
        <w:rPr>
          <w:spacing w:val="-25"/>
        </w:rPr>
        <w:t> </w:t>
      </w:r>
      <w:r>
        <w:rPr>
          <w:spacing w:val="-25"/>
        </w:rPr>
      </w:r>
      <w:r>
        <w:rPr/>
        <w:t>的应纳税所得额为限，确认其他可抵扣暂时性差异产生的递延所得税资产。</w:t>
      </w:r>
    </w:p>
    <w:p>
      <w:pPr>
        <w:pStyle w:val="BodyText"/>
        <w:spacing w:line="355" w:lineRule="auto" w:before="30"/>
        <w:ind w:left="138" w:right="217" w:firstLine="419"/>
        <w:jc w:val="both"/>
      </w:pPr>
      <w:r>
        <w:rPr>
          <w:spacing w:val="-2"/>
        </w:rPr>
        <w:t>对于能够结转以后年度的可抵扣亏损和税款抵减，以很可能获得用来抵扣可抵扣亏损和税款</w:t>
      </w:r>
      <w:r>
        <w:rPr>
          <w:w w:val="100"/>
        </w:rPr>
        <w:t> </w:t>
      </w:r>
      <w:r>
        <w:rPr/>
        <w:t>抵减的未来应纳税所得额为限，确认相应的递延所得税资产。</w:t>
      </w:r>
    </w:p>
    <w:p>
      <w:pPr>
        <w:pStyle w:val="BodyText"/>
        <w:spacing w:line="355" w:lineRule="auto" w:before="32"/>
        <w:ind w:left="138" w:right="217" w:firstLine="419"/>
        <w:jc w:val="both"/>
      </w:pPr>
      <w:r>
        <w:rPr>
          <w:spacing w:val="-2"/>
        </w:rPr>
        <w:t>资产负债表日，对于递延所得税资产和递延所得税负债，根据税法规定，按照预期收回相关</w:t>
      </w:r>
      <w:r>
        <w:rPr>
          <w:w w:val="100"/>
        </w:rPr>
        <w:t> </w:t>
      </w:r>
      <w:r>
        <w:rPr/>
        <w:t>资产或清偿相关负债期间的适用税率计量。</w:t>
      </w:r>
    </w:p>
    <w:p>
      <w:pPr>
        <w:pStyle w:val="BodyText"/>
        <w:spacing w:line="357" w:lineRule="auto" w:before="34"/>
        <w:ind w:left="138" w:right="217" w:firstLine="419"/>
        <w:jc w:val="both"/>
      </w:pPr>
      <w:r>
        <w:rPr>
          <w:spacing w:val="-2"/>
        </w:rPr>
        <w:t>于资产负债表日，对递延所得税资产的账面价值进行复核，如果未来很可能无法获得足够的</w:t>
      </w:r>
      <w:r>
        <w:rPr>
          <w:w w:val="100"/>
        </w:rPr>
        <w:t> </w:t>
      </w:r>
      <w:r>
        <w:rPr>
          <w:spacing w:val="-2"/>
        </w:rPr>
        <w:t>应纳税所得额用以抵扣递延所得税资产的利益，则减记递延所得税资产的账面价值。在很可能获</w:t>
      </w:r>
      <w:r>
        <w:rPr>
          <w:spacing w:val="-25"/>
        </w:rPr>
        <w:t> </w:t>
      </w:r>
      <w:r>
        <w:rPr>
          <w:spacing w:val="-25"/>
        </w:rPr>
      </w:r>
      <w:r>
        <w:rPr/>
        <w:t>得足够的应纳税所得额时，减记的金额予以转回。</w:t>
      </w:r>
    </w:p>
    <w:p>
      <w:pPr>
        <w:pStyle w:val="BodyText"/>
        <w:spacing w:line="357" w:lineRule="auto" w:before="30"/>
        <w:ind w:left="558" w:right="3333"/>
        <w:jc w:val="left"/>
      </w:pPr>
      <w:r>
        <w:rPr/>
        <w:t>（</w:t>
      </w:r>
      <w:r>
        <w:rPr>
          <w:rFonts w:ascii="宋体" w:hAnsi="宋体" w:cs="宋体" w:eastAsia="宋体" w:hint="default"/>
        </w:rPr>
        <w:t>3</w:t>
      </w:r>
      <w:r>
        <w:rPr/>
        <w:t>）所得税费用</w:t>
      </w:r>
      <w:r>
        <w:rPr>
          <w:w w:val="100"/>
        </w:rPr>
        <w:t> </w:t>
      </w:r>
      <w:r>
        <w:rPr>
          <w:spacing w:val="-2"/>
        </w:rPr>
        <w:t>所得税费用包括当期所得税和递延所得税。</w:t>
      </w:r>
    </w:p>
    <w:p>
      <w:pPr>
        <w:pStyle w:val="BodyText"/>
        <w:spacing w:line="355" w:lineRule="auto" w:before="30"/>
        <w:ind w:left="138" w:right="217" w:firstLine="419"/>
        <w:jc w:val="both"/>
      </w:pPr>
      <w:r>
        <w:rPr>
          <w:spacing w:val="-2"/>
        </w:rPr>
        <w:t>除确认为其他综合收益或直接计入股东权益的交易和事项相关的当期所得税和递延所得税计</w:t>
      </w:r>
      <w:r>
        <w:rPr>
          <w:w w:val="100"/>
        </w:rPr>
        <w:t> </w:t>
      </w:r>
      <w:r>
        <w:rPr>
          <w:spacing w:val="-2"/>
        </w:rPr>
        <w:t>入其他综合收益或股东权益，以及企业合并产生的递延所得税调整商誉的账面价值外，其余当期</w:t>
      </w:r>
      <w:r>
        <w:rPr>
          <w:spacing w:val="-25"/>
        </w:rPr>
        <w:t> </w:t>
      </w:r>
      <w:r>
        <w:rPr>
          <w:spacing w:val="-25"/>
        </w:rPr>
      </w:r>
      <w:r>
        <w:rPr/>
        <w:t>所得税和递延所得税费用或收益计入当期损益。</w:t>
      </w:r>
    </w:p>
    <w:p>
      <w:pPr>
        <w:pStyle w:val="BodyText"/>
        <w:spacing w:line="357" w:lineRule="auto" w:before="32"/>
        <w:ind w:left="558" w:right="212"/>
        <w:jc w:val="left"/>
      </w:pPr>
      <w:r>
        <w:rPr/>
        <w:t>（</w:t>
      </w:r>
      <w:r>
        <w:rPr>
          <w:rFonts w:ascii="宋体" w:hAnsi="宋体" w:cs="宋体" w:eastAsia="宋体" w:hint="default"/>
        </w:rPr>
        <w:t>4</w:t>
      </w:r>
      <w:r>
        <w:rPr/>
        <w:t>）所得税的抵销</w:t>
      </w:r>
      <w:r>
        <w:rPr>
          <w:w w:val="100"/>
        </w:rPr>
        <w:t> </w:t>
      </w:r>
      <w:r>
        <w:rPr>
          <w:spacing w:val="-2"/>
        </w:rPr>
        <w:t>当拥有以净额结算的法定权利，且意图以净额结算或取得资产、清偿负债同时进行时，本公</w:t>
      </w:r>
    </w:p>
    <w:p>
      <w:pPr>
        <w:pStyle w:val="BodyText"/>
        <w:spacing w:line="355" w:lineRule="auto" w:before="30"/>
        <w:ind w:left="558" w:right="212" w:hanging="420"/>
        <w:jc w:val="left"/>
      </w:pPr>
      <w:r>
        <w:rPr/>
        <w:t>司当期所得税资产及当期所得税负债以抵销后的净额列报。</w:t>
      </w:r>
      <w:r>
        <w:rPr>
          <w:w w:val="100"/>
        </w:rPr>
        <w:t> </w:t>
      </w:r>
      <w:r>
        <w:rPr>
          <w:spacing w:val="-2"/>
        </w:rPr>
        <w:t>当拥有以净额结算当期所得税资产及当期所得税负债的法定权利，且递延所得税资产及递延</w:t>
      </w:r>
    </w:p>
    <w:p>
      <w:pPr>
        <w:pStyle w:val="BodyText"/>
        <w:spacing w:line="357" w:lineRule="auto" w:before="32"/>
        <w:ind w:left="138" w:right="217"/>
        <w:jc w:val="both"/>
      </w:pPr>
      <w:r>
        <w:rPr>
          <w:spacing w:val="-2"/>
        </w:rPr>
        <w:t>所得税负债是与同一税收征管部门对同一纳税主体征收的所得税相关或者是对不同的纳税主体相</w:t>
      </w:r>
      <w:r>
        <w:rPr>
          <w:spacing w:val="-25"/>
        </w:rPr>
        <w:t> </w:t>
      </w:r>
      <w:r>
        <w:rPr>
          <w:spacing w:val="-25"/>
        </w:rPr>
      </w:r>
      <w:r>
        <w:rPr>
          <w:spacing w:val="-2"/>
        </w:rPr>
        <w:t>关，但在未来每一具有重要性的递延所得税资产及负债转回的期间内，涉及的纳税主体意图以净</w:t>
      </w:r>
      <w:r>
        <w:rPr>
          <w:spacing w:val="-25"/>
        </w:rPr>
        <w:t> </w:t>
      </w:r>
      <w:r>
        <w:rPr>
          <w:spacing w:val="-25"/>
        </w:rPr>
      </w:r>
      <w:r>
        <w:rPr>
          <w:spacing w:val="-2"/>
        </w:rPr>
        <w:t>额结算当期所得税资产和负债或是同时取得资产、清偿负债时，本公司递延所得税资产及递延所</w:t>
      </w:r>
      <w:r>
        <w:rPr>
          <w:spacing w:val="-25"/>
        </w:rPr>
        <w:t> </w:t>
      </w:r>
      <w:r>
        <w:rPr>
          <w:spacing w:val="-25"/>
        </w:rPr>
      </w:r>
      <w:r>
        <w:rPr/>
        <w:t>得税负债以抵销后的净额列报。</w:t>
      </w:r>
    </w:p>
    <w:p>
      <w:pPr>
        <w:pStyle w:val="Heading2"/>
        <w:spacing w:line="290" w:lineRule="auto" w:before="90"/>
        <w:ind w:left="138" w:right="6286"/>
        <w:jc w:val="left"/>
        <w:rPr>
          <w:b w:val="0"/>
          <w:bCs w:val="0"/>
        </w:rPr>
      </w:pPr>
      <w:r>
        <w:rPr>
          <w:rFonts w:ascii="宋体" w:hAnsi="宋体" w:cs="宋体" w:eastAsia="宋体" w:hint="default"/>
        </w:rPr>
        <w:t>31.</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tabs>
          <w:tab w:pos="980" w:val="left" w:leader="none"/>
        </w:tabs>
        <w:spacing w:line="240" w:lineRule="auto" w:before="13"/>
        <w:ind w:left="558" w:right="217" w:hanging="420"/>
        <w:jc w:val="left"/>
      </w:pPr>
      <w:r>
        <w:rPr>
          <w:spacing w:val="-1"/>
        </w:rPr>
        <w:t>√适用</w:t>
        <w:tab/>
      </w:r>
      <w:r>
        <w:rPr>
          <w:spacing w:val="-2"/>
        </w:rPr>
        <w:t>□不适用</w:t>
      </w:r>
      <w:r>
        <w:rPr>
          <w:spacing w:val="-99"/>
        </w:rPr>
        <w:t> </w:t>
      </w:r>
      <w:r>
        <w:rPr>
          <w:spacing w:val="-99"/>
        </w:rPr>
      </w:r>
      <w:r>
        <w:rPr>
          <w:spacing w:val="-2"/>
        </w:rPr>
        <w:t>本公司作为承租人记录经营租赁业务，经营租赁的租金支出在租赁期内的各个期间按直线法</w:t>
      </w:r>
    </w:p>
    <w:p>
      <w:pPr>
        <w:pStyle w:val="BodyText"/>
        <w:spacing w:line="355" w:lineRule="auto" w:before="133"/>
        <w:ind w:left="138" w:right="212"/>
        <w:jc w:val="left"/>
      </w:pPr>
      <w:r>
        <w:rPr>
          <w:spacing w:val="-2"/>
        </w:rPr>
        <w:t>计入相关资产成本或当期损益。初始直接费用计入当期损益。或有租金于实际发生时计入当期损</w:t>
      </w:r>
      <w:r>
        <w:rPr>
          <w:spacing w:val="-25"/>
        </w:rPr>
        <w:t> </w:t>
      </w:r>
      <w:r>
        <w:rPr>
          <w:spacing w:val="-25"/>
        </w:rPr>
      </w:r>
      <w:r>
        <w:rPr/>
        <w:t>益。</w:t>
      </w:r>
    </w:p>
    <w:p>
      <w:pPr>
        <w:pStyle w:val="BodyText"/>
        <w:spacing w:line="357" w:lineRule="auto" w:before="32"/>
        <w:ind w:left="138" w:right="0" w:firstLine="419"/>
        <w:jc w:val="left"/>
      </w:pPr>
      <w:r>
        <w:rPr/>
        <w:t>本公司作为出租人记录经营租赁业务，经营租赁的租金收入在租赁期内的各个期间按直线法</w:t>
      </w:r>
      <w:r>
        <w:rPr>
          <w:w w:val="100"/>
        </w:rPr>
        <w:t> </w:t>
      </w:r>
      <w:r>
        <w:rPr/>
        <w:t>确认为当期损益。对金额较大的初始直接费用于发生时予以资本化，在整个租赁期间内按照与确</w:t>
      </w:r>
      <w:r>
        <w:rPr>
          <w:w w:val="100"/>
        </w:rPr>
        <w:t> </w:t>
      </w:r>
      <w:r>
        <w:rPr>
          <w:spacing w:val="-4"/>
          <w:w w:val="100"/>
        </w:rPr>
        <w:t>认租金收入相同的基础分期计入当期损益；其他金额较小的初始直接费用于发生时计入当期损益。</w:t>
      </w:r>
      <w:r>
        <w:rPr>
          <w:spacing w:val="-85"/>
          <w:w w:val="100"/>
        </w:rPr>
        <w:t> </w:t>
      </w:r>
      <w:r>
        <w:rPr>
          <w:spacing w:val="-85"/>
          <w:w w:val="100"/>
        </w:rPr>
      </w:r>
      <w:r>
        <w:rPr/>
        <w:t>或有租金于实际发生时计入当期损益。</w:t>
      </w:r>
    </w:p>
    <w:p>
      <w:pPr>
        <w:pStyle w:val="Heading2"/>
        <w:spacing w:line="240" w:lineRule="auto" w:before="90"/>
        <w:ind w:left="138" w:right="212"/>
        <w:jc w:val="left"/>
        <w:rPr>
          <w:b w:val="0"/>
          <w:bCs w:val="0"/>
        </w:rPr>
      </w:pPr>
      <w:r>
        <w:rPr>
          <w:rFonts w:ascii="宋体" w:hAnsi="宋体" w:cs="宋体" w:eastAsia="宋体" w:hint="default"/>
        </w:rPr>
        <w:t>(2).</w:t>
      </w:r>
      <w:r>
        <w:rPr/>
        <w:t>融资租赁的会计处理方法</w:t>
      </w:r>
      <w:r>
        <w:rPr>
          <w:b w:val="0"/>
          <w:bCs w:val="0"/>
        </w:rPr>
      </w:r>
    </w:p>
    <w:p>
      <w:pPr>
        <w:pStyle w:val="BodyText"/>
        <w:tabs>
          <w:tab w:pos="980" w:val="left" w:leader="none"/>
        </w:tabs>
        <w:spacing w:line="240" w:lineRule="auto" w:before="59"/>
        <w:ind w:left="138" w:right="212"/>
        <w:jc w:val="left"/>
      </w:pPr>
      <w:r>
        <w:rPr>
          <w:spacing w:val="-1"/>
        </w:rPr>
        <w:t>√适用</w:t>
        <w:tab/>
      </w:r>
      <w:r>
        <w:rPr>
          <w:spacing w:val="-2"/>
        </w:rPr>
        <w:t>□不适用</w:t>
      </w:r>
    </w:p>
    <w:p>
      <w:pPr>
        <w:spacing w:after="0" w:line="240" w:lineRule="auto"/>
        <w:jc w:val="left"/>
        <w:sectPr>
          <w:footerReference w:type="default" r:id="rId58"/>
          <w:pgSz w:w="11910" w:h="16840"/>
          <w:pgMar w:footer="1195" w:header="882" w:top="1120" w:bottom="1380" w:left="1660" w:right="1060"/>
          <w:pgNumType w:start="107"/>
        </w:sectPr>
      </w:pPr>
    </w:p>
    <w:p>
      <w:pPr>
        <w:spacing w:line="240" w:lineRule="auto" w:before="1"/>
        <w:rPr>
          <w:rFonts w:ascii="宋体" w:hAnsi="宋体" w:cs="宋体" w:eastAsia="宋体" w:hint="default"/>
          <w:sz w:val="25"/>
          <w:szCs w:val="25"/>
        </w:rPr>
      </w:pPr>
    </w:p>
    <w:p>
      <w:pPr>
        <w:pStyle w:val="BodyText"/>
        <w:spacing w:line="357" w:lineRule="auto" w:before="36"/>
        <w:ind w:left="138" w:right="217" w:firstLine="419"/>
        <w:jc w:val="both"/>
      </w:pPr>
      <w:r>
        <w:rPr>
          <w:spacing w:val="-2"/>
        </w:rPr>
        <w:t>本公司作为承租人记录融资租赁业务，于租赁期开始日，将租赁开始日租赁资产的公允价值</w:t>
      </w:r>
      <w:r>
        <w:rPr>
          <w:w w:val="100"/>
        </w:rPr>
        <w:t> </w:t>
      </w:r>
      <w:r>
        <w:rPr>
          <w:spacing w:val="-2"/>
        </w:rPr>
        <w:t>与最低租赁付款额现值两者中较低者作为租入资产的入账价值，将最低租赁付款额作为长期应付</w:t>
      </w:r>
      <w:r>
        <w:rPr>
          <w:spacing w:val="-25"/>
        </w:rPr>
        <w:t> </w:t>
      </w:r>
      <w:r>
        <w:rPr>
          <w:spacing w:val="-25"/>
        </w:rPr>
      </w:r>
      <w:r>
        <w:rPr>
          <w:spacing w:val="-2"/>
        </w:rPr>
        <w:t>款的入账价值，其差额作为未确认融资费用。此外，在租赁谈判和签订租赁合同过程中发生的，</w:t>
      </w:r>
      <w:r>
        <w:rPr>
          <w:spacing w:val="-25"/>
        </w:rPr>
        <w:t> </w:t>
      </w:r>
      <w:r>
        <w:rPr>
          <w:spacing w:val="-25"/>
        </w:rPr>
      </w:r>
      <w:r>
        <w:rPr>
          <w:spacing w:val="-2"/>
        </w:rPr>
        <w:t>可归属于租赁项目的初始直接费用也计入租入资产价值。最低租赁付款额扣除未确认融资费用后</w:t>
      </w:r>
      <w:r>
        <w:rPr>
          <w:spacing w:val="-25"/>
        </w:rPr>
        <w:t> </w:t>
      </w:r>
      <w:r>
        <w:rPr>
          <w:spacing w:val="-25"/>
        </w:rPr>
      </w:r>
      <w:r>
        <w:rPr>
          <w:spacing w:val="-2"/>
        </w:rPr>
        <w:t>的余额分别长期负债和一年内到期的长期负债列示。未确认融资费用在租赁期内采用实际利率法</w:t>
      </w:r>
      <w:r>
        <w:rPr>
          <w:spacing w:val="-25"/>
        </w:rPr>
        <w:t> </w:t>
      </w:r>
      <w:r>
        <w:rPr>
          <w:spacing w:val="-25"/>
        </w:rPr>
      </w:r>
      <w:r>
        <w:rPr/>
        <w:t>计算确认当期的融资费用。或有租金于实际发生时计入当期损益。</w:t>
      </w:r>
    </w:p>
    <w:p>
      <w:pPr>
        <w:pStyle w:val="BodyText"/>
        <w:spacing w:line="357" w:lineRule="auto" w:before="32"/>
        <w:ind w:left="138" w:right="217" w:firstLine="419"/>
        <w:jc w:val="both"/>
      </w:pPr>
      <w:r>
        <w:rPr>
          <w:spacing w:val="-2"/>
        </w:rPr>
        <w:t>本公司作为出租人记录融资租赁业务，于租赁期开始日，将租赁开始日最低租赁收款额与初</w:t>
      </w:r>
      <w:r>
        <w:rPr>
          <w:w w:val="100"/>
        </w:rPr>
        <w:t> </w:t>
      </w:r>
      <w:r>
        <w:rPr>
          <w:spacing w:val="-2"/>
        </w:rPr>
        <w:t>始直接费用之和作为应收融资租赁款的入账价值，同时记录未担保余值；将最低租赁收款额、初</w:t>
      </w:r>
      <w:r>
        <w:rPr>
          <w:spacing w:val="-25"/>
        </w:rPr>
        <w:t> </w:t>
      </w:r>
      <w:r>
        <w:rPr>
          <w:spacing w:val="-25"/>
        </w:rPr>
      </w:r>
      <w:r>
        <w:rPr>
          <w:spacing w:val="-2"/>
        </w:rPr>
        <w:t>始直接费用及未担保余值之和与其现值之和的差额确认为未实现融资收益。应收融资租赁款扣除</w:t>
      </w:r>
      <w:r>
        <w:rPr>
          <w:spacing w:val="-25"/>
        </w:rPr>
        <w:t> </w:t>
      </w:r>
      <w:r>
        <w:rPr>
          <w:spacing w:val="-25"/>
        </w:rPr>
      </w:r>
      <w:r>
        <w:rPr>
          <w:spacing w:val="-2"/>
        </w:rPr>
        <w:t>未实现融资收益后的余额分别长期债权和一年内到期的长期债权列示。未实现融资收益在租赁期</w:t>
      </w:r>
      <w:r>
        <w:rPr>
          <w:spacing w:val="-25"/>
        </w:rPr>
        <w:t> </w:t>
      </w:r>
      <w:r>
        <w:rPr>
          <w:spacing w:val="-25"/>
        </w:rPr>
      </w:r>
      <w:r>
        <w:rPr/>
        <w:t>内采用实际利率法计算确认当期的融资收入。或有租金于实际发生时计入当期损益。</w:t>
      </w:r>
    </w:p>
    <w:p>
      <w:pPr>
        <w:pStyle w:val="Heading2"/>
        <w:spacing w:line="240" w:lineRule="auto" w:before="90"/>
        <w:ind w:left="138" w:right="0"/>
        <w:jc w:val="both"/>
        <w:rPr>
          <w:b w:val="0"/>
          <w:bCs w:val="0"/>
        </w:rPr>
      </w:pPr>
      <w:r>
        <w:rPr>
          <w:rFonts w:ascii="宋体" w:hAnsi="宋体" w:cs="宋体" w:eastAsia="宋体" w:hint="default"/>
        </w:rPr>
        <w:t>32. </w:t>
      </w:r>
      <w:r>
        <w:rPr/>
        <w:t>其他重要的会计政策和会计估计</w:t>
      </w:r>
      <w:r>
        <w:rPr>
          <w:b w:val="0"/>
          <w:bCs w:val="0"/>
        </w:rPr>
      </w:r>
    </w:p>
    <w:p>
      <w:pPr>
        <w:pStyle w:val="BodyText"/>
        <w:tabs>
          <w:tab w:pos="980" w:val="left" w:leader="none"/>
        </w:tabs>
        <w:spacing w:line="240" w:lineRule="auto" w:before="56"/>
        <w:ind w:left="558" w:right="217" w:hanging="420"/>
        <w:jc w:val="left"/>
      </w:pPr>
      <w:r>
        <w:rPr>
          <w:spacing w:val="-1"/>
        </w:rPr>
        <w:t>√适用</w:t>
        <w:tab/>
      </w:r>
      <w:r>
        <w:rPr>
          <w:spacing w:val="-2"/>
        </w:rPr>
        <w:t>□不适用</w:t>
      </w:r>
      <w:r>
        <w:rPr>
          <w:spacing w:val="-99"/>
        </w:rPr>
        <w:t> </w:t>
      </w:r>
      <w:r>
        <w:rPr>
          <w:spacing w:val="-99"/>
        </w:rPr>
      </w:r>
      <w:r>
        <w:rPr>
          <w:spacing w:val="-2"/>
        </w:rPr>
        <w:t>本公司在运用会计政策过程中，由于经营活动内在的不确定性，本公司需要对无法准确计量</w:t>
      </w:r>
    </w:p>
    <w:p>
      <w:pPr>
        <w:pStyle w:val="BodyText"/>
        <w:spacing w:line="357" w:lineRule="auto" w:before="133"/>
        <w:ind w:left="138" w:right="208"/>
        <w:jc w:val="both"/>
      </w:pPr>
      <w:r>
        <w:rPr>
          <w:spacing w:val="-2"/>
        </w:rPr>
        <w:t>的报表项目的账面价值进行判断、估计和假设。这些判断、估计和假设是基于本公司管理层过去</w:t>
      </w:r>
      <w:r>
        <w:rPr>
          <w:spacing w:val="-25"/>
        </w:rPr>
        <w:t> </w:t>
      </w:r>
      <w:r>
        <w:rPr>
          <w:spacing w:val="-25"/>
        </w:rPr>
      </w:r>
      <w:r>
        <w:rPr>
          <w:spacing w:val="-6"/>
        </w:rPr>
        <w:t>的历史经验，并在考虑其他相关因素的基础上做出的。这些判断、估计和假设会影响收入、费用、</w:t>
      </w:r>
      <w:r>
        <w:rPr>
          <w:spacing w:val="-51"/>
        </w:rPr>
        <w:t> </w:t>
      </w:r>
      <w:r>
        <w:rPr>
          <w:spacing w:val="-51"/>
        </w:rPr>
      </w:r>
      <w:r>
        <w:rPr>
          <w:spacing w:val="-2"/>
        </w:rPr>
        <w:t>资产和负债的报告金额以及资产负债表日或有负债的披露。然而，这些估计的不确定性所导致的</w:t>
      </w:r>
      <w:r>
        <w:rPr>
          <w:spacing w:val="-25"/>
        </w:rPr>
        <w:t> </w:t>
      </w:r>
      <w:r>
        <w:rPr>
          <w:spacing w:val="-25"/>
        </w:rPr>
      </w:r>
      <w:r>
        <w:rPr>
          <w:spacing w:val="-2"/>
        </w:rPr>
        <w:t>实际结果可能与本公司管理层当前的估计存在差异，进而造成对未来受影响的资产或负债的账面</w:t>
      </w:r>
      <w:r>
        <w:rPr>
          <w:spacing w:val="-25"/>
        </w:rPr>
        <w:t> </w:t>
      </w:r>
      <w:r>
        <w:rPr>
          <w:spacing w:val="-25"/>
        </w:rPr>
      </w:r>
      <w:r>
        <w:rPr/>
        <w:t>金额进行重大调整。</w:t>
      </w:r>
    </w:p>
    <w:p>
      <w:pPr>
        <w:pStyle w:val="BodyText"/>
        <w:spacing w:line="355" w:lineRule="auto" w:before="30"/>
        <w:ind w:left="138" w:right="217" w:firstLine="419"/>
        <w:jc w:val="both"/>
      </w:pPr>
      <w:r>
        <w:rPr>
          <w:spacing w:val="-2"/>
        </w:rPr>
        <w:t>本公司对前述判断、估计和假设在持续经营的基础上进行定期复核，会计估计的变更仅影响</w:t>
      </w:r>
      <w:r>
        <w:rPr>
          <w:w w:val="100"/>
        </w:rPr>
        <w:t> </w:t>
      </w:r>
      <w:r>
        <w:rPr>
          <w:spacing w:val="-2"/>
        </w:rPr>
        <w:t>变更当期的，其影响数在变更当期予以确认；既影响变更当期又影响未来期间的，其影响数在变</w:t>
      </w:r>
      <w:r>
        <w:rPr>
          <w:spacing w:val="-25"/>
        </w:rPr>
        <w:t> </w:t>
      </w:r>
      <w:r>
        <w:rPr>
          <w:spacing w:val="-25"/>
        </w:rPr>
      </w:r>
      <w:r>
        <w:rPr/>
        <w:t>更当期和未来期间予以确认。</w:t>
      </w:r>
    </w:p>
    <w:p>
      <w:pPr>
        <w:pStyle w:val="BodyText"/>
        <w:spacing w:line="240" w:lineRule="auto" w:before="34"/>
        <w:ind w:left="558" w:right="212"/>
        <w:jc w:val="left"/>
      </w:pPr>
      <w:r>
        <w:rPr/>
        <w:t>于资产负债表日，本公司需对财务报表项目金额进行判断、估计和假设的重要领域如下：</w:t>
      </w:r>
    </w:p>
    <w:p>
      <w:pPr>
        <w:pStyle w:val="Heading2"/>
        <w:spacing w:line="240" w:lineRule="auto" w:before="133"/>
        <w:ind w:left="560" w:right="212"/>
        <w:jc w:val="left"/>
        <w:rPr>
          <w:b w:val="0"/>
          <w:bCs w:val="0"/>
        </w:rPr>
      </w:pPr>
      <w:r>
        <w:rPr/>
        <w:t>（</w:t>
      </w:r>
      <w:r>
        <w:rPr>
          <w:rFonts w:ascii="宋体" w:hAnsi="宋体" w:cs="宋体" w:eastAsia="宋体" w:hint="default"/>
        </w:rPr>
        <w:t>1</w:t>
      </w:r>
      <w:r>
        <w:rPr/>
        <w:t>）租赁的归类</w:t>
      </w:r>
      <w:r>
        <w:rPr>
          <w:b w:val="0"/>
          <w:bCs w:val="0"/>
        </w:rPr>
      </w:r>
    </w:p>
    <w:p>
      <w:pPr>
        <w:pStyle w:val="BodyText"/>
        <w:spacing w:line="357" w:lineRule="auto" w:before="133"/>
        <w:ind w:left="138" w:right="104" w:firstLine="419"/>
        <w:jc w:val="left"/>
      </w:pPr>
      <w:r>
        <w:rPr/>
        <w:t>本公司根据《企业会计准则第</w:t>
      </w:r>
      <w:r>
        <w:rPr>
          <w:spacing w:val="-52"/>
        </w:rPr>
        <w:t> </w:t>
      </w:r>
      <w:r>
        <w:rPr>
          <w:rFonts w:ascii="宋体" w:hAnsi="宋体" w:cs="宋体" w:eastAsia="宋体" w:hint="default"/>
        </w:rPr>
        <w:t>21</w:t>
      </w:r>
      <w:r>
        <w:rPr>
          <w:rFonts w:ascii="宋体" w:hAnsi="宋体" w:cs="宋体" w:eastAsia="宋体" w:hint="default"/>
          <w:spacing w:val="-53"/>
        </w:rPr>
        <w:t> </w:t>
      </w:r>
      <w:r>
        <w:rPr/>
        <w:t>号——租赁》的规定，将租赁归类为经营租赁和融资租赁，</w:t>
      </w:r>
      <w:r>
        <w:rPr>
          <w:w w:val="100"/>
        </w:rPr>
        <w:t> </w:t>
      </w:r>
      <w:r>
        <w:rPr/>
        <w:t>在进行归类时，管理层需要对是否已将与租出资产所有权有关的全部风险和报酬实质上转移给承</w:t>
      </w:r>
      <w:r>
        <w:rPr>
          <w:w w:val="100"/>
        </w:rPr>
        <w:t> </w:t>
      </w:r>
      <w:r>
        <w:rPr/>
        <w:t>租人，或者本公司是否已经实质上承担与租入资产所有权有关的全部风险和报酬，作出分析和判</w:t>
      </w:r>
      <w:r>
        <w:rPr>
          <w:w w:val="100"/>
        </w:rPr>
        <w:t> </w:t>
      </w:r>
      <w:r>
        <w:rPr/>
        <w:t>断。</w:t>
      </w:r>
    </w:p>
    <w:p>
      <w:pPr>
        <w:pStyle w:val="BodyText"/>
        <w:spacing w:line="355" w:lineRule="auto" w:before="30"/>
        <w:ind w:left="558" w:right="212"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）坏账准备计提</w:t>
      </w:r>
      <w:r>
        <w:rPr>
          <w:rFonts w:ascii="宋体" w:hAnsi="宋体" w:cs="宋体" w:eastAsia="宋体" w:hint="default"/>
          <w:b/>
          <w:bCs/>
          <w:w w:val="100"/>
        </w:rPr>
        <w:t> </w:t>
      </w:r>
      <w:r>
        <w:rPr>
          <w:spacing w:val="-2"/>
        </w:rPr>
        <w:t>本公司根据应收款项的会计政策，采用备抵法核算坏账损失。应收款项减值是基于评估应收</w:t>
      </w:r>
    </w:p>
    <w:p>
      <w:pPr>
        <w:pStyle w:val="BodyText"/>
        <w:spacing w:line="357" w:lineRule="auto" w:before="32"/>
        <w:ind w:left="138" w:right="217"/>
        <w:jc w:val="both"/>
      </w:pPr>
      <w:r>
        <w:rPr>
          <w:spacing w:val="-2"/>
        </w:rPr>
        <w:t>款项的可收回性。鉴定应收款项减值要求管理层的判断和估计。实际的结果与原先估计的差异将</w:t>
      </w:r>
      <w:r>
        <w:rPr>
          <w:spacing w:val="-25"/>
        </w:rPr>
        <w:t> </w:t>
      </w:r>
      <w:r>
        <w:rPr>
          <w:spacing w:val="-25"/>
        </w:rPr>
      </w:r>
      <w:r>
        <w:rPr/>
        <w:t>在估计被改变的期间影响应收款项的账面价值及应收款项坏账准备的计提或转回。</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spacing w:line="357" w:lineRule="auto" w:before="36"/>
        <w:ind w:left="558" w:right="12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）金融工具公允价值</w:t>
      </w:r>
      <w:r>
        <w:rPr>
          <w:rFonts w:ascii="宋体" w:hAnsi="宋体" w:cs="宋体" w:eastAsia="宋体" w:hint="default"/>
          <w:b/>
          <w:bCs/>
          <w:w w:val="100"/>
          <w:sz w:val="21"/>
          <w:szCs w:val="21"/>
        </w:rPr>
        <w:t> </w:t>
      </w:r>
      <w:r>
        <w:rPr>
          <w:rFonts w:ascii="宋体" w:hAnsi="宋体" w:cs="宋体" w:eastAsia="宋体" w:hint="default"/>
          <w:spacing w:val="-2"/>
          <w:sz w:val="21"/>
          <w:szCs w:val="21"/>
        </w:rPr>
        <w:t>对不存在活跃交易市场的金融工具，本公司通过各种估值方法确定其公允价值。这些估值方</w:t>
      </w:r>
    </w:p>
    <w:p>
      <w:pPr>
        <w:pStyle w:val="BodyText"/>
        <w:spacing w:line="355" w:lineRule="auto" w:before="30"/>
        <w:ind w:left="138" w:right="137"/>
        <w:jc w:val="both"/>
      </w:pPr>
      <w:r>
        <w:rPr>
          <w:spacing w:val="-2"/>
        </w:rPr>
        <w:t>法包括贴现现金流模型分析等。估值时本公司需对未来现金流量、信用风险、市场波动率和相关</w:t>
      </w:r>
      <w:r>
        <w:rPr>
          <w:spacing w:val="-25"/>
        </w:rPr>
        <w:t> </w:t>
      </w:r>
      <w:r>
        <w:rPr>
          <w:spacing w:val="-25"/>
        </w:rPr>
      </w:r>
      <w:r>
        <w:rPr>
          <w:spacing w:val="-2"/>
        </w:rPr>
        <w:t>性等方面进行估计，并选择适当的折现率。这些相关假设具有不确定性，其变化会对金融工具的</w:t>
      </w:r>
      <w:r>
        <w:rPr>
          <w:spacing w:val="-25"/>
        </w:rPr>
        <w:t> </w:t>
      </w:r>
      <w:r>
        <w:rPr>
          <w:spacing w:val="-25"/>
        </w:rPr>
      </w:r>
      <w:r>
        <w:rPr/>
        <w:t>公允价值产生影响。</w:t>
      </w:r>
    </w:p>
    <w:p>
      <w:pPr>
        <w:spacing w:line="357" w:lineRule="auto" w:before="32"/>
        <w:ind w:left="558" w:right="12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）可供出售金融资产减值</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本公司确定可供出售金融资产是否减值在很大程度上依赖于管理层的判断和假设，以确定是</w:t>
      </w:r>
    </w:p>
    <w:p>
      <w:pPr>
        <w:pStyle w:val="BodyText"/>
        <w:spacing w:line="357" w:lineRule="auto" w:before="30"/>
        <w:ind w:left="138" w:right="137"/>
        <w:jc w:val="both"/>
      </w:pPr>
      <w:r>
        <w:rPr>
          <w:spacing w:val="-2"/>
        </w:rPr>
        <w:t>否需要在利润表中确认其减值损失。在进行判断和作出假设的过程中，本公司需评估该项投资的</w:t>
      </w:r>
      <w:r>
        <w:rPr>
          <w:spacing w:val="-25"/>
        </w:rPr>
        <w:t> </w:t>
      </w:r>
      <w:r>
        <w:rPr>
          <w:spacing w:val="-25"/>
        </w:rPr>
      </w:r>
      <w:r>
        <w:rPr>
          <w:spacing w:val="-2"/>
        </w:rPr>
        <w:t>公允价值低于成本的程度和持续期间，以及被投资对象的财务状况和短期业务展望，包括行业状</w:t>
      </w:r>
      <w:r>
        <w:rPr>
          <w:spacing w:val="-25"/>
        </w:rPr>
        <w:t> </w:t>
      </w:r>
      <w:r>
        <w:rPr>
          <w:spacing w:val="-25"/>
        </w:rPr>
      </w:r>
      <w:r>
        <w:rPr/>
        <w:t>况、技术变革、信用评级、违约率和对手方的风险。</w:t>
      </w:r>
    </w:p>
    <w:p>
      <w:pPr>
        <w:spacing w:line="355" w:lineRule="auto" w:before="32"/>
        <w:ind w:left="558" w:right="12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）长期资产减值准备</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本公司于资产负债表日对除金融资产之外的非流动资产判断是否存在可能发生减值的迹象。</w:t>
      </w:r>
    </w:p>
    <w:p>
      <w:pPr>
        <w:pStyle w:val="BodyText"/>
        <w:spacing w:line="355" w:lineRule="auto" w:before="32"/>
        <w:ind w:left="0" w:right="130"/>
        <w:jc w:val="right"/>
      </w:pPr>
      <w:r>
        <w:rPr>
          <w:spacing w:val="-2"/>
        </w:rPr>
        <w:t>对使用寿命不确定的无形资产，除每年进行的减值测试外，当其存在减值迹象时，也进行减值测</w:t>
      </w:r>
      <w:r>
        <w:rPr>
          <w:spacing w:val="-50"/>
        </w:rPr>
        <w:t> </w:t>
      </w:r>
      <w:r>
        <w:rPr>
          <w:spacing w:val="-50"/>
        </w:rPr>
      </w:r>
      <w:r>
        <w:rPr>
          <w:spacing w:val="-7"/>
        </w:rPr>
        <w:t>试。其他除金融资产之外的非流动资产，当存在迹象表明其账面金额不可收回时，进行减值测试。</w:t>
      </w:r>
      <w:r>
        <w:rPr>
          <w:spacing w:val="-35"/>
        </w:rPr>
        <w:t> </w:t>
      </w:r>
      <w:r>
        <w:rPr>
          <w:spacing w:val="-35"/>
        </w:rPr>
      </w:r>
      <w:r>
        <w:rPr>
          <w:spacing w:val="-2"/>
        </w:rPr>
        <w:t>当资产或资产组的账面价值高于可收回金额，即公允价值减去处置费用后的净额和预计未来</w:t>
      </w:r>
    </w:p>
    <w:p>
      <w:pPr>
        <w:pStyle w:val="BodyText"/>
        <w:spacing w:line="357" w:lineRule="auto" w:before="34"/>
        <w:ind w:left="558" w:right="125" w:hanging="420"/>
        <w:jc w:val="left"/>
      </w:pPr>
      <w:r>
        <w:rPr/>
        <w:t>现金流量的现值中的较高者，表明发生了减值。</w:t>
      </w:r>
      <w:r>
        <w:rPr>
          <w:w w:val="100"/>
        </w:rPr>
        <w:t> </w:t>
      </w:r>
      <w:r>
        <w:rPr>
          <w:spacing w:val="-2"/>
        </w:rPr>
        <w:t>公允价值减去处置费用后的净额，参考公平交易中类似资产的销售协议价格或可观察到的市</w:t>
      </w:r>
    </w:p>
    <w:p>
      <w:pPr>
        <w:pStyle w:val="BodyText"/>
        <w:spacing w:line="355" w:lineRule="auto" w:before="30"/>
        <w:ind w:left="558" w:right="125" w:hanging="420"/>
        <w:jc w:val="left"/>
      </w:pPr>
      <w:r>
        <w:rPr/>
        <w:t>场价格，减去可直接归属于该资产处置的增量成本确定。</w:t>
      </w:r>
      <w:r>
        <w:rPr>
          <w:w w:val="100"/>
        </w:rPr>
        <w:t> </w:t>
      </w:r>
      <w:r>
        <w:rPr>
          <w:spacing w:val="-2"/>
        </w:rPr>
        <w:t>在预计未来现金流量现值时，需要对该资产（或资产组）的产量、售价、相关经营成本以及</w:t>
      </w:r>
    </w:p>
    <w:p>
      <w:pPr>
        <w:pStyle w:val="BodyText"/>
        <w:spacing w:line="357" w:lineRule="auto" w:before="32"/>
        <w:ind w:left="138" w:right="137"/>
        <w:jc w:val="both"/>
      </w:pPr>
      <w:r>
        <w:rPr>
          <w:spacing w:val="-2"/>
        </w:rPr>
        <w:t>计算现值时使用的折现率等作出重大判断。本公司在估计可收回金额时会采用所有能够获得的相</w:t>
      </w:r>
      <w:r>
        <w:rPr>
          <w:spacing w:val="-25"/>
        </w:rPr>
        <w:t> </w:t>
      </w:r>
      <w:r>
        <w:rPr>
          <w:spacing w:val="-25"/>
        </w:rPr>
      </w:r>
      <w:r>
        <w:rPr/>
        <w:t>关资料，包括根据合理和可支持的假设所作出有关产量、售价和相关经营成本的预测。</w:t>
      </w:r>
    </w:p>
    <w:p>
      <w:pPr>
        <w:pStyle w:val="BodyText"/>
        <w:spacing w:line="355" w:lineRule="auto" w:before="30"/>
        <w:ind w:left="138" w:right="137" w:firstLine="419"/>
        <w:jc w:val="both"/>
      </w:pPr>
      <w:r>
        <w:rPr>
          <w:spacing w:val="-2"/>
        </w:rPr>
        <w:t>本公司至少每年测试商誉是否发生减值。这要求对分配了商誉的资产组或者资产组组合的未</w:t>
      </w:r>
      <w:r>
        <w:rPr>
          <w:w w:val="100"/>
        </w:rPr>
        <w:t> </w:t>
      </w:r>
      <w:r>
        <w:rPr>
          <w:spacing w:val="-2"/>
        </w:rPr>
        <w:t>来现金流量的现值进行预计。对未来现金流量的现值进行预计时，本公司需要预计未来资产组或</w:t>
      </w:r>
      <w:r>
        <w:rPr>
          <w:spacing w:val="-25"/>
        </w:rPr>
        <w:t> </w:t>
      </w:r>
      <w:r>
        <w:rPr>
          <w:spacing w:val="-25"/>
        </w:rPr>
      </w:r>
      <w:r>
        <w:rPr/>
        <w:t>者资产组组合产生的现金流量，同时选择恰当的折现率确定未来现金流量的现值。</w:t>
      </w:r>
    </w:p>
    <w:p>
      <w:pPr>
        <w:pStyle w:val="BodyText"/>
        <w:spacing w:line="355" w:lineRule="auto" w:before="35"/>
        <w:ind w:left="558" w:right="125" w:firstLine="2"/>
        <w:jc w:val="left"/>
      </w:pPr>
      <w:r>
        <w:rPr>
          <w:rFonts w:ascii="宋体" w:hAnsi="宋体" w:cs="宋体" w:eastAsia="宋体" w:hint="default"/>
          <w:b/>
          <w:bCs/>
        </w:rPr>
        <w:t>（</w:t>
      </w:r>
      <w:r>
        <w:rPr>
          <w:rFonts w:ascii="宋体" w:hAnsi="宋体" w:cs="宋体" w:eastAsia="宋体" w:hint="default"/>
          <w:b/>
          <w:bCs/>
        </w:rPr>
        <w:t>6</w:t>
      </w:r>
      <w:r>
        <w:rPr>
          <w:rFonts w:ascii="宋体" w:hAnsi="宋体" w:cs="宋体" w:eastAsia="宋体" w:hint="default"/>
          <w:b/>
          <w:bCs/>
        </w:rPr>
        <w:t>）折旧和摊销</w:t>
      </w:r>
      <w:r>
        <w:rPr>
          <w:rFonts w:ascii="宋体" w:hAnsi="宋体" w:cs="宋体" w:eastAsia="宋体" w:hint="default"/>
          <w:b/>
          <w:bCs/>
          <w:w w:val="100"/>
        </w:rPr>
        <w:t> </w:t>
      </w:r>
      <w:r>
        <w:rPr>
          <w:spacing w:val="-2"/>
        </w:rPr>
        <w:t>本公司对投资性房地产、固定资产和无形资产在考虑其残值后，在使用寿命内按直线法计提</w:t>
      </w:r>
    </w:p>
    <w:p>
      <w:pPr>
        <w:pStyle w:val="BodyText"/>
        <w:spacing w:line="355" w:lineRule="auto" w:before="32"/>
        <w:ind w:left="138" w:right="137"/>
        <w:jc w:val="both"/>
      </w:pPr>
      <w:r>
        <w:rPr>
          <w:spacing w:val="-2"/>
        </w:rPr>
        <w:t>折旧和摊销。本公司定期复核使用寿命，以决定将计入每个报告期的折旧和摊销费用数额。使用</w:t>
      </w:r>
      <w:r>
        <w:rPr>
          <w:spacing w:val="-25"/>
        </w:rPr>
        <w:t> </w:t>
      </w:r>
      <w:r>
        <w:rPr>
          <w:spacing w:val="-25"/>
        </w:rPr>
      </w:r>
      <w:r>
        <w:rPr>
          <w:spacing w:val="-2"/>
        </w:rPr>
        <w:t>寿命是本公司根据对同类资产的以往经验并结合预期的技术更新而确定的。如果以前的估计发生</w:t>
      </w:r>
      <w:r>
        <w:rPr>
          <w:spacing w:val="-25"/>
        </w:rPr>
        <w:t> </w:t>
      </w:r>
      <w:r>
        <w:rPr>
          <w:spacing w:val="-25"/>
        </w:rPr>
      </w:r>
      <w:r>
        <w:rPr/>
        <w:t>重大变化，则会在未来期间对折旧和摊销费用进行调整。</w:t>
      </w:r>
    </w:p>
    <w:p>
      <w:pPr>
        <w:pStyle w:val="BodyText"/>
        <w:spacing w:line="355" w:lineRule="auto" w:before="34"/>
        <w:ind w:left="558" w:right="125" w:firstLine="2"/>
        <w:jc w:val="left"/>
      </w:pPr>
      <w:r>
        <w:rPr>
          <w:rFonts w:ascii="宋体" w:hAnsi="宋体" w:cs="宋体" w:eastAsia="宋体" w:hint="default"/>
          <w:b/>
          <w:bCs/>
        </w:rPr>
        <w:t>（</w:t>
      </w:r>
      <w:r>
        <w:rPr>
          <w:rFonts w:ascii="宋体" w:hAnsi="宋体" w:cs="宋体" w:eastAsia="宋体" w:hint="default"/>
          <w:b/>
          <w:bCs/>
        </w:rPr>
        <w:t>7</w:t>
      </w:r>
      <w:r>
        <w:rPr>
          <w:rFonts w:ascii="宋体" w:hAnsi="宋体" w:cs="宋体" w:eastAsia="宋体" w:hint="default"/>
          <w:b/>
          <w:bCs/>
        </w:rPr>
        <w:t>）开发支出</w:t>
      </w:r>
      <w:r>
        <w:rPr>
          <w:rFonts w:ascii="宋体" w:hAnsi="宋体" w:cs="宋体" w:eastAsia="宋体" w:hint="default"/>
          <w:b/>
          <w:bCs/>
          <w:w w:val="100"/>
        </w:rPr>
        <w:t> </w:t>
      </w:r>
      <w:r>
        <w:rPr>
          <w:spacing w:val="-2"/>
        </w:rPr>
        <w:t>确定资本化的金额时，本公司管理层需要作出有关资产的预计未来现金流量、适用的折现率</w:t>
      </w:r>
    </w:p>
    <w:p>
      <w:pPr>
        <w:pStyle w:val="BodyText"/>
        <w:spacing w:line="240" w:lineRule="auto" w:before="32"/>
        <w:ind w:left="138" w:right="0"/>
        <w:jc w:val="both"/>
      </w:pPr>
      <w:r>
        <w:rPr/>
        <w:t>以及预计受益期间的假设。</w:t>
      </w:r>
    </w:p>
    <w:p>
      <w:pPr>
        <w:spacing w:after="0" w:line="240"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spacing w:line="357" w:lineRule="auto" w:before="36"/>
        <w:ind w:left="67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8</w:t>
      </w:r>
      <w:r>
        <w:rPr>
          <w:rFonts w:ascii="宋体" w:hAnsi="宋体" w:cs="宋体" w:eastAsia="宋体" w:hint="default"/>
          <w:b/>
          <w:bCs/>
          <w:sz w:val="21"/>
          <w:szCs w:val="21"/>
        </w:rPr>
        <w:t>）递延所得税资产</w:t>
      </w:r>
      <w:r>
        <w:rPr>
          <w:rFonts w:ascii="宋体" w:hAnsi="宋体" w:cs="宋体" w:eastAsia="宋体" w:hint="default"/>
          <w:b/>
          <w:bCs/>
          <w:w w:val="100"/>
          <w:sz w:val="21"/>
          <w:szCs w:val="21"/>
        </w:rPr>
        <w:t> </w:t>
      </w:r>
      <w:r>
        <w:rPr>
          <w:rFonts w:ascii="宋体" w:hAnsi="宋体" w:cs="宋体" w:eastAsia="宋体" w:hint="default"/>
          <w:spacing w:val="-2"/>
          <w:sz w:val="21"/>
          <w:szCs w:val="21"/>
        </w:rPr>
        <w:t>在很有可能有足够的应纳税利润来抵扣亏损的限度内，本公司就所有未利用的税务亏损确认</w:t>
      </w:r>
    </w:p>
    <w:p>
      <w:pPr>
        <w:pStyle w:val="BodyText"/>
        <w:spacing w:line="355" w:lineRule="auto" w:before="30"/>
        <w:ind w:left="258" w:right="0"/>
        <w:jc w:val="left"/>
      </w:pPr>
      <w:r>
        <w:rPr>
          <w:spacing w:val="-4"/>
          <w:w w:val="100"/>
        </w:rPr>
        <w:t>递延所得税资产。这需要本公司管理层运用大量的判断来估计未来应纳税利润发生的时间和金额，</w:t>
      </w:r>
      <w:r>
        <w:rPr>
          <w:spacing w:val="-85"/>
          <w:w w:val="100"/>
        </w:rPr>
        <w:t> </w:t>
      </w:r>
      <w:r>
        <w:rPr>
          <w:spacing w:val="-85"/>
          <w:w w:val="100"/>
        </w:rPr>
      </w:r>
      <w:r>
        <w:rPr/>
        <w:t>结合纳税筹划策略，以决定应确认的递延所得税资产的金额。</w:t>
      </w:r>
    </w:p>
    <w:p>
      <w:pPr>
        <w:pStyle w:val="BodyText"/>
        <w:spacing w:line="355" w:lineRule="auto" w:before="32"/>
        <w:ind w:left="678" w:right="0" w:firstLine="2"/>
        <w:jc w:val="left"/>
      </w:pPr>
      <w:r>
        <w:rPr>
          <w:rFonts w:ascii="宋体" w:hAnsi="宋体" w:cs="宋体" w:eastAsia="宋体" w:hint="default"/>
          <w:b/>
          <w:bCs/>
        </w:rPr>
        <w:t>（</w:t>
      </w:r>
      <w:r>
        <w:rPr>
          <w:rFonts w:ascii="宋体" w:hAnsi="宋体" w:cs="宋体" w:eastAsia="宋体" w:hint="default"/>
          <w:b/>
          <w:bCs/>
        </w:rPr>
        <w:t>9</w:t>
      </w:r>
      <w:r>
        <w:rPr>
          <w:rFonts w:ascii="宋体" w:hAnsi="宋体" w:cs="宋体" w:eastAsia="宋体" w:hint="default"/>
          <w:b/>
          <w:bCs/>
        </w:rPr>
        <w:t>）所得税</w:t>
      </w:r>
      <w:r>
        <w:rPr>
          <w:rFonts w:ascii="宋体" w:hAnsi="宋体" w:cs="宋体" w:eastAsia="宋体" w:hint="default"/>
          <w:b/>
          <w:bCs/>
          <w:w w:val="100"/>
        </w:rPr>
        <w:t> </w:t>
      </w:r>
      <w:r>
        <w:rPr>
          <w:spacing w:val="-2"/>
        </w:rPr>
        <w:t>本公司在正常的经营活动中，有部分交易其最终的税务处理和计算存在一定的不确定性。部</w:t>
      </w:r>
    </w:p>
    <w:p>
      <w:pPr>
        <w:pStyle w:val="BodyText"/>
        <w:spacing w:line="355" w:lineRule="auto" w:before="34"/>
        <w:ind w:left="258" w:right="0"/>
        <w:jc w:val="left"/>
      </w:pPr>
      <w:r>
        <w:rPr>
          <w:spacing w:val="-2"/>
        </w:rPr>
        <w:t>分项目是否能够在税前列支需要税收主管机关的审批。如果这些税务事项的最终认定结果同最初</w:t>
      </w:r>
      <w:r>
        <w:rPr>
          <w:spacing w:val="-25"/>
        </w:rPr>
        <w:t> </w:t>
      </w:r>
      <w:r>
        <w:rPr>
          <w:spacing w:val="-25"/>
        </w:rPr>
      </w:r>
      <w:r>
        <w:rPr/>
        <w:t>估计的金额存在差异，则该差异将对其最终认定期间的当期所得税和递延所得税产生影响。</w:t>
      </w:r>
    </w:p>
    <w:p>
      <w:pPr>
        <w:spacing w:line="355" w:lineRule="auto" w:before="33"/>
        <w:ind w:left="67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10</w:t>
      </w:r>
      <w:r>
        <w:rPr>
          <w:rFonts w:ascii="宋体" w:hAnsi="宋体" w:cs="宋体" w:eastAsia="宋体" w:hint="default"/>
          <w:b/>
          <w:bCs/>
          <w:sz w:val="21"/>
          <w:szCs w:val="21"/>
        </w:rPr>
        <w:t>）公允价值计量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本公司的某些资产和负债在财务报表中按公允价值计量。在对某项资产或负债的公允价值作</w:t>
      </w:r>
    </w:p>
    <w:p>
      <w:pPr>
        <w:pStyle w:val="BodyText"/>
        <w:spacing w:line="355" w:lineRule="auto" w:before="34"/>
        <w:ind w:left="258" w:right="237"/>
        <w:jc w:val="both"/>
      </w:pPr>
      <w:r>
        <w:rPr>
          <w:spacing w:val="-2"/>
        </w:rPr>
        <w:t>出估计时，本公司采用可获得的可观察市场数据。如果无法获得第一层次输入值，本公司会聘用</w:t>
      </w:r>
      <w:r>
        <w:rPr>
          <w:spacing w:val="-25"/>
        </w:rPr>
        <w:t> </w:t>
      </w:r>
      <w:r>
        <w:rPr>
          <w:spacing w:val="-25"/>
        </w:rPr>
      </w:r>
      <w:r>
        <w:rPr>
          <w:spacing w:val="-2"/>
        </w:rPr>
        <w:t>第三方有资质的评估师来执行估价。在确定各类资产和负债的公允价值的过程中所采用的估值技</w:t>
      </w:r>
      <w:r>
        <w:rPr>
          <w:spacing w:val="-25"/>
        </w:rPr>
        <w:t> </w:t>
      </w:r>
      <w:r>
        <w:rPr>
          <w:spacing w:val="-25"/>
        </w:rPr>
      </w:r>
      <w:r>
        <w:rPr/>
        <w:t>术和输入值的相关信息在本报告第十一节、十一中披露。</w:t>
      </w:r>
    </w:p>
    <w:p>
      <w:pPr>
        <w:spacing w:line="240" w:lineRule="auto" w:before="13"/>
        <w:rPr>
          <w:rFonts w:ascii="宋体" w:hAnsi="宋体" w:cs="宋体" w:eastAsia="宋体" w:hint="default"/>
          <w:sz w:val="27"/>
          <w:szCs w:val="27"/>
        </w:rPr>
      </w:pPr>
    </w:p>
    <w:p>
      <w:pPr>
        <w:pStyle w:val="Heading2"/>
        <w:spacing w:line="290" w:lineRule="auto" w:before="0"/>
        <w:ind w:left="258" w:right="5673"/>
        <w:jc w:val="left"/>
        <w:rPr>
          <w:b w:val="0"/>
          <w:bCs w:val="0"/>
        </w:rPr>
      </w:pPr>
      <w:r>
        <w:rPr>
          <w:rFonts w:ascii="宋体" w:hAnsi="宋体" w:cs="宋体" w:eastAsia="宋体" w:hint="default"/>
        </w:rPr>
        <w:t>33.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14"/>
        <w:ind w:left="258" w:right="0"/>
        <w:jc w:val="both"/>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5072"/>
        <w:gridCol w:w="2125"/>
        <w:gridCol w:w="1853"/>
      </w:tblGrid>
      <w:tr>
        <w:trPr>
          <w:trHeight w:val="82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6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hanging="51"/>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w:t>
            </w:r>
          </w:p>
          <w:p>
            <w:pPr>
              <w:pStyle w:val="TableParagraph"/>
              <w:spacing w:line="272" w:lineRule="exact" w:before="27"/>
              <w:ind w:left="554" w:right="182" w:hanging="370"/>
              <w:jc w:val="left"/>
              <w:rPr>
                <w:rFonts w:ascii="宋体" w:hAnsi="宋体" w:cs="宋体" w:eastAsia="宋体" w:hint="default"/>
                <w:sz w:val="21"/>
                <w:szCs w:val="21"/>
              </w:rPr>
            </w:pPr>
            <w:r>
              <w:rPr>
                <w:rFonts w:ascii="宋体" w:hAnsi="宋体" w:cs="宋体" w:eastAsia="宋体" w:hint="default"/>
                <w:sz w:val="21"/>
                <w:szCs w:val="21"/>
              </w:rPr>
              <w:t>的报表项目名称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和金额</w:t>
            </w:r>
            <w:r>
              <w:rPr>
                <w:rFonts w:ascii="宋体" w:hAnsi="宋体" w:cs="宋体" w:eastAsia="宋体" w:hint="default"/>
                <w:sz w:val="21"/>
                <w:szCs w:val="21"/>
              </w:rPr>
              <w:t>)</w:t>
            </w:r>
          </w:p>
        </w:tc>
      </w:tr>
      <w:tr>
        <w:trPr>
          <w:trHeight w:val="2189"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为解决执行企业会计准则的企业在财务报告编制中的</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实际问题，规范企业财务报表列报，提高会计信息质</w:t>
            </w:r>
            <w:r>
              <w:rPr>
                <w:rFonts w:ascii="宋体" w:hAnsi="宋体" w:cs="宋体" w:eastAsia="宋体" w:hint="default"/>
                <w:spacing w:val="-78"/>
                <w:sz w:val="21"/>
                <w:szCs w:val="21"/>
              </w:rPr>
              <w:t> </w:t>
            </w:r>
            <w:r>
              <w:rPr>
                <w:rFonts w:ascii="宋体" w:hAnsi="宋体" w:cs="宋体" w:eastAsia="宋体" w:hint="default"/>
                <w:spacing w:val="-6"/>
                <w:sz w:val="21"/>
                <w:szCs w:val="21"/>
              </w:rPr>
              <w:t>量，财政部于</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日发布了</w:t>
            </w:r>
            <w:r>
              <w:rPr>
                <w:rFonts w:ascii="宋体" w:hAnsi="宋体" w:cs="宋体" w:eastAsia="宋体" w:hint="default"/>
                <w:sz w:val="21"/>
                <w:szCs w:val="21"/>
              </w:rPr>
              <w:t>[2018]15</w:t>
            </w:r>
            <w:r>
              <w:rPr>
                <w:rFonts w:ascii="宋体" w:hAnsi="宋体" w:cs="宋体" w:eastAsia="宋体" w:hint="default"/>
                <w:spacing w:val="-52"/>
                <w:sz w:val="21"/>
                <w:szCs w:val="21"/>
              </w:rPr>
              <w:t> </w:t>
            </w:r>
            <w:r>
              <w:rPr>
                <w:rFonts w:ascii="宋体" w:hAnsi="宋体" w:cs="宋体" w:eastAsia="宋体" w:hint="default"/>
                <w:spacing w:val="-3"/>
                <w:sz w:val="21"/>
                <w:szCs w:val="21"/>
              </w:rPr>
              <w:t>号文</w:t>
            </w:r>
            <w:r>
              <w:rPr>
                <w:rFonts w:ascii="宋体" w:hAnsi="宋体" w:cs="宋体" w:eastAsia="宋体" w:hint="default"/>
                <w:spacing w:val="-3"/>
                <w:w w:val="100"/>
                <w:sz w:val="21"/>
                <w:szCs w:val="21"/>
              </w:rPr>
              <w:t> </w:t>
            </w:r>
            <w:r>
              <w:rPr>
                <w:rFonts w:ascii="宋体" w:hAnsi="宋体" w:cs="宋体" w:eastAsia="宋体" w:hint="default"/>
                <w:sz w:val="21"/>
                <w:szCs w:val="21"/>
              </w:rPr>
              <w:t>件，对一般企业财务报表格式进行了修订。根据财会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[2018]15</w:t>
            </w:r>
            <w:r>
              <w:rPr>
                <w:rFonts w:ascii="宋体" w:hAnsi="宋体" w:cs="宋体" w:eastAsia="宋体" w:hint="default"/>
                <w:spacing w:val="-34"/>
                <w:sz w:val="21"/>
                <w:szCs w:val="21"/>
              </w:rPr>
              <w:t> </w:t>
            </w:r>
            <w:r>
              <w:rPr>
                <w:rFonts w:ascii="宋体" w:hAnsi="宋体" w:cs="宋体" w:eastAsia="宋体" w:hint="default"/>
                <w:spacing w:val="-3"/>
                <w:sz w:val="21"/>
                <w:szCs w:val="21"/>
              </w:rPr>
              <w:t>号文件的要求，公司需对会计政策相关内容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进行相应调整，按照该文件规定的一般企业财务报表</w:t>
            </w:r>
            <w:r>
              <w:rPr>
                <w:rFonts w:ascii="宋体" w:hAnsi="宋体" w:cs="宋体" w:eastAsia="宋体" w:hint="default"/>
                <w:spacing w:val="-78"/>
                <w:sz w:val="21"/>
                <w:szCs w:val="21"/>
              </w:rPr>
              <w:t> </w:t>
            </w:r>
            <w:r>
              <w:rPr>
                <w:rFonts w:ascii="宋体" w:hAnsi="宋体" w:cs="宋体" w:eastAsia="宋体" w:hint="default"/>
                <w:sz w:val="21"/>
                <w:szCs w:val="21"/>
              </w:rPr>
              <w:t>格式（适用于尚未执行新金融准则和新收入准则的企</w:t>
            </w:r>
            <w:r>
              <w:rPr>
                <w:rFonts w:ascii="宋体" w:hAnsi="宋体" w:cs="宋体" w:eastAsia="宋体" w:hint="default"/>
                <w:spacing w:val="-78"/>
                <w:sz w:val="21"/>
                <w:szCs w:val="21"/>
              </w:rPr>
              <w:t> </w:t>
            </w:r>
            <w:r>
              <w:rPr>
                <w:rFonts w:ascii="宋体" w:hAnsi="宋体" w:cs="宋体" w:eastAsia="宋体" w:hint="default"/>
                <w:sz w:val="21"/>
                <w:szCs w:val="21"/>
              </w:rPr>
              <w:t>业）编制公司的财务报表。</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1"/>
                <w:sz w:val="21"/>
                <w:szCs w:val="21"/>
              </w:rPr>
              <w:t> </w:t>
            </w:r>
            <w:r>
              <w:rPr>
                <w:rFonts w:ascii="宋体" w:hAnsi="宋体" w:cs="宋体" w:eastAsia="宋体" w:hint="default"/>
                <w:spacing w:val="15"/>
                <w:sz w:val="21"/>
                <w:szCs w:val="21"/>
              </w:rPr>
              <w:t>年度第三届董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73"/>
                <w:sz w:val="21"/>
                <w:szCs w:val="21"/>
              </w:rPr>
              <w:t> </w:t>
            </w:r>
            <w:r>
              <w:rPr>
                <w:rFonts w:ascii="宋体" w:hAnsi="宋体" w:cs="宋体" w:eastAsia="宋体" w:hint="default"/>
                <w:sz w:val="21"/>
                <w:szCs w:val="21"/>
              </w:rPr>
              <w:t>会</w:t>
            </w:r>
            <w:r>
              <w:rPr>
                <w:rFonts w:ascii="宋体" w:hAnsi="宋体" w:cs="宋体" w:eastAsia="宋体" w:hint="default"/>
                <w:spacing w:val="-73"/>
                <w:sz w:val="21"/>
                <w:szCs w:val="21"/>
              </w:rPr>
              <w:t> </w:t>
            </w:r>
            <w:r>
              <w:rPr>
                <w:rFonts w:ascii="宋体" w:hAnsi="宋体" w:cs="宋体" w:eastAsia="宋体" w:hint="default"/>
                <w:sz w:val="21"/>
                <w:szCs w:val="21"/>
              </w:rPr>
              <w:t>第</w:t>
            </w:r>
            <w:r>
              <w:rPr>
                <w:rFonts w:ascii="宋体" w:hAnsi="宋体" w:cs="宋体" w:eastAsia="宋体" w:hint="default"/>
                <w:spacing w:val="-71"/>
                <w:sz w:val="21"/>
                <w:szCs w:val="21"/>
              </w:rPr>
              <w:t> </w:t>
            </w:r>
            <w:r>
              <w:rPr>
                <w:rFonts w:ascii="宋体" w:hAnsi="宋体" w:cs="宋体" w:eastAsia="宋体" w:hint="default"/>
                <w:sz w:val="21"/>
                <w:szCs w:val="21"/>
              </w:rPr>
              <w:t>十</w:t>
            </w:r>
            <w:r>
              <w:rPr>
                <w:rFonts w:ascii="宋体" w:hAnsi="宋体" w:cs="宋体" w:eastAsia="宋体" w:hint="default"/>
                <w:spacing w:val="-73"/>
                <w:sz w:val="21"/>
                <w:szCs w:val="21"/>
              </w:rPr>
              <w:t> </w:t>
            </w:r>
            <w:r>
              <w:rPr>
                <w:rFonts w:ascii="宋体" w:hAnsi="宋体" w:cs="宋体" w:eastAsia="宋体" w:hint="default"/>
                <w:sz w:val="21"/>
                <w:szCs w:val="21"/>
              </w:rPr>
              <w:t>次</w:t>
            </w:r>
            <w:r>
              <w:rPr>
                <w:rFonts w:ascii="宋体" w:hAnsi="宋体" w:cs="宋体" w:eastAsia="宋体" w:hint="default"/>
                <w:spacing w:val="-73"/>
                <w:sz w:val="21"/>
                <w:szCs w:val="21"/>
              </w:rPr>
              <w:t> </w:t>
            </w:r>
            <w:r>
              <w:rPr>
                <w:rFonts w:ascii="宋体" w:hAnsi="宋体" w:cs="宋体" w:eastAsia="宋体" w:hint="default"/>
                <w:sz w:val="21"/>
                <w:szCs w:val="21"/>
              </w:rPr>
              <w:t>会</w:t>
            </w:r>
            <w:r>
              <w:rPr>
                <w:rFonts w:ascii="宋体" w:hAnsi="宋体" w:cs="宋体" w:eastAsia="宋体" w:hint="default"/>
                <w:spacing w:val="-73"/>
                <w:sz w:val="21"/>
                <w:szCs w:val="21"/>
              </w:rPr>
              <w:t> </w:t>
            </w:r>
            <w:r>
              <w:rPr>
                <w:rFonts w:ascii="宋体" w:hAnsi="宋体" w:cs="宋体" w:eastAsia="宋体" w:hint="default"/>
                <w:sz w:val="21"/>
                <w:szCs w:val="21"/>
              </w:rPr>
              <w:t>议</w:t>
            </w:r>
            <w:r>
              <w:rPr>
                <w:rFonts w:ascii="宋体" w:hAnsi="宋体" w:cs="宋体" w:eastAsia="宋体" w:hint="default"/>
                <w:spacing w:val="-73"/>
                <w:sz w:val="21"/>
                <w:szCs w:val="21"/>
              </w:rPr>
              <w:t> </w:t>
            </w:r>
            <w:r>
              <w:rPr>
                <w:rFonts w:ascii="宋体" w:hAnsi="宋体" w:cs="宋体" w:eastAsia="宋体" w:hint="default"/>
                <w:sz w:val="21"/>
                <w:szCs w:val="21"/>
              </w:rPr>
              <w:t>审</w:t>
            </w:r>
            <w:r>
              <w:rPr>
                <w:rFonts w:ascii="宋体" w:hAnsi="宋体" w:cs="宋体" w:eastAsia="宋体" w:hint="default"/>
                <w:w w:val="100"/>
                <w:sz w:val="21"/>
                <w:szCs w:val="21"/>
              </w:rPr>
              <w:t> </w:t>
            </w:r>
            <w:r>
              <w:rPr>
                <w:rFonts w:ascii="宋体" w:hAnsi="宋体" w:cs="宋体" w:eastAsia="宋体" w:hint="default"/>
                <w:sz w:val="21"/>
                <w:szCs w:val="21"/>
              </w:rPr>
              <w:t>议、第三届监事会第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七次会议和第三届董</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事</w:t>
            </w:r>
            <w:r>
              <w:rPr>
                <w:rFonts w:ascii="宋体" w:hAnsi="宋体" w:cs="宋体" w:eastAsia="宋体" w:hint="default"/>
                <w:spacing w:val="-73"/>
                <w:sz w:val="21"/>
                <w:szCs w:val="21"/>
              </w:rPr>
              <w:t> </w:t>
            </w:r>
            <w:r>
              <w:rPr>
                <w:rFonts w:ascii="宋体" w:hAnsi="宋体" w:cs="宋体" w:eastAsia="宋体" w:hint="default"/>
                <w:sz w:val="21"/>
                <w:szCs w:val="21"/>
              </w:rPr>
              <w:t>会</w:t>
            </w:r>
            <w:r>
              <w:rPr>
                <w:rFonts w:ascii="宋体" w:hAnsi="宋体" w:cs="宋体" w:eastAsia="宋体" w:hint="default"/>
                <w:spacing w:val="-73"/>
                <w:sz w:val="21"/>
                <w:szCs w:val="21"/>
              </w:rPr>
              <w:t> </w:t>
            </w:r>
            <w:r>
              <w:rPr>
                <w:rFonts w:ascii="宋体" w:hAnsi="宋体" w:cs="宋体" w:eastAsia="宋体" w:hint="default"/>
                <w:sz w:val="21"/>
                <w:szCs w:val="21"/>
              </w:rPr>
              <w:t>审</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spacing w:val="-73"/>
                <w:sz w:val="21"/>
                <w:szCs w:val="21"/>
              </w:rPr>
              <w:t> </w:t>
            </w:r>
            <w:r>
              <w:rPr>
                <w:rFonts w:ascii="宋体" w:hAnsi="宋体" w:cs="宋体" w:eastAsia="宋体" w:hint="default"/>
                <w:sz w:val="21"/>
                <w:szCs w:val="21"/>
              </w:rPr>
              <w:t>委</w:t>
            </w:r>
            <w:r>
              <w:rPr>
                <w:rFonts w:ascii="宋体" w:hAnsi="宋体" w:cs="宋体" w:eastAsia="宋体" w:hint="default"/>
                <w:spacing w:val="-73"/>
                <w:sz w:val="21"/>
                <w:szCs w:val="21"/>
              </w:rPr>
              <w:t> </w:t>
            </w:r>
            <w:r>
              <w:rPr>
                <w:rFonts w:ascii="宋体" w:hAnsi="宋体" w:cs="宋体" w:eastAsia="宋体" w:hint="default"/>
                <w:sz w:val="21"/>
                <w:szCs w:val="21"/>
              </w:rPr>
              <w:t>员</w:t>
            </w:r>
            <w:r>
              <w:rPr>
                <w:rFonts w:ascii="宋体" w:hAnsi="宋体" w:cs="宋体" w:eastAsia="宋体" w:hint="default"/>
                <w:spacing w:val="-73"/>
                <w:sz w:val="21"/>
                <w:szCs w:val="21"/>
              </w:rPr>
              <w:t> </w:t>
            </w:r>
            <w:r>
              <w:rPr>
                <w:rFonts w:ascii="宋体" w:hAnsi="宋体" w:cs="宋体" w:eastAsia="宋体" w:hint="default"/>
                <w:sz w:val="21"/>
                <w:szCs w:val="21"/>
              </w:rPr>
              <w:t>会</w:t>
            </w:r>
            <w:r>
              <w:rPr>
                <w:rFonts w:ascii="宋体" w:hAnsi="宋体" w:cs="宋体" w:eastAsia="宋体" w:hint="default"/>
                <w:spacing w:val="-73"/>
                <w:sz w:val="21"/>
                <w:szCs w:val="21"/>
              </w:rPr>
              <w:t> </w:t>
            </w:r>
            <w:r>
              <w:rPr>
                <w:rFonts w:ascii="宋体" w:hAnsi="宋体" w:cs="宋体" w:eastAsia="宋体" w:hint="default"/>
                <w:sz w:val="21"/>
                <w:szCs w:val="21"/>
              </w:rPr>
              <w:t>议</w:t>
            </w:r>
          </w:p>
          <w:p>
            <w:pPr>
              <w:pStyle w:val="TableParagraph"/>
              <w:spacing w:line="272" w:lineRule="exact" w:before="24"/>
              <w:ind w:left="103" w:right="9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pacing w:val="-7"/>
                <w:sz w:val="21"/>
                <w:szCs w:val="21"/>
              </w:rPr>
              <w:t>年第六次）审</w:t>
            </w:r>
            <w:r>
              <w:rPr>
                <w:rFonts w:ascii="宋体" w:hAnsi="宋体" w:cs="宋体" w:eastAsia="宋体" w:hint="default"/>
                <w:w w:val="100"/>
                <w:sz w:val="21"/>
                <w:szCs w:val="21"/>
              </w:rPr>
              <w:t> </w:t>
            </w:r>
            <w:r>
              <w:rPr>
                <w:rFonts w:ascii="宋体" w:hAnsi="宋体" w:cs="宋体" w:eastAsia="宋体" w:hint="default"/>
                <w:sz w:val="21"/>
                <w:szCs w:val="21"/>
              </w:rPr>
              <w:t>议通过</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pacing w:val="-78"/>
                <w:sz w:val="21"/>
                <w:szCs w:val="21"/>
              </w:rPr>
              <w:t> </w:t>
            </w:r>
            <w:r>
              <w:rPr>
                <w:rFonts w:ascii="宋体" w:hAnsi="宋体" w:cs="宋体" w:eastAsia="宋体" w:hint="default"/>
                <w:sz w:val="21"/>
                <w:szCs w:val="21"/>
              </w:rPr>
              <w:t>影</w:t>
            </w:r>
            <w:r>
              <w:rPr>
                <w:rFonts w:ascii="宋体" w:hAnsi="宋体" w:cs="宋体" w:eastAsia="宋体" w:hint="default"/>
                <w:spacing w:val="-78"/>
                <w:sz w:val="21"/>
                <w:szCs w:val="21"/>
              </w:rPr>
              <w:t> </w:t>
            </w:r>
            <w:r>
              <w:rPr>
                <w:rFonts w:ascii="宋体" w:hAnsi="宋体" w:cs="宋体" w:eastAsia="宋体" w:hint="default"/>
                <w:sz w:val="21"/>
                <w:szCs w:val="21"/>
              </w:rPr>
              <w:t>响</w:t>
            </w:r>
            <w:r>
              <w:rPr>
                <w:rFonts w:ascii="宋体" w:hAnsi="宋体" w:cs="宋体" w:eastAsia="宋体" w:hint="default"/>
                <w:spacing w:val="-78"/>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财</w:t>
            </w:r>
            <w:r>
              <w:rPr>
                <w:rFonts w:ascii="宋体" w:hAnsi="宋体" w:cs="宋体" w:eastAsia="宋体" w:hint="default"/>
                <w:spacing w:val="-78"/>
                <w:sz w:val="21"/>
                <w:szCs w:val="21"/>
              </w:rPr>
              <w:t> </w:t>
            </w:r>
            <w:r>
              <w:rPr>
                <w:rFonts w:ascii="宋体" w:hAnsi="宋体" w:cs="宋体" w:eastAsia="宋体" w:hint="default"/>
                <w:sz w:val="21"/>
                <w:szCs w:val="21"/>
              </w:rPr>
              <w:t>务</w:t>
            </w:r>
            <w:r>
              <w:rPr>
                <w:rFonts w:ascii="宋体" w:hAnsi="宋体" w:cs="宋体" w:eastAsia="宋体" w:hint="default"/>
                <w:spacing w:val="-78"/>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表</w:t>
            </w:r>
            <w:r>
              <w:rPr>
                <w:rFonts w:ascii="宋体" w:hAnsi="宋体" w:cs="宋体" w:eastAsia="宋体" w:hint="default"/>
                <w:spacing w:val="-78"/>
                <w:sz w:val="21"/>
                <w:szCs w:val="21"/>
              </w:rPr>
              <w:t> </w:t>
            </w:r>
            <w:r>
              <w:rPr>
                <w:rFonts w:ascii="宋体" w:hAnsi="宋体" w:cs="宋体" w:eastAsia="宋体" w:hint="default"/>
                <w:sz w:val="21"/>
                <w:szCs w:val="21"/>
              </w:rPr>
              <w:t>项</w:t>
            </w:r>
            <w:r>
              <w:rPr>
                <w:rFonts w:ascii="宋体" w:hAnsi="宋体" w:cs="宋体" w:eastAsia="宋体" w:hint="default"/>
                <w:spacing w:val="-78"/>
                <w:sz w:val="21"/>
                <w:szCs w:val="21"/>
              </w:rPr>
              <w:t> </w:t>
            </w:r>
            <w:r>
              <w:rPr>
                <w:rFonts w:ascii="宋体" w:hAnsi="宋体" w:cs="宋体" w:eastAsia="宋体" w:hint="default"/>
                <w:sz w:val="21"/>
                <w:szCs w:val="21"/>
              </w:rPr>
              <w:t>目</w:t>
            </w:r>
            <w:r>
              <w:rPr>
                <w:rFonts w:ascii="宋体" w:hAnsi="宋体" w:cs="宋体" w:eastAsia="宋体" w:hint="default"/>
                <w:spacing w:val="-78"/>
                <w:sz w:val="21"/>
                <w:szCs w:val="21"/>
              </w:rPr>
              <w:t> </w:t>
            </w:r>
            <w:r>
              <w:rPr>
                <w:rFonts w:ascii="宋体" w:hAnsi="宋体" w:cs="宋体" w:eastAsia="宋体" w:hint="default"/>
                <w:sz w:val="21"/>
                <w:szCs w:val="21"/>
              </w:rPr>
              <w:t>明</w:t>
            </w:r>
            <w:r>
              <w:rPr>
                <w:rFonts w:ascii="宋体" w:hAnsi="宋体" w:cs="宋体" w:eastAsia="宋体" w:hint="default"/>
                <w:spacing w:val="-76"/>
                <w:sz w:val="21"/>
                <w:szCs w:val="21"/>
              </w:rPr>
              <w:t> </w:t>
            </w:r>
            <w:r>
              <w:rPr>
                <w:rFonts w:ascii="宋体" w:hAnsi="宋体" w:cs="宋体" w:eastAsia="宋体" w:hint="default"/>
                <w:sz w:val="21"/>
                <w:szCs w:val="21"/>
              </w:rPr>
              <w:t>细</w:t>
            </w:r>
            <w:r>
              <w:rPr>
                <w:rFonts w:ascii="宋体" w:hAnsi="宋体" w:cs="宋体" w:eastAsia="宋体" w:hint="default"/>
                <w:spacing w:val="-78"/>
                <w:sz w:val="21"/>
                <w:szCs w:val="21"/>
              </w:rPr>
              <w:t> </w:t>
            </w:r>
            <w:r>
              <w:rPr>
                <w:rFonts w:ascii="宋体" w:hAnsi="宋体" w:cs="宋体" w:eastAsia="宋体" w:hint="default"/>
                <w:sz w:val="21"/>
                <w:szCs w:val="21"/>
              </w:rPr>
              <w:t>情</w:t>
            </w:r>
            <w:r>
              <w:rPr>
                <w:rFonts w:ascii="宋体" w:hAnsi="宋体" w:cs="宋体" w:eastAsia="宋体" w:hint="default"/>
                <w:spacing w:val="-78"/>
                <w:sz w:val="21"/>
                <w:szCs w:val="21"/>
              </w:rPr>
              <w:t> </w:t>
            </w:r>
            <w:r>
              <w:rPr>
                <w:rFonts w:ascii="宋体" w:hAnsi="宋体" w:cs="宋体" w:eastAsia="宋体" w:hint="default"/>
                <w:sz w:val="21"/>
                <w:szCs w:val="21"/>
              </w:rPr>
              <w:t>况</w:t>
            </w:r>
            <w:r>
              <w:rPr>
                <w:rFonts w:ascii="宋体" w:hAnsi="宋体" w:cs="宋体" w:eastAsia="宋体" w:hint="default"/>
                <w:w w:val="100"/>
                <w:sz w:val="21"/>
                <w:szCs w:val="21"/>
              </w:rPr>
              <w:t> </w:t>
            </w:r>
            <w:r>
              <w:rPr>
                <w:rFonts w:ascii="宋体" w:hAnsi="宋体" w:cs="宋体" w:eastAsia="宋体" w:hint="default"/>
                <w:sz w:val="21"/>
                <w:szCs w:val="21"/>
              </w:rPr>
              <w:t>“其他说明”</w:t>
            </w:r>
          </w:p>
        </w:tc>
      </w:tr>
      <w:tr>
        <w:trPr>
          <w:trHeight w:val="2189"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9</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7</w:t>
            </w:r>
            <w:r>
              <w:rPr>
                <w:rFonts w:ascii="宋体" w:hAnsi="宋体" w:cs="宋体" w:eastAsia="宋体" w:hint="default"/>
                <w:spacing w:val="-42"/>
                <w:sz w:val="21"/>
                <w:szCs w:val="21"/>
              </w:rPr>
              <w:t> </w:t>
            </w:r>
            <w:r>
              <w:rPr>
                <w:rFonts w:ascii="宋体" w:hAnsi="宋体" w:cs="宋体" w:eastAsia="宋体" w:hint="default"/>
                <w:sz w:val="21"/>
                <w:szCs w:val="21"/>
              </w:rPr>
              <w:t>日财政部会计司《关于</w:t>
            </w:r>
            <w:r>
              <w:rPr>
                <w:rFonts w:ascii="宋体" w:hAnsi="宋体" w:cs="宋体" w:eastAsia="宋体" w:hint="default"/>
                <w:spacing w:val="-42"/>
                <w:sz w:val="21"/>
                <w:szCs w:val="21"/>
              </w:rPr>
              <w:t> </w:t>
            </w:r>
            <w:r>
              <w:rPr>
                <w:rFonts w:ascii="宋体" w:hAnsi="宋体" w:cs="宋体" w:eastAsia="宋体" w:hint="default"/>
                <w:sz w:val="21"/>
                <w:szCs w:val="21"/>
              </w:rPr>
              <w:t>2018</w:t>
            </w:r>
            <w:r>
              <w:rPr>
                <w:rFonts w:ascii="宋体" w:hAnsi="宋体" w:cs="宋体" w:eastAsia="宋体" w:hint="default"/>
                <w:spacing w:val="-42"/>
                <w:sz w:val="21"/>
                <w:szCs w:val="21"/>
              </w:rPr>
              <w:t> </w:t>
            </w:r>
            <w:r>
              <w:rPr>
                <w:rFonts w:ascii="宋体" w:hAnsi="宋体" w:cs="宋体" w:eastAsia="宋体" w:hint="default"/>
                <w:sz w:val="21"/>
                <w:szCs w:val="21"/>
              </w:rPr>
              <w:t>年度一般</w:t>
            </w:r>
          </w:p>
          <w:p>
            <w:pPr>
              <w:pStyle w:val="TableParagraph"/>
              <w:spacing w:line="237" w:lineRule="auto" w:before="1"/>
              <w:ind w:left="103" w:right="19"/>
              <w:jc w:val="left"/>
              <w:rPr>
                <w:rFonts w:ascii="宋体" w:hAnsi="宋体" w:cs="宋体" w:eastAsia="宋体" w:hint="default"/>
                <w:sz w:val="21"/>
                <w:szCs w:val="21"/>
              </w:rPr>
            </w:pPr>
            <w:r>
              <w:rPr>
                <w:rFonts w:ascii="宋体" w:hAnsi="宋体" w:cs="宋体" w:eastAsia="宋体" w:hint="default"/>
                <w:sz w:val="21"/>
                <w:szCs w:val="21"/>
              </w:rPr>
              <w:t>企业财务报表格式有关问题的解读》中要求：企业作</w:t>
            </w:r>
            <w:r>
              <w:rPr>
                <w:rFonts w:ascii="宋体" w:hAnsi="宋体" w:cs="宋体" w:eastAsia="宋体" w:hint="default"/>
                <w:spacing w:val="-78"/>
                <w:sz w:val="21"/>
                <w:szCs w:val="21"/>
              </w:rPr>
              <w:t> </w:t>
            </w:r>
            <w:r>
              <w:rPr>
                <w:rFonts w:ascii="宋体" w:hAnsi="宋体" w:cs="宋体" w:eastAsia="宋体" w:hint="default"/>
                <w:sz w:val="21"/>
                <w:szCs w:val="21"/>
              </w:rPr>
              <w:t>为个人所得税的扣缴义务人，根据《中华人民共和国</w:t>
            </w:r>
            <w:r>
              <w:rPr>
                <w:rFonts w:ascii="宋体" w:hAnsi="宋体" w:cs="宋体" w:eastAsia="宋体" w:hint="default"/>
                <w:spacing w:val="-78"/>
                <w:sz w:val="21"/>
                <w:szCs w:val="21"/>
              </w:rPr>
              <w:t> </w:t>
            </w:r>
            <w:r>
              <w:rPr>
                <w:rFonts w:ascii="宋体" w:hAnsi="宋体" w:cs="宋体" w:eastAsia="宋体" w:hint="default"/>
                <w:sz w:val="21"/>
                <w:szCs w:val="21"/>
              </w:rPr>
              <w:t>个人所得税法》收到的扣缴税款手续费，应作为其他</w:t>
            </w:r>
            <w:r>
              <w:rPr>
                <w:rFonts w:ascii="宋体" w:hAnsi="宋体" w:cs="宋体" w:eastAsia="宋体" w:hint="default"/>
                <w:spacing w:val="-78"/>
                <w:sz w:val="21"/>
                <w:szCs w:val="21"/>
              </w:rPr>
              <w:t> </w:t>
            </w:r>
            <w:r>
              <w:rPr>
                <w:rFonts w:ascii="宋体" w:hAnsi="宋体" w:cs="宋体" w:eastAsia="宋体" w:hint="default"/>
                <w:sz w:val="21"/>
                <w:szCs w:val="21"/>
              </w:rPr>
              <w:t>与日常活动相关的项目在利润表的“其他收益”项目</w:t>
            </w:r>
            <w:r>
              <w:rPr>
                <w:rFonts w:ascii="宋体" w:hAnsi="宋体" w:cs="宋体" w:eastAsia="宋体" w:hint="default"/>
                <w:spacing w:val="-78"/>
                <w:sz w:val="21"/>
                <w:szCs w:val="21"/>
              </w:rPr>
              <w:t> </w:t>
            </w:r>
            <w:r>
              <w:rPr>
                <w:rFonts w:ascii="宋体" w:hAnsi="宋体" w:cs="宋体" w:eastAsia="宋体" w:hint="default"/>
                <w:sz w:val="21"/>
                <w:szCs w:val="21"/>
              </w:rPr>
              <w:t>中填列。企业财务报表的列报项目因此发生变更的，</w:t>
            </w:r>
            <w:r>
              <w:rPr>
                <w:rFonts w:ascii="宋体" w:hAnsi="宋体" w:cs="宋体" w:eastAsia="宋体" w:hint="default"/>
                <w:spacing w:val="-78"/>
                <w:sz w:val="21"/>
                <w:szCs w:val="21"/>
              </w:rPr>
              <w:t> </w:t>
            </w:r>
            <w:r>
              <w:rPr>
                <w:rFonts w:ascii="宋体" w:hAnsi="宋体" w:cs="宋体" w:eastAsia="宋体" w:hint="default"/>
                <w:sz w:val="21"/>
                <w:szCs w:val="21"/>
              </w:rPr>
              <w:t>应当按照《企业会计准则第</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号——财务报表列报》</w:t>
            </w:r>
            <w:r>
              <w:rPr>
                <w:rFonts w:ascii="宋体" w:hAnsi="宋体" w:cs="宋体" w:eastAsia="宋体" w:hint="default"/>
                <w:w w:val="100"/>
                <w:sz w:val="21"/>
                <w:szCs w:val="21"/>
              </w:rPr>
              <w:t> </w:t>
            </w:r>
            <w:r>
              <w:rPr>
                <w:rFonts w:ascii="宋体" w:hAnsi="宋体" w:cs="宋体" w:eastAsia="宋体" w:hint="default"/>
                <w:sz w:val="21"/>
                <w:szCs w:val="21"/>
              </w:rPr>
              <w:t>等的相关规定，对可比期间的比较数据进行调整。</w:t>
            </w:r>
          </w:p>
        </w:tc>
        <w:tc>
          <w:tcPr>
            <w:tcW w:w="2125"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58" w:right="0"/>
        <w:jc w:val="left"/>
      </w:pPr>
      <w:r>
        <w:rPr/>
        <w:t>其他说明</w:t>
      </w:r>
    </w:p>
    <w:p>
      <w:pPr>
        <w:pStyle w:val="BodyText"/>
        <w:spacing w:line="273" w:lineRule="exact"/>
        <w:ind w:left="258" w:right="0"/>
        <w:jc w:val="left"/>
      </w:pPr>
      <w:r>
        <w:rPr/>
        <w:t>期初及上年（</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w:t>
      </w:r>
      <w:r>
        <w:rPr>
          <w:rFonts w:ascii="宋体" w:hAnsi="宋体" w:cs="宋体" w:eastAsia="宋体" w:hint="default"/>
        </w:rPr>
        <w:t>/2017</w:t>
      </w:r>
      <w:r>
        <w:rPr>
          <w:rFonts w:ascii="宋体" w:hAnsi="宋体" w:cs="宋体" w:eastAsia="宋体" w:hint="default"/>
          <w:spacing w:val="-55"/>
        </w:rPr>
        <w:t> </w:t>
      </w:r>
      <w:r>
        <w:rPr/>
        <w:t>年度）受影响的财务报表项目明细情况如下：</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329"/>
        <w:gridCol w:w="2352"/>
        <w:gridCol w:w="2588"/>
        <w:gridCol w:w="1805"/>
      </w:tblGrid>
      <w:tr>
        <w:trPr>
          <w:trHeight w:val="288" w:hRule="exact"/>
        </w:trPr>
        <w:tc>
          <w:tcPr>
            <w:tcW w:w="46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90" w:right="0"/>
              <w:jc w:val="left"/>
              <w:rPr>
                <w:rFonts w:ascii="宋体" w:hAnsi="宋体" w:cs="宋体" w:eastAsia="宋体" w:hint="default"/>
                <w:sz w:val="21"/>
                <w:szCs w:val="21"/>
              </w:rPr>
            </w:pPr>
            <w:r>
              <w:rPr>
                <w:rFonts w:ascii="宋体" w:hAnsi="宋体" w:cs="宋体" w:eastAsia="宋体" w:hint="default"/>
                <w:sz w:val="21"/>
                <w:szCs w:val="21"/>
              </w:rPr>
              <w:t>原列报项目及金额</w:t>
            </w:r>
          </w:p>
        </w:tc>
        <w:tc>
          <w:tcPr>
            <w:tcW w:w="43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调整后列报项目及金额</w:t>
            </w:r>
          </w:p>
        </w:tc>
      </w:tr>
      <w:tr>
        <w:trPr>
          <w:trHeight w:val="286" w:hRule="exact"/>
        </w:trPr>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15,043,226.50</w:t>
            </w:r>
          </w:p>
        </w:tc>
        <w:tc>
          <w:tcPr>
            <w:tcW w:w="2588" w:type="dxa"/>
            <w:vMerge w:val="restart"/>
            <w:tcBorders>
              <w:top w:val="single" w:sz="6" w:space="0" w:color="000000"/>
              <w:left w:val="single" w:sz="6" w:space="0" w:color="000000"/>
              <w:right w:val="single" w:sz="6" w:space="0" w:color="000000"/>
            </w:tcBorders>
          </w:tcPr>
          <w:p>
            <w:pPr>
              <w:pStyle w:val="TableParagraph"/>
              <w:spacing w:line="240" w:lineRule="auto" w:before="110"/>
              <w:ind w:left="19"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805" w:type="dxa"/>
            <w:vMerge w:val="restart"/>
            <w:tcBorders>
              <w:top w:val="single" w:sz="6" w:space="0" w:color="000000"/>
              <w:left w:val="single" w:sz="6" w:space="0" w:color="000000"/>
              <w:right w:val="single" w:sz="6" w:space="0" w:color="000000"/>
            </w:tcBorders>
          </w:tcPr>
          <w:p>
            <w:pPr>
              <w:pStyle w:val="TableParagraph"/>
              <w:spacing w:line="240" w:lineRule="auto" w:before="110"/>
              <w:ind w:left="297" w:right="0"/>
              <w:jc w:val="left"/>
              <w:rPr>
                <w:rFonts w:ascii="宋体" w:hAnsi="宋体" w:cs="宋体" w:eastAsia="宋体" w:hint="default"/>
                <w:sz w:val="21"/>
                <w:szCs w:val="21"/>
              </w:rPr>
            </w:pPr>
            <w:r>
              <w:rPr>
                <w:rFonts w:ascii="宋体"/>
                <w:sz w:val="21"/>
              </w:rPr>
              <w:t>529,552,425.61</w:t>
            </w:r>
          </w:p>
        </w:tc>
      </w:tr>
      <w:tr>
        <w:trPr>
          <w:trHeight w:val="288" w:hRule="exact"/>
        </w:trPr>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514,509,199.11</w:t>
            </w:r>
          </w:p>
        </w:tc>
        <w:tc>
          <w:tcPr>
            <w:tcW w:w="2588" w:type="dxa"/>
            <w:vMerge/>
            <w:tcBorders>
              <w:left w:val="single" w:sz="6" w:space="0" w:color="000000"/>
              <w:bottom w:val="single" w:sz="6" w:space="0" w:color="000000"/>
              <w:right w:val="single" w:sz="6" w:space="0" w:color="000000"/>
            </w:tcBorders>
          </w:tcPr>
          <w:p>
            <w:pPr/>
          </w:p>
        </w:tc>
        <w:tc>
          <w:tcPr>
            <w:tcW w:w="1805" w:type="dxa"/>
            <w:vMerge/>
            <w:tcBorders>
              <w:left w:val="single" w:sz="6" w:space="0" w:color="000000"/>
              <w:bottom w:val="single" w:sz="6" w:space="0" w:color="000000"/>
              <w:right w:val="single" w:sz="6" w:space="0" w:color="000000"/>
            </w:tcBorders>
          </w:tcPr>
          <w:p>
            <w:pPr/>
          </w:p>
        </w:tc>
      </w:tr>
      <w:tr>
        <w:trPr>
          <w:trHeight w:val="288" w:hRule="exact"/>
        </w:trPr>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3,243,172.79</w:t>
            </w:r>
          </w:p>
        </w:tc>
        <w:tc>
          <w:tcPr>
            <w:tcW w:w="2588" w:type="dxa"/>
            <w:vMerge w:val="restart"/>
            <w:tcBorders>
              <w:top w:val="single" w:sz="6" w:space="0" w:color="000000"/>
              <w:left w:val="single" w:sz="6" w:space="0" w:color="000000"/>
              <w:right w:val="single" w:sz="6" w:space="0" w:color="000000"/>
            </w:tcBorders>
          </w:tcPr>
          <w:p>
            <w:pPr>
              <w:pStyle w:val="TableParagraph"/>
              <w:spacing w:line="240" w:lineRule="auto" w:before="110"/>
              <w:ind w:left="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05" w:type="dxa"/>
            <w:vMerge w:val="restart"/>
            <w:tcBorders>
              <w:top w:val="single" w:sz="6" w:space="0" w:color="000000"/>
              <w:left w:val="single" w:sz="6" w:space="0" w:color="000000"/>
              <w:right w:val="single" w:sz="6" w:space="0" w:color="000000"/>
            </w:tcBorders>
          </w:tcPr>
          <w:p>
            <w:pPr>
              <w:pStyle w:val="TableParagraph"/>
              <w:spacing w:line="240" w:lineRule="auto" w:before="110"/>
              <w:ind w:left="403" w:right="0"/>
              <w:jc w:val="left"/>
              <w:rPr>
                <w:rFonts w:ascii="宋体" w:hAnsi="宋体" w:cs="宋体" w:eastAsia="宋体" w:hint="default"/>
                <w:sz w:val="21"/>
                <w:szCs w:val="21"/>
              </w:rPr>
            </w:pPr>
            <w:r>
              <w:rPr>
                <w:rFonts w:ascii="宋体"/>
                <w:sz w:val="21"/>
              </w:rPr>
              <w:t>53,749,740.44</w:t>
            </w:r>
          </w:p>
        </w:tc>
      </w:tr>
      <w:tr>
        <w:trPr>
          <w:trHeight w:val="288" w:hRule="exact"/>
        </w:trPr>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50,506,567.65</w:t>
            </w:r>
          </w:p>
        </w:tc>
        <w:tc>
          <w:tcPr>
            <w:tcW w:w="2588" w:type="dxa"/>
            <w:vMerge/>
            <w:tcBorders>
              <w:left w:val="single" w:sz="6" w:space="0" w:color="000000"/>
              <w:bottom w:val="single" w:sz="6" w:space="0" w:color="000000"/>
              <w:right w:val="single" w:sz="6" w:space="0" w:color="000000"/>
            </w:tcBorders>
          </w:tcPr>
          <w:p>
            <w:pPr/>
          </w:p>
        </w:tc>
        <w:tc>
          <w:tcPr>
            <w:tcW w:w="1805" w:type="dxa"/>
            <w:vMerge/>
            <w:tcBorders>
              <w:left w:val="single" w:sz="6" w:space="0" w:color="000000"/>
              <w:bottom w:val="single" w:sz="6" w:space="0" w:color="000000"/>
              <w:right w:val="single" w:sz="6" w:space="0" w:color="000000"/>
            </w:tcBorders>
          </w:tcPr>
          <w:p>
            <w:pPr/>
          </w:p>
        </w:tc>
      </w:tr>
    </w:tbl>
    <w:p>
      <w:pPr>
        <w:spacing w:after="0"/>
        <w:sectPr>
          <w:footerReference w:type="default" r:id="rId59"/>
          <w:pgSz w:w="11910" w:h="16840"/>
          <w:pgMar w:footer="1195" w:header="882" w:top="1120" w:bottom="1380" w:left="154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2329"/>
        <w:gridCol w:w="2352"/>
        <w:gridCol w:w="2588"/>
        <w:gridCol w:w="1805"/>
      </w:tblGrid>
      <w:tr>
        <w:trPr>
          <w:trHeight w:val="288" w:hRule="exact"/>
        </w:trPr>
        <w:tc>
          <w:tcPr>
            <w:tcW w:w="2329" w:type="dxa"/>
            <w:vMerge w:val="restart"/>
            <w:tcBorders>
              <w:top w:val="single" w:sz="6" w:space="0" w:color="000000"/>
              <w:left w:val="single" w:sz="6" w:space="0" w:color="000000"/>
              <w:right w:val="single" w:sz="6" w:space="0" w:color="000000"/>
            </w:tcBorders>
          </w:tcPr>
          <w:p>
            <w:pPr>
              <w:pStyle w:val="TableParagraph"/>
              <w:spacing w:line="240" w:lineRule="auto" w:before="112"/>
              <w:ind w:left="1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52" w:type="dxa"/>
            <w:vMerge w:val="restart"/>
            <w:tcBorders>
              <w:top w:val="single" w:sz="6" w:space="0" w:color="000000"/>
              <w:left w:val="single" w:sz="6" w:space="0" w:color="000000"/>
              <w:right w:val="single" w:sz="6" w:space="0" w:color="000000"/>
            </w:tcBorders>
          </w:tcPr>
          <w:p>
            <w:pPr>
              <w:pStyle w:val="TableParagraph"/>
              <w:spacing w:line="240" w:lineRule="auto" w:before="112"/>
              <w:ind w:left="844" w:right="0"/>
              <w:jc w:val="left"/>
              <w:rPr>
                <w:rFonts w:ascii="宋体" w:hAnsi="宋体" w:cs="宋体" w:eastAsia="宋体" w:hint="default"/>
                <w:sz w:val="21"/>
                <w:szCs w:val="21"/>
              </w:rPr>
            </w:pPr>
            <w:r>
              <w:rPr>
                <w:rFonts w:ascii="宋体"/>
                <w:sz w:val="21"/>
              </w:rPr>
              <w:t>128,610,840.92</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9"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76,742,104.07</w:t>
            </w:r>
          </w:p>
        </w:tc>
      </w:tr>
      <w:tr>
        <w:trPr>
          <w:trHeight w:val="288" w:hRule="exact"/>
        </w:trPr>
        <w:tc>
          <w:tcPr>
            <w:tcW w:w="2329" w:type="dxa"/>
            <w:vMerge/>
            <w:tcBorders>
              <w:left w:val="single" w:sz="6" w:space="0" w:color="000000"/>
              <w:bottom w:val="single" w:sz="6" w:space="0" w:color="000000"/>
              <w:right w:val="single" w:sz="6" w:space="0" w:color="000000"/>
            </w:tcBorders>
          </w:tcPr>
          <w:p>
            <w:pPr/>
          </w:p>
        </w:tc>
        <w:tc>
          <w:tcPr>
            <w:tcW w:w="2352" w:type="dxa"/>
            <w:vMerge/>
            <w:tcBorders>
              <w:left w:val="single" w:sz="6" w:space="0" w:color="000000"/>
              <w:bottom w:val="single" w:sz="6" w:space="0" w:color="000000"/>
              <w:right w:val="single" w:sz="6" w:space="0" w:color="000000"/>
            </w:tcBorders>
          </w:tcPr>
          <w:p>
            <w:pP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51,868,736.85</w:t>
            </w:r>
          </w:p>
        </w:tc>
      </w:tr>
      <w:tr>
        <w:trPr>
          <w:trHeight w:val="288" w:hRule="exact"/>
        </w:trPr>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1,502,417,012.25</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
              <w:jc w:val="right"/>
              <w:rPr>
                <w:rFonts w:ascii="宋体" w:hAnsi="宋体" w:cs="宋体" w:eastAsia="宋体" w:hint="default"/>
                <w:sz w:val="21"/>
                <w:szCs w:val="21"/>
              </w:rPr>
            </w:pPr>
            <w:r>
              <w:rPr>
                <w:rFonts w:ascii="宋体"/>
                <w:spacing w:val="-1"/>
                <w:sz w:val="21"/>
              </w:rPr>
              <w:t>1,501,729,289.87</w:t>
            </w:r>
          </w:p>
        </w:tc>
      </w:tr>
      <w:tr>
        <w:trPr>
          <w:trHeight w:val="286" w:hRule="exact"/>
        </w:trPr>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10,858,883.29</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11,546,605.67</w:t>
            </w:r>
          </w:p>
        </w:tc>
      </w:tr>
      <w:tr>
        <w:trPr>
          <w:trHeight w:val="562" w:hRule="exact"/>
        </w:trPr>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pacing w:val="-5"/>
                <w:sz w:val="21"/>
                <w:szCs w:val="21"/>
              </w:rPr>
              <w:t>销售商品、提供劳务收到</w:t>
            </w:r>
          </w:p>
          <w:p>
            <w:pPr>
              <w:pStyle w:val="TableParagraph"/>
              <w:spacing w:line="273" w:lineRule="exact"/>
              <w:ind w:left="19"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宋体" w:hAnsi="宋体" w:cs="宋体" w:eastAsia="宋体" w:hint="default"/>
                <w:sz w:val="21"/>
                <w:szCs w:val="21"/>
              </w:rPr>
            </w:pPr>
            <w:r>
              <w:rPr>
                <w:rFonts w:ascii="宋体"/>
                <w:spacing w:val="-1"/>
                <w:sz w:val="21"/>
              </w:rPr>
              <w:t>1,535,955,053.17</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销售商品、提供劳务收到的</w:t>
            </w:r>
          </w:p>
          <w:p>
            <w:pPr>
              <w:pStyle w:val="TableParagraph"/>
              <w:spacing w:line="273" w:lineRule="exact"/>
              <w:ind w:left="19"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宋体" w:hAnsi="宋体" w:cs="宋体" w:eastAsia="宋体" w:hint="default"/>
                <w:sz w:val="21"/>
                <w:szCs w:val="21"/>
              </w:rPr>
            </w:pPr>
            <w:r>
              <w:rPr>
                <w:rFonts w:ascii="宋体"/>
                <w:spacing w:val="-1"/>
                <w:sz w:val="21"/>
              </w:rPr>
              <w:t>1,535,267,330.79</w:t>
            </w:r>
          </w:p>
        </w:tc>
      </w:tr>
      <w:tr>
        <w:trPr>
          <w:trHeight w:val="559" w:hRule="exact"/>
        </w:trPr>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 w:right="0"/>
              <w:jc w:val="left"/>
              <w:rPr>
                <w:rFonts w:ascii="宋体" w:hAnsi="宋体" w:cs="宋体" w:eastAsia="宋体" w:hint="default"/>
                <w:sz w:val="21"/>
                <w:szCs w:val="21"/>
              </w:rPr>
            </w:pPr>
            <w:r>
              <w:rPr>
                <w:rFonts w:ascii="宋体" w:hAnsi="宋体" w:cs="宋体" w:eastAsia="宋体" w:hint="default"/>
                <w:spacing w:val="15"/>
                <w:sz w:val="21"/>
                <w:szCs w:val="21"/>
              </w:rPr>
              <w:t>收到其他与经营活动有</w:t>
            </w:r>
          </w:p>
          <w:p>
            <w:pPr>
              <w:pStyle w:val="TableParagraph"/>
              <w:spacing w:line="273" w:lineRule="exact"/>
              <w:ind w:left="19" w:right="0"/>
              <w:jc w:val="left"/>
              <w:rPr>
                <w:rFonts w:ascii="宋体" w:hAnsi="宋体" w:cs="宋体" w:eastAsia="宋体" w:hint="default"/>
                <w:sz w:val="21"/>
                <w:szCs w:val="21"/>
              </w:rPr>
            </w:pPr>
            <w:r>
              <w:rPr>
                <w:rFonts w:ascii="宋体" w:hAnsi="宋体" w:cs="宋体" w:eastAsia="宋体" w:hint="default"/>
                <w:sz w:val="21"/>
                <w:szCs w:val="21"/>
              </w:rPr>
              <w:t>关的现金</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9,104,103.29</w:t>
            </w:r>
          </w:p>
        </w:tc>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9"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9,791,825.67</w:t>
            </w:r>
          </w:p>
        </w:tc>
      </w:tr>
    </w:tbl>
    <w:p>
      <w:pPr>
        <w:spacing w:line="240" w:lineRule="auto" w:before="12"/>
        <w:rPr>
          <w:rFonts w:ascii="宋体" w:hAnsi="宋体" w:cs="宋体" w:eastAsia="宋体" w:hint="default"/>
          <w:sz w:val="19"/>
          <w:szCs w:val="19"/>
        </w:rPr>
      </w:pPr>
    </w:p>
    <w:p>
      <w:pPr>
        <w:pStyle w:val="Heading2"/>
        <w:spacing w:line="240" w:lineRule="auto"/>
        <w:ind w:left="258" w:right="0"/>
        <w:jc w:val="left"/>
        <w:rPr>
          <w:b w:val="0"/>
          <w:bCs w:val="0"/>
        </w:rPr>
      </w:pPr>
      <w:r>
        <w:rPr>
          <w:rFonts w:ascii="宋体" w:hAnsi="宋体" w:cs="宋体" w:eastAsia="宋体" w:hint="default"/>
        </w:rPr>
        <w:t>(2).</w:t>
      </w:r>
      <w:r>
        <w:rPr/>
        <w:t>重要会计估计变更</w:t>
      </w:r>
      <w:r>
        <w:rPr>
          <w:b w:val="0"/>
          <w:bCs w:val="0"/>
        </w:rPr>
      </w:r>
    </w:p>
    <w:p>
      <w:pPr>
        <w:spacing w:line="290" w:lineRule="auto" w:before="58"/>
        <w:ind w:left="258" w:right="773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tabs>
          <w:tab w:pos="1100" w:val="left" w:leader="none"/>
        </w:tabs>
        <w:spacing w:line="290" w:lineRule="auto" w:before="14"/>
        <w:ind w:left="258" w:right="764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六、税项</w:t>
      </w:r>
      <w:r>
        <w:rPr>
          <w:rFonts w:ascii="宋体" w:hAnsi="宋体" w:cs="宋体" w:eastAsia="宋体" w:hint="default"/>
          <w:sz w:val="21"/>
          <w:szCs w:val="21"/>
        </w:rPr>
      </w:r>
    </w:p>
    <w:p>
      <w:pPr>
        <w:tabs>
          <w:tab w:pos="682" w:val="left" w:leader="none"/>
        </w:tabs>
        <w:spacing w:line="290" w:lineRule="auto" w:before="14"/>
        <w:ind w:left="258" w:right="742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30" w:lineRule="exact"/>
        <w:ind w:left="25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782"/>
        <w:gridCol w:w="4131"/>
        <w:gridCol w:w="2410"/>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应税收入按</w:t>
            </w:r>
            <w:r>
              <w:rPr>
                <w:rFonts w:ascii="宋体" w:hAnsi="宋体" w:cs="宋体" w:eastAsia="宋体" w:hint="default"/>
                <w:spacing w:val="-31"/>
                <w:sz w:val="21"/>
                <w:szCs w:val="21"/>
              </w:rPr>
              <w:t> </w:t>
            </w:r>
            <w:r>
              <w:rPr>
                <w:rFonts w:ascii="宋体" w:hAnsi="宋体" w:cs="宋体" w:eastAsia="宋体" w:hint="default"/>
                <w:spacing w:val="-3"/>
                <w:sz w:val="21"/>
                <w:szCs w:val="21"/>
              </w:rPr>
              <w:t>6%</w:t>
            </w:r>
            <w:r>
              <w:rPr>
                <w:rFonts w:ascii="宋体" w:hAnsi="宋体" w:cs="宋体" w:eastAsia="宋体" w:hint="default"/>
                <w:spacing w:val="-3"/>
                <w:sz w:val="21"/>
                <w:szCs w:val="21"/>
              </w:rPr>
              <w:t>、</w:t>
            </w:r>
            <w:r>
              <w:rPr>
                <w:rFonts w:ascii="宋体" w:hAnsi="宋体" w:cs="宋体" w:eastAsia="宋体" w:hint="default"/>
                <w:spacing w:val="-3"/>
                <w:sz w:val="21"/>
                <w:szCs w:val="21"/>
              </w:rPr>
              <w:t>16%</w:t>
            </w:r>
            <w:r>
              <w:rPr>
                <w:rFonts w:ascii="宋体" w:hAnsi="宋体" w:cs="宋体" w:eastAsia="宋体" w:hint="default"/>
                <w:spacing w:val="-3"/>
                <w:sz w:val="21"/>
                <w:szCs w:val="21"/>
              </w:rPr>
              <w:t>的税率计算销项税，并</w:t>
            </w:r>
          </w:p>
          <w:p>
            <w:pPr>
              <w:pStyle w:val="TableParagraph"/>
              <w:spacing w:line="272" w:lineRule="exact" w:before="27"/>
              <w:ind w:left="100" w:right="105"/>
              <w:jc w:val="left"/>
              <w:rPr>
                <w:rFonts w:ascii="宋体" w:hAnsi="宋体" w:cs="宋体" w:eastAsia="宋体" w:hint="default"/>
                <w:sz w:val="21"/>
                <w:szCs w:val="21"/>
              </w:rPr>
            </w:pPr>
            <w:r>
              <w:rPr>
                <w:rFonts w:ascii="宋体" w:hAnsi="宋体" w:cs="宋体" w:eastAsia="宋体" w:hint="default"/>
                <w:spacing w:val="4"/>
                <w:sz w:val="21"/>
                <w:szCs w:val="21"/>
              </w:rPr>
              <w:t>按扣除当期允许抵扣的进项税额后的差额</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计缴增值税。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16%</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计缴。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详见下表。</w:t>
            </w:r>
          </w:p>
        </w:tc>
        <w:tc>
          <w:tcPr>
            <w:tcW w:w="241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按实际缴纳的流转税的</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z w:val="21"/>
                <w:szCs w:val="21"/>
              </w:rPr>
              <w:t>计缴。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按应税收入的</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计缴。</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其他税项</w:t>
            </w:r>
          </w:p>
        </w:tc>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按国家的有关具体规定计缴。</w:t>
            </w:r>
          </w:p>
        </w:tc>
        <w:tc>
          <w:tcPr>
            <w:tcW w:w="24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58" w:right="0" w:firstLine="419"/>
        <w:jc w:val="left"/>
      </w:pPr>
      <w:r>
        <w:rPr>
          <w:spacing w:val="-2"/>
        </w:rPr>
        <w:t>注：本公司发生增值税应税销售行为或者进口货物，原使用</w:t>
      </w:r>
      <w:r>
        <w:rPr>
          <w:spacing w:val="28"/>
        </w:rPr>
        <w:t> </w:t>
      </w:r>
      <w:r>
        <w:rPr>
          <w:rFonts w:ascii="宋体" w:hAnsi="宋体" w:cs="宋体" w:eastAsia="宋体" w:hint="default"/>
          <w:spacing w:val="-2"/>
        </w:rPr>
        <w:t>17%/11%</w:t>
      </w:r>
      <w:r>
        <w:rPr>
          <w:spacing w:val="-2"/>
        </w:rPr>
        <w:t>税率。根据《财政部、</w:t>
      </w:r>
    </w:p>
    <w:p>
      <w:pPr>
        <w:pStyle w:val="BodyText"/>
        <w:spacing w:line="355" w:lineRule="auto" w:before="133"/>
        <w:ind w:left="258" w:right="554"/>
        <w:jc w:val="left"/>
      </w:pPr>
      <w:r>
        <w:rPr/>
        <w:t>国家税务总局关于调整增值税税率的通知》（财税</w:t>
      </w:r>
      <w:r>
        <w:rPr>
          <w:rFonts w:ascii="宋体" w:hAnsi="宋体" w:cs="宋体" w:eastAsia="宋体" w:hint="default"/>
        </w:rPr>
        <w:t>[2018]32</w:t>
      </w:r>
      <w:r>
        <w:rPr>
          <w:rFonts w:ascii="宋体" w:hAnsi="宋体" w:cs="宋体" w:eastAsia="宋体" w:hint="default"/>
          <w:spacing w:val="-54"/>
        </w:rPr>
        <w:t> </w:t>
      </w:r>
      <w:r>
        <w:rPr/>
        <w:t>号）规定，自</w:t>
      </w:r>
      <w:r>
        <w:rPr>
          <w:spacing w:val="-54"/>
        </w:rPr>
        <w:t> </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日起，</w:t>
      </w:r>
      <w:r>
        <w:rPr>
          <w:w w:val="100"/>
        </w:rPr>
        <w:t> </w:t>
      </w:r>
      <w:r>
        <w:rPr/>
        <w:t>使用税率调整为</w:t>
      </w:r>
      <w:r>
        <w:rPr>
          <w:spacing w:val="-54"/>
        </w:rPr>
        <w:t> </w:t>
      </w:r>
      <w:r>
        <w:rPr>
          <w:rFonts w:ascii="宋体" w:hAnsi="宋体" w:cs="宋体" w:eastAsia="宋体" w:hint="default"/>
        </w:rPr>
        <w:t>16%/10%</w:t>
      </w:r>
      <w:r>
        <w:rPr/>
        <w:t>。</w:t>
      </w:r>
    </w:p>
    <w:p>
      <w:pPr>
        <w:pStyle w:val="BodyText"/>
        <w:spacing w:line="273" w:lineRule="exact" w:before="34"/>
        <w:ind w:left="258" w:right="0"/>
        <w:jc w:val="left"/>
      </w:pPr>
      <w:r>
        <w:rPr/>
        <w:t>存在不同企业所得税税率纳税主体的，披露情况说明</w:t>
      </w:r>
    </w:p>
    <w:p>
      <w:pPr>
        <w:pStyle w:val="BodyText"/>
        <w:spacing w:line="273" w:lineRule="exact"/>
        <w:ind w:left="258" w:right="0"/>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601"/>
        <w:gridCol w:w="4722"/>
      </w:tblGrid>
      <w:tr>
        <w:trPr>
          <w:trHeight w:val="286" w:hRule="exact"/>
        </w:trPr>
        <w:tc>
          <w:tcPr>
            <w:tcW w:w="4601"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722"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left="156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9" w:hRule="exact"/>
        </w:trPr>
        <w:tc>
          <w:tcPr>
            <w:tcW w:w="4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亿连科技</w:t>
            </w:r>
          </w:p>
        </w:tc>
        <w:tc>
          <w:tcPr>
            <w:tcW w:w="472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4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四川子公司</w:t>
            </w:r>
          </w:p>
        </w:tc>
        <w:tc>
          <w:tcPr>
            <w:tcW w:w="472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6" w:hRule="exact"/>
        </w:trPr>
        <w:tc>
          <w:tcPr>
            <w:tcW w:w="4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江苏子公司</w:t>
            </w:r>
          </w:p>
        </w:tc>
        <w:tc>
          <w:tcPr>
            <w:tcW w:w="472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46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广东子公司</w:t>
            </w:r>
          </w:p>
        </w:tc>
        <w:tc>
          <w:tcPr>
            <w:tcW w:w="472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4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创业投资</w:t>
            </w:r>
          </w:p>
        </w:tc>
        <w:tc>
          <w:tcPr>
            <w:tcW w:w="472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6" w:hRule="exact"/>
        </w:trPr>
        <w:tc>
          <w:tcPr>
            <w:tcW w:w="4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亿连投资</w:t>
            </w:r>
          </w:p>
        </w:tc>
        <w:tc>
          <w:tcPr>
            <w:tcW w:w="472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46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科技公司</w:t>
            </w:r>
          </w:p>
        </w:tc>
        <w:tc>
          <w:tcPr>
            <w:tcW w:w="472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15.00</w:t>
            </w:r>
          </w:p>
        </w:tc>
      </w:tr>
      <w:tr>
        <w:trPr>
          <w:trHeight w:val="288" w:hRule="exact"/>
        </w:trPr>
        <w:tc>
          <w:tcPr>
            <w:tcW w:w="4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新华炫闻</w:t>
            </w:r>
          </w:p>
        </w:tc>
        <w:tc>
          <w:tcPr>
            <w:tcW w:w="472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25.00</w:t>
            </w:r>
          </w:p>
        </w:tc>
      </w:tr>
      <w:tr>
        <w:trPr>
          <w:trHeight w:val="288" w:hRule="exact"/>
        </w:trPr>
        <w:tc>
          <w:tcPr>
            <w:tcW w:w="4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新华网欧洲公司</w:t>
            </w:r>
          </w:p>
        </w:tc>
        <w:tc>
          <w:tcPr>
            <w:tcW w:w="472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w:t>
            </w:r>
          </w:p>
        </w:tc>
      </w:tr>
      <w:tr>
        <w:trPr>
          <w:trHeight w:val="286" w:hRule="exact"/>
        </w:trPr>
        <w:tc>
          <w:tcPr>
            <w:tcW w:w="46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欧洲传播与运营中心</w:t>
            </w:r>
          </w:p>
        </w:tc>
        <w:tc>
          <w:tcPr>
            <w:tcW w:w="472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33.99</w:t>
            </w:r>
          </w:p>
        </w:tc>
      </w:tr>
      <w:tr>
        <w:trPr>
          <w:trHeight w:val="288" w:hRule="exact"/>
        </w:trPr>
        <w:tc>
          <w:tcPr>
            <w:tcW w:w="46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北美子公司</w:t>
            </w:r>
          </w:p>
        </w:tc>
        <w:tc>
          <w:tcPr>
            <w:tcW w:w="472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15.00</w:t>
            </w:r>
          </w:p>
        </w:tc>
      </w:tr>
      <w:tr>
        <w:trPr>
          <w:trHeight w:val="286" w:hRule="exact"/>
        </w:trPr>
        <w:tc>
          <w:tcPr>
            <w:tcW w:w="460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亚太子公司</w:t>
            </w:r>
          </w:p>
        </w:tc>
        <w:tc>
          <w:tcPr>
            <w:tcW w:w="47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16.50</w:t>
            </w:r>
          </w:p>
        </w:tc>
      </w:tr>
    </w:tbl>
    <w:p>
      <w:pPr>
        <w:pStyle w:val="Heading2"/>
        <w:tabs>
          <w:tab w:pos="682" w:val="left" w:leader="none"/>
        </w:tabs>
        <w:spacing w:line="240" w:lineRule="auto" w:before="26"/>
        <w:ind w:left="258" w:right="0"/>
        <w:jc w:val="left"/>
        <w:rPr>
          <w:b w:val="0"/>
          <w:bCs w:val="0"/>
        </w:rPr>
      </w:pPr>
      <w:r>
        <w:rPr>
          <w:rFonts w:ascii="宋体" w:hAnsi="宋体" w:cs="宋体" w:eastAsia="宋体" w:hint="default"/>
          <w:w w:val="95"/>
        </w:rPr>
        <w:t>2.</w:t>
        <w:tab/>
      </w:r>
      <w:r>
        <w:rPr/>
        <w:t>税收优惠</w:t>
      </w:r>
      <w:r>
        <w:rPr>
          <w:b w:val="0"/>
          <w:bCs w:val="0"/>
        </w:rPr>
      </w:r>
    </w:p>
    <w:p>
      <w:pPr>
        <w:pStyle w:val="BodyText"/>
        <w:tabs>
          <w:tab w:pos="1100" w:val="left" w:leader="none"/>
        </w:tabs>
        <w:spacing w:line="240" w:lineRule="auto" w:before="56"/>
        <w:ind w:left="258" w:right="0"/>
        <w:jc w:val="left"/>
      </w:pPr>
      <w:r>
        <w:rPr>
          <w:spacing w:val="-1"/>
        </w:rPr>
        <w:t>√适用</w:t>
        <w:tab/>
      </w:r>
      <w:r>
        <w:rPr>
          <w:spacing w:val="-2"/>
        </w:rPr>
        <w:t>□不适用</w:t>
      </w:r>
    </w:p>
    <w:p>
      <w:pPr>
        <w:spacing w:after="0" w:line="240" w:lineRule="auto"/>
        <w:jc w:val="left"/>
        <w:sectPr>
          <w:footerReference w:type="default" r:id="rId60"/>
          <w:pgSz w:w="11910" w:h="16840"/>
          <w:pgMar w:footer="1195" w:header="882" w:top="1120" w:bottom="1380" w:left="1540" w:right="780"/>
          <w:pgNumType w:start="111"/>
        </w:sectPr>
      </w:pPr>
    </w:p>
    <w:p>
      <w:pPr>
        <w:spacing w:line="240" w:lineRule="auto" w:before="1"/>
        <w:rPr>
          <w:rFonts w:ascii="宋体" w:hAnsi="宋体" w:cs="宋体" w:eastAsia="宋体" w:hint="default"/>
          <w:sz w:val="25"/>
          <w:szCs w:val="25"/>
        </w:rPr>
      </w:pPr>
    </w:p>
    <w:p>
      <w:pPr>
        <w:pStyle w:val="BodyText"/>
        <w:spacing w:line="357" w:lineRule="auto" w:before="36"/>
        <w:ind w:right="227" w:firstLine="419"/>
        <w:jc w:val="both"/>
      </w:pPr>
      <w:r>
        <w:rPr>
          <w:spacing w:val="-2"/>
        </w:rPr>
        <w:t>根据《财政部、国家税务总局关于文化体制改革中经营性文化事业单位转制为企业的若干税</w:t>
      </w:r>
      <w:r>
        <w:rPr>
          <w:w w:val="100"/>
        </w:rPr>
        <w:t> </w:t>
      </w:r>
      <w:r>
        <w:rPr/>
        <w:t>收优惠政策的通知》（财税</w:t>
      </w:r>
      <w:r>
        <w:rPr>
          <w:rFonts w:ascii="宋体" w:hAnsi="宋体" w:cs="宋体" w:eastAsia="宋体" w:hint="default"/>
        </w:rPr>
        <w:t>[2009]34</w:t>
      </w:r>
      <w:r>
        <w:rPr>
          <w:rFonts w:ascii="宋体" w:hAnsi="宋体" w:cs="宋体" w:eastAsia="宋体" w:hint="default"/>
          <w:spacing w:val="-34"/>
        </w:rPr>
        <w:t> </w:t>
      </w:r>
      <w:r>
        <w:rPr>
          <w:spacing w:val="-3"/>
        </w:rPr>
        <w:t>号）规定：经营性文化事业单位转制为企业，自转制注册之</w:t>
      </w:r>
      <w:r>
        <w:rPr>
          <w:spacing w:val="-97"/>
        </w:rPr>
        <w:t> </w:t>
      </w:r>
      <w:r>
        <w:rPr>
          <w:spacing w:val="-97"/>
        </w:rPr>
      </w:r>
      <w:r>
        <w:rPr>
          <w:spacing w:val="-2"/>
        </w:rPr>
        <w:t>日起免征企业所得税；根据《关于下发红旗出版社有限责任公司等中央所属转制文化企业名单的</w:t>
      </w:r>
      <w:r>
        <w:rPr>
          <w:spacing w:val="-25"/>
        </w:rPr>
        <w:t> </w:t>
      </w:r>
      <w:r>
        <w:rPr>
          <w:spacing w:val="-25"/>
        </w:rPr>
      </w:r>
      <w:r>
        <w:rPr/>
        <w:t>通知》（财税</w:t>
      </w:r>
      <w:r>
        <w:rPr>
          <w:rFonts w:ascii="宋体" w:hAnsi="宋体" w:cs="宋体" w:eastAsia="宋体" w:hint="default"/>
        </w:rPr>
        <w:t>[2011]3</w:t>
      </w:r>
      <w:r>
        <w:rPr>
          <w:rFonts w:ascii="宋体" w:hAnsi="宋体" w:cs="宋体" w:eastAsia="宋体" w:hint="default"/>
          <w:spacing w:val="-56"/>
        </w:rPr>
        <w:t> </w:t>
      </w:r>
      <w:r>
        <w:rPr/>
        <w:t>号）规定：本公司被认定为转制文化企业，应按照财税</w:t>
      </w:r>
      <w:r>
        <w:rPr>
          <w:rFonts w:ascii="宋体" w:hAnsi="宋体" w:cs="宋体" w:eastAsia="宋体" w:hint="default"/>
        </w:rPr>
        <w:t>[2009]34</w:t>
      </w:r>
      <w:r>
        <w:rPr>
          <w:rFonts w:ascii="宋体" w:hAnsi="宋体" w:cs="宋体" w:eastAsia="宋体" w:hint="default"/>
          <w:spacing w:val="-56"/>
        </w:rPr>
        <w:t> </w:t>
      </w:r>
      <w:r>
        <w:rPr/>
        <w:t>号规定享</w:t>
      </w:r>
      <w:r>
        <w:rPr>
          <w:w w:val="100"/>
        </w:rPr>
        <w:t> </w:t>
      </w:r>
      <w:r>
        <w:rPr/>
        <w:t>受税收优惠政策。执行期限为</w:t>
      </w:r>
      <w:r>
        <w:rPr>
          <w:spacing w:val="-52"/>
        </w:rPr>
        <w:t> </w:t>
      </w:r>
      <w:r>
        <w:rPr>
          <w:rFonts w:ascii="宋体" w:hAnsi="宋体" w:cs="宋体" w:eastAsia="宋体" w:hint="default"/>
        </w:rPr>
        <w:t>2010</w:t>
      </w:r>
      <w:r>
        <w:rPr>
          <w:rFonts w:ascii="宋体" w:hAnsi="宋体" w:cs="宋体" w:eastAsia="宋体" w:hint="default"/>
          <w:spacing w:val="-54"/>
        </w:rPr>
        <w:t> </w:t>
      </w:r>
      <w:r>
        <w:rPr/>
        <w:t>年</w:t>
      </w:r>
      <w:r>
        <w:rPr>
          <w:spacing w:val="-52"/>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2013</w:t>
      </w:r>
      <w:r>
        <w:rPr>
          <w:rFonts w:ascii="宋体" w:hAnsi="宋体" w:cs="宋体" w:eastAsia="宋体" w:hint="default"/>
          <w:spacing w:val="-52"/>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w:t>
      </w:r>
    </w:p>
    <w:p>
      <w:pPr>
        <w:pStyle w:val="BodyText"/>
        <w:spacing w:line="357" w:lineRule="auto" w:before="30"/>
        <w:ind w:right="217" w:firstLine="419"/>
        <w:jc w:val="left"/>
      </w:pPr>
      <w:r>
        <w:rPr>
          <w:spacing w:val="-2"/>
        </w:rPr>
        <w:t>根据《国务院办公厅关于印发文化体制改革中经营性文化事业单位转制为企业和进一步支持</w:t>
      </w:r>
      <w:r>
        <w:rPr>
          <w:w w:val="100"/>
        </w:rPr>
        <w:t> </w:t>
      </w:r>
      <w:r>
        <w:rPr/>
        <w:t>文化企业发展两个规定的通知》（国办发</w:t>
      </w:r>
      <w:r>
        <w:rPr>
          <w:rFonts w:ascii="宋体" w:hAnsi="宋体" w:cs="宋体" w:eastAsia="宋体" w:hint="default"/>
        </w:rPr>
        <w:t>[2014]15</w:t>
      </w:r>
      <w:r>
        <w:rPr>
          <w:rFonts w:ascii="宋体" w:hAnsi="宋体" w:cs="宋体" w:eastAsia="宋体" w:hint="default"/>
          <w:spacing w:val="-46"/>
        </w:rPr>
        <w:t> </w:t>
      </w:r>
      <w:r>
        <w:rPr>
          <w:spacing w:val="-3"/>
        </w:rPr>
        <w:t>号）及《关于继续实施支持文化体制改革中经</w:t>
      </w:r>
      <w:r>
        <w:rPr>
          <w:spacing w:val="-101"/>
        </w:rPr>
        <w:t> </w:t>
      </w:r>
      <w:r>
        <w:rPr>
          <w:spacing w:val="-101"/>
        </w:rPr>
      </w:r>
      <w:r>
        <w:rPr>
          <w:spacing w:val="-2"/>
        </w:rPr>
        <w:t>营性文化事业单位转制为企业若干税收政策的通知》（财税</w:t>
      </w:r>
      <w:r>
        <w:rPr>
          <w:rFonts w:ascii="宋体" w:hAnsi="宋体" w:cs="宋体" w:eastAsia="宋体" w:hint="default"/>
          <w:spacing w:val="-2"/>
        </w:rPr>
        <w:t>[2014]84</w:t>
      </w:r>
      <w:r>
        <w:rPr>
          <w:rFonts w:ascii="宋体" w:hAnsi="宋体" w:cs="宋体" w:eastAsia="宋体" w:hint="default"/>
        </w:rPr>
        <w:t> </w:t>
      </w:r>
      <w:r>
        <w:rPr>
          <w:spacing w:val="-4"/>
        </w:rPr>
        <w:t>号）规定：保留和延续原有</w:t>
      </w:r>
      <w:r>
        <w:rPr>
          <w:spacing w:val="-91"/>
        </w:rPr>
        <w:t> </w:t>
      </w:r>
      <w:r>
        <w:rPr>
          <w:spacing w:val="-91"/>
        </w:rPr>
      </w:r>
      <w:r>
        <w:rPr>
          <w:spacing w:val="-2"/>
        </w:rPr>
        <w:t>给予转制企业的财政支持、税收减免、社保接续、人员分流安置等多方面优惠政策；对文化企业</w:t>
      </w:r>
      <w:r>
        <w:rPr>
          <w:spacing w:val="-25"/>
        </w:rPr>
        <w:t> </w:t>
      </w:r>
      <w:r>
        <w:rPr>
          <w:spacing w:val="-25"/>
        </w:rPr>
      </w:r>
      <w:r>
        <w:rPr/>
        <w:t>按照规定应予减免的税款已征收入库的，可抵减以后纳税期应缴税款或办理退库。执行期限为</w:t>
      </w:r>
      <w:r>
        <w:rPr>
          <w:w w:val="100"/>
        </w:rPr>
        <w:t> </w:t>
      </w:r>
      <w:r>
        <w:rPr>
          <w:rFonts w:ascii="宋体" w:hAnsi="宋体" w:cs="宋体" w:eastAsia="宋体" w:hint="default"/>
        </w:rPr>
        <w:t>2014</w:t>
      </w:r>
      <w:r>
        <w:rPr>
          <w:rFonts w:ascii="宋体" w:hAnsi="宋体" w:cs="宋体" w:eastAsia="宋体" w:hint="default"/>
          <w:spacing w:val="-54"/>
        </w:rPr>
        <w:t> </w:t>
      </w:r>
      <w:r>
        <w:rPr/>
        <w:t>年</w:t>
      </w:r>
      <w:r>
        <w:rPr>
          <w:spacing w:val="-52"/>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1</w:t>
      </w:r>
      <w:r>
        <w:rPr>
          <w:rFonts w:ascii="宋体" w:hAnsi="宋体" w:cs="宋体" w:eastAsia="宋体" w:hint="default"/>
          <w:spacing w:val="-54"/>
        </w:rPr>
        <w:t> </w:t>
      </w:r>
      <w:r>
        <w:rPr/>
        <w:t>日至</w:t>
      </w:r>
      <w:r>
        <w:rPr>
          <w:spacing w:val="-52"/>
        </w:rPr>
        <w:t> </w:t>
      </w:r>
      <w:r>
        <w:rPr>
          <w:rFonts w:ascii="宋体" w:hAnsi="宋体" w:cs="宋体" w:eastAsia="宋体" w:hint="default"/>
        </w:rPr>
        <w:t>2018</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w:t>
      </w:r>
    </w:p>
    <w:p>
      <w:pPr>
        <w:pStyle w:val="BodyText"/>
        <w:spacing w:line="355" w:lineRule="auto" w:before="30"/>
        <w:ind w:right="237" w:firstLine="419"/>
        <w:jc w:val="both"/>
      </w:pPr>
      <w:r>
        <w:rPr>
          <w:spacing w:val="-2"/>
        </w:rPr>
        <w:t>根据《国务院办公厅关于印发文化体制改革中经营性文化事业单位转制为企业和进一步支持</w:t>
      </w:r>
      <w:r>
        <w:rPr>
          <w:w w:val="100"/>
        </w:rPr>
        <w:t> </w:t>
      </w:r>
      <w:r>
        <w:rPr/>
        <w:t>文化企业发展两个规定的通知》（国办发</w:t>
      </w:r>
      <w:r>
        <w:rPr>
          <w:rFonts w:ascii="宋体" w:hAnsi="宋体" w:cs="宋体" w:eastAsia="宋体" w:hint="default"/>
        </w:rPr>
        <w:t>[2018]124</w:t>
      </w:r>
      <w:r>
        <w:rPr>
          <w:rFonts w:ascii="宋体" w:hAnsi="宋体" w:cs="宋体" w:eastAsia="宋体" w:hint="default"/>
          <w:spacing w:val="-54"/>
        </w:rPr>
        <w:t> </w:t>
      </w:r>
      <w:r>
        <w:rPr/>
        <w:t>号）规定：经营性文化事业单位转制为企业</w:t>
      </w:r>
      <w:r>
        <w:rPr>
          <w:w w:val="100"/>
        </w:rPr>
        <w:t> </w:t>
      </w:r>
      <w:r>
        <w:rPr/>
        <w:t>后，五年内免征企业所得税。</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日之前已完成转制的企业，自</w:t>
      </w:r>
      <w:r>
        <w:rPr>
          <w:spacing w:val="-55"/>
        </w:rPr>
        <w:t> </w:t>
      </w:r>
      <w:r>
        <w:rPr>
          <w:rFonts w:ascii="宋体" w:hAnsi="宋体" w:cs="宋体" w:eastAsia="宋体" w:hint="default"/>
        </w:rPr>
        <w:t>2019</w:t>
      </w:r>
      <w:r>
        <w:rPr>
          <w:rFonts w:ascii="宋体" w:hAnsi="宋体" w:cs="宋体" w:eastAsia="宋体" w:hint="default"/>
          <w:spacing w:val="-54"/>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日起</w:t>
      </w:r>
    </w:p>
    <w:p>
      <w:pPr>
        <w:pStyle w:val="BodyText"/>
        <w:spacing w:line="240" w:lineRule="auto" w:before="32"/>
        <w:ind w:right="227"/>
        <w:jc w:val="left"/>
      </w:pPr>
      <w:r>
        <w:rPr/>
        <w:t>可继续免征五年企业所得税。执行期限为</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2023</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2" w:footer="1195" w:top="1120" w:bottom="1380" w:left="1580" w:right="1040"/>
        </w:sectPr>
      </w:pPr>
    </w:p>
    <w:p>
      <w:pPr>
        <w:pStyle w:val="Heading2"/>
        <w:tabs>
          <w:tab w:pos="642" w:val="left" w:leader="none"/>
        </w:tabs>
        <w:spacing w:line="240" w:lineRule="auto"/>
        <w:ind w:right="0"/>
        <w:jc w:val="left"/>
        <w:rPr>
          <w:b w:val="0"/>
          <w:bCs w:val="0"/>
        </w:rPr>
      </w:pPr>
      <w:r>
        <w:rPr>
          <w:rFonts w:ascii="宋体" w:hAnsi="宋体" w:cs="宋体" w:eastAsia="宋体" w:hint="default"/>
          <w:w w:val="95"/>
        </w:rPr>
        <w:t>3.</w:t>
        <w:tab/>
      </w:r>
      <w:r>
        <w:rPr/>
        <w:t>其他</w:t>
      </w:r>
      <w:r>
        <w:rPr>
          <w:b w:val="0"/>
          <w:bCs w:val="0"/>
        </w:rPr>
      </w:r>
    </w:p>
    <w:p>
      <w:pPr>
        <w:tabs>
          <w:tab w:pos="1060" w:val="left" w:leader="none"/>
        </w:tabs>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七、合并财务报表项目注释</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tabs>
          <w:tab w:pos="1060" w:val="left" w:leader="none"/>
        </w:tabs>
        <w:spacing w:line="240" w:lineRule="auto" w:before="14"/>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75"/>
        <w:gridCol w:w="2835"/>
        <w:gridCol w:w="2852"/>
      </w:tblGrid>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11,965.29</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16,704.92</w:t>
            </w:r>
          </w:p>
        </w:tc>
      </w:tr>
      <w:tr>
        <w:trPr>
          <w:trHeight w:val="281"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2,150,536,579.34</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2,186,828,904.33</w:t>
            </w:r>
          </w:p>
        </w:tc>
      </w:tr>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38,940,446.76</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2,306,988.00</w:t>
            </w:r>
          </w:p>
        </w:tc>
      </w:tr>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2,189,488,991.39</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2,189,152,597.25</w:t>
            </w:r>
          </w:p>
        </w:tc>
      </w:tr>
      <w:tr>
        <w:trPr>
          <w:trHeight w:val="283" w:hRule="exact"/>
        </w:trPr>
        <w:tc>
          <w:tcPr>
            <w:tcW w:w="3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36,198,102.31</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26,641,430.17</w:t>
            </w:r>
          </w:p>
        </w:tc>
      </w:tr>
    </w:tbl>
    <w:p>
      <w:pPr>
        <w:pStyle w:val="BodyText"/>
        <w:spacing w:line="240" w:lineRule="exact"/>
        <w:ind w:right="3319"/>
        <w:jc w:val="left"/>
      </w:pPr>
      <w:r>
        <w:rPr/>
        <w:t>其他说明</w:t>
      </w:r>
    </w:p>
    <w:p>
      <w:pPr>
        <w:pStyle w:val="BodyText"/>
        <w:spacing w:line="273" w:lineRule="exact"/>
        <w:ind w:left="638" w:right="227"/>
        <w:jc w:val="left"/>
      </w:pPr>
      <w:r>
        <w:rPr/>
        <w:t>（</w:t>
      </w:r>
      <w:r>
        <w:rPr>
          <w:rFonts w:ascii="宋体" w:hAnsi="宋体" w:cs="宋体" w:eastAsia="宋体" w:hint="default"/>
        </w:rPr>
        <w:t>1</w:t>
      </w:r>
      <w:r>
        <w:rPr/>
        <w:t>）期末银行存款中具有明确持有至到期意图的定期存款</w:t>
      </w:r>
      <w:r>
        <w:rPr>
          <w:spacing w:val="-56"/>
        </w:rPr>
        <w:t> </w:t>
      </w:r>
      <w:r>
        <w:rPr>
          <w:rFonts w:ascii="宋体" w:hAnsi="宋体" w:cs="宋体" w:eastAsia="宋体" w:hint="default"/>
        </w:rPr>
        <w:t>290,154,000.00</w:t>
      </w:r>
      <w:r>
        <w:rPr>
          <w:rFonts w:ascii="宋体" w:hAnsi="宋体" w:cs="宋体" w:eastAsia="宋体" w:hint="default"/>
          <w:spacing w:val="-58"/>
        </w:rPr>
        <w:t> </w:t>
      </w:r>
      <w:r>
        <w:rPr/>
        <w:t>元（年初为</w:t>
      </w:r>
    </w:p>
    <w:p>
      <w:pPr>
        <w:pStyle w:val="BodyText"/>
        <w:spacing w:line="240" w:lineRule="auto" w:before="133"/>
        <w:ind w:right="3319"/>
        <w:jc w:val="left"/>
      </w:pPr>
      <w:r>
        <w:rPr>
          <w:rFonts w:ascii="宋体" w:hAnsi="宋体" w:cs="宋体" w:eastAsia="宋体" w:hint="default"/>
        </w:rPr>
        <w:t>859,219,996.21</w:t>
      </w:r>
      <w:r>
        <w:rPr>
          <w:rFonts w:ascii="宋体" w:hAnsi="宋体" w:cs="宋体" w:eastAsia="宋体" w:hint="default"/>
          <w:spacing w:val="-53"/>
        </w:rPr>
        <w:t> </w:t>
      </w:r>
      <w:r>
        <w:rPr/>
        <w:t>元）；</w:t>
      </w:r>
    </w:p>
    <w:p>
      <w:pPr>
        <w:pStyle w:val="BodyText"/>
        <w:spacing w:line="240" w:lineRule="auto" w:before="133"/>
        <w:ind w:left="638" w:right="227"/>
        <w:jc w:val="left"/>
      </w:pPr>
      <w:r>
        <w:rPr/>
        <w:t>（</w:t>
      </w:r>
      <w:r>
        <w:rPr>
          <w:rFonts w:ascii="宋体" w:hAnsi="宋体" w:cs="宋体" w:eastAsia="宋体" w:hint="default"/>
        </w:rPr>
        <w:t>2</w:t>
      </w:r>
      <w:r>
        <w:rPr/>
        <w:t>）其他货币资金主要为向银行申请开具无条件、不可撤销的履约保函保证金存款；</w:t>
      </w:r>
    </w:p>
    <w:p>
      <w:pPr>
        <w:pStyle w:val="BodyText"/>
        <w:spacing w:line="355" w:lineRule="auto" w:before="135"/>
        <w:ind w:right="227" w:firstLine="419"/>
        <w:jc w:val="left"/>
      </w:pPr>
      <w:r>
        <w:rPr>
          <w:spacing w:val="-2"/>
        </w:rPr>
        <w:t>（</w:t>
      </w:r>
      <w:r>
        <w:rPr>
          <w:rFonts w:ascii="宋体" w:hAnsi="宋体" w:cs="宋体" w:eastAsia="宋体" w:hint="default"/>
          <w:spacing w:val="-2"/>
        </w:rPr>
        <w:t>3</w:t>
      </w:r>
      <w:r>
        <w:rPr>
          <w:spacing w:val="-2"/>
        </w:rPr>
        <w:t>）年末存放于境外的货币资金汇回不受限制，外币情况详见本报告第十一节、七、</w:t>
      </w:r>
      <w:r>
        <w:rPr>
          <w:rFonts w:ascii="宋体" w:hAnsi="宋体" w:cs="宋体" w:eastAsia="宋体" w:hint="default"/>
          <w:spacing w:val="-2"/>
        </w:rPr>
        <w:t>71</w:t>
      </w:r>
      <w:r>
        <w:rPr>
          <w:rFonts w:ascii="宋体" w:hAnsi="宋体" w:cs="宋体" w:eastAsia="宋体" w:hint="default"/>
          <w:spacing w:val="-1"/>
        </w:rPr>
        <w:t> </w:t>
      </w:r>
      <w:r>
        <w:rPr/>
        <w:t>外</w:t>
      </w:r>
      <w:r>
        <w:rPr>
          <w:w w:val="100"/>
        </w:rPr>
        <w:t> </w:t>
      </w:r>
      <w:r>
        <w:rPr/>
        <w:t>币货币性项目。</w:t>
      </w:r>
    </w:p>
    <w:p>
      <w:pPr>
        <w:pStyle w:val="Heading2"/>
        <w:spacing w:line="240" w:lineRule="auto" w:before="92"/>
        <w:ind w:right="3319"/>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spacing w:line="290" w:lineRule="auto" w:before="58"/>
        <w:ind w:left="218" w:right="73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衍生金融资产</w:t>
      </w:r>
      <w:r>
        <w:rPr>
          <w:rFonts w:ascii="宋体" w:hAnsi="宋体" w:cs="宋体" w:eastAsia="宋体" w:hint="default"/>
          <w:sz w:val="21"/>
          <w:szCs w:val="21"/>
        </w:rPr>
      </w:r>
    </w:p>
    <w:p>
      <w:pPr>
        <w:pStyle w:val="BodyText"/>
        <w:spacing w:line="240" w:lineRule="auto" w:before="15"/>
        <w:ind w:right="3319"/>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90" w:lineRule="auto"/>
        <w:ind w:right="-20"/>
        <w:jc w:val="left"/>
        <w:rPr>
          <w:b w:val="0"/>
          <w:bCs w:val="0"/>
        </w:rPr>
      </w:pPr>
      <w:r>
        <w:rPr>
          <w:rFonts w:ascii="宋体" w:hAnsi="宋体" w:cs="宋体" w:eastAsia="宋体" w:hint="default"/>
        </w:rPr>
        <w:t>4</w:t>
      </w:r>
      <w:r>
        <w:rPr/>
        <w:t>、 应收票据及应收账款</w:t>
      </w:r>
      <w:r>
        <w:rPr>
          <w:w w:val="100"/>
        </w:rPr>
        <w:t> </w:t>
      </w:r>
      <w:r>
        <w:rPr/>
        <w:t>总表情况</w:t>
      </w:r>
      <w:r>
        <w:rPr>
          <w:b w:val="0"/>
          <w:bCs w:val="0"/>
        </w:rPr>
      </w:r>
    </w:p>
    <w:p>
      <w:pPr>
        <w:pStyle w:val="Heading2"/>
        <w:spacing w:line="240" w:lineRule="auto" w:before="12"/>
        <w:ind w:right="-20"/>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9" w:space="3879"/>
            <w:col w:w="287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2,780,683.09</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15,043,226.50</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588,101,085.57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514,509,199.11</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590,881,768.66</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529,552,425.61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623"/>
        <w:jc w:val="left"/>
      </w:pPr>
      <w:r>
        <w:rPr/>
        <w:t>其他说明：</w:t>
      </w:r>
    </w:p>
    <w:p>
      <w:pPr>
        <w:spacing w:line="290" w:lineRule="auto" w:before="0"/>
        <w:ind w:left="218" w:right="62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pStyle w:val="Heading2"/>
        <w:spacing w:line="240" w:lineRule="auto" w:before="14"/>
        <w:ind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36" w:space="4086"/>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2,780,683.09</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
              <w:jc w:val="right"/>
              <w:rPr>
                <w:rFonts w:ascii="宋体" w:hAnsi="宋体" w:cs="宋体" w:eastAsia="宋体" w:hint="default"/>
                <w:sz w:val="21"/>
                <w:szCs w:val="21"/>
              </w:rPr>
            </w:pPr>
            <w:r>
              <w:rPr>
                <w:rFonts w:ascii="宋体"/>
                <w:spacing w:val="-1"/>
                <w:sz w:val="21"/>
              </w:rPr>
              <w:t>15,043,226.50</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2,780,683.09</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15,043,226.50</w:t>
            </w:r>
          </w:p>
        </w:tc>
      </w:tr>
    </w:tbl>
    <w:p>
      <w:pPr>
        <w:pStyle w:val="Heading2"/>
        <w:spacing w:line="240" w:lineRule="auto" w:before="26"/>
        <w:ind w:right="3319"/>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right="3319"/>
        <w:jc w:val="left"/>
      </w:pPr>
      <w:r>
        <w:rPr/>
        <w:t>□适用</w:t>
      </w:r>
      <w:r>
        <w:rPr>
          <w:spacing w:val="-1"/>
        </w:rPr>
        <w:t> </w:t>
      </w:r>
      <w:r>
        <w:rPr/>
        <w:t>√不适用</w:t>
      </w:r>
    </w:p>
    <w:p>
      <w:pPr>
        <w:pStyle w:val="Heading2"/>
        <w:spacing w:line="240" w:lineRule="auto" w:before="56"/>
        <w:ind w:right="227"/>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9"/>
        <w:ind w:right="3319"/>
        <w:jc w:val="left"/>
      </w:pPr>
      <w:r>
        <w:rPr/>
        <w:t>□适用</w:t>
      </w:r>
      <w:r>
        <w:rPr>
          <w:spacing w:val="-1"/>
        </w:rPr>
        <w:t> </w:t>
      </w:r>
      <w:r>
        <w:rPr/>
        <w:t>√不适用</w:t>
      </w:r>
    </w:p>
    <w:p>
      <w:pPr>
        <w:pStyle w:val="Heading2"/>
        <w:spacing w:line="240" w:lineRule="auto" w:before="56"/>
        <w:ind w:right="3319"/>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spacing w:line="249" w:lineRule="exact"/>
        <w:ind w:right="3319"/>
        <w:jc w:val="left"/>
      </w:pPr>
      <w:r>
        <w:rPr/>
        <w:t>□适用</w:t>
      </w:r>
      <w:r>
        <w:rPr>
          <w:spacing w:val="-1"/>
        </w:rPr>
        <w:t> </w:t>
      </w:r>
      <w:r>
        <w:rPr/>
        <w:t>√不适用</w:t>
      </w:r>
    </w:p>
    <w:p>
      <w:pPr>
        <w:spacing w:after="0" w:line="249" w:lineRule="exact"/>
        <w:jc w:val="left"/>
        <w:sectPr>
          <w:type w:val="continuous"/>
          <w:pgSz w:w="11910" w:h="16840"/>
          <w:pgMar w:top="1120" w:bottom="1380" w:left="1580" w:right="104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1"/>
          <w:footerReference w:type="default" r:id="rId62"/>
          <w:pgSz w:w="16840" w:h="11910" w:orient="landscape"/>
          <w:pgMar w:header="0" w:footer="0" w:top="800" w:bottom="280" w:left="1300" w:right="1380"/>
        </w:sectPr>
      </w:pPr>
    </w:p>
    <w:p>
      <w:pPr>
        <w:pStyle w:val="Heading2"/>
        <w:spacing w:line="290" w:lineRule="auto"/>
        <w:ind w:left="140" w:right="-13"/>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spacing w:line="240" w:lineRule="auto" w:before="14"/>
        <w:ind w:left="140"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380"/>
          <w:cols w:num="2" w:equalWidth="0">
            <w:col w:w="2258" w:space="9202"/>
            <w:col w:w="270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33"/>
        <w:gridCol w:w="1531"/>
        <w:gridCol w:w="728"/>
        <w:gridCol w:w="1531"/>
        <w:gridCol w:w="754"/>
        <w:gridCol w:w="1532"/>
        <w:gridCol w:w="1534"/>
        <w:gridCol w:w="754"/>
        <w:gridCol w:w="1531"/>
        <w:gridCol w:w="778"/>
        <w:gridCol w:w="1532"/>
      </w:tblGrid>
      <w:tr>
        <w:trPr>
          <w:trHeight w:val="281" w:hRule="exact"/>
        </w:trPr>
        <w:tc>
          <w:tcPr>
            <w:tcW w:w="173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733" w:type="dxa"/>
            <w:vMerge/>
            <w:tcBorders>
              <w:left w:val="single" w:sz="4" w:space="0" w:color="000000"/>
              <w:right w:val="single" w:sz="4" w:space="0" w:color="000000"/>
            </w:tcBorders>
          </w:tcPr>
          <w:p>
            <w:pP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107"/>
              <w:ind w:left="552"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107"/>
              <w:ind w:left="551"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1733"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5" w:lineRule="exact"/>
              <w:ind w:left="201" w:right="0"/>
              <w:jc w:val="left"/>
              <w:rPr>
                <w:rFonts w:ascii="宋体" w:hAnsi="宋体" w:cs="宋体" w:eastAsia="宋体" w:hint="default"/>
                <w:sz w:val="21"/>
                <w:szCs w:val="21"/>
              </w:rPr>
            </w:pPr>
            <w:r>
              <w:rPr>
                <w:rFonts w:ascii="宋体"/>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2"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5" w:lineRule="exact"/>
              <w:ind w:left="213" w:right="0"/>
              <w:jc w:val="left"/>
              <w:rPr>
                <w:rFonts w:ascii="宋体" w:hAnsi="宋体" w:cs="宋体" w:eastAsia="宋体" w:hint="default"/>
                <w:sz w:val="21"/>
                <w:szCs w:val="21"/>
              </w:rPr>
            </w:pPr>
            <w:r>
              <w:rPr>
                <w:rFonts w:ascii="宋体"/>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5" w:lineRule="exact"/>
              <w:ind w:left="11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2" w:type="dxa"/>
            <w:vMerge/>
            <w:tcBorders>
              <w:left w:val="single" w:sz="4" w:space="0" w:color="000000"/>
              <w:bottom w:val="single" w:sz="4" w:space="0" w:color="000000"/>
              <w:right w:val="single" w:sz="4" w:space="0" w:color="000000"/>
            </w:tcBorders>
          </w:tcPr>
          <w:p>
            <w:pPr/>
          </w:p>
        </w:tc>
      </w:tr>
      <w:tr>
        <w:trPr>
          <w:trHeight w:val="828"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7"/>
              <w:ind w:left="26" w:right="221"/>
              <w:jc w:val="left"/>
              <w:rPr>
                <w:rFonts w:ascii="宋体" w:hAnsi="宋体" w:cs="宋体" w:eastAsia="宋体" w:hint="default"/>
                <w:sz w:val="21"/>
                <w:szCs w:val="21"/>
              </w:rPr>
            </w:pP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92,681,122.38</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12.50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92,681,122.38</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63,931,122.38</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10.31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63,931,122.38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40" w:lineRule="auto"/>
              <w:ind w:left="26" w:right="221"/>
              <w:jc w:val="left"/>
              <w:rPr>
                <w:rFonts w:ascii="宋体" w:hAnsi="宋体" w:cs="宋体" w:eastAsia="宋体" w:hint="default"/>
                <w:sz w:val="21"/>
                <w:szCs w:val="21"/>
              </w:rPr>
            </w:pP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636,027,702.21</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84.55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47,926,616.64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7.52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588,101,085.57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539,791,284.04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87.08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25,282,084.93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4.80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sz w:val="21"/>
              </w:rPr>
              <w:t>514,509,199.11</w:t>
            </w:r>
          </w:p>
        </w:tc>
      </w:tr>
      <w:tr>
        <w:trPr>
          <w:trHeight w:val="828"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72" w:lineRule="exact" w:before="27"/>
              <w:ind w:left="26" w:right="221"/>
              <w:jc w:val="left"/>
              <w:rPr>
                <w:rFonts w:ascii="宋体" w:hAnsi="宋体" w:cs="宋体" w:eastAsia="宋体" w:hint="default"/>
                <w:sz w:val="21"/>
                <w:szCs w:val="21"/>
              </w:rPr>
            </w:pP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准备的应收账款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21,867,450.94</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2.95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21,867,450.94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16,177,450.94</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2.61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16,177,450.94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750,576,275.53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162,475,189.96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588,101,085.57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619,899,857.36</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105,390,658.25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514,509,199.11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63"/>
        <w:ind w:left="6395" w:right="6399" w:firstLine="0"/>
        <w:jc w:val="center"/>
        <w:rPr>
          <w:rFonts w:ascii="Calibri" w:hAnsi="Calibri" w:cs="Calibri" w:eastAsia="Calibri" w:hint="default"/>
          <w:sz w:val="18"/>
          <w:szCs w:val="18"/>
        </w:rPr>
      </w:pPr>
      <w:r>
        <w:rPr>
          <w:rFonts w:ascii="Calibri"/>
          <w:b/>
          <w:sz w:val="18"/>
        </w:rPr>
        <w:t>114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63"/>
          <w:pgSz w:w="11910" w:h="16840"/>
          <w:pgMar w:footer="1195" w:header="0" w:top="1120" w:bottom="1380" w:left="1420" w:right="900"/>
          <w:pgNumType w:start="115"/>
        </w:sectPr>
      </w:pPr>
    </w:p>
    <w:p>
      <w:pPr>
        <w:pStyle w:val="BodyText"/>
        <w:spacing w:line="274" w:lineRule="exact" w:before="36"/>
        <w:ind w:left="378" w:right="0"/>
        <w:jc w:val="left"/>
      </w:pPr>
      <w:r>
        <w:rPr>
          <w:spacing w:val="-2"/>
        </w:rPr>
        <w:t>期末单项金额重大并单项计提坏账准备的应收账款</w:t>
      </w:r>
    </w:p>
    <w:p>
      <w:pPr>
        <w:pStyle w:val="BodyText"/>
        <w:spacing w:line="274" w:lineRule="exact"/>
        <w:ind w:left="3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429" w:val="left" w:leader="none"/>
        </w:tabs>
        <w:spacing w:line="240" w:lineRule="auto"/>
        <w:ind w:left="378" w:right="0"/>
        <w:jc w:val="left"/>
      </w:pPr>
      <w:r>
        <w:rPr>
          <w:spacing w:val="-1"/>
        </w:rPr>
        <w:t>单位：元</w:t>
        <w:tab/>
      </w:r>
      <w:r>
        <w:rPr>
          <w:spacing w:val="-2"/>
        </w:rPr>
        <w:t>币种：人民币</w:t>
      </w:r>
    </w:p>
    <w:p>
      <w:pPr>
        <w:spacing w:after="0" w:line="240" w:lineRule="auto"/>
        <w:jc w:val="left"/>
        <w:sectPr>
          <w:type w:val="continuous"/>
          <w:pgSz w:w="11910" w:h="16840"/>
          <w:pgMar w:top="1120" w:bottom="1380" w:left="1420" w:right="900"/>
          <w:cols w:num="2" w:equalWidth="0">
            <w:col w:w="5004" w:space="1518"/>
            <w:col w:w="306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391"/>
        <w:gridCol w:w="1579"/>
        <w:gridCol w:w="1788"/>
        <w:gridCol w:w="1049"/>
        <w:gridCol w:w="2549"/>
      </w:tblGrid>
      <w:tr>
        <w:trPr>
          <w:trHeight w:val="281" w:hRule="exact"/>
        </w:trPr>
        <w:tc>
          <w:tcPr>
            <w:tcW w:w="2391" w:type="dxa"/>
            <w:vMerge w:val="restart"/>
            <w:tcBorders>
              <w:top w:val="single" w:sz="4" w:space="0" w:color="000000"/>
              <w:left w:val="single" w:sz="4" w:space="0" w:color="000000"/>
              <w:right w:val="single" w:sz="4" w:space="0" w:color="000000"/>
            </w:tcBorders>
          </w:tcPr>
          <w:p>
            <w:pPr>
              <w:pStyle w:val="TableParagraph"/>
              <w:spacing w:line="273" w:lineRule="exact" w:before="107"/>
              <w:ind w:right="1"/>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（按单位）</w:t>
            </w:r>
          </w:p>
        </w:tc>
        <w:tc>
          <w:tcPr>
            <w:tcW w:w="69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2391" w:type="dxa"/>
            <w:vMerge/>
            <w:tcBorders>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firstLine="52"/>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51"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28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管理有限公司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15,891,122.38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15,891,122.38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新能源投资有限公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文化传媒有限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4,500,000.00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4,500,000.00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28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w:t>
            </w:r>
            <w:r>
              <w:rPr>
                <w:rFonts w:ascii="宋体" w:hAnsi="宋体" w:cs="宋体" w:eastAsia="宋体" w:hint="default"/>
                <w:sz w:val="21"/>
                <w:szCs w:val="21"/>
              </w:rPr>
              <w:t>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3,820,000.00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3,820,000.00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28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服务有限公司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文化传媒有限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3,250,000.00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3,250,000.00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28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投资集团有限公司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科技股份有限公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3,000,000.00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3,000,000.00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信息服务（深圳）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w:t>
            </w:r>
            <w:r>
              <w:rPr>
                <w:rFonts w:ascii="宋体" w:hAnsi="宋体" w:cs="宋体" w:eastAsia="宋体" w:hint="default"/>
                <w:sz w:val="21"/>
                <w:szCs w:val="21"/>
              </w:rPr>
              <w:t>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营口</w:t>
            </w:r>
            <w:r>
              <w:rPr>
                <w:rFonts w:ascii="宋体" w:hAnsi="宋体" w:cs="宋体" w:eastAsia="宋体" w:hint="default"/>
                <w:sz w:val="21"/>
                <w:szCs w:val="21"/>
              </w:rPr>
              <w:t>***</w:t>
            </w:r>
            <w:r>
              <w:rPr>
                <w:rFonts w:ascii="宋体" w:hAnsi="宋体" w:cs="宋体" w:eastAsia="宋体" w:hint="default"/>
                <w:sz w:val="21"/>
                <w:szCs w:val="21"/>
              </w:rPr>
              <w:t>动漫科技有限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28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服务有限公司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网络科技有限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2,400,000.00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w:t>
            </w:r>
            <w:r>
              <w:rPr>
                <w:rFonts w:ascii="宋体" w:hAnsi="宋体" w:cs="宋体" w:eastAsia="宋体" w:hint="default"/>
                <w:sz w:val="21"/>
                <w:szCs w:val="21"/>
              </w:rPr>
              <w:t>股权基金管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2,400,000.00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（北京）文化传媒</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28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广告有限公司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28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w:t>
            </w:r>
            <w:r>
              <w:rPr>
                <w:rFonts w:ascii="宋体" w:hAnsi="宋体" w:cs="宋体" w:eastAsia="宋体" w:hint="default"/>
                <w:sz w:val="21"/>
                <w:szCs w:val="21"/>
              </w:rPr>
              <w:t>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28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广告有限公司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投资管理（北京）</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28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r>
              <w:rPr>
                <w:rFonts w:ascii="宋体" w:hAnsi="宋体" w:cs="宋体" w:eastAsia="宋体" w:hint="default"/>
                <w:sz w:val="21"/>
                <w:szCs w:val="21"/>
              </w:rPr>
              <w:t>***</w:t>
            </w:r>
            <w:r>
              <w:rPr>
                <w:rFonts w:ascii="宋体" w:hAnsi="宋体" w:cs="宋体" w:eastAsia="宋体" w:hint="default"/>
                <w:sz w:val="21"/>
                <w:szCs w:val="21"/>
              </w:rPr>
              <w:t>物流有限公司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湖北</w:t>
            </w:r>
            <w:r>
              <w:rPr>
                <w:rFonts w:ascii="宋体" w:hAnsi="宋体" w:cs="宋体" w:eastAsia="宋体" w:hint="default"/>
                <w:sz w:val="21"/>
                <w:szCs w:val="21"/>
              </w:rPr>
              <w:t>*****</w:t>
            </w:r>
            <w:r>
              <w:rPr>
                <w:rFonts w:ascii="宋体" w:hAnsi="宋体" w:cs="宋体" w:eastAsia="宋体" w:hint="default"/>
                <w:sz w:val="21"/>
                <w:szCs w:val="21"/>
              </w:rPr>
              <w:t>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文化传播有限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1,820,000.00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1,820,000.00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28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w:t>
            </w:r>
            <w:r>
              <w:rPr>
                <w:rFonts w:ascii="宋体" w:hAnsi="宋体" w:cs="宋体" w:eastAsia="宋体" w:hint="default"/>
                <w:sz w:val="21"/>
                <w:szCs w:val="21"/>
              </w:rPr>
              <w:t>**</w:t>
            </w:r>
            <w:r>
              <w:rPr>
                <w:rFonts w:ascii="宋体" w:hAnsi="宋体" w:cs="宋体" w:eastAsia="宋体" w:hint="default"/>
                <w:sz w:val="21"/>
                <w:szCs w:val="21"/>
              </w:rPr>
              <w:t>实业有限公司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w:t>
            </w:r>
            <w:r>
              <w:rPr>
                <w:rFonts w:ascii="宋体" w:hAnsi="宋体" w:cs="宋体" w:eastAsia="宋体" w:hint="default"/>
                <w:sz w:val="21"/>
                <w:szCs w:val="21"/>
              </w:rPr>
              <w:t>***</w:t>
            </w:r>
            <w:r>
              <w:rPr>
                <w:rFonts w:ascii="宋体" w:hAnsi="宋体" w:cs="宋体" w:eastAsia="宋体" w:hint="default"/>
                <w:sz w:val="21"/>
                <w:szCs w:val="21"/>
              </w:rPr>
              <w:t>健康科技有限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1,550,000.00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1,550,000.00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商业信息咨询（北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京）有限公司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传媒广告有限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1,450,000.00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1,450,000.00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28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唐山市</w:t>
            </w:r>
            <w:r>
              <w:rPr>
                <w:rFonts w:ascii="宋体" w:hAnsi="宋体" w:cs="宋体" w:eastAsia="宋体" w:hint="default"/>
                <w:sz w:val="21"/>
                <w:szCs w:val="21"/>
              </w:rPr>
              <w:t>****</w:t>
            </w:r>
            <w:r>
              <w:rPr>
                <w:rFonts w:ascii="宋体" w:hAnsi="宋体" w:cs="宋体" w:eastAsia="宋体" w:hint="default"/>
                <w:sz w:val="21"/>
                <w:szCs w:val="21"/>
              </w:rPr>
              <w:t>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bl>
    <w:p>
      <w:pPr>
        <w:spacing w:after="0" w:line="241" w:lineRule="exact"/>
        <w:jc w:val="center"/>
        <w:rPr>
          <w:rFonts w:ascii="宋体" w:hAnsi="宋体" w:cs="宋体" w:eastAsia="宋体" w:hint="default"/>
          <w:sz w:val="21"/>
          <w:szCs w:val="21"/>
        </w:rPr>
        <w:sectPr>
          <w:type w:val="continuous"/>
          <w:pgSz w:w="11910" w:h="16840"/>
          <w:pgMar w:top="1120" w:bottom="1380" w:left="142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2391"/>
        <w:gridCol w:w="1579"/>
        <w:gridCol w:w="1788"/>
        <w:gridCol w:w="1049"/>
        <w:gridCol w:w="2549"/>
      </w:tblGrid>
      <w:tr>
        <w:trPr>
          <w:trHeight w:val="28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w:t>
            </w:r>
            <w:r>
              <w:rPr>
                <w:rFonts w:ascii="宋体" w:hAnsi="宋体" w:cs="宋体" w:eastAsia="宋体" w:hint="default"/>
                <w:sz w:val="21"/>
                <w:szCs w:val="21"/>
              </w:rPr>
              <w:t>股份有限公司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1,200,000.00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1,200,000.00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w:t>
            </w:r>
            <w:r>
              <w:rPr>
                <w:rFonts w:ascii="宋体" w:hAnsi="宋体" w:cs="宋体" w:eastAsia="宋体" w:hint="default"/>
                <w:sz w:val="21"/>
                <w:szCs w:val="21"/>
              </w:rPr>
              <w:t>****</w:t>
            </w:r>
            <w:r>
              <w:rPr>
                <w:rFonts w:ascii="宋体" w:hAnsi="宋体" w:cs="宋体" w:eastAsia="宋体" w:hint="default"/>
                <w:sz w:val="21"/>
                <w:szCs w:val="21"/>
              </w:rPr>
              <w:t>传媒投资有限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28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w:t>
            </w:r>
            <w:r>
              <w:rPr>
                <w:rFonts w:ascii="宋体" w:hAnsi="宋体" w:cs="宋体" w:eastAsia="宋体" w:hint="default"/>
                <w:sz w:val="21"/>
                <w:szCs w:val="21"/>
              </w:rPr>
              <w:t>传播有限公司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（北京）信息技术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研究所</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28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w:t>
            </w:r>
            <w:r>
              <w:rPr>
                <w:rFonts w:ascii="宋体" w:hAnsi="宋体" w:cs="宋体" w:eastAsia="宋体" w:hint="default"/>
                <w:sz w:val="21"/>
                <w:szCs w:val="21"/>
              </w:rPr>
              <w:t>****</w:t>
            </w:r>
            <w:r>
              <w:rPr>
                <w:rFonts w:ascii="宋体" w:hAnsi="宋体" w:cs="宋体" w:eastAsia="宋体" w:hint="default"/>
                <w:sz w:val="21"/>
                <w:szCs w:val="21"/>
              </w:rPr>
              <w:t>股份有限公司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（北京）信息技术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公关策划有限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28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z w:val="21"/>
                <w:szCs w:val="21"/>
              </w:rPr>
              <w:t>***</w:t>
            </w:r>
            <w:r>
              <w:rPr>
                <w:rFonts w:ascii="宋体" w:hAnsi="宋体" w:cs="宋体" w:eastAsia="宋体" w:hint="default"/>
                <w:sz w:val="21"/>
                <w:szCs w:val="21"/>
              </w:rPr>
              <w:t>广告有限公司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7"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w:t>
            </w:r>
            <w:r>
              <w:rPr>
                <w:rFonts w:ascii="宋体" w:hAnsi="宋体" w:cs="宋体" w:eastAsia="宋体" w:hint="default"/>
                <w:sz w:val="21"/>
                <w:szCs w:val="21"/>
              </w:rPr>
              <w:t>****</w:t>
            </w:r>
            <w:r>
              <w:rPr>
                <w:rFonts w:ascii="宋体" w:hAnsi="宋体" w:cs="宋体" w:eastAsia="宋体" w:hint="default"/>
                <w:sz w:val="21"/>
                <w:szCs w:val="21"/>
              </w:rPr>
              <w:t>服务外包有限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55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电子商务（苏州）有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1,000,000.00</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1,000,000.00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100.00%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center"/>
              <w:rPr>
                <w:rFonts w:ascii="宋体" w:hAnsi="宋体" w:cs="宋体" w:eastAsia="宋体" w:hint="default"/>
                <w:sz w:val="21"/>
                <w:szCs w:val="21"/>
              </w:rPr>
            </w:pPr>
            <w:r>
              <w:rPr>
                <w:rFonts w:ascii="宋体" w:hAnsi="宋体" w:cs="宋体" w:eastAsia="宋体" w:hint="default"/>
                <w:sz w:val="21"/>
                <w:szCs w:val="21"/>
              </w:rPr>
              <w:t>债务人无法履行还款义务</w:t>
            </w:r>
          </w:p>
        </w:tc>
      </w:tr>
      <w:tr>
        <w:trPr>
          <w:trHeight w:val="28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92,681,122.38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92,681,122.38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pgSz w:w="11910" w:h="16840"/>
          <w:pgMar w:header="0" w:footer="1195" w:top="1120" w:bottom="1380" w:left="1400" w:right="900"/>
        </w:sectPr>
      </w:pPr>
    </w:p>
    <w:p>
      <w:pPr>
        <w:pStyle w:val="BodyText"/>
        <w:spacing w:line="239" w:lineRule="exact"/>
        <w:ind w:left="398" w:right="0"/>
        <w:jc w:val="left"/>
      </w:pPr>
      <w:r>
        <w:rPr>
          <w:spacing w:val="-2"/>
        </w:rPr>
        <w:t>组合中，按账龄分析法计提坏账准备的应收账款</w:t>
      </w:r>
    </w:p>
    <w:p>
      <w:pPr>
        <w:pStyle w:val="BodyText"/>
        <w:spacing w:line="273" w:lineRule="exact"/>
        <w:ind w:left="39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8"/>
          <w:szCs w:val="18"/>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900"/>
          <w:cols w:num="2" w:equalWidth="0">
            <w:col w:w="4813" w:space="1709"/>
            <w:col w:w="308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256"/>
        <w:gridCol w:w="2324"/>
        <w:gridCol w:w="2360"/>
        <w:gridCol w:w="2417"/>
      </w:tblGrid>
      <w:tr>
        <w:trPr>
          <w:trHeight w:val="283" w:hRule="exact"/>
        </w:trPr>
        <w:tc>
          <w:tcPr>
            <w:tcW w:w="2256"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71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256"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7101" w:type="dxa"/>
            <w:gridSpan w:val="3"/>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411,205,415.37</w:t>
            </w:r>
          </w:p>
        </w:tc>
        <w:tc>
          <w:tcPr>
            <w:tcW w:w="2360" w:type="dxa"/>
            <w:tcBorders>
              <w:top w:val="single" w:sz="4" w:space="0" w:color="000000"/>
              <w:left w:val="single" w:sz="4" w:space="0" w:color="000000"/>
              <w:bottom w:val="single" w:sz="4" w:space="0" w:color="000000"/>
              <w:right w:val="single" w:sz="4" w:space="0" w:color="000000"/>
            </w:tcBorders>
          </w:tcPr>
          <w:p>
            <w:pPr/>
          </w:p>
        </w:tc>
        <w:tc>
          <w:tcPr>
            <w:tcW w:w="24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84,332,352.27</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4,216,617.62</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5.00</w:t>
            </w:r>
          </w:p>
        </w:tc>
      </w:tr>
      <w:tr>
        <w:trPr>
          <w:trHeight w:val="283"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46,357,272.32</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4,631,227.23</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10.00</w:t>
            </w:r>
          </w:p>
        </w:tc>
      </w:tr>
      <w:tr>
        <w:trPr>
          <w:trHeight w:val="281"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62,394,196.67</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18,730,259.00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30.00</w:t>
            </w:r>
          </w:p>
        </w:tc>
      </w:tr>
      <w:tr>
        <w:trPr>
          <w:trHeight w:val="283"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22,764,905.58</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11,382,452.79</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50.00</w:t>
            </w:r>
          </w:p>
        </w:tc>
      </w:tr>
      <w:tr>
        <w:trPr>
          <w:trHeight w:val="283"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8,973,560.00</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8,973,560.00</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100.00</w:t>
            </w:r>
          </w:p>
        </w:tc>
      </w:tr>
      <w:tr>
        <w:trPr>
          <w:trHeight w:val="283"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636,027,702.21</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47,934,116.64</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7.76</w:t>
            </w:r>
          </w:p>
        </w:tc>
      </w:tr>
    </w:tbl>
    <w:p>
      <w:pPr>
        <w:pStyle w:val="BodyText"/>
        <w:spacing w:line="241" w:lineRule="exact"/>
        <w:ind w:left="398" w:right="3287"/>
        <w:jc w:val="left"/>
      </w:pPr>
      <w:r>
        <w:rPr/>
        <w:t>确定该组合依据的说明：</w:t>
      </w:r>
    </w:p>
    <w:p>
      <w:pPr>
        <w:pStyle w:val="BodyText"/>
        <w:spacing w:line="355" w:lineRule="auto" w:before="133"/>
        <w:ind w:left="398" w:right="3287"/>
        <w:jc w:val="left"/>
      </w:pPr>
      <w:r>
        <w:rPr/>
        <w:t>本公司以账龄为信用风险特征组合的确定依据。</w:t>
      </w:r>
      <w:r>
        <w:rPr>
          <w:w w:val="100"/>
        </w:rPr>
        <w:t> </w:t>
      </w:r>
      <w:r>
        <w:rPr>
          <w:spacing w:val="-2"/>
        </w:rPr>
        <w:t>组合中，采用余额百分比法计提坏账准备的应收账款</w:t>
      </w:r>
    </w:p>
    <w:p>
      <w:pPr>
        <w:pStyle w:val="BodyText"/>
        <w:spacing w:line="240" w:lineRule="auto" w:before="32"/>
        <w:ind w:left="398" w:right="3287"/>
        <w:jc w:val="left"/>
      </w:pPr>
      <w:r>
        <w:rPr/>
        <w:t>□适用</w:t>
      </w:r>
      <w:r>
        <w:rPr>
          <w:spacing w:val="-2"/>
        </w:rPr>
        <w:t> </w:t>
      </w:r>
      <w:r>
        <w:rPr/>
        <w:t>√不适用</w:t>
      </w:r>
      <w:r>
        <w:rPr>
          <w:w w:val="100"/>
        </w:rPr>
        <w:t> </w:t>
      </w:r>
      <w:r>
        <w:rPr>
          <w:spacing w:val="-2"/>
        </w:rPr>
        <w:t>组合中，采用其他方法计提坏账准备的应收账款</w:t>
      </w:r>
    </w:p>
    <w:p>
      <w:pPr>
        <w:tabs>
          <w:tab w:pos="1240" w:val="left" w:leader="none"/>
        </w:tabs>
        <w:spacing w:line="290" w:lineRule="auto" w:before="133"/>
        <w:ind w:left="398" w:right="498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pStyle w:val="BodyText"/>
        <w:spacing w:line="355" w:lineRule="auto" w:before="14"/>
        <w:ind w:left="398" w:right="904"/>
        <w:jc w:val="left"/>
      </w:pPr>
      <w:r>
        <w:rPr/>
        <w:t>本期计提坏账准备金额</w:t>
      </w:r>
      <w:r>
        <w:rPr>
          <w:spacing w:val="-54"/>
        </w:rPr>
        <w:t> </w:t>
      </w:r>
      <w:r>
        <w:rPr>
          <w:rFonts w:ascii="宋体" w:hAnsi="宋体" w:cs="宋体" w:eastAsia="宋体" w:hint="default"/>
        </w:rPr>
        <w:t>57,284,531.71</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152,778.00</w:t>
      </w:r>
      <w:r>
        <w:rPr>
          <w:rFonts w:ascii="宋体" w:hAnsi="宋体" w:cs="宋体" w:eastAsia="宋体" w:hint="default"/>
          <w:spacing w:val="-57"/>
        </w:rPr>
        <w:t> </w:t>
      </w:r>
      <w:r>
        <w:rPr/>
        <w:t>元。</w:t>
      </w:r>
      <w:r>
        <w:rPr>
          <w:w w:val="100"/>
        </w:rPr>
        <w:t> </w:t>
      </w:r>
      <w:r>
        <w:rPr/>
        <w:t>其中本期坏账准备收回或转回金额重要的：</w:t>
      </w:r>
    </w:p>
    <w:p>
      <w:pPr>
        <w:spacing w:line="290" w:lineRule="auto" w:before="32"/>
        <w:ind w:left="398" w:right="602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pStyle w:val="BodyText"/>
        <w:spacing w:line="240" w:lineRule="auto" w:before="12"/>
        <w:ind w:left="398" w:right="3287"/>
        <w:jc w:val="left"/>
      </w:pPr>
      <w:r>
        <w:rPr/>
        <w:t>√适用</w:t>
      </w:r>
      <w:r>
        <w:rPr>
          <w:spacing w:val="-1"/>
        </w:rPr>
        <w:t> </w:t>
      </w:r>
      <w:r>
        <w:rPr/>
        <w:t>□不适用</w:t>
      </w:r>
    </w:p>
    <w:p>
      <w:pPr>
        <w:pStyle w:val="BodyText"/>
        <w:tabs>
          <w:tab w:pos="1051" w:val="left" w:leader="none"/>
        </w:tabs>
        <w:spacing w:line="274" w:lineRule="exact"/>
        <w:ind w:left="0" w:right="37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4273"/>
        <w:gridCol w:w="4777"/>
      </w:tblGrid>
      <w:tr>
        <w:trPr>
          <w:trHeight w:val="284"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47,222.00</w:t>
            </w:r>
          </w:p>
        </w:tc>
      </w:tr>
    </w:tbl>
    <w:p>
      <w:pPr>
        <w:spacing w:after="0" w:line="241" w:lineRule="exact"/>
        <w:jc w:val="right"/>
        <w:rPr>
          <w:rFonts w:ascii="宋体" w:hAnsi="宋体" w:cs="宋体" w:eastAsia="宋体" w:hint="default"/>
          <w:sz w:val="21"/>
          <w:szCs w:val="21"/>
        </w:rPr>
        <w:sectPr>
          <w:type w:val="continuous"/>
          <w:pgSz w:w="11910" w:h="16840"/>
          <w:pgMar w:top="1120" w:bottom="1380" w:left="1400" w:right="900"/>
        </w:sectPr>
      </w:pPr>
    </w:p>
    <w:p>
      <w:pPr>
        <w:spacing w:line="240" w:lineRule="auto" w:before="1"/>
        <w:rPr>
          <w:rFonts w:ascii="宋体" w:hAnsi="宋体" w:cs="宋体" w:eastAsia="宋体" w:hint="default"/>
          <w:sz w:val="25"/>
          <w:szCs w:val="25"/>
        </w:rPr>
      </w:pPr>
    </w:p>
    <w:p>
      <w:pPr>
        <w:pStyle w:val="BodyText"/>
        <w:spacing w:line="240" w:lineRule="auto" w:before="36"/>
        <w:ind w:right="3319"/>
        <w:jc w:val="left"/>
      </w:pPr>
      <w:r>
        <w:rPr/>
        <w:t>其中重要的应收账款核销情况</w:t>
      </w:r>
    </w:p>
    <w:p>
      <w:pPr>
        <w:pStyle w:val="BodyText"/>
        <w:spacing w:line="272" w:lineRule="exact" w:before="163"/>
        <w:ind w:right="7167"/>
        <w:jc w:val="left"/>
      </w:pPr>
      <w:r>
        <w:rPr/>
        <w:t>□适用</w:t>
      </w:r>
      <w:r>
        <w:rPr>
          <w:spacing w:val="-2"/>
        </w:rPr>
        <w:t> </w:t>
      </w:r>
      <w:r>
        <w:rPr/>
        <w:t>√不适用</w:t>
      </w:r>
      <w:r>
        <w:rPr>
          <w:w w:val="100"/>
        </w:rPr>
        <w:t> </w:t>
      </w:r>
      <w:r>
        <w:rPr>
          <w:spacing w:val="-1"/>
        </w:rPr>
        <w:t>应收账款核销说明：</w:t>
      </w:r>
    </w:p>
    <w:p>
      <w:pPr>
        <w:spacing w:line="290" w:lineRule="auto" w:before="108"/>
        <w:ind w:left="218" w:right="41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pStyle w:val="BodyText"/>
        <w:tabs>
          <w:tab w:pos="1060" w:val="left" w:leader="none"/>
        </w:tabs>
        <w:spacing w:line="240" w:lineRule="auto" w:before="12"/>
        <w:ind w:right="3319"/>
        <w:jc w:val="left"/>
      </w:pPr>
      <w:r>
        <w:rPr>
          <w:spacing w:val="-1"/>
        </w:rPr>
        <w:t>√适用</w:t>
        <w:tab/>
      </w:r>
      <w:r>
        <w:rPr>
          <w:spacing w:val="-2"/>
        </w:rPr>
        <w:t>□不适用</w:t>
      </w:r>
    </w:p>
    <w:p>
      <w:pPr>
        <w:pStyle w:val="BodyText"/>
        <w:spacing w:line="355" w:lineRule="auto" w:before="118"/>
        <w:ind w:right="217" w:firstLine="419"/>
        <w:jc w:val="left"/>
      </w:pPr>
      <w:r>
        <w:rPr>
          <w:spacing w:val="-2"/>
          <w:w w:val="100"/>
        </w:rPr>
        <w:t>本公司本年按欠款方归集的年末余额前五名应收账款汇总金额</w:t>
      </w:r>
      <w:r>
        <w:rPr>
          <w:spacing w:val="-45"/>
          <w:w w:val="100"/>
        </w:rPr>
        <w:t> </w:t>
      </w:r>
      <w:r>
        <w:rPr>
          <w:rFonts w:ascii="宋体" w:hAnsi="宋体" w:cs="宋体" w:eastAsia="宋体" w:hint="default"/>
          <w:spacing w:val="-1"/>
          <w:w w:val="100"/>
        </w:rPr>
        <w:t>306,860,154.54</w:t>
      </w:r>
      <w:r>
        <w:rPr>
          <w:rFonts w:ascii="宋体" w:hAnsi="宋体" w:cs="宋体" w:eastAsia="宋体" w:hint="default"/>
          <w:spacing w:val="-44"/>
          <w:w w:val="100"/>
        </w:rPr>
        <w:t> </w:t>
      </w:r>
      <w:r>
        <w:rPr>
          <w:spacing w:val="-17"/>
          <w:w w:val="100"/>
        </w:rPr>
        <w:t>元，占应收账</w:t>
      </w:r>
      <w:r>
        <w:rPr>
          <w:w w:val="100"/>
        </w:rPr>
        <w:t> </w:t>
      </w:r>
      <w:r>
        <w:rPr/>
        <w:t>款年末余额合计数的比例为</w:t>
      </w:r>
      <w:r>
        <w:rPr>
          <w:spacing w:val="-56"/>
        </w:rPr>
        <w:t> </w:t>
      </w:r>
      <w:r>
        <w:rPr>
          <w:rFonts w:ascii="宋体" w:hAnsi="宋体" w:cs="宋体" w:eastAsia="宋体" w:hint="default"/>
        </w:rPr>
        <w:t>40.88%</w:t>
      </w:r>
      <w:r>
        <w:rPr/>
        <w:t>，相应计提的坏账准备年末余额为</w:t>
      </w:r>
      <w:r>
        <w:rPr>
          <w:spacing w:val="-56"/>
        </w:rPr>
        <w:t> </w:t>
      </w:r>
      <w:r>
        <w:rPr>
          <w:rFonts w:ascii="宋体" w:hAnsi="宋体" w:cs="宋体" w:eastAsia="宋体" w:hint="default"/>
        </w:rPr>
        <w:t>15,891,122.38</w:t>
      </w:r>
      <w:r>
        <w:rPr>
          <w:rFonts w:ascii="宋体" w:hAnsi="宋体" w:cs="宋体" w:eastAsia="宋体" w:hint="default"/>
          <w:spacing w:val="-55"/>
        </w:rPr>
        <w:t> </w:t>
      </w:r>
      <w:r>
        <w:rPr>
          <w:spacing w:val="-3"/>
        </w:rPr>
        <w:t>元。</w:t>
      </w:r>
      <w:r>
        <w:rPr/>
      </w:r>
    </w:p>
    <w:p>
      <w:pPr>
        <w:spacing w:after="0" w:line="355" w:lineRule="auto"/>
        <w:jc w:val="left"/>
        <w:sectPr>
          <w:pgSz w:w="11910" w:h="16840"/>
          <w:pgMar w:header="0" w:footer="1195" w:top="1120" w:bottom="1380" w:left="1580" w:right="1040"/>
        </w:sectPr>
      </w:pPr>
    </w:p>
    <w:p>
      <w:pPr>
        <w:pStyle w:val="Heading2"/>
        <w:spacing w:line="240" w:lineRule="auto" w:before="92"/>
        <w:ind w:right="0"/>
        <w:jc w:val="left"/>
        <w:rPr>
          <w:b w:val="0"/>
          <w:bCs w:val="0"/>
        </w:rPr>
      </w:pPr>
      <w:r>
        <w:rPr>
          <w:rFonts w:ascii="宋体" w:hAnsi="宋体" w:cs="宋体" w:eastAsia="宋体" w:hint="default"/>
        </w:rPr>
        <w:t>(5).</w:t>
      </w:r>
      <w:r>
        <w:rPr/>
        <w:t>因金融资产转移而终止确认的应收账款</w:t>
      </w:r>
      <w:r>
        <w:rPr>
          <w:b w:val="0"/>
          <w:bCs w:val="0"/>
        </w:rPr>
      </w:r>
    </w:p>
    <w:p>
      <w:pPr>
        <w:tabs>
          <w:tab w:pos="1060" w:val="left" w:leader="none"/>
        </w:tabs>
        <w:spacing w:line="290" w:lineRule="auto" w:before="59"/>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转移应收账款且继续涉入形成的资产、负债金额</w:t>
      </w:r>
      <w:r>
        <w:rPr>
          <w:rFonts w:ascii="宋体" w:hAnsi="宋体" w:cs="宋体" w:eastAsia="宋体" w:hint="default"/>
          <w:spacing w:val="-1"/>
          <w:sz w:val="21"/>
          <w:szCs w:val="21"/>
        </w:rPr>
      </w:r>
    </w:p>
    <w:p>
      <w:pPr>
        <w:pStyle w:val="BodyText"/>
        <w:tabs>
          <w:tab w:pos="1060" w:val="left" w:leader="none"/>
        </w:tabs>
        <w:spacing w:line="272" w:lineRule="exact" w:before="42"/>
        <w:ind w:right="3170"/>
        <w:jc w:val="left"/>
      </w:pPr>
      <w:r>
        <w:rPr>
          <w:spacing w:val="-1"/>
        </w:rPr>
        <w:t>□适用</w:t>
        <w:tab/>
      </w:r>
      <w:r>
        <w:rPr>
          <w:spacing w:val="-2"/>
        </w:rPr>
        <w:t>√不适用</w:t>
      </w:r>
      <w:r>
        <w:rPr>
          <w:spacing w:val="-99"/>
        </w:rPr>
        <w:t> </w:t>
      </w:r>
      <w:r>
        <w:rPr>
          <w:spacing w:val="-99"/>
        </w:rPr>
      </w:r>
      <w:r>
        <w:rPr/>
        <w:t>其他说明：</w:t>
      </w:r>
    </w:p>
    <w:p>
      <w:pPr>
        <w:pStyle w:val="BodyText"/>
        <w:tabs>
          <w:tab w:pos="1060" w:val="left" w:leader="none"/>
        </w:tabs>
        <w:spacing w:line="249" w:lineRule="exact"/>
        <w:ind w:right="0"/>
        <w:jc w:val="left"/>
      </w:pPr>
      <w:r>
        <w:rPr>
          <w:spacing w:val="-1"/>
        </w:rPr>
        <w:t>□适用</w:t>
        <w:tab/>
      </w:r>
      <w:r>
        <w:rPr>
          <w:spacing w:val="-2"/>
        </w:rPr>
        <w:t>√不适用</w:t>
      </w:r>
    </w:p>
    <w:p>
      <w:pPr>
        <w:pStyle w:val="Heading2"/>
        <w:spacing w:line="290" w:lineRule="auto" w:before="56"/>
        <w:ind w:right="2514"/>
        <w:jc w:val="left"/>
        <w:rPr>
          <w:b w:val="0"/>
          <w:bCs w:val="0"/>
        </w:rPr>
      </w:pPr>
      <w:r>
        <w:rPr>
          <w:rFonts w:ascii="宋体" w:hAnsi="宋体" w:cs="宋体" w:eastAsia="宋体" w:hint="default"/>
        </w:rPr>
        <w:t>5</w:t>
      </w:r>
      <w:r>
        <w:rPr/>
        <w:t>、</w:t>
      </w:r>
      <w:r>
        <w:rPr>
          <w:spacing w:val="-3"/>
        </w:rPr>
        <w:t> </w:t>
      </w:r>
      <w:r>
        <w:rPr/>
        <w:t>预付款项</w:t>
      </w:r>
      <w:r>
        <w:rPr>
          <w:w w:val="100"/>
        </w:rPr>
        <w:t> </w:t>
      </w:r>
      <w:r>
        <w:rPr>
          <w:rFonts w:ascii="宋体" w:hAnsi="宋体" w:cs="宋体" w:eastAsia="宋体" w:hint="default"/>
        </w:rPr>
        <w:t>(1).</w:t>
      </w:r>
      <w:r>
        <w:rPr/>
        <w:t>预付款项按账龄列示</w:t>
      </w:r>
      <w:r>
        <w:rPr>
          <w:b w:val="0"/>
          <w:bCs w:val="0"/>
        </w:rPr>
      </w:r>
    </w:p>
    <w:p>
      <w:pPr>
        <w:pStyle w:val="BodyText"/>
        <w:tabs>
          <w:tab w:pos="1060" w:val="left" w:leader="none"/>
        </w:tabs>
        <w:spacing w:line="240" w:lineRule="auto" w:before="12"/>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74" w:space="144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85"/>
        <w:gridCol w:w="1928"/>
        <w:gridCol w:w="1911"/>
        <w:gridCol w:w="1910"/>
        <w:gridCol w:w="1928"/>
      </w:tblGrid>
      <w:tr>
        <w:trPr>
          <w:trHeight w:val="350"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1"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4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1"/>
              <w:jc w:val="right"/>
              <w:rPr>
                <w:rFonts w:ascii="宋体" w:hAnsi="宋体" w:cs="宋体" w:eastAsia="宋体" w:hint="default"/>
                <w:sz w:val="21"/>
                <w:szCs w:val="21"/>
              </w:rPr>
            </w:pPr>
            <w:r>
              <w:rPr>
                <w:rFonts w:ascii="宋体"/>
                <w:spacing w:val="-1"/>
                <w:sz w:val="21"/>
              </w:rPr>
              <w:t>47,594,963.45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1"/>
                <w:szCs w:val="21"/>
              </w:rPr>
            </w:pPr>
            <w:r>
              <w:rPr>
                <w:rFonts w:ascii="宋体"/>
                <w:sz w:val="21"/>
              </w:rPr>
              <w:t>65.84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1"/>
                <w:szCs w:val="21"/>
              </w:rPr>
            </w:pPr>
            <w:r>
              <w:rPr>
                <w:rFonts w:ascii="宋体"/>
                <w:spacing w:val="-1"/>
                <w:sz w:val="21"/>
              </w:rPr>
              <w:t>51,147,768.96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
              <w:jc w:val="center"/>
              <w:rPr>
                <w:rFonts w:ascii="宋体" w:hAnsi="宋体" w:cs="宋体" w:eastAsia="宋体" w:hint="default"/>
                <w:sz w:val="21"/>
                <w:szCs w:val="21"/>
              </w:rPr>
            </w:pPr>
            <w:r>
              <w:rPr>
                <w:rFonts w:ascii="宋体"/>
                <w:sz w:val="21"/>
              </w:rPr>
              <w:t>98.81</w:t>
            </w:r>
          </w:p>
        </w:tc>
      </w:tr>
      <w:tr>
        <w:trPr>
          <w:trHeight w:val="35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7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1"/>
              <w:jc w:val="right"/>
              <w:rPr>
                <w:rFonts w:ascii="宋体" w:hAnsi="宋体" w:cs="宋体" w:eastAsia="宋体" w:hint="default"/>
                <w:sz w:val="21"/>
                <w:szCs w:val="21"/>
              </w:rPr>
            </w:pPr>
            <w:r>
              <w:rPr>
                <w:rFonts w:ascii="宋体"/>
                <w:spacing w:val="-1"/>
                <w:sz w:val="21"/>
              </w:rPr>
              <w:t>24,698,427.11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center"/>
              <w:rPr>
                <w:rFonts w:ascii="宋体" w:hAnsi="宋体" w:cs="宋体" w:eastAsia="宋体" w:hint="default"/>
                <w:sz w:val="21"/>
                <w:szCs w:val="21"/>
              </w:rPr>
            </w:pPr>
            <w:r>
              <w:rPr>
                <w:rFonts w:ascii="宋体"/>
                <w:sz w:val="21"/>
              </w:rPr>
              <w:t>34.16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8"/>
              <w:jc w:val="right"/>
              <w:rPr>
                <w:rFonts w:ascii="宋体" w:hAnsi="宋体" w:cs="宋体" w:eastAsia="宋体" w:hint="default"/>
                <w:sz w:val="21"/>
                <w:szCs w:val="21"/>
              </w:rPr>
            </w:pPr>
            <w:r>
              <w:rPr>
                <w:rFonts w:ascii="宋体"/>
                <w:spacing w:val="-1"/>
                <w:sz w:val="21"/>
              </w:rPr>
              <w:t>616,625.17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
              <w:jc w:val="center"/>
              <w:rPr>
                <w:rFonts w:ascii="宋体" w:hAnsi="宋体" w:cs="宋体" w:eastAsia="宋体" w:hint="default"/>
                <w:sz w:val="21"/>
                <w:szCs w:val="21"/>
              </w:rPr>
            </w:pPr>
            <w:r>
              <w:rPr>
                <w:rFonts w:ascii="宋体"/>
                <w:sz w:val="21"/>
              </w:rPr>
              <w:t>1.19</w:t>
            </w:r>
          </w:p>
        </w:tc>
      </w:tr>
      <w:tr>
        <w:trPr>
          <w:trHeight w:val="35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75"/>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75"/>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75"/>
              <w:jc w:val="righ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1"/>
              <w:jc w:val="right"/>
              <w:rPr>
                <w:rFonts w:ascii="宋体" w:hAnsi="宋体" w:cs="宋体" w:eastAsia="宋体" w:hint="default"/>
                <w:sz w:val="21"/>
                <w:szCs w:val="21"/>
              </w:rPr>
            </w:pPr>
            <w:r>
              <w:rPr>
                <w:rFonts w:ascii="宋体"/>
                <w:spacing w:val="-1"/>
                <w:sz w:val="21"/>
              </w:rPr>
              <w:t>72,293,390.56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31" w:right="0"/>
              <w:jc w:val="left"/>
              <w:rPr>
                <w:rFonts w:ascii="宋体" w:hAnsi="宋体" w:cs="宋体" w:eastAsia="宋体" w:hint="default"/>
                <w:sz w:val="21"/>
                <w:szCs w:val="21"/>
              </w:rPr>
            </w:pPr>
            <w:r>
              <w:rPr>
                <w:rFonts w:ascii="宋体"/>
                <w:sz w:val="21"/>
              </w:rPr>
              <w:t>100.00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8"/>
              <w:jc w:val="right"/>
              <w:rPr>
                <w:rFonts w:ascii="宋体" w:hAnsi="宋体" w:cs="宋体" w:eastAsia="宋体" w:hint="default"/>
                <w:sz w:val="21"/>
                <w:szCs w:val="21"/>
              </w:rPr>
            </w:pPr>
            <w:r>
              <w:rPr>
                <w:rFonts w:ascii="宋体"/>
                <w:spacing w:val="-1"/>
                <w:sz w:val="21"/>
              </w:rPr>
              <w:t>51,764,394.13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
              <w:jc w:val="center"/>
              <w:rPr>
                <w:rFonts w:ascii="宋体" w:hAnsi="宋体" w:cs="宋体" w:eastAsia="宋体" w:hint="default"/>
                <w:sz w:val="21"/>
                <w:szCs w:val="21"/>
              </w:rPr>
            </w:pPr>
            <w:r>
              <w:rPr>
                <w:rFonts w:ascii="宋体"/>
                <w:sz w:val="21"/>
              </w:rPr>
              <w:t>100.00</w:t>
            </w:r>
          </w:p>
        </w:tc>
      </w:tr>
    </w:tbl>
    <w:p>
      <w:pPr>
        <w:pStyle w:val="BodyText"/>
        <w:spacing w:line="240" w:lineRule="auto" w:before="86"/>
        <w:ind w:right="3319"/>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pStyle w:val="BodyText"/>
        <w:spacing w:line="350" w:lineRule="auto" w:before="104"/>
        <w:ind w:right="0"/>
        <w:jc w:val="left"/>
      </w:pPr>
      <w:r>
        <w:rPr>
          <w:spacing w:val="-2"/>
          <w:w w:val="100"/>
        </w:rPr>
        <w:t>①本公司预付深圳</w:t>
      </w:r>
      <w:r>
        <w:rPr>
          <w:rFonts w:ascii="宋体" w:hAnsi="宋体" w:cs="宋体" w:eastAsia="宋体" w:hint="default"/>
          <w:spacing w:val="-2"/>
          <w:w w:val="100"/>
        </w:rPr>
        <w:t>***</w:t>
      </w:r>
      <w:r>
        <w:rPr>
          <w:spacing w:val="-2"/>
          <w:w w:val="100"/>
        </w:rPr>
        <w:t>实业有限公司流量采购款</w:t>
      </w:r>
      <w:r>
        <w:rPr>
          <w:spacing w:val="-44"/>
          <w:w w:val="100"/>
        </w:rPr>
        <w:t> </w:t>
      </w:r>
      <w:r>
        <w:rPr>
          <w:rFonts w:ascii="宋体" w:hAnsi="宋体" w:cs="宋体" w:eastAsia="宋体" w:hint="default"/>
          <w:spacing w:val="-1"/>
          <w:w w:val="100"/>
        </w:rPr>
        <w:t>1,600.00</w:t>
      </w:r>
      <w:r>
        <w:rPr>
          <w:rFonts w:ascii="宋体" w:hAnsi="宋体" w:cs="宋体" w:eastAsia="宋体" w:hint="default"/>
          <w:spacing w:val="-46"/>
          <w:w w:val="100"/>
        </w:rPr>
        <w:t> </w:t>
      </w:r>
      <w:r>
        <w:rPr>
          <w:spacing w:val="-7"/>
          <w:w w:val="100"/>
        </w:rPr>
        <w:t>万元，因服务未达预期经协商终止合作，</w:t>
      </w:r>
      <w:r>
        <w:rPr>
          <w:spacing w:val="-101"/>
          <w:w w:val="100"/>
        </w:rPr>
        <w:t> </w:t>
      </w:r>
      <w:r>
        <w:rPr>
          <w:spacing w:val="-101"/>
          <w:w w:val="100"/>
        </w:rPr>
      </w:r>
      <w:r>
        <w:rPr/>
        <w:t>预付的采购款已于资产负债表日后收回。</w:t>
      </w:r>
    </w:p>
    <w:p>
      <w:pPr>
        <w:pStyle w:val="BodyText"/>
        <w:spacing w:line="348" w:lineRule="auto" w:before="30"/>
        <w:ind w:right="227"/>
        <w:jc w:val="left"/>
      </w:pPr>
      <w:r>
        <w:rPr/>
        <w:t>②本公司预付上海</w:t>
      </w:r>
      <w:r>
        <w:rPr>
          <w:rFonts w:ascii="宋体" w:hAnsi="宋体" w:cs="宋体" w:eastAsia="宋体" w:hint="default"/>
        </w:rPr>
        <w:t>**</w:t>
      </w:r>
      <w:r>
        <w:rPr/>
        <w:t>信息技术有限公司服务费</w:t>
      </w:r>
      <w:r>
        <w:rPr>
          <w:spacing w:val="-41"/>
        </w:rPr>
        <w:t> </w:t>
      </w:r>
      <w:r>
        <w:rPr>
          <w:rFonts w:ascii="宋体" w:hAnsi="宋体" w:cs="宋体" w:eastAsia="宋体" w:hint="default"/>
        </w:rPr>
        <w:t>754.72</w:t>
      </w:r>
      <w:r>
        <w:rPr>
          <w:rFonts w:ascii="宋体" w:hAnsi="宋体" w:cs="宋体" w:eastAsia="宋体" w:hint="default"/>
          <w:spacing w:val="-41"/>
        </w:rPr>
        <w:t> </w:t>
      </w:r>
      <w:r>
        <w:rPr>
          <w:spacing w:val="-7"/>
        </w:rPr>
        <w:t>万元，服务尚未达到结算期，预付的采购款</w:t>
      </w:r>
      <w:r>
        <w:rPr>
          <w:spacing w:val="-101"/>
        </w:rPr>
        <w:t> </w:t>
      </w:r>
      <w:r>
        <w:rPr>
          <w:spacing w:val="-101"/>
        </w:rPr>
      </w:r>
      <w:r>
        <w:rPr/>
        <w:t>作为预付款项列报。</w:t>
      </w:r>
    </w:p>
    <w:p>
      <w:pPr>
        <w:pStyle w:val="Heading2"/>
        <w:spacing w:line="258" w:lineRule="exact" w:before="0"/>
        <w:ind w:right="3319"/>
        <w:jc w:val="left"/>
        <w:rPr>
          <w:b w:val="0"/>
          <w:bCs w:val="0"/>
        </w:rPr>
      </w:pPr>
      <w:r>
        <w:rPr>
          <w:rFonts w:ascii="宋体" w:hAnsi="宋体" w:cs="宋体" w:eastAsia="宋体" w:hint="default"/>
        </w:rPr>
        <w:t>(2).</w:t>
      </w:r>
      <w:r>
        <w:rPr/>
        <w:t>按预付对象归集的期末余额前五名的预付款情况</w:t>
      </w:r>
      <w:r>
        <w:rPr>
          <w:b w:val="0"/>
          <w:bCs w:val="0"/>
        </w:rPr>
      </w:r>
    </w:p>
    <w:p>
      <w:pPr>
        <w:pStyle w:val="BodyText"/>
        <w:tabs>
          <w:tab w:pos="1060" w:val="left" w:leader="none"/>
        </w:tabs>
        <w:spacing w:line="240" w:lineRule="auto" w:before="58"/>
        <w:ind w:right="3319"/>
        <w:jc w:val="left"/>
      </w:pPr>
      <w:r>
        <w:rPr>
          <w:spacing w:val="-1"/>
        </w:rPr>
        <w:t>√适用</w:t>
        <w:tab/>
      </w:r>
      <w:r>
        <w:rPr>
          <w:spacing w:val="-2"/>
        </w:rPr>
        <w:t>□不适用</w:t>
      </w:r>
    </w:p>
    <w:p>
      <w:pPr>
        <w:pStyle w:val="BodyText"/>
        <w:spacing w:line="355" w:lineRule="auto" w:before="116"/>
        <w:ind w:right="235" w:firstLine="419"/>
        <w:jc w:val="left"/>
      </w:pPr>
      <w:r>
        <w:rPr/>
        <w:t>本公司按预付对象归集的年末余额前五名预付账款汇总金额为</w:t>
      </w:r>
      <w:r>
        <w:rPr>
          <w:spacing w:val="-56"/>
        </w:rPr>
        <w:t> </w:t>
      </w:r>
      <w:r>
        <w:rPr>
          <w:rFonts w:ascii="宋体" w:hAnsi="宋体" w:cs="宋体" w:eastAsia="宋体" w:hint="default"/>
        </w:rPr>
        <w:t>54,549,778.56</w:t>
      </w:r>
      <w:r>
        <w:rPr>
          <w:rFonts w:ascii="宋体" w:hAnsi="宋体" w:cs="宋体" w:eastAsia="宋体" w:hint="default"/>
          <w:spacing w:val="-55"/>
        </w:rPr>
        <w:t> </w:t>
      </w:r>
      <w:r>
        <w:rPr/>
        <w:t>元，占预付账</w:t>
      </w:r>
      <w:r>
        <w:rPr>
          <w:w w:val="100"/>
        </w:rPr>
        <w:t> </w:t>
      </w:r>
      <w:r>
        <w:rPr/>
        <w:t>款年末余额合计数的比例为</w:t>
      </w:r>
      <w:r>
        <w:rPr>
          <w:spacing w:val="-56"/>
        </w:rPr>
        <w:t> </w:t>
      </w:r>
      <w:r>
        <w:rPr>
          <w:rFonts w:ascii="宋体" w:hAnsi="宋体" w:cs="宋体" w:eastAsia="宋体" w:hint="default"/>
        </w:rPr>
        <w:t>75.46%</w:t>
      </w:r>
      <w:r>
        <w:rPr/>
        <w:t>。</w:t>
      </w:r>
    </w:p>
    <w:p>
      <w:pPr>
        <w:pStyle w:val="BodyText"/>
        <w:spacing w:line="274" w:lineRule="exact" w:before="32"/>
        <w:ind w:right="3319"/>
        <w:jc w:val="left"/>
      </w:pPr>
      <w:r>
        <w:rPr/>
        <w:t>其他说明</w:t>
      </w:r>
    </w:p>
    <w:p>
      <w:pPr>
        <w:pStyle w:val="BodyText"/>
        <w:tabs>
          <w:tab w:pos="1060" w:val="left" w:leader="none"/>
        </w:tabs>
        <w:spacing w:line="274" w:lineRule="exact"/>
        <w:ind w:right="3319"/>
        <w:jc w:val="left"/>
      </w:pPr>
      <w:r>
        <w:rPr>
          <w:spacing w:val="-1"/>
        </w:rPr>
        <w:t>□适用</w:t>
        <w:tab/>
      </w:r>
      <w:r>
        <w:rPr>
          <w:spacing w:val="-2"/>
        </w:rPr>
        <w:t>√不适用</w:t>
      </w:r>
    </w:p>
    <w:p>
      <w:pPr>
        <w:spacing w:after="0" w:line="274"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90" w:lineRule="auto"/>
        <w:ind w:right="81"/>
        <w:jc w:val="left"/>
        <w:rPr>
          <w:b w:val="0"/>
          <w:bCs w:val="0"/>
        </w:rPr>
      </w:pPr>
      <w:r>
        <w:rPr>
          <w:rFonts w:ascii="宋体" w:hAnsi="宋体" w:cs="宋体" w:eastAsia="宋体" w:hint="default"/>
        </w:rPr>
        <w:t>6</w:t>
      </w:r>
      <w:r>
        <w:rPr/>
        <w:t>、</w:t>
      </w:r>
      <w:r>
        <w:rPr>
          <w:spacing w:val="-1"/>
        </w:rPr>
        <w:t> </w:t>
      </w:r>
      <w:r>
        <w:rPr/>
        <w:t>其他应收款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35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48"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1"/>
                <w:szCs w:val="21"/>
              </w:rPr>
            </w:pPr>
            <w:r>
              <w:rPr>
                <w:rFonts w:ascii="宋体"/>
                <w:spacing w:val="-1"/>
                <w:sz w:val="21"/>
              </w:rPr>
              <w:t>5,593,294.54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0"/>
              <w:jc w:val="right"/>
              <w:rPr>
                <w:rFonts w:ascii="宋体" w:hAnsi="宋体" w:cs="宋体" w:eastAsia="宋体" w:hint="default"/>
                <w:sz w:val="21"/>
                <w:szCs w:val="21"/>
              </w:rPr>
            </w:pPr>
            <w:r>
              <w:rPr>
                <w:rFonts w:ascii="宋体"/>
                <w:spacing w:val="-1"/>
                <w:sz w:val="21"/>
              </w:rPr>
              <w:t>3,243,172.79</w:t>
            </w:r>
          </w:p>
        </w:tc>
      </w:tr>
      <w:tr>
        <w:trPr>
          <w:trHeight w:val="35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938" w:type="dxa"/>
            <w:tcBorders>
              <w:top w:val="single" w:sz="4" w:space="0" w:color="000000"/>
              <w:left w:val="single" w:sz="4" w:space="0" w:color="000000"/>
              <w:bottom w:val="single" w:sz="4" w:space="0" w:color="000000"/>
              <w:right w:val="single" w:sz="4" w:space="0" w:color="000000"/>
            </w:tcBorders>
          </w:tcPr>
          <w:p>
            <w:pPr/>
          </w:p>
        </w:tc>
        <w:tc>
          <w:tcPr>
            <w:tcW w:w="29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1"/>
              <w:jc w:val="right"/>
              <w:rPr>
                <w:rFonts w:ascii="宋体" w:hAnsi="宋体" w:cs="宋体" w:eastAsia="宋体" w:hint="default"/>
                <w:sz w:val="21"/>
                <w:szCs w:val="21"/>
              </w:rPr>
            </w:pPr>
            <w:r>
              <w:rPr>
                <w:rFonts w:ascii="宋体"/>
                <w:spacing w:val="-1"/>
                <w:sz w:val="21"/>
              </w:rPr>
              <w:t>16,386,120.31</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0"/>
              <w:jc w:val="right"/>
              <w:rPr>
                <w:rFonts w:ascii="宋体" w:hAnsi="宋体" w:cs="宋体" w:eastAsia="宋体" w:hint="default"/>
                <w:sz w:val="21"/>
                <w:szCs w:val="21"/>
              </w:rPr>
            </w:pPr>
            <w:r>
              <w:rPr>
                <w:rFonts w:ascii="宋体"/>
                <w:spacing w:val="-1"/>
                <w:sz w:val="21"/>
              </w:rPr>
              <w:t>50,506,567.65</w:t>
            </w:r>
          </w:p>
        </w:tc>
      </w:tr>
      <w:tr>
        <w:trPr>
          <w:trHeight w:val="350"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6"/>
              <w:jc w:val="right"/>
              <w:rPr>
                <w:rFonts w:ascii="宋体" w:hAnsi="宋体" w:cs="宋体" w:eastAsia="宋体" w:hint="default"/>
                <w:sz w:val="21"/>
                <w:szCs w:val="21"/>
              </w:rPr>
            </w:pPr>
            <w:r>
              <w:rPr>
                <w:rFonts w:ascii="宋体"/>
                <w:spacing w:val="-1"/>
                <w:sz w:val="21"/>
              </w:rPr>
              <w:t>21,979,414.85</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1"/>
                <w:szCs w:val="21"/>
              </w:rPr>
            </w:pPr>
            <w:r>
              <w:rPr>
                <w:rFonts w:ascii="宋体"/>
                <w:spacing w:val="-1"/>
                <w:sz w:val="21"/>
              </w:rPr>
              <w:t>53,749,740.44</w:t>
            </w:r>
          </w:p>
        </w:tc>
      </w:tr>
    </w:tbl>
    <w:p>
      <w:pPr>
        <w:spacing w:after="0" w:line="274"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14"/>
        <w:jc w:val="left"/>
      </w:pPr>
      <w:r>
        <w:rPr/>
        <w:t>其他说明：</w:t>
      </w:r>
    </w:p>
    <w:p>
      <w:pPr>
        <w:spacing w:line="290" w:lineRule="auto" w:before="0"/>
        <w:ind w:left="21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应收利息</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pStyle w:val="BodyText"/>
        <w:spacing w:line="240" w:lineRule="auto" w:before="12"/>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9"/>
        <w:gridCol w:w="2837"/>
        <w:gridCol w:w="2909"/>
      </w:tblGrid>
      <w:tr>
        <w:trPr>
          <w:trHeight w:val="350"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54"/>
              <w:jc w:val="right"/>
              <w:rPr>
                <w:rFonts w:ascii="宋体" w:hAnsi="宋体" w:cs="宋体" w:eastAsia="宋体" w:hint="default"/>
                <w:sz w:val="21"/>
                <w:szCs w:val="21"/>
              </w:rPr>
            </w:pPr>
            <w:r>
              <w:rPr>
                <w:rFonts w:ascii="宋体" w:hAnsi="宋体" w:cs="宋体" w:eastAsia="宋体" w:hint="default"/>
                <w:sz w:val="21"/>
                <w:szCs w:val="21"/>
              </w:rPr>
              <w:t>项目</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0"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7"/>
              <w:jc w:val="right"/>
              <w:rPr>
                <w:rFonts w:ascii="宋体" w:hAnsi="宋体" w:cs="宋体" w:eastAsia="宋体" w:hint="default"/>
                <w:sz w:val="21"/>
                <w:szCs w:val="21"/>
              </w:rPr>
            </w:pPr>
            <w:r>
              <w:rPr>
                <w:rFonts w:ascii="宋体"/>
                <w:spacing w:val="-1"/>
                <w:sz w:val="21"/>
              </w:rPr>
              <w:t>5,593,294.54</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5"/>
              <w:jc w:val="right"/>
              <w:rPr>
                <w:rFonts w:ascii="宋体" w:hAnsi="宋体" w:cs="宋体" w:eastAsia="宋体" w:hint="default"/>
                <w:sz w:val="21"/>
                <w:szCs w:val="21"/>
              </w:rPr>
            </w:pPr>
            <w:r>
              <w:rPr>
                <w:rFonts w:ascii="宋体"/>
                <w:spacing w:val="-1"/>
                <w:sz w:val="21"/>
              </w:rPr>
              <w:t>3,243,172.79</w:t>
            </w:r>
          </w:p>
        </w:tc>
      </w:tr>
      <w:tr>
        <w:trPr>
          <w:trHeight w:val="350"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54"/>
              <w:jc w:val="right"/>
              <w:rPr>
                <w:rFonts w:ascii="宋体" w:hAnsi="宋体" w:cs="宋体" w:eastAsia="宋体" w:hint="default"/>
                <w:sz w:val="21"/>
                <w:szCs w:val="21"/>
              </w:rPr>
            </w:pPr>
            <w:r>
              <w:rPr>
                <w:rFonts w:ascii="宋体" w:hAnsi="宋体" w:cs="宋体" w:eastAsia="宋体" w:hint="default"/>
                <w:sz w:val="21"/>
                <w:szCs w:val="21"/>
              </w:rPr>
              <w:t>合计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7"/>
              <w:jc w:val="right"/>
              <w:rPr>
                <w:rFonts w:ascii="宋体" w:hAnsi="宋体" w:cs="宋体" w:eastAsia="宋体" w:hint="default"/>
                <w:sz w:val="21"/>
                <w:szCs w:val="21"/>
              </w:rPr>
            </w:pPr>
            <w:r>
              <w:rPr>
                <w:rFonts w:ascii="宋体"/>
                <w:spacing w:val="-1"/>
                <w:sz w:val="21"/>
              </w:rPr>
              <w:t>5,593,294.54</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25"/>
              <w:jc w:val="right"/>
              <w:rPr>
                <w:rFonts w:ascii="宋体" w:hAnsi="宋体" w:cs="宋体" w:eastAsia="宋体" w:hint="default"/>
                <w:sz w:val="21"/>
                <w:szCs w:val="21"/>
              </w:rPr>
            </w:pPr>
            <w:r>
              <w:rPr>
                <w:rFonts w:ascii="宋体"/>
                <w:spacing w:val="-1"/>
                <w:sz w:val="21"/>
              </w:rPr>
              <w:t>3,243,172.79</w:t>
            </w:r>
          </w:p>
        </w:tc>
      </w:tr>
    </w:tbl>
    <w:p>
      <w:pPr>
        <w:pStyle w:val="Heading2"/>
        <w:spacing w:line="240" w:lineRule="auto" w:before="26"/>
        <w:ind w:right="3319"/>
        <w:jc w:val="left"/>
        <w:rPr>
          <w:b w:val="0"/>
          <w:bCs w:val="0"/>
        </w:rPr>
      </w:pPr>
      <w:r>
        <w:rPr>
          <w:rFonts w:ascii="宋体" w:hAnsi="宋体" w:cs="宋体" w:eastAsia="宋体" w:hint="default"/>
        </w:rPr>
        <w:t>(2).</w:t>
      </w:r>
      <w:r>
        <w:rPr/>
        <w:t>重要逾期利息</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tabs>
          <w:tab w:pos="1060" w:val="left" w:leader="none"/>
        </w:tabs>
        <w:spacing w:line="290" w:lineRule="auto" w:before="0"/>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应收股利</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90" w:lineRule="auto" w:before="14"/>
        <w:ind w:left="218" w:right="567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1"/>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40" w:lineRule="auto" w:before="12"/>
        <w:ind w:right="7474"/>
        <w:jc w:val="left"/>
      </w:pPr>
      <w:r>
        <w:rPr/>
        <w:t>□适用</w:t>
      </w:r>
      <w:r>
        <w:rPr>
          <w:spacing w:val="-1"/>
        </w:rPr>
        <w:t> </w:t>
      </w:r>
      <w:r>
        <w:rPr/>
        <w:t>√不适用</w:t>
      </w:r>
      <w:r>
        <w:rPr>
          <w:w w:val="100"/>
        </w:rPr>
        <w:t> </w:t>
      </w:r>
      <w:r>
        <w:rPr/>
        <w:t>其他说明：</w:t>
      </w:r>
    </w:p>
    <w:p>
      <w:pPr>
        <w:pStyle w:val="BodyText"/>
        <w:spacing w:line="271" w:lineRule="exact"/>
        <w:ind w:right="3319"/>
        <w:jc w:val="left"/>
      </w:pPr>
      <w:r>
        <w:rPr/>
        <w:t>□适用</w:t>
      </w:r>
      <w:r>
        <w:rPr>
          <w:spacing w:val="-1"/>
        </w:rPr>
        <w:t> </w:t>
      </w:r>
      <w:r>
        <w:rPr/>
        <w:t>√不适用</w:t>
      </w:r>
    </w:p>
    <w:p>
      <w:pPr>
        <w:spacing w:after="0" w:line="271" w:lineRule="exact"/>
        <w:jc w:val="left"/>
        <w:sectPr>
          <w:type w:val="continuous"/>
          <w:pgSz w:w="11910" w:h="16840"/>
          <w:pgMar w:top="1120" w:bottom="1380" w:left="1580" w:right="104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4"/>
          <w:footerReference w:type="default" r:id="rId65"/>
          <w:pgSz w:w="16840" w:h="11910" w:orient="landscape"/>
          <w:pgMar w:header="0" w:footer="0" w:top="800" w:bottom="280" w:left="1300" w:right="1380"/>
        </w:sectPr>
      </w:pPr>
    </w:p>
    <w:p>
      <w:pPr>
        <w:pStyle w:val="Heading2"/>
        <w:spacing w:line="290" w:lineRule="auto"/>
        <w:ind w:left="140" w:right="-13"/>
        <w:jc w:val="left"/>
        <w:rPr>
          <w:b w:val="0"/>
          <w:bCs w:val="0"/>
        </w:rPr>
      </w:pPr>
      <w:r>
        <w:rPr/>
        <w:t>其他应收款</w:t>
      </w:r>
      <w:r>
        <w:rPr>
          <w:w w:val="100"/>
        </w:rPr>
        <w:t> </w:t>
      </w:r>
      <w:r>
        <w:rPr>
          <w:rFonts w:ascii="宋体" w:hAnsi="宋体" w:cs="宋体" w:eastAsia="宋体" w:hint="default"/>
        </w:rPr>
        <w:t>(1).</w:t>
      </w:r>
      <w:r>
        <w:rPr/>
        <w:t>其他应收款分类披露</w:t>
      </w:r>
      <w:r>
        <w:rPr>
          <w:b w:val="0"/>
          <w:bCs w:val="0"/>
        </w:rPr>
      </w:r>
    </w:p>
    <w:p>
      <w:pPr>
        <w:pStyle w:val="BodyText"/>
        <w:spacing w:line="240" w:lineRule="auto" w:before="14"/>
        <w:ind w:left="140" w:right="-13"/>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380"/>
          <w:cols w:num="2" w:equalWidth="0">
            <w:col w:w="2469" w:space="8991"/>
            <w:col w:w="2700"/>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63"/>
        <w:gridCol w:w="1428"/>
        <w:gridCol w:w="973"/>
        <w:gridCol w:w="1087"/>
        <w:gridCol w:w="1118"/>
        <w:gridCol w:w="1428"/>
        <w:gridCol w:w="1426"/>
        <w:gridCol w:w="1064"/>
        <w:gridCol w:w="1058"/>
        <w:gridCol w:w="1066"/>
        <w:gridCol w:w="1426"/>
      </w:tblGrid>
      <w:tr>
        <w:trPr>
          <w:trHeight w:val="293" w:hRule="exact"/>
        </w:trPr>
        <w:tc>
          <w:tcPr>
            <w:tcW w:w="18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0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863" w:type="dxa"/>
            <w:vMerge/>
            <w:tcBorders>
              <w:left w:val="single" w:sz="4" w:space="0" w:color="000000"/>
              <w:right w:val="single" w:sz="4" w:space="0" w:color="000000"/>
            </w:tcBorders>
          </w:tcPr>
          <w:p>
            <w:pPr/>
          </w:p>
        </w:tc>
        <w:tc>
          <w:tcPr>
            <w:tcW w:w="24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8" w:type="dxa"/>
            <w:vMerge w:val="restart"/>
            <w:tcBorders>
              <w:top w:val="single" w:sz="4" w:space="0" w:color="000000"/>
              <w:left w:val="single" w:sz="4" w:space="0" w:color="000000"/>
              <w:right w:val="single" w:sz="4" w:space="0" w:color="000000"/>
            </w:tcBorders>
          </w:tcPr>
          <w:p>
            <w:pPr>
              <w:pStyle w:val="TableParagraph"/>
              <w:spacing w:line="272" w:lineRule="exact" w:before="135"/>
              <w:ind w:left="499" w:right="49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72" w:lineRule="exact" w:before="135"/>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7" w:hRule="exact"/>
        </w:trPr>
        <w:tc>
          <w:tcPr>
            <w:tcW w:w="1863"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2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1428"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r>
      <w:tr>
        <w:trPr>
          <w:trHeight w:val="826"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40" w:lineRule="auto"/>
              <w:ind w:left="26" w:right="142"/>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428"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72" w:lineRule="exact" w:before="27"/>
              <w:ind w:left="26" w:right="142"/>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16,386,120.31</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7" w:right="0"/>
              <w:jc w:val="left"/>
              <w:rPr>
                <w:rFonts w:ascii="宋体" w:hAnsi="宋体" w:cs="宋体" w:eastAsia="宋体" w:hint="default"/>
                <w:sz w:val="21"/>
                <w:szCs w:val="21"/>
              </w:rPr>
            </w:pPr>
            <w:r>
              <w:rPr>
                <w:rFonts w:ascii="宋体"/>
                <w:sz w:val="21"/>
              </w:rPr>
              <w:t>100.00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16,386,120.31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50,506,567.65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100.00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sz w:val="21"/>
              </w:rPr>
              <w:t>50,506,567.65</w:t>
            </w:r>
          </w:p>
        </w:tc>
      </w:tr>
      <w:tr>
        <w:trPr>
          <w:trHeight w:val="826"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40" w:lineRule="auto"/>
              <w:ind w:left="26" w:right="142"/>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的其他应收款</w:t>
            </w:r>
          </w:p>
        </w:tc>
        <w:tc>
          <w:tcPr>
            <w:tcW w:w="1428"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16,386,120.31</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100"/>
                <w:sz w:val="21"/>
              </w:rPr>
              <w:t>/</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16,386,120.31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50,506,567.65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058"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50,506,567.65</w:t>
            </w:r>
          </w:p>
        </w:tc>
      </w:tr>
    </w:tbl>
    <w:p>
      <w:pPr>
        <w:spacing w:line="240" w:lineRule="auto" w:before="7"/>
        <w:rPr>
          <w:rFonts w:ascii="宋体" w:hAnsi="宋体" w:cs="宋体" w:eastAsia="宋体" w:hint="default"/>
          <w:sz w:val="15"/>
          <w:szCs w:val="15"/>
        </w:rPr>
      </w:pPr>
    </w:p>
    <w:p>
      <w:pPr>
        <w:pStyle w:val="BodyText"/>
        <w:spacing w:line="273" w:lineRule="exact" w:before="36"/>
        <w:ind w:left="140" w:right="0"/>
        <w:jc w:val="left"/>
      </w:pPr>
      <w:r>
        <w:rPr/>
        <w:t>期末单项金额重大并单项计提坏账准备的其他应收款</w:t>
      </w:r>
    </w:p>
    <w:p>
      <w:pPr>
        <w:pStyle w:val="BodyText"/>
        <w:spacing w:line="273" w:lineRule="exact"/>
        <w:ind w:left="140"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63"/>
        <w:ind w:left="6395" w:right="6399" w:firstLine="0"/>
        <w:jc w:val="center"/>
        <w:rPr>
          <w:rFonts w:ascii="Calibri" w:hAnsi="Calibri" w:cs="Calibri" w:eastAsia="Calibri" w:hint="default"/>
          <w:sz w:val="18"/>
          <w:szCs w:val="18"/>
        </w:rPr>
      </w:pPr>
      <w:r>
        <w:rPr>
          <w:rFonts w:ascii="Calibri"/>
          <w:b/>
          <w:sz w:val="18"/>
        </w:rPr>
        <w:t>119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66"/>
          <w:pgSz w:w="11910" w:h="16840"/>
          <w:pgMar w:footer="1195" w:header="0" w:top="1120" w:bottom="1380" w:left="1580" w:right="1040"/>
          <w:pgNumType w:start="120"/>
        </w:sectPr>
      </w:pPr>
    </w:p>
    <w:p>
      <w:pPr>
        <w:pStyle w:val="BodyText"/>
        <w:spacing w:line="274" w:lineRule="exact" w:before="36"/>
        <w:ind w:right="0"/>
        <w:jc w:val="left"/>
      </w:pPr>
      <w:r>
        <w:rPr>
          <w:spacing w:val="-2"/>
        </w:rPr>
        <w:t>组合中，按账龄分析法计提坏账准备的其他应收款</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44" w:space="167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415"/>
        <w:gridCol w:w="2244"/>
        <w:gridCol w:w="2170"/>
        <w:gridCol w:w="2233"/>
      </w:tblGrid>
      <w:tr>
        <w:trPr>
          <w:trHeight w:val="350" w:hRule="exact"/>
        </w:trPr>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6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2415" w:type="dxa"/>
            <w:vMerge/>
            <w:tcBorders>
              <w:left w:val="single" w:sz="4" w:space="0" w:color="000000"/>
              <w:bottom w:val="single" w:sz="4" w:space="0" w:color="000000"/>
              <w:right w:val="single" w:sz="4" w:space="0" w:color="000000"/>
            </w:tcBorders>
          </w:tcPr>
          <w:p>
            <w:pP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9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48"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647" w:type="dxa"/>
            <w:gridSpan w:val="3"/>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7"/>
              <w:jc w:val="right"/>
              <w:rPr>
                <w:rFonts w:ascii="宋体" w:hAnsi="宋体" w:cs="宋体" w:eastAsia="宋体" w:hint="default"/>
                <w:sz w:val="21"/>
                <w:szCs w:val="21"/>
              </w:rPr>
            </w:pPr>
            <w:r>
              <w:rPr>
                <w:rFonts w:ascii="宋体"/>
                <w:spacing w:val="-1"/>
                <w:sz w:val="21"/>
              </w:rPr>
              <w:t>315,000.00</w:t>
            </w:r>
          </w:p>
        </w:tc>
        <w:tc>
          <w:tcPr>
            <w:tcW w:w="2170"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7"/>
              <w:jc w:val="right"/>
              <w:rPr>
                <w:rFonts w:ascii="宋体" w:hAnsi="宋体" w:cs="宋体" w:eastAsia="宋体" w:hint="default"/>
                <w:sz w:val="21"/>
                <w:szCs w:val="21"/>
              </w:rPr>
            </w:pPr>
            <w:r>
              <w:rPr>
                <w:rFonts w:ascii="宋体"/>
                <w:spacing w:val="-1"/>
                <w:sz w:val="21"/>
              </w:rPr>
              <w:t>315,000.00</w:t>
            </w:r>
          </w:p>
        </w:tc>
        <w:tc>
          <w:tcPr>
            <w:tcW w:w="2170" w:type="dxa"/>
            <w:tcBorders>
              <w:top w:val="single" w:sz="4" w:space="0" w:color="000000"/>
              <w:left w:val="single" w:sz="4" w:space="0" w:color="000000"/>
              <w:bottom w:val="single" w:sz="4" w:space="0" w:color="000000"/>
              <w:right w:val="single" w:sz="4" w:space="0" w:color="000000"/>
            </w:tcBorders>
          </w:tcPr>
          <w:p>
            <w:pPr/>
          </w:p>
        </w:tc>
        <w:tc>
          <w:tcPr>
            <w:tcW w:w="223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right="3319"/>
        <w:jc w:val="left"/>
      </w:pPr>
      <w:r>
        <w:rPr/>
        <w:t>确定该组合依据的说明：</w:t>
      </w:r>
    </w:p>
    <w:p>
      <w:pPr>
        <w:pStyle w:val="BodyText"/>
        <w:spacing w:line="272" w:lineRule="exact" w:before="27"/>
        <w:ind w:right="3319"/>
        <w:jc w:val="left"/>
      </w:pPr>
      <w:r>
        <w:rPr/>
        <w:t>本公司以账龄为信用风险特征组合的确定依据。</w:t>
      </w:r>
      <w:r>
        <w:rPr>
          <w:w w:val="100"/>
        </w:rPr>
        <w:t> </w:t>
      </w:r>
      <w:r>
        <w:rPr>
          <w:spacing w:val="-2"/>
        </w:rPr>
        <w:t>组合中，采用余额百分比法计提坏账准备的其他应收款</w:t>
      </w:r>
    </w:p>
    <w:p>
      <w:pPr>
        <w:pStyle w:val="BodyText"/>
        <w:spacing w:line="272" w:lineRule="exact" w:before="2"/>
        <w:ind w:right="3319"/>
        <w:jc w:val="left"/>
      </w:pPr>
      <w:r>
        <w:rPr/>
        <w:t>□适用</w:t>
      </w:r>
      <w:r>
        <w:rPr>
          <w:spacing w:val="-2"/>
        </w:rPr>
        <w:t> </w:t>
      </w:r>
      <w:r>
        <w:rPr/>
        <w:t>√不适用</w:t>
      </w:r>
      <w:r>
        <w:rPr>
          <w:w w:val="100"/>
        </w:rPr>
        <w:t> </w:t>
      </w:r>
      <w:r>
        <w:rPr>
          <w:spacing w:val="-2"/>
        </w:rPr>
        <w:t>组合中，采用其他方法计提坏账准备的其他应收款</w:t>
      </w:r>
    </w:p>
    <w:p>
      <w:pPr>
        <w:pStyle w:val="BodyText"/>
        <w:spacing w:line="240" w:lineRule="auto" w:before="108"/>
        <w:ind w:right="3319"/>
        <w:jc w:val="left"/>
      </w:pPr>
      <w:r>
        <w:rPr/>
        <w:t>√适用</w:t>
      </w:r>
      <w:r>
        <w:rPr>
          <w:spacing w:val="-2"/>
        </w:rPr>
        <w:t> </w:t>
      </w:r>
      <w:r>
        <w:rPr/>
        <w:t>□不适用</w:t>
      </w:r>
      <w:r>
        <w:rPr>
          <w:w w:val="100"/>
        </w:rPr>
        <w:t> </w:t>
      </w:r>
      <w:r>
        <w:rPr>
          <w:spacing w:val="-2"/>
        </w:rPr>
        <w:t>组合中，采用个别认定法计提坏账准备的其他应收款</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vMerge w:val="restart"/>
            <w:tcBorders>
              <w:top w:val="single" w:sz="4" w:space="0" w:color="000000"/>
              <w:left w:val="single" w:sz="4" w:space="0" w:color="000000"/>
              <w:right w:val="single" w:sz="4" w:space="0" w:color="000000"/>
            </w:tcBorders>
          </w:tcPr>
          <w:p>
            <w:pPr>
              <w:pStyle w:val="TableParagraph"/>
              <w:spacing w:line="240" w:lineRule="auto" w:before="107"/>
              <w:ind w:left="705"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281" w:hRule="exact"/>
        </w:trPr>
        <w:tc>
          <w:tcPr>
            <w:tcW w:w="2264" w:type="dxa"/>
            <w:vMerge/>
            <w:tcBorders>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15,306,991.92</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个人备用金</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349,559.35</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驻外社保</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414,569.04</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16,071,120.31</w:t>
            </w:r>
          </w:p>
        </w:tc>
        <w:tc>
          <w:tcPr>
            <w:tcW w:w="226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pStyle w:val="Heading2"/>
        <w:spacing w:line="240" w:lineRule="auto" w:before="26"/>
        <w:ind w:right="-13"/>
        <w:jc w:val="left"/>
        <w:rPr>
          <w:b w:val="0"/>
          <w:bCs w:val="0"/>
        </w:rPr>
      </w:pPr>
      <w:r>
        <w:rPr>
          <w:rFonts w:ascii="宋体" w:hAnsi="宋体" w:cs="宋体" w:eastAsia="宋体" w:hint="default"/>
        </w:rPr>
        <w:t>(2).</w:t>
      </w:r>
      <w:r>
        <w:rPr/>
        <w:t>按款项性质分类情况</w:t>
      </w:r>
      <w:r>
        <w:rPr>
          <w:b w:val="0"/>
          <w:bCs w:val="0"/>
        </w:rPr>
      </w:r>
    </w:p>
    <w:p>
      <w:pPr>
        <w:pStyle w:val="BodyText"/>
        <w:spacing w:line="240" w:lineRule="auto" w:before="56"/>
        <w:ind w:right="-1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7" w:space="3966"/>
            <w:col w:w="277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15,306,991.92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16,679,211.91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349,559.35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2,335,411.97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驻外社保</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414,569.04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291,943.77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315,000.00</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31,200,000.00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16,386,120.31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50,506,567.65</w:t>
            </w:r>
          </w:p>
        </w:tc>
      </w:tr>
    </w:tbl>
    <w:p>
      <w:pPr>
        <w:pStyle w:val="Heading2"/>
        <w:spacing w:line="240" w:lineRule="auto" w:before="26"/>
        <w:ind w:right="3319"/>
        <w:jc w:val="left"/>
        <w:rPr>
          <w:b w:val="0"/>
          <w:bCs w:val="0"/>
        </w:rPr>
      </w:pPr>
      <w:r>
        <w:rPr>
          <w:rFonts w:ascii="宋体" w:hAnsi="宋体" w:cs="宋体" w:eastAsia="宋体" w:hint="default"/>
        </w:rPr>
        <w:t>(3).</w:t>
      </w:r>
      <w:r>
        <w:rPr/>
        <w:t>本期计提、收回或转回的坏账准备情况</w:t>
      </w:r>
      <w:r>
        <w:rPr>
          <w:b w:val="0"/>
          <w:bCs w:val="0"/>
        </w:rPr>
      </w:r>
    </w:p>
    <w:p>
      <w:pPr>
        <w:pStyle w:val="BodyText"/>
        <w:spacing w:line="240" w:lineRule="auto" w:before="59"/>
        <w:ind w:right="227"/>
        <w:jc w:val="left"/>
      </w:pPr>
      <w:r>
        <w:rPr/>
        <w:t>本期计提坏账准备金额</w:t>
      </w:r>
      <w:r>
        <w:rPr>
          <w:spacing w:val="-54"/>
        </w:rPr>
        <w:t> </w:t>
      </w:r>
      <w:r>
        <w:rPr>
          <w:rFonts w:ascii="宋体" w:hAnsi="宋体" w:cs="宋体" w:eastAsia="宋体" w:hint="default"/>
        </w:rPr>
        <w:t>0.00</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5"/>
        </w:rPr>
        <w:t> </w:t>
      </w:r>
      <w:r>
        <w:rPr>
          <w:spacing w:val="-3"/>
        </w:rPr>
        <w:t>元。</w:t>
      </w:r>
      <w:r>
        <w:rPr/>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BodyText"/>
        <w:spacing w:line="273" w:lineRule="exact" w:before="36"/>
        <w:ind w:right="0"/>
        <w:jc w:val="left"/>
      </w:pPr>
      <w:r>
        <w:rPr/>
        <w:t>其中本期坏账准备转回或收回金额重要的：</w:t>
      </w:r>
    </w:p>
    <w:p>
      <w:pPr>
        <w:spacing w:line="290" w:lineRule="auto" w:before="0"/>
        <w:ind w:left="218" w:right="16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90" w:lineRule="auto" w:before="12"/>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按欠款方归集的期末余额前五名的其他应收款情况</w:t>
      </w:r>
      <w:r>
        <w:rPr>
          <w:rFonts w:ascii="宋体" w:hAnsi="宋体" w:cs="宋体" w:eastAsia="宋体" w:hint="default"/>
          <w:spacing w:val="-1"/>
          <w:sz w:val="21"/>
          <w:szCs w:val="21"/>
        </w:rPr>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85" w:space="123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27"/>
        <w:gridCol w:w="1418"/>
        <w:gridCol w:w="1558"/>
        <w:gridCol w:w="852"/>
        <w:gridCol w:w="1417"/>
        <w:gridCol w:w="924"/>
      </w:tblGrid>
      <w:tr>
        <w:trPr>
          <w:trHeight w:val="826"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8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账龄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72" w:lineRule="exact" w:before="27"/>
              <w:ind w:left="124" w:right="70"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 w:right="3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集团股份有限公司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8,619,060.76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52.60</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1,935,401.55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11.81</w:t>
            </w: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727"/>
        <w:gridCol w:w="1418"/>
        <w:gridCol w:w="1558"/>
        <w:gridCol w:w="852"/>
        <w:gridCol w:w="1417"/>
        <w:gridCol w:w="924"/>
      </w:tblGrid>
      <w:tr>
        <w:trPr>
          <w:trHeight w:val="28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发行管理中心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7"/>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412,740.00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67"/>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2.52</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w:t>
            </w:r>
            <w:r>
              <w:rPr>
                <w:rFonts w:ascii="宋体" w:hAnsi="宋体" w:cs="宋体" w:eastAsia="宋体" w:hint="default"/>
                <w:sz w:val="21"/>
                <w:szCs w:val="21"/>
              </w:rPr>
              <w:t>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496,188.00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3.03</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政府采购中心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1.65</w:t>
            </w:r>
          </w:p>
        </w:tc>
        <w:tc>
          <w:tcPr>
            <w:tcW w:w="9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center"/>
              <w:rPr>
                <w:rFonts w:ascii="宋体" w:hAnsi="宋体" w:cs="宋体" w:eastAsia="宋体" w:hint="default"/>
                <w:sz w:val="21"/>
                <w:szCs w:val="21"/>
              </w:rPr>
            </w:pPr>
            <w:r>
              <w:rPr>
                <w:rFonts w:ascii="宋体"/>
                <w:w w:val="100"/>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11,733,390.31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2"/>
              <w:jc w:val="center"/>
              <w:rPr>
                <w:rFonts w:ascii="宋体" w:hAnsi="宋体" w:cs="宋体" w:eastAsia="宋体" w:hint="default"/>
                <w:sz w:val="21"/>
                <w:szCs w:val="21"/>
              </w:rPr>
            </w:pPr>
            <w:r>
              <w:rPr>
                <w:rFonts w:ascii="宋体"/>
                <w:w w:val="100"/>
                <w:sz w:val="21"/>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71.61</w:t>
            </w:r>
          </w:p>
        </w:tc>
        <w:tc>
          <w:tcPr>
            <w:tcW w:w="9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980"/>
        </w:sectPr>
      </w:pPr>
    </w:p>
    <w:p>
      <w:pPr>
        <w:pStyle w:val="Heading2"/>
        <w:spacing w:line="240" w:lineRule="auto" w:before="26"/>
        <w:ind w:right="1037"/>
        <w:jc w:val="left"/>
        <w:rPr>
          <w:b w:val="0"/>
          <w:bCs w:val="0"/>
        </w:rPr>
      </w:pPr>
      <w:r>
        <w:rPr>
          <w:rFonts w:ascii="宋体" w:hAnsi="宋体" w:cs="宋体" w:eastAsia="宋体" w:hint="default"/>
        </w:rPr>
        <w:t>(6).</w:t>
      </w:r>
      <w:r>
        <w:rPr/>
        <w:t>涉及政府补助的应收款项</w:t>
      </w:r>
      <w:r>
        <w:rPr>
          <w:b w:val="0"/>
          <w:bCs w:val="0"/>
        </w:rPr>
      </w:r>
    </w:p>
    <w:p>
      <w:pPr>
        <w:spacing w:line="290" w:lineRule="auto" w:before="58"/>
        <w:ind w:left="218" w:right="103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tabs>
          <w:tab w:pos="1060" w:val="left" w:leader="none"/>
        </w:tabs>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pacing w:val="-1"/>
          <w:sz w:val="21"/>
          <w:szCs w:val="21"/>
        </w:rPr>
        <w:t>(8).</w:t>
      </w:r>
      <w:r>
        <w:rPr>
          <w:rFonts w:ascii="宋体" w:hAnsi="宋体" w:cs="宋体" w:eastAsia="宋体" w:hint="default"/>
          <w:b/>
          <w:bCs/>
          <w:spacing w:val="-1"/>
          <w:sz w:val="21"/>
          <w:szCs w:val="21"/>
        </w:rPr>
        <w:t>转移其他应收款且继续涉入形成的资产、负债的金额</w:t>
      </w:r>
      <w:r>
        <w:rPr>
          <w:rFonts w:ascii="宋体" w:hAnsi="宋体" w:cs="宋体" w:eastAsia="宋体" w:hint="default"/>
          <w:spacing w:val="-1"/>
          <w:sz w:val="21"/>
          <w:szCs w:val="21"/>
        </w:rPr>
      </w:r>
    </w:p>
    <w:p>
      <w:pPr>
        <w:pStyle w:val="BodyText"/>
        <w:tabs>
          <w:tab w:pos="1060" w:val="left" w:leader="none"/>
        </w:tabs>
        <w:spacing w:line="272" w:lineRule="exact" w:before="42"/>
        <w:ind w:right="3591"/>
        <w:jc w:val="left"/>
      </w:pPr>
      <w:r>
        <w:rPr>
          <w:spacing w:val="-1"/>
        </w:rPr>
        <w:t>□适用</w:t>
        <w:tab/>
      </w:r>
      <w:r>
        <w:rPr>
          <w:spacing w:val="-2"/>
        </w:rPr>
        <w:t>√不适用</w:t>
      </w:r>
      <w:r>
        <w:rPr>
          <w:spacing w:val="-99"/>
        </w:rPr>
        <w:t> </w:t>
      </w:r>
      <w:r>
        <w:rPr>
          <w:spacing w:val="-99"/>
        </w:rPr>
      </w:r>
      <w:r>
        <w:rPr/>
        <w:t>其他说明：</w:t>
      </w:r>
    </w:p>
    <w:p>
      <w:pPr>
        <w:pStyle w:val="BodyText"/>
        <w:tabs>
          <w:tab w:pos="1060" w:val="left" w:leader="none"/>
        </w:tabs>
        <w:spacing w:line="247" w:lineRule="exact"/>
        <w:ind w:right="1037"/>
        <w:jc w:val="left"/>
      </w:pPr>
      <w:r>
        <w:rPr>
          <w:spacing w:val="-1"/>
        </w:rPr>
        <w:t>□适用</w:t>
        <w:tab/>
      </w:r>
      <w:r>
        <w:rPr>
          <w:spacing w:val="-2"/>
        </w:rPr>
        <w:t>√不适用</w:t>
      </w:r>
    </w:p>
    <w:p>
      <w:pPr>
        <w:pStyle w:val="Heading2"/>
        <w:spacing w:line="290" w:lineRule="auto" w:before="58"/>
        <w:ind w:right="3988"/>
        <w:jc w:val="left"/>
        <w:rPr>
          <w:b w:val="0"/>
          <w:bCs w:val="0"/>
        </w:rPr>
      </w:pPr>
      <w:r>
        <w:rPr>
          <w:rFonts w:ascii="宋体" w:hAnsi="宋体" w:cs="宋体" w:eastAsia="宋体" w:hint="default"/>
        </w:rPr>
        <w:t>7</w:t>
      </w:r>
      <w:r>
        <w:rPr/>
        <w:t>、</w:t>
      </w:r>
      <w:r>
        <w:rPr>
          <w:spacing w:val="-3"/>
        </w:rPr>
        <w:t> </w:t>
      </w:r>
      <w:r>
        <w:rPr/>
        <w:t>存货</w:t>
      </w:r>
      <w:r>
        <w:rPr>
          <w:w w:val="100"/>
        </w:rPr>
        <w:t> </w:t>
      </w:r>
      <w:r>
        <w:rPr>
          <w:rFonts w:ascii="宋体" w:hAnsi="宋体" w:cs="宋体" w:eastAsia="宋体" w:hint="default"/>
        </w:rPr>
        <w:t>(1).</w:t>
      </w:r>
      <w:r>
        <w:rPr/>
        <w:t>存货分类</w:t>
      </w:r>
      <w:r>
        <w:rPr>
          <w:b w:val="0"/>
          <w:bCs w:val="0"/>
        </w:rPr>
      </w:r>
    </w:p>
    <w:p>
      <w:pPr>
        <w:pStyle w:val="BodyText"/>
        <w:spacing w:line="240" w:lineRule="auto" w:before="14"/>
        <w:ind w:right="103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80"/>
          <w:cols w:num="2" w:equalWidth="0">
            <w:col w:w="5494" w:space="1028"/>
            <w:col w:w="282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583"/>
        <w:gridCol w:w="1327"/>
        <w:gridCol w:w="557"/>
        <w:gridCol w:w="1328"/>
        <w:gridCol w:w="1328"/>
        <w:gridCol w:w="600"/>
        <w:gridCol w:w="1327"/>
      </w:tblGrid>
      <w:tr>
        <w:trPr>
          <w:trHeight w:val="283" w:hRule="exact"/>
        </w:trPr>
        <w:tc>
          <w:tcPr>
            <w:tcW w:w="25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583" w:type="dxa"/>
            <w:vMerge/>
            <w:tcBorders>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9" w:right="0"/>
              <w:jc w:val="left"/>
              <w:rPr>
                <w:rFonts w:ascii="宋体" w:hAnsi="宋体" w:cs="宋体" w:eastAsia="宋体" w:hint="default"/>
                <w:sz w:val="21"/>
                <w:szCs w:val="21"/>
              </w:rPr>
            </w:pPr>
            <w:r>
              <w:rPr>
                <w:rFonts w:ascii="宋体" w:hAnsi="宋体" w:cs="宋体" w:eastAsia="宋体" w:hint="default"/>
                <w:sz w:val="21"/>
                <w:szCs w:val="21"/>
              </w:rPr>
              <w:t>跌价</w:t>
            </w:r>
          </w:p>
          <w:p>
            <w:pPr>
              <w:pStyle w:val="TableParagraph"/>
              <w:spacing w:line="273" w:lineRule="exact"/>
              <w:ind w:left="59"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1" w:right="0"/>
              <w:jc w:val="left"/>
              <w:rPr>
                <w:rFonts w:ascii="宋体" w:hAnsi="宋体" w:cs="宋体" w:eastAsia="宋体" w:hint="default"/>
                <w:sz w:val="21"/>
                <w:szCs w:val="21"/>
              </w:rPr>
            </w:pPr>
            <w:r>
              <w:rPr>
                <w:rFonts w:ascii="宋体" w:hAnsi="宋体" w:cs="宋体" w:eastAsia="宋体" w:hint="default"/>
                <w:sz w:val="21"/>
                <w:szCs w:val="21"/>
              </w:rPr>
              <w:t>跌价</w:t>
            </w:r>
          </w:p>
          <w:p>
            <w:pPr>
              <w:pStyle w:val="TableParagraph"/>
              <w:spacing w:line="273" w:lineRule="exact"/>
              <w:ind w:left="8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2,290,645.57</w:t>
            </w:r>
          </w:p>
        </w:tc>
        <w:tc>
          <w:tcPr>
            <w:tcW w:w="55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2,290,645.57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1,863,558.08</w:t>
            </w:r>
          </w:p>
        </w:tc>
        <w:tc>
          <w:tcPr>
            <w:tcW w:w="60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1,863,558.08</w:t>
            </w: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2,290,645.57</w:t>
            </w:r>
          </w:p>
        </w:tc>
        <w:tc>
          <w:tcPr>
            <w:tcW w:w="55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2,290,645.57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1,863,558.08</w:t>
            </w:r>
          </w:p>
        </w:tc>
        <w:tc>
          <w:tcPr>
            <w:tcW w:w="60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1,863,558.08</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980"/>
        </w:sectPr>
      </w:pPr>
    </w:p>
    <w:p>
      <w:pPr>
        <w:pStyle w:val="Heading2"/>
        <w:spacing w:line="240" w:lineRule="auto" w:before="26"/>
        <w:ind w:right="-14"/>
        <w:jc w:val="left"/>
        <w:rPr>
          <w:b w:val="0"/>
          <w:bCs w:val="0"/>
        </w:rPr>
      </w:pPr>
      <w:r>
        <w:rPr>
          <w:rFonts w:ascii="宋体" w:hAnsi="宋体" w:cs="宋体" w:eastAsia="宋体" w:hint="default"/>
        </w:rPr>
        <w:t>(2).</w:t>
      </w:r>
      <w:r>
        <w:rPr/>
        <w:t>存货跌价准备</w:t>
      </w:r>
      <w:r>
        <w:rPr>
          <w:b w:val="0"/>
          <w:bCs w:val="0"/>
        </w:rPr>
      </w:r>
    </w:p>
    <w:p>
      <w:pPr>
        <w:spacing w:line="290" w:lineRule="auto" w:before="58"/>
        <w:ind w:left="21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tabs>
          <w:tab w:pos="1060" w:val="left" w:leader="none"/>
        </w:tabs>
        <w:spacing w:line="290" w:lineRule="auto" w:before="14"/>
        <w:ind w:left="218" w:right="20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pStyle w:val="BodyText"/>
        <w:spacing w:line="240" w:lineRule="auto" w:before="12"/>
        <w:ind w:right="3052"/>
        <w:jc w:val="left"/>
      </w:pPr>
      <w:r>
        <w:rPr/>
        <w:t>□适用</w:t>
      </w:r>
      <w:r>
        <w:rPr>
          <w:spacing w:val="-1"/>
        </w:rPr>
        <w:t> </w:t>
      </w:r>
      <w:r>
        <w:rPr/>
        <w:t>√不适用</w:t>
      </w:r>
      <w:r>
        <w:rPr>
          <w:w w:val="100"/>
        </w:rPr>
        <w:t> </w:t>
      </w:r>
      <w:r>
        <w:rPr/>
        <w:t>其他说明</w:t>
      </w:r>
    </w:p>
    <w:p>
      <w:pPr>
        <w:tabs>
          <w:tab w:pos="1060" w:val="left" w:leader="none"/>
        </w:tabs>
        <w:spacing w:line="290" w:lineRule="auto" w:before="0"/>
        <w:ind w:left="218" w:right="2957"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持有待售资产</w:t>
      </w:r>
      <w:r>
        <w:rPr>
          <w:rFonts w:ascii="宋体" w:hAnsi="宋体" w:cs="宋体" w:eastAsia="宋体" w:hint="default"/>
          <w:sz w:val="21"/>
          <w:szCs w:val="21"/>
        </w:rPr>
      </w:r>
    </w:p>
    <w:p>
      <w:pPr>
        <w:pStyle w:val="BodyText"/>
        <w:spacing w:line="240" w:lineRule="auto" w:before="12"/>
        <w:ind w:right="-14"/>
        <w:jc w:val="left"/>
      </w:pPr>
      <w:r>
        <w:rPr/>
        <w:t>□适用</w:t>
      </w:r>
      <w:r>
        <w:rPr>
          <w:spacing w:val="-1"/>
        </w:rPr>
        <w:t> </w:t>
      </w:r>
      <w:r>
        <w:rPr/>
        <w:t>√不适用</w:t>
      </w:r>
    </w:p>
    <w:p>
      <w:pPr>
        <w:pStyle w:val="Heading2"/>
        <w:spacing w:line="240" w:lineRule="auto" w:before="58"/>
        <w:ind w:right="-14"/>
        <w:jc w:val="left"/>
        <w:rPr>
          <w:b w:val="0"/>
          <w:bCs w:val="0"/>
        </w:rPr>
      </w:pPr>
      <w:r>
        <w:rPr>
          <w:rFonts w:ascii="宋体" w:hAnsi="宋体" w:cs="宋体" w:eastAsia="宋体" w:hint="default"/>
        </w:rPr>
        <w:t>9</w:t>
      </w:r>
      <w:r>
        <w:rPr/>
        <w:t>、</w:t>
      </w:r>
      <w:r>
        <w:rPr>
          <w:spacing w:val="-2"/>
        </w:rPr>
        <w:t> </w:t>
      </w:r>
      <w:r>
        <w:rPr/>
        <w:t>一年内到期的非流动资产</w:t>
      </w:r>
      <w:r>
        <w:rPr>
          <w:b w:val="0"/>
          <w:bCs w:val="0"/>
        </w:rPr>
      </w:r>
    </w:p>
    <w:p>
      <w:pPr>
        <w:pStyle w:val="BodyText"/>
        <w:spacing w:line="240" w:lineRule="auto" w:before="57"/>
        <w:ind w:right="3052"/>
        <w:jc w:val="left"/>
      </w:pPr>
      <w:r>
        <w:rPr/>
        <w:t>□适用</w:t>
      </w:r>
      <w:r>
        <w:rPr>
          <w:spacing w:val="-1"/>
        </w:rPr>
        <w:t> </w:t>
      </w:r>
      <w:r>
        <w:rPr/>
        <w:t>√不适用</w:t>
      </w:r>
      <w:r>
        <w:rPr>
          <w:w w:val="100"/>
        </w:rPr>
        <w:t> </w:t>
      </w:r>
      <w:r>
        <w:rPr/>
        <w:t>其他说明</w:t>
      </w:r>
    </w:p>
    <w:p>
      <w:pPr>
        <w:pStyle w:val="BodyText"/>
        <w:spacing w:line="271" w:lineRule="exact"/>
        <w:ind w:right="-14"/>
        <w:jc w:val="left"/>
      </w:pPr>
      <w:r>
        <w:rPr>
          <w:w w:val="100"/>
        </w:rPr>
        <w:t>无</w:t>
      </w:r>
    </w:p>
    <w:p>
      <w:pPr>
        <w:pStyle w:val="Heading2"/>
        <w:spacing w:line="240" w:lineRule="auto" w:before="58"/>
        <w:ind w:right="-14"/>
        <w:jc w:val="left"/>
        <w:rPr>
          <w:b w:val="0"/>
          <w:bCs w:val="0"/>
        </w:rPr>
      </w:pPr>
      <w:r>
        <w:rPr>
          <w:rFonts w:ascii="宋体" w:hAnsi="宋体" w:cs="宋体" w:eastAsia="宋体" w:hint="default"/>
        </w:rPr>
        <w:t>10</w:t>
      </w:r>
      <w:r>
        <w:rPr/>
        <w:t>、</w:t>
      </w:r>
      <w:r>
        <w:rPr>
          <w:spacing w:val="-24"/>
        </w:rPr>
        <w:t> </w:t>
      </w:r>
      <w:r>
        <w:rPr/>
        <w:t>其他流动资产</w:t>
      </w:r>
      <w:r>
        <w:rPr>
          <w:b w:val="0"/>
          <w:bCs w:val="0"/>
        </w:rPr>
      </w:r>
    </w:p>
    <w:p>
      <w:pPr>
        <w:pStyle w:val="BodyText"/>
        <w:spacing w:line="240" w:lineRule="auto" w:before="56"/>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80"/>
          <w:cols w:num="2" w:equalWidth="0">
            <w:col w:w="4865" w:space="1657"/>
            <w:col w:w="2828"/>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3339"/>
        <w:gridCol w:w="2916"/>
        <w:gridCol w:w="2777"/>
      </w:tblGrid>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理财产品及结构性存款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98,500,000.00</w:t>
            </w: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待抵扣增值税进项税额</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406,027.39</w:t>
            </w: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预缴社保费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1,622.17</w:t>
            </w: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98,907,649.56</w:t>
            </w:r>
          </w:p>
        </w:tc>
        <w:tc>
          <w:tcPr>
            <w:tcW w:w="277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right="0"/>
        <w:jc w:val="left"/>
      </w:pPr>
      <w:r>
        <w:rPr/>
        <w:t>其他说明</w:t>
      </w:r>
    </w:p>
    <w:p>
      <w:pPr>
        <w:pStyle w:val="BodyText"/>
        <w:spacing w:line="273" w:lineRule="exact"/>
        <w:ind w:right="0"/>
        <w:jc w:val="left"/>
      </w:pPr>
      <w:r>
        <w:rPr>
          <w:w w:val="100"/>
        </w:rPr>
        <w:t>无</w:t>
      </w:r>
    </w:p>
    <w:p>
      <w:pPr>
        <w:spacing w:after="0" w:line="273" w:lineRule="exact"/>
        <w:jc w:val="left"/>
        <w:sectPr>
          <w:type w:val="continuous"/>
          <w:pgSz w:w="11910" w:h="16840"/>
          <w:pgMar w:top="1120" w:bottom="1380" w:left="1580" w:right="9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180" w:right="660"/>
        </w:sectPr>
      </w:pPr>
    </w:p>
    <w:p>
      <w:pPr>
        <w:pStyle w:val="Heading2"/>
        <w:spacing w:line="290" w:lineRule="auto"/>
        <w:ind w:left="618" w:right="-15"/>
        <w:jc w:val="left"/>
        <w:rPr>
          <w:b w:val="0"/>
          <w:bCs w:val="0"/>
        </w:rPr>
      </w:pPr>
      <w:r>
        <w:rPr>
          <w:rFonts w:ascii="宋体" w:hAnsi="宋体" w:cs="宋体" w:eastAsia="宋体" w:hint="default"/>
        </w:rPr>
        <w:t>11</w:t>
      </w:r>
      <w:r>
        <w:rPr/>
        <w:t>、</w:t>
      </w:r>
      <w:r>
        <w:rPr>
          <w:spacing w:val="-25"/>
        </w:rPr>
        <w:t> </w:t>
      </w:r>
      <w:r>
        <w:rPr/>
        <w:t>可供出售金融资产</w:t>
      </w:r>
      <w:r>
        <w:rPr>
          <w:w w:val="100"/>
        </w:rPr>
        <w:t> </w:t>
      </w:r>
      <w:r>
        <w:rPr>
          <w:rFonts w:ascii="宋体" w:hAnsi="宋体" w:cs="宋体" w:eastAsia="宋体" w:hint="default"/>
        </w:rPr>
        <w:t>(1).</w:t>
      </w:r>
      <w:r>
        <w:rPr/>
        <w:t>可供出售金融资产情况</w:t>
      </w:r>
      <w:r>
        <w:rPr>
          <w:b w:val="0"/>
          <w:bCs w:val="0"/>
        </w:rPr>
      </w:r>
    </w:p>
    <w:p>
      <w:pPr>
        <w:pStyle w:val="BodyText"/>
        <w:spacing w:line="240" w:lineRule="auto" w:before="12"/>
        <w:ind w:left="61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669" w:val="left" w:leader="none"/>
        </w:tabs>
        <w:spacing w:line="240" w:lineRule="auto"/>
        <w:ind w:left="618" w:right="0"/>
        <w:jc w:val="left"/>
      </w:pPr>
      <w:r>
        <w:rPr>
          <w:spacing w:val="-1"/>
        </w:rPr>
        <w:t>单位：元</w:t>
        <w:tab/>
      </w:r>
      <w:r>
        <w:rPr>
          <w:spacing w:val="-2"/>
        </w:rPr>
        <w:t>币种：人民币</w:t>
      </w:r>
    </w:p>
    <w:p>
      <w:pPr>
        <w:spacing w:after="0" w:line="240" w:lineRule="auto"/>
        <w:jc w:val="left"/>
        <w:sectPr>
          <w:type w:val="continuous"/>
          <w:pgSz w:w="11910" w:h="16840"/>
          <w:pgMar w:top="1120" w:bottom="1380" w:left="1180" w:right="660"/>
          <w:cols w:num="2" w:equalWidth="0">
            <w:col w:w="3155" w:space="3366"/>
            <w:col w:w="3549"/>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36"/>
        <w:gridCol w:w="1592"/>
        <w:gridCol w:w="698"/>
        <w:gridCol w:w="1608"/>
        <w:gridCol w:w="1697"/>
        <w:gridCol w:w="677"/>
        <w:gridCol w:w="1726"/>
      </w:tblGrid>
      <w:tr>
        <w:trPr>
          <w:trHeight w:val="350" w:hRule="exact"/>
        </w:trPr>
        <w:tc>
          <w:tcPr>
            <w:tcW w:w="183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1836"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31"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7"/>
                <w:sz w:val="21"/>
                <w:szCs w:val="21"/>
              </w:rPr>
              <w:t>可供出售权益工</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89,817,371.24</w:t>
            </w:r>
          </w:p>
        </w:tc>
        <w:tc>
          <w:tcPr>
            <w:tcW w:w="698"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89,817,371.24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194,340,296.14</w:t>
            </w:r>
          </w:p>
        </w:tc>
        <w:tc>
          <w:tcPr>
            <w:tcW w:w="67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194,340,296.14</w:t>
            </w:r>
          </w:p>
        </w:tc>
      </w:tr>
      <w:tr>
        <w:trPr>
          <w:trHeight w:val="557"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pacing w:val="3"/>
                <w:sz w:val="21"/>
                <w:szCs w:val="21"/>
              </w:rPr>
              <w:t>按公允价值计</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量的</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82,772,571.24</w:t>
            </w:r>
          </w:p>
        </w:tc>
        <w:tc>
          <w:tcPr>
            <w:tcW w:w="698"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6"/>
              <w:jc w:val="right"/>
              <w:rPr>
                <w:rFonts w:ascii="宋体" w:hAnsi="宋体" w:cs="宋体" w:eastAsia="宋体" w:hint="default"/>
                <w:sz w:val="21"/>
                <w:szCs w:val="21"/>
              </w:rPr>
            </w:pPr>
            <w:r>
              <w:rPr>
                <w:rFonts w:ascii="宋体"/>
                <w:spacing w:val="-1"/>
                <w:sz w:val="21"/>
              </w:rPr>
              <w:t>82,772,571.24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193,020,296.14</w:t>
            </w:r>
          </w:p>
        </w:tc>
        <w:tc>
          <w:tcPr>
            <w:tcW w:w="67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193,020,296.14</w:t>
            </w:r>
          </w:p>
        </w:tc>
      </w:tr>
      <w:tr>
        <w:trPr>
          <w:trHeight w:val="349"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4"/>
              <w:jc w:val="right"/>
              <w:rPr>
                <w:rFonts w:ascii="宋体" w:hAnsi="宋体" w:cs="宋体" w:eastAsia="宋体" w:hint="default"/>
                <w:sz w:val="21"/>
                <w:szCs w:val="21"/>
              </w:rPr>
            </w:pPr>
            <w:r>
              <w:rPr>
                <w:rFonts w:ascii="宋体"/>
                <w:spacing w:val="-1"/>
                <w:sz w:val="21"/>
              </w:rPr>
              <w:t>7,044,800.00</w:t>
            </w:r>
          </w:p>
        </w:tc>
        <w:tc>
          <w:tcPr>
            <w:tcW w:w="698"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6"/>
              <w:jc w:val="right"/>
              <w:rPr>
                <w:rFonts w:ascii="宋体" w:hAnsi="宋体" w:cs="宋体" w:eastAsia="宋体" w:hint="default"/>
                <w:sz w:val="21"/>
                <w:szCs w:val="21"/>
              </w:rPr>
            </w:pPr>
            <w:r>
              <w:rPr>
                <w:rFonts w:ascii="宋体"/>
                <w:spacing w:val="-1"/>
                <w:sz w:val="21"/>
              </w:rPr>
              <w:t>7,044,800.00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1,320,000.00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1,320,000.00</w:t>
            </w:r>
          </w:p>
        </w:tc>
      </w:tr>
      <w:tr>
        <w:trPr>
          <w:trHeight w:val="350"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4"/>
              <w:jc w:val="right"/>
              <w:rPr>
                <w:rFonts w:ascii="宋体" w:hAnsi="宋体" w:cs="宋体" w:eastAsia="宋体" w:hint="default"/>
                <w:sz w:val="21"/>
                <w:szCs w:val="21"/>
              </w:rPr>
            </w:pPr>
            <w:r>
              <w:rPr>
                <w:rFonts w:ascii="宋体"/>
                <w:spacing w:val="-1"/>
                <w:sz w:val="21"/>
              </w:rPr>
              <w:t>89,817,371.24</w:t>
            </w:r>
          </w:p>
        </w:tc>
        <w:tc>
          <w:tcPr>
            <w:tcW w:w="698"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6"/>
              <w:jc w:val="right"/>
              <w:rPr>
                <w:rFonts w:ascii="宋体" w:hAnsi="宋体" w:cs="宋体" w:eastAsia="宋体" w:hint="default"/>
                <w:sz w:val="21"/>
                <w:szCs w:val="21"/>
              </w:rPr>
            </w:pPr>
            <w:r>
              <w:rPr>
                <w:rFonts w:ascii="宋体"/>
                <w:spacing w:val="-1"/>
                <w:sz w:val="21"/>
              </w:rPr>
              <w:t>89,817,371.24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3"/>
              <w:jc w:val="right"/>
              <w:rPr>
                <w:rFonts w:ascii="宋体" w:hAnsi="宋体" w:cs="宋体" w:eastAsia="宋体" w:hint="default"/>
                <w:sz w:val="21"/>
                <w:szCs w:val="21"/>
              </w:rPr>
            </w:pPr>
            <w:r>
              <w:rPr>
                <w:rFonts w:ascii="宋体"/>
                <w:spacing w:val="-1"/>
                <w:sz w:val="21"/>
              </w:rPr>
              <w:t>194,340,296.14</w:t>
            </w:r>
          </w:p>
        </w:tc>
        <w:tc>
          <w:tcPr>
            <w:tcW w:w="67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3"/>
              <w:jc w:val="right"/>
              <w:rPr>
                <w:rFonts w:ascii="宋体" w:hAnsi="宋体" w:cs="宋体" w:eastAsia="宋体" w:hint="default"/>
                <w:sz w:val="21"/>
                <w:szCs w:val="21"/>
              </w:rPr>
            </w:pPr>
            <w:r>
              <w:rPr>
                <w:rFonts w:ascii="宋体"/>
                <w:spacing w:val="-1"/>
                <w:sz w:val="21"/>
              </w:rPr>
              <w:t>194,340,296.14</w:t>
            </w:r>
          </w:p>
        </w:tc>
      </w:tr>
    </w:tbl>
    <w:p>
      <w:pPr>
        <w:spacing w:after="0" w:line="240" w:lineRule="auto"/>
        <w:jc w:val="right"/>
        <w:rPr>
          <w:rFonts w:ascii="宋体" w:hAnsi="宋体" w:cs="宋体" w:eastAsia="宋体" w:hint="default"/>
          <w:sz w:val="21"/>
          <w:szCs w:val="21"/>
        </w:rPr>
        <w:sectPr>
          <w:type w:val="continuous"/>
          <w:pgSz w:w="11910" w:h="16840"/>
          <w:pgMar w:top="1120" w:bottom="1380" w:left="1180" w:right="660"/>
        </w:sectPr>
      </w:pPr>
    </w:p>
    <w:p>
      <w:pPr>
        <w:pStyle w:val="Heading2"/>
        <w:spacing w:line="240" w:lineRule="auto" w:before="26"/>
        <w:ind w:left="618" w:right="-14"/>
        <w:jc w:val="left"/>
        <w:rPr>
          <w:b w:val="0"/>
          <w:bCs w:val="0"/>
        </w:rPr>
      </w:pPr>
      <w:r>
        <w:rPr>
          <w:rFonts w:ascii="宋体" w:hAnsi="宋体" w:cs="宋体" w:eastAsia="宋体" w:hint="default"/>
        </w:rPr>
        <w:t>(2).</w:t>
      </w:r>
      <w:r>
        <w:rPr/>
        <w:t>期末按公允价值计量的可供出售金融资产</w:t>
      </w:r>
      <w:r>
        <w:rPr>
          <w:b w:val="0"/>
          <w:bCs w:val="0"/>
        </w:rPr>
      </w:r>
    </w:p>
    <w:p>
      <w:pPr>
        <w:pStyle w:val="BodyText"/>
        <w:spacing w:line="240" w:lineRule="auto" w:before="58"/>
        <w:ind w:left="61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669" w:val="left" w:leader="none"/>
        </w:tabs>
        <w:spacing w:line="240" w:lineRule="auto"/>
        <w:ind w:left="618" w:right="0"/>
        <w:jc w:val="left"/>
      </w:pPr>
      <w:r>
        <w:rPr>
          <w:spacing w:val="-1"/>
        </w:rPr>
        <w:t>单位：元</w:t>
        <w:tab/>
      </w:r>
      <w:r>
        <w:rPr>
          <w:spacing w:val="-2"/>
        </w:rPr>
        <w:t>币种：人民币</w:t>
      </w:r>
    </w:p>
    <w:p>
      <w:pPr>
        <w:spacing w:after="0" w:line="240" w:lineRule="auto"/>
        <w:jc w:val="left"/>
        <w:sectPr>
          <w:type w:val="continuous"/>
          <w:pgSz w:w="11910" w:h="16840"/>
          <w:pgMar w:top="1120" w:bottom="1380" w:left="1180" w:right="660"/>
          <w:cols w:num="2" w:equalWidth="0">
            <w:col w:w="4843" w:space="1679"/>
            <w:col w:w="3548"/>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2426"/>
        <w:gridCol w:w="1582"/>
        <w:gridCol w:w="835"/>
        <w:gridCol w:w="1688"/>
        <w:gridCol w:w="1580"/>
        <w:gridCol w:w="1687"/>
      </w:tblGrid>
      <w:tr>
        <w:trPr>
          <w:trHeight w:val="1099"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6" w:right="151" w:hanging="420"/>
              <w:jc w:val="left"/>
              <w:rPr>
                <w:rFonts w:ascii="宋体" w:hAnsi="宋体" w:cs="宋体" w:eastAsia="宋体" w:hint="default"/>
                <w:sz w:val="21"/>
                <w:szCs w:val="21"/>
              </w:rPr>
            </w:pPr>
            <w:r>
              <w:rPr>
                <w:rFonts w:ascii="宋体" w:hAnsi="宋体" w:cs="宋体" w:eastAsia="宋体" w:hint="default"/>
                <w:sz w:val="21"/>
                <w:szCs w:val="21"/>
              </w:rPr>
              <w:t>可供出售权益</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both"/>
              <w:rPr>
                <w:rFonts w:ascii="宋体" w:hAnsi="宋体" w:cs="宋体" w:eastAsia="宋体" w:hint="default"/>
                <w:sz w:val="21"/>
                <w:szCs w:val="21"/>
              </w:rPr>
            </w:pPr>
            <w:r>
              <w:rPr>
                <w:rFonts w:ascii="宋体" w:hAnsi="宋体" w:cs="宋体" w:eastAsia="宋体" w:hint="default"/>
                <w:sz w:val="21"/>
                <w:szCs w:val="21"/>
              </w:rPr>
              <w:t>可供</w:t>
            </w:r>
          </w:p>
          <w:p>
            <w:pPr>
              <w:pStyle w:val="TableParagraph"/>
              <w:spacing w:line="237" w:lineRule="auto"/>
              <w:ind w:left="201" w:right="199"/>
              <w:jc w:val="both"/>
              <w:rPr>
                <w:rFonts w:ascii="宋体" w:hAnsi="宋体" w:cs="宋体" w:eastAsia="宋体" w:hint="default"/>
                <w:sz w:val="21"/>
                <w:szCs w:val="21"/>
              </w:rPr>
            </w:pPr>
            <w:r>
              <w:rPr>
                <w:rFonts w:ascii="宋体" w:hAnsi="宋体" w:cs="宋体" w:eastAsia="宋体" w:hint="default"/>
                <w:sz w:val="21"/>
                <w:szCs w:val="21"/>
              </w:rPr>
              <w:t>出售</w:t>
            </w:r>
            <w:r>
              <w:rPr>
                <w:rFonts w:ascii="宋体" w:hAnsi="宋体" w:cs="宋体" w:eastAsia="宋体" w:hint="default"/>
                <w:spacing w:val="-103"/>
                <w:sz w:val="21"/>
                <w:szCs w:val="21"/>
              </w:rPr>
              <w:t> </w:t>
            </w:r>
            <w:r>
              <w:rPr>
                <w:rFonts w:ascii="宋体" w:hAnsi="宋体" w:cs="宋体" w:eastAsia="宋体" w:hint="default"/>
                <w:sz w:val="21"/>
                <w:szCs w:val="21"/>
              </w:rPr>
              <w:t>债务</w:t>
            </w:r>
            <w:r>
              <w:rPr>
                <w:rFonts w:ascii="宋体" w:hAnsi="宋体" w:cs="宋体" w:eastAsia="宋体" w:hint="default"/>
                <w:spacing w:val="-103"/>
                <w:sz w:val="21"/>
                <w:szCs w:val="21"/>
              </w:rPr>
              <w:t> </w:t>
            </w:r>
            <w:r>
              <w:rPr>
                <w:rFonts w:ascii="宋体" w:hAnsi="宋体" w:cs="宋体" w:eastAsia="宋体" w:hint="default"/>
                <w:sz w:val="21"/>
                <w:szCs w:val="21"/>
              </w:rPr>
              <w:t>工具</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29" w:right="101" w:hanging="630"/>
              <w:jc w:val="left"/>
              <w:rPr>
                <w:rFonts w:ascii="宋体" w:hAnsi="宋体" w:cs="宋体" w:eastAsia="宋体" w:hint="default"/>
                <w:sz w:val="21"/>
                <w:szCs w:val="21"/>
              </w:rPr>
            </w:pPr>
            <w:r>
              <w:rPr>
                <w:rFonts w:ascii="宋体" w:hAnsi="宋体" w:cs="宋体" w:eastAsia="宋体" w:hint="default"/>
                <w:sz w:val="21"/>
                <w:szCs w:val="21"/>
              </w:rPr>
              <w:t>可供出售权益工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73" w:right="152" w:hanging="420"/>
              <w:jc w:val="left"/>
              <w:rPr>
                <w:rFonts w:ascii="宋体" w:hAnsi="宋体" w:cs="宋体" w:eastAsia="宋体" w:hint="default"/>
                <w:sz w:val="21"/>
                <w:szCs w:val="21"/>
              </w:rPr>
            </w:pPr>
            <w:r>
              <w:rPr>
                <w:rFonts w:ascii="宋体" w:hAnsi="宋体" w:cs="宋体" w:eastAsia="宋体" w:hint="default"/>
                <w:sz w:val="21"/>
                <w:szCs w:val="21"/>
              </w:rPr>
              <w:t>可供出售权益</w:t>
            </w:r>
            <w:r>
              <w:rPr>
                <w:rFonts w:ascii="宋体" w:hAnsi="宋体" w:cs="宋体" w:eastAsia="宋体" w:hint="default"/>
                <w:w w:val="100"/>
                <w:sz w:val="21"/>
                <w:szCs w:val="21"/>
              </w:rPr>
              <w:t> </w:t>
            </w:r>
            <w:r>
              <w:rPr>
                <w:rFonts w:ascii="宋体" w:hAnsi="宋体" w:cs="宋体" w:eastAsia="宋体" w:hint="default"/>
                <w:sz w:val="21"/>
                <w:szCs w:val="21"/>
              </w:rPr>
              <w:t>工具</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242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6" w:right="0"/>
              <w:jc w:val="left"/>
              <w:rPr>
                <w:rFonts w:ascii="宋体" w:hAnsi="宋体" w:cs="宋体" w:eastAsia="宋体" w:hint="default"/>
                <w:sz w:val="21"/>
                <w:szCs w:val="21"/>
              </w:rPr>
            </w:pPr>
            <w:r>
              <w:rPr>
                <w:rFonts w:ascii="宋体" w:hAnsi="宋体" w:cs="宋体" w:eastAsia="宋体" w:hint="default"/>
                <w:sz w:val="21"/>
                <w:szCs w:val="21"/>
              </w:rPr>
              <w:t>（号百控股）</w:t>
            </w:r>
          </w:p>
        </w:tc>
        <w:tc>
          <w:tcPr>
            <w:tcW w:w="83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（华强方特）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（中证金牛）</w:t>
            </w: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具的摊余成本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29,726,597.80</w:t>
            </w:r>
          </w:p>
        </w:tc>
        <w:tc>
          <w:tcPr>
            <w:tcW w:w="83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sz w:val="21"/>
              </w:rPr>
              <w:t>75,400,000.00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8,180,000.00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113,306,597.80</w:t>
            </w:r>
          </w:p>
        </w:tc>
      </w:tr>
      <w:tr>
        <w:trPr>
          <w:trHeight w:val="350"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sz w:val="21"/>
              </w:rPr>
              <w:t>20,181,171.24</w:t>
            </w:r>
          </w:p>
        </w:tc>
        <w:tc>
          <w:tcPr>
            <w:tcW w:w="83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57,720,000.00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4,871,400.00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82,772,571.24</w:t>
            </w:r>
          </w:p>
        </w:tc>
      </w:tr>
      <w:tr>
        <w:trPr>
          <w:trHeight w:val="554"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累计计入其他综合收益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的公允价值变动金额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-9,545,426.56</w:t>
            </w:r>
          </w:p>
        </w:tc>
        <w:tc>
          <w:tcPr>
            <w:tcW w:w="83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-17,680,000.00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-3,308,600.00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-30,534,026.56</w:t>
            </w:r>
          </w:p>
        </w:tc>
      </w:tr>
      <w:tr>
        <w:trPr>
          <w:trHeight w:val="350" w:hRule="exact"/>
        </w:trPr>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582"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618" w:right="0"/>
        <w:jc w:val="left"/>
      </w:pPr>
      <w:r>
        <w:rPr/>
        <w:t>注：①本公司持有号百控股股份</w:t>
      </w:r>
      <w:r>
        <w:rPr>
          <w:spacing w:val="-54"/>
        </w:rPr>
        <w:t> </w:t>
      </w:r>
      <w:r>
        <w:rPr>
          <w:rFonts w:ascii="宋体" w:hAnsi="宋体" w:cs="宋体" w:eastAsia="宋体" w:hint="default"/>
        </w:rPr>
        <w:t>2,057,204</w:t>
      </w:r>
      <w:r>
        <w:rPr>
          <w:rFonts w:ascii="宋体" w:hAnsi="宋体" w:cs="宋体" w:eastAsia="宋体" w:hint="default"/>
          <w:spacing w:val="-54"/>
        </w:rPr>
        <w:t> </w:t>
      </w:r>
      <w:r>
        <w:rPr/>
        <w:t>股，于</w:t>
      </w:r>
      <w:r>
        <w:rPr>
          <w:spacing w:val="-56"/>
        </w:rPr>
        <w:t> </w:t>
      </w:r>
      <w:r>
        <w:rPr>
          <w:rFonts w:ascii="宋体" w:hAnsi="宋体" w:cs="宋体" w:eastAsia="宋体" w:hint="default"/>
        </w:rPr>
        <w:t>2018</w:t>
      </w:r>
      <w:r>
        <w:rPr>
          <w:rFonts w:ascii="宋体" w:hAnsi="宋体" w:cs="宋体" w:eastAsia="宋体" w:hint="default"/>
          <w:spacing w:val="-56"/>
        </w:rPr>
        <w:t> </w:t>
      </w:r>
      <w:r>
        <w:rPr/>
        <w:t>年末的收盘价为</w:t>
      </w:r>
      <w:r>
        <w:rPr>
          <w:spacing w:val="-54"/>
        </w:rPr>
        <w:t> </w:t>
      </w:r>
      <w:r>
        <w:rPr>
          <w:rFonts w:ascii="宋体" w:hAnsi="宋体" w:cs="宋体" w:eastAsia="宋体" w:hint="default"/>
        </w:rPr>
        <w:t>9.81</w:t>
      </w:r>
      <w:r>
        <w:rPr>
          <w:rFonts w:ascii="宋体" w:hAnsi="宋体" w:cs="宋体" w:eastAsia="宋体" w:hint="default"/>
          <w:spacing w:val="-53"/>
        </w:rPr>
        <w:t> </w:t>
      </w:r>
      <w:r>
        <w:rPr/>
        <w:t>元</w:t>
      </w:r>
      <w:r>
        <w:rPr>
          <w:rFonts w:ascii="宋体" w:hAnsi="宋体" w:cs="宋体" w:eastAsia="宋体" w:hint="default"/>
        </w:rPr>
        <w:t>/</w:t>
      </w:r>
      <w:r>
        <w:rPr/>
        <w:t>股；</w:t>
      </w:r>
    </w:p>
    <w:p>
      <w:pPr>
        <w:pStyle w:val="BodyText"/>
        <w:spacing w:line="240" w:lineRule="auto" w:before="133"/>
        <w:ind w:left="618" w:right="0"/>
        <w:jc w:val="left"/>
      </w:pPr>
      <w:r>
        <w:rPr/>
        <w:t>②本公司持有华强方特股份</w:t>
      </w:r>
      <w:r>
        <w:rPr>
          <w:spacing w:val="-54"/>
        </w:rPr>
        <w:t> </w:t>
      </w:r>
      <w:r>
        <w:rPr>
          <w:rFonts w:ascii="宋体" w:hAnsi="宋体" w:cs="宋体" w:eastAsia="宋体" w:hint="default"/>
        </w:rPr>
        <w:t>5,200,000</w:t>
      </w:r>
      <w:r>
        <w:rPr>
          <w:rFonts w:ascii="宋体" w:hAnsi="宋体" w:cs="宋体" w:eastAsia="宋体" w:hint="default"/>
          <w:spacing w:val="-54"/>
        </w:rPr>
        <w:t> </w:t>
      </w:r>
      <w:r>
        <w:rPr/>
        <w:t>股，于</w:t>
      </w:r>
      <w:r>
        <w:rPr>
          <w:spacing w:val="-54"/>
        </w:rPr>
        <w:t> </w:t>
      </w:r>
      <w:r>
        <w:rPr>
          <w:rFonts w:ascii="宋体" w:hAnsi="宋体" w:cs="宋体" w:eastAsia="宋体" w:hint="default"/>
        </w:rPr>
        <w:t>2018</w:t>
      </w:r>
      <w:r>
        <w:rPr>
          <w:rFonts w:ascii="宋体" w:hAnsi="宋体" w:cs="宋体" w:eastAsia="宋体" w:hint="default"/>
          <w:spacing w:val="-56"/>
        </w:rPr>
        <w:t> </w:t>
      </w:r>
      <w:r>
        <w:rPr/>
        <w:t>年末的收盘价为</w:t>
      </w:r>
      <w:r>
        <w:rPr>
          <w:spacing w:val="-54"/>
        </w:rPr>
        <w:t> </w:t>
      </w:r>
      <w:r>
        <w:rPr>
          <w:rFonts w:ascii="宋体" w:hAnsi="宋体" w:cs="宋体" w:eastAsia="宋体" w:hint="default"/>
        </w:rPr>
        <w:t>11.10</w:t>
      </w:r>
      <w:r>
        <w:rPr>
          <w:rFonts w:ascii="宋体" w:hAnsi="宋体" w:cs="宋体" w:eastAsia="宋体" w:hint="default"/>
          <w:spacing w:val="-54"/>
        </w:rPr>
        <w:t> </w:t>
      </w:r>
      <w:r>
        <w:rPr/>
        <w:t>元</w:t>
      </w:r>
      <w:r>
        <w:rPr>
          <w:rFonts w:ascii="宋体" w:hAnsi="宋体" w:cs="宋体" w:eastAsia="宋体" w:hint="default"/>
        </w:rPr>
        <w:t>/</w:t>
      </w:r>
      <w:r>
        <w:rPr/>
        <w:t>股；</w:t>
      </w:r>
    </w:p>
    <w:p>
      <w:pPr>
        <w:pStyle w:val="BodyText"/>
        <w:spacing w:line="240" w:lineRule="auto" w:before="133"/>
        <w:ind w:left="618" w:right="0"/>
        <w:jc w:val="left"/>
      </w:pPr>
      <w:r>
        <w:rPr/>
        <w:t>③本公司持有中证金牛</w:t>
      </w:r>
      <w:r>
        <w:rPr>
          <w:spacing w:val="-52"/>
        </w:rPr>
        <w:t> </w:t>
      </w:r>
      <w:r>
        <w:rPr>
          <w:rFonts w:ascii="宋体" w:hAnsi="宋体" w:cs="宋体" w:eastAsia="宋体" w:hint="default"/>
        </w:rPr>
        <w:t>5%</w:t>
      </w:r>
      <w:r>
        <w:rPr/>
        <w:t>的股权，根据北京中勤永励资产评估有限责任公司</w:t>
      </w:r>
      <w:r>
        <w:rPr>
          <w:spacing w:val="-55"/>
        </w:rPr>
        <w:t> </w:t>
      </w:r>
      <w:r>
        <w:rPr>
          <w:rFonts w:ascii="宋体" w:hAnsi="宋体" w:cs="宋体" w:eastAsia="宋体" w:hint="default"/>
        </w:rPr>
        <w:t>2019</w:t>
      </w:r>
      <w:r>
        <w:rPr>
          <w:rFonts w:ascii="宋体" w:hAnsi="宋体" w:cs="宋体" w:eastAsia="宋体" w:hint="default"/>
          <w:spacing w:val="-54"/>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日出</w:t>
      </w:r>
    </w:p>
    <w:p>
      <w:pPr>
        <w:pStyle w:val="BodyText"/>
        <w:spacing w:line="360" w:lineRule="auto" w:before="133"/>
        <w:ind w:left="618" w:right="670"/>
        <w:jc w:val="left"/>
      </w:pPr>
      <w:r>
        <w:rPr/>
        <w:t>具的中勤永励评字【</w:t>
      </w:r>
      <w:r>
        <w:rPr>
          <w:rFonts w:ascii="宋体" w:hAnsi="宋体" w:cs="宋体" w:eastAsia="宋体" w:hint="default"/>
        </w:rPr>
        <w:t>2019</w:t>
      </w:r>
      <w:r>
        <w:rPr/>
        <w:t>】第</w:t>
      </w:r>
      <w:r>
        <w:rPr>
          <w:spacing w:val="-55"/>
        </w:rPr>
        <w:t> </w:t>
      </w:r>
      <w:r>
        <w:rPr>
          <w:rFonts w:ascii="宋体" w:hAnsi="宋体" w:cs="宋体" w:eastAsia="宋体" w:hint="default"/>
        </w:rPr>
        <w:t>2980</w:t>
      </w:r>
      <w:r>
        <w:rPr>
          <w:rFonts w:ascii="宋体" w:hAnsi="宋体" w:cs="宋体" w:eastAsia="宋体" w:hint="default"/>
          <w:spacing w:val="-57"/>
        </w:rPr>
        <w:t> </w:t>
      </w:r>
      <w:r>
        <w:rPr/>
        <w:t>号资产评估报告，采用收益法对新华网持有的中证金牛</w:t>
      </w:r>
      <w:r>
        <w:rPr>
          <w:spacing w:val="-55"/>
        </w:rPr>
        <w:t> </w:t>
      </w:r>
      <w:r>
        <w:rPr>
          <w:rFonts w:ascii="宋体" w:hAnsi="宋体" w:cs="宋体" w:eastAsia="宋体" w:hint="default"/>
        </w:rPr>
        <w:t>2018</w:t>
      </w:r>
      <w:r>
        <w:rPr>
          <w:rFonts w:ascii="宋体" w:hAnsi="宋体" w:cs="宋体" w:eastAsia="宋体" w:hint="default"/>
          <w:w w:val="100"/>
        </w:rPr>
        <w:t> </w:t>
      </w:r>
      <w:r>
        <w:rPr/>
        <w:t>年末股权可回收价值的评估结果作为公允价值的依据。</w:t>
      </w:r>
    </w:p>
    <w:p>
      <w:pPr>
        <w:spacing w:line="240" w:lineRule="auto" w:before="7"/>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120" w:bottom="1380" w:left="1180" w:right="660"/>
        </w:sectPr>
      </w:pPr>
    </w:p>
    <w:p>
      <w:pPr>
        <w:pStyle w:val="Heading2"/>
        <w:spacing w:line="240" w:lineRule="auto"/>
        <w:ind w:left="618" w:right="-15"/>
        <w:jc w:val="left"/>
        <w:rPr>
          <w:b w:val="0"/>
          <w:bCs w:val="0"/>
        </w:rPr>
      </w:pPr>
      <w:r>
        <w:rPr>
          <w:rFonts w:ascii="宋体" w:hAnsi="宋体" w:cs="宋体" w:eastAsia="宋体" w:hint="default"/>
        </w:rPr>
        <w:t>(3).</w:t>
      </w:r>
      <w:r>
        <w:rPr/>
        <w:t>期末按成本计量的可供出售金融资产</w:t>
      </w:r>
      <w:r>
        <w:rPr>
          <w:b w:val="0"/>
          <w:bCs w:val="0"/>
        </w:rPr>
      </w:r>
    </w:p>
    <w:p>
      <w:pPr>
        <w:pStyle w:val="BodyText"/>
        <w:spacing w:line="240" w:lineRule="auto" w:before="56"/>
        <w:ind w:left="61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669" w:val="left" w:leader="none"/>
        </w:tabs>
        <w:spacing w:line="240" w:lineRule="auto"/>
        <w:ind w:left="618" w:right="0"/>
        <w:jc w:val="left"/>
      </w:pPr>
      <w:r>
        <w:rPr>
          <w:spacing w:val="-1"/>
        </w:rPr>
        <w:t>单位：元</w:t>
        <w:tab/>
      </w:r>
      <w:r>
        <w:rPr>
          <w:spacing w:val="-2"/>
        </w:rPr>
        <w:t>币种：人民币</w:t>
      </w:r>
    </w:p>
    <w:p>
      <w:pPr>
        <w:spacing w:after="0" w:line="240" w:lineRule="auto"/>
        <w:jc w:val="left"/>
        <w:sectPr>
          <w:type w:val="continuous"/>
          <w:pgSz w:w="11910" w:h="16840"/>
          <w:pgMar w:top="1120" w:bottom="1380" w:left="1180" w:right="660"/>
          <w:cols w:num="2" w:equalWidth="0">
            <w:col w:w="4420" w:space="2101"/>
            <w:col w:w="3549"/>
          </w:cols>
        </w:sectPr>
      </w:pP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15"/>
        <w:gridCol w:w="1477"/>
        <w:gridCol w:w="1476"/>
        <w:gridCol w:w="466"/>
        <w:gridCol w:w="1476"/>
        <w:gridCol w:w="468"/>
        <w:gridCol w:w="466"/>
        <w:gridCol w:w="469"/>
        <w:gridCol w:w="466"/>
        <w:gridCol w:w="1111"/>
        <w:gridCol w:w="629"/>
      </w:tblGrid>
      <w:tr>
        <w:trPr>
          <w:trHeight w:val="718" w:hRule="exact"/>
        </w:trPr>
        <w:tc>
          <w:tcPr>
            <w:tcW w:w="13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41" w:right="333" w:hanging="106"/>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48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8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1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29" w:right="127"/>
              <w:jc w:val="both"/>
              <w:rPr>
                <w:rFonts w:ascii="宋体" w:hAnsi="宋体" w:cs="宋体" w:eastAsia="宋体" w:hint="default"/>
                <w:sz w:val="21"/>
                <w:szCs w:val="21"/>
              </w:rPr>
            </w:pPr>
            <w:r>
              <w:rPr>
                <w:rFonts w:ascii="宋体" w:hAnsi="宋体" w:cs="宋体" w:eastAsia="宋体" w:hint="default"/>
                <w:sz w:val="21"/>
                <w:szCs w:val="21"/>
              </w:rPr>
              <w:t>在被投资</w:t>
            </w:r>
            <w:r>
              <w:rPr>
                <w:rFonts w:ascii="宋体" w:hAnsi="宋体" w:cs="宋体" w:eastAsia="宋体" w:hint="default"/>
                <w:w w:val="100"/>
                <w:sz w:val="21"/>
                <w:szCs w:val="21"/>
              </w:rPr>
              <w:t> </w:t>
            </w:r>
            <w:r>
              <w:rPr>
                <w:rFonts w:ascii="宋体" w:hAnsi="宋体" w:cs="宋体" w:eastAsia="宋体" w:hint="default"/>
                <w:sz w:val="21"/>
                <w:szCs w:val="21"/>
              </w:rPr>
              <w:t>单位持股</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629" w:type="dxa"/>
            <w:vMerge w:val="restart"/>
            <w:tcBorders>
              <w:top w:val="single" w:sz="4" w:space="0" w:color="000000"/>
              <w:left w:val="single" w:sz="4" w:space="0" w:color="000000"/>
              <w:right w:val="single" w:sz="4" w:space="0" w:color="000000"/>
            </w:tcBorders>
          </w:tcPr>
          <w:p>
            <w:pPr>
              <w:pStyle w:val="TableParagraph"/>
              <w:spacing w:line="237" w:lineRule="auto" w:before="57"/>
              <w:ind w:left="201" w:right="204"/>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红</w:t>
            </w:r>
            <w:r>
              <w:rPr>
                <w:rFonts w:ascii="宋体" w:hAnsi="宋体" w:cs="宋体" w:eastAsia="宋体" w:hint="default"/>
                <w:w w:val="100"/>
                <w:sz w:val="21"/>
                <w:szCs w:val="21"/>
              </w:rPr>
              <w:t> </w:t>
            </w:r>
            <w:r>
              <w:rPr>
                <w:rFonts w:ascii="宋体" w:hAnsi="宋体" w:cs="宋体" w:eastAsia="宋体" w:hint="default"/>
                <w:sz w:val="21"/>
                <w:szCs w:val="21"/>
              </w:rPr>
              <w:t>利</w:t>
            </w:r>
          </w:p>
        </w:tc>
      </w:tr>
      <w:tr>
        <w:trPr>
          <w:trHeight w:val="1102" w:hRule="exact"/>
        </w:trPr>
        <w:tc>
          <w:tcPr>
            <w:tcW w:w="1315" w:type="dxa"/>
            <w:vMerge/>
            <w:tcBorders>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0" w:right="521"/>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19" w:right="122"/>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122"/>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初</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19" w:right="122"/>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加</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22" w:right="123"/>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2" w:right="12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末</w:t>
            </w:r>
          </w:p>
        </w:tc>
        <w:tc>
          <w:tcPr>
            <w:tcW w:w="1111" w:type="dxa"/>
            <w:vMerge/>
            <w:tcBorders>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r>
      <w:tr>
        <w:trPr>
          <w:trHeight w:val="281"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文创合伙</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1,320,000.00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1,320,000.00</w:t>
            </w: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sz w:val="21"/>
              </w:rPr>
              <w:t>0.29</w:t>
            </w:r>
          </w:p>
        </w:tc>
        <w:tc>
          <w:tcPr>
            <w:tcW w:w="6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润鑫四号</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1,000,000.00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1,000,000.00</w:t>
            </w: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sz w:val="21"/>
              </w:rPr>
              <w:t>1.34</w:t>
            </w:r>
          </w:p>
        </w:tc>
        <w:tc>
          <w:tcPr>
            <w:tcW w:w="62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180" w:right="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315"/>
        <w:gridCol w:w="1477"/>
        <w:gridCol w:w="1476"/>
        <w:gridCol w:w="466"/>
        <w:gridCol w:w="1476"/>
        <w:gridCol w:w="468"/>
        <w:gridCol w:w="466"/>
        <w:gridCol w:w="469"/>
        <w:gridCol w:w="466"/>
        <w:gridCol w:w="1111"/>
        <w:gridCol w:w="629"/>
      </w:tblGrid>
      <w:tr>
        <w:trPr>
          <w:trHeight w:val="284"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43"/>
              <w:jc w:val="center"/>
              <w:rPr>
                <w:rFonts w:ascii="宋体" w:hAnsi="宋体" w:cs="宋体" w:eastAsia="宋体" w:hint="default"/>
                <w:sz w:val="21"/>
                <w:szCs w:val="21"/>
              </w:rPr>
            </w:pPr>
            <w:r>
              <w:rPr>
                <w:rFonts w:ascii="宋体" w:hAnsi="宋体" w:cs="宋体" w:eastAsia="宋体" w:hint="default"/>
                <w:sz w:val="21"/>
                <w:szCs w:val="21"/>
              </w:rPr>
              <w:t>陶溪川公司</w:t>
            </w: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4,724,800.00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4,724,800.00</w:t>
            </w: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sz w:val="21"/>
              </w:rPr>
              <w:t>10.00</w:t>
            </w:r>
          </w:p>
        </w:tc>
        <w:tc>
          <w:tcPr>
            <w:tcW w:w="629"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sz w:val="21"/>
              </w:rPr>
              <w:t>1,320,000.00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5,724,800.00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7,044,800.00</w:t>
            </w:r>
          </w:p>
        </w:tc>
        <w:tc>
          <w:tcPr>
            <w:tcW w:w="468"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9"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w w:val="100"/>
                <w:sz w:val="21"/>
              </w:rPr>
              <w:t>/</w:t>
            </w:r>
          </w:p>
        </w:tc>
        <w:tc>
          <w:tcPr>
            <w:tcW w:w="62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5" w:lineRule="auto" w:before="86"/>
        <w:ind w:left="598" w:right="608" w:firstLine="419"/>
        <w:jc w:val="both"/>
      </w:pPr>
      <w:r>
        <w:rPr/>
        <w:t>①2017</w:t>
      </w:r>
      <w:r>
        <w:rPr>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5</w:t>
      </w:r>
      <w:r>
        <w:rPr>
          <w:rFonts w:ascii="宋体" w:hAnsi="宋体" w:cs="宋体" w:eastAsia="宋体" w:hint="default"/>
          <w:spacing w:val="-54"/>
        </w:rPr>
        <w:t> </w:t>
      </w:r>
      <w:r>
        <w:rPr/>
        <w:t>日，本公司全资孙公司亿连投资出资人民币</w:t>
      </w:r>
      <w:r>
        <w:rPr>
          <w:spacing w:val="-54"/>
        </w:rPr>
        <w:t> </w:t>
      </w:r>
      <w:r>
        <w:rPr>
          <w:rFonts w:ascii="宋体" w:hAnsi="宋体" w:cs="宋体" w:eastAsia="宋体" w:hint="default"/>
        </w:rPr>
        <w:t>132.00</w:t>
      </w:r>
      <w:r>
        <w:rPr>
          <w:rFonts w:ascii="宋体" w:hAnsi="宋体" w:cs="宋体" w:eastAsia="宋体" w:hint="default"/>
          <w:spacing w:val="-54"/>
        </w:rPr>
        <w:t> </w:t>
      </w:r>
      <w:r>
        <w:rPr/>
        <w:t>万元参与设立新华网文</w:t>
      </w:r>
      <w:r>
        <w:rPr>
          <w:w w:val="100"/>
        </w:rPr>
        <w:t> </w:t>
      </w:r>
      <w:r>
        <w:rPr>
          <w:spacing w:val="-9"/>
        </w:rPr>
        <w:t>投创新（天津）投资合伙企业（有限合伙）（简称“文创合伙”），详见本报告第十一节、九、</w:t>
      </w:r>
      <w:r>
        <w:rPr>
          <w:rFonts w:ascii="宋体" w:hAnsi="宋体" w:cs="宋体" w:eastAsia="宋体" w:hint="default"/>
          <w:spacing w:val="-9"/>
        </w:rPr>
        <w:t>5</w:t>
      </w:r>
      <w:r>
        <w:rPr>
          <w:spacing w:val="-9"/>
        </w:rPr>
        <w:t>、</w:t>
      </w:r>
      <w:r>
        <w:rPr>
          <w:spacing w:val="-21"/>
        </w:rPr>
        <w:t> </w:t>
      </w:r>
      <w:r>
        <w:rPr/>
        <w:t>在未纳入合并财务报表范围的结构化主体中的权益。</w:t>
      </w:r>
    </w:p>
    <w:p>
      <w:pPr>
        <w:pStyle w:val="BodyText"/>
        <w:spacing w:line="357" w:lineRule="auto" w:before="32"/>
        <w:ind w:left="598" w:right="607" w:firstLine="419"/>
        <w:jc w:val="both"/>
      </w:pPr>
      <w:r>
        <w:rPr/>
        <w:t>②</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8</w:t>
      </w:r>
      <w:r>
        <w:rPr>
          <w:rFonts w:ascii="宋体" w:hAnsi="宋体" w:cs="宋体" w:eastAsia="宋体" w:hint="default"/>
          <w:spacing w:val="-54"/>
        </w:rPr>
        <w:t> </w:t>
      </w:r>
      <w:r>
        <w:rPr/>
        <w:t>日，公司全资孙公司亿连投资出资人民币</w:t>
      </w:r>
      <w:r>
        <w:rPr>
          <w:spacing w:val="-54"/>
        </w:rPr>
        <w:t> </w:t>
      </w:r>
      <w:r>
        <w:rPr>
          <w:rFonts w:ascii="宋体" w:hAnsi="宋体" w:cs="宋体" w:eastAsia="宋体" w:hint="default"/>
        </w:rPr>
        <w:t>100.00</w:t>
      </w:r>
      <w:r>
        <w:rPr>
          <w:rFonts w:ascii="宋体" w:hAnsi="宋体" w:cs="宋体" w:eastAsia="宋体" w:hint="default"/>
          <w:spacing w:val="-56"/>
        </w:rPr>
        <w:t> </w:t>
      </w:r>
      <w:r>
        <w:rPr/>
        <w:t>万元投资深圳市润鑫四号</w:t>
      </w:r>
      <w:r>
        <w:rPr>
          <w:w w:val="100"/>
        </w:rPr>
        <w:t> </w:t>
      </w:r>
      <w:r>
        <w:rPr>
          <w:spacing w:val="-4"/>
        </w:rPr>
        <w:t>投资合伙企业（有限合伙）（简称“润鑫四号”），详见本报告第十一节、九、</w:t>
      </w:r>
      <w:r>
        <w:rPr>
          <w:rFonts w:ascii="宋体" w:hAnsi="宋体" w:cs="宋体" w:eastAsia="宋体" w:hint="default"/>
          <w:spacing w:val="-4"/>
        </w:rPr>
        <w:t>5</w:t>
      </w:r>
      <w:r>
        <w:rPr>
          <w:spacing w:val="-4"/>
        </w:rPr>
        <w:t>、在未纳入合并</w:t>
      </w:r>
      <w:r>
        <w:rPr>
          <w:spacing w:val="-35"/>
        </w:rPr>
        <w:t> </w:t>
      </w:r>
      <w:r>
        <w:rPr>
          <w:spacing w:val="-35"/>
        </w:rPr>
      </w:r>
      <w:r>
        <w:rPr/>
        <w:t>财务报表范围的结构化主体中的权益。</w:t>
      </w:r>
    </w:p>
    <w:p>
      <w:pPr>
        <w:pStyle w:val="BodyText"/>
        <w:spacing w:line="355" w:lineRule="auto" w:before="31"/>
        <w:ind w:left="598" w:right="675" w:firstLine="419"/>
        <w:jc w:val="both"/>
      </w:pPr>
      <w:r>
        <w:rPr/>
        <w:t>③</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6"/>
        </w:rPr>
        <w:t> </w:t>
      </w:r>
      <w:r>
        <w:rPr>
          <w:rFonts w:ascii="宋体" w:hAnsi="宋体" w:cs="宋体" w:eastAsia="宋体" w:hint="default"/>
        </w:rPr>
        <w:t>23</w:t>
      </w:r>
      <w:r>
        <w:rPr>
          <w:rFonts w:ascii="宋体" w:hAnsi="宋体" w:cs="宋体" w:eastAsia="宋体" w:hint="default"/>
          <w:spacing w:val="-55"/>
        </w:rPr>
        <w:t> </w:t>
      </w:r>
      <w:r>
        <w:rPr/>
        <w:t>日，公司全资子公司创业投资出资</w:t>
      </w:r>
      <w:r>
        <w:rPr>
          <w:spacing w:val="-54"/>
        </w:rPr>
        <w:t> </w:t>
      </w:r>
      <w:r>
        <w:rPr>
          <w:rFonts w:ascii="宋体" w:hAnsi="宋体" w:cs="宋体" w:eastAsia="宋体" w:hint="default"/>
        </w:rPr>
        <w:t>472.48</w:t>
      </w:r>
      <w:r>
        <w:rPr>
          <w:rFonts w:ascii="宋体" w:hAnsi="宋体" w:cs="宋体" w:eastAsia="宋体" w:hint="default"/>
          <w:spacing w:val="-56"/>
        </w:rPr>
        <w:t> </w:t>
      </w:r>
      <w:r>
        <w:rPr/>
        <w:t>万元投资景德镇陶溪川产业运</w:t>
      </w:r>
      <w:r>
        <w:rPr>
          <w:w w:val="100"/>
        </w:rPr>
        <w:t> </w:t>
      </w:r>
      <w:r>
        <w:rPr/>
        <w:t>营有限公司（简称“陶溪川公司”），持股比例</w:t>
      </w:r>
      <w:r>
        <w:rPr>
          <w:spacing w:val="-56"/>
        </w:rPr>
        <w:t> </w:t>
      </w:r>
      <w:r>
        <w:rPr>
          <w:rFonts w:ascii="宋体" w:hAnsi="宋体" w:cs="宋体" w:eastAsia="宋体" w:hint="default"/>
        </w:rPr>
        <w:t>10.00%</w:t>
      </w:r>
      <w:r>
        <w:rPr/>
        <w:t>。</w:t>
      </w:r>
    </w:p>
    <w:p>
      <w:pPr>
        <w:spacing w:after="0" w:line="355" w:lineRule="auto"/>
        <w:jc w:val="both"/>
        <w:sectPr>
          <w:pgSz w:w="11910" w:h="16840"/>
          <w:pgMar w:header="0" w:footer="1195" w:top="1120" w:bottom="1380" w:left="1200" w:right="660"/>
        </w:sectPr>
      </w:pPr>
    </w:p>
    <w:p>
      <w:pPr>
        <w:pStyle w:val="Heading2"/>
        <w:spacing w:line="240" w:lineRule="auto" w:before="92"/>
        <w:ind w:left="598" w:right="-14"/>
        <w:jc w:val="left"/>
        <w:rPr>
          <w:b w:val="0"/>
          <w:bCs w:val="0"/>
        </w:rPr>
      </w:pPr>
      <w:r>
        <w:rPr>
          <w:rFonts w:ascii="宋体" w:hAnsi="宋体" w:cs="宋体" w:eastAsia="宋体" w:hint="default"/>
        </w:rPr>
        <w:t>(4).</w:t>
      </w:r>
      <w:r>
        <w:rPr/>
        <w:t>报告期内可供出售金融资产减值的变动情况</w:t>
      </w:r>
      <w:r>
        <w:rPr>
          <w:b w:val="0"/>
          <w:bCs w:val="0"/>
        </w:rPr>
      </w:r>
    </w:p>
    <w:p>
      <w:pPr>
        <w:pStyle w:val="BodyText"/>
        <w:spacing w:line="240" w:lineRule="auto" w:before="58"/>
        <w:ind w:left="59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649" w:val="left" w:leader="none"/>
        </w:tabs>
        <w:spacing w:line="240" w:lineRule="auto" w:before="173"/>
        <w:ind w:left="598" w:right="0"/>
        <w:jc w:val="left"/>
      </w:pPr>
      <w:r>
        <w:rPr>
          <w:spacing w:val="-1"/>
        </w:rPr>
        <w:t>单位：元</w:t>
        <w:tab/>
      </w:r>
      <w:r>
        <w:rPr>
          <w:spacing w:val="-2"/>
        </w:rPr>
        <w:t>币种：人民币</w:t>
      </w:r>
    </w:p>
    <w:p>
      <w:pPr>
        <w:spacing w:after="0" w:line="240" w:lineRule="auto"/>
        <w:jc w:val="left"/>
        <w:sectPr>
          <w:type w:val="continuous"/>
          <w:pgSz w:w="11910" w:h="16840"/>
          <w:pgMar w:top="1120" w:bottom="1380" w:left="1200" w:right="660"/>
          <w:cols w:num="2" w:equalWidth="0">
            <w:col w:w="5034" w:space="1488"/>
            <w:col w:w="3528"/>
          </w:cols>
        </w:sectPr>
      </w:pPr>
    </w:p>
    <w:p>
      <w:pPr>
        <w:spacing w:line="240" w:lineRule="auto" w:before="7"/>
        <w:rPr>
          <w:rFonts w:ascii="宋体" w:hAnsi="宋体" w:cs="宋体" w:eastAsia="宋体" w:hint="default"/>
          <w:sz w:val="2"/>
          <w:szCs w:val="2"/>
        </w:rPr>
      </w:pPr>
    </w:p>
    <w:tbl>
      <w:tblPr>
        <w:tblW w:w="0" w:type="auto"/>
        <w:jc w:val="left"/>
        <w:tblInd w:w="485" w:type="dxa"/>
        <w:tblLayout w:type="fixed"/>
        <w:tblCellMar>
          <w:top w:w="0" w:type="dxa"/>
          <w:left w:w="0" w:type="dxa"/>
          <w:bottom w:w="0" w:type="dxa"/>
          <w:right w:w="0" w:type="dxa"/>
        </w:tblCellMar>
        <w:tblLook w:val="01E0"/>
      </w:tblPr>
      <w:tblGrid>
        <w:gridCol w:w="3550"/>
        <w:gridCol w:w="2794"/>
        <w:gridCol w:w="2705"/>
      </w:tblGrid>
      <w:tr>
        <w:trPr>
          <w:trHeight w:val="554"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9"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3550" w:type="dxa"/>
            <w:tcBorders>
              <w:top w:val="single" w:sz="4" w:space="0" w:color="000000"/>
              <w:left w:val="single" w:sz="4" w:space="0" w:color="000000"/>
              <w:bottom w:val="single" w:sz="4" w:space="0" w:color="000000"/>
              <w:right w:val="single" w:sz="4" w:space="0" w:color="000000"/>
            </w:tcBorders>
          </w:tcPr>
          <w:p>
            <w:pP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66" w:right="0"/>
              <w:jc w:val="left"/>
              <w:rPr>
                <w:rFonts w:ascii="宋体" w:hAnsi="宋体" w:cs="宋体" w:eastAsia="宋体" w:hint="default"/>
                <w:sz w:val="21"/>
                <w:szCs w:val="21"/>
              </w:rPr>
            </w:pPr>
            <w:r>
              <w:rPr>
                <w:rFonts w:ascii="宋体" w:hAnsi="宋体" w:cs="宋体" w:eastAsia="宋体" w:hint="default"/>
                <w:sz w:val="21"/>
                <w:szCs w:val="21"/>
              </w:rPr>
              <w:t>（道有道）</w:t>
            </w:r>
          </w:p>
        </w:tc>
        <w:tc>
          <w:tcPr>
            <w:tcW w:w="270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w w:val="100"/>
                <w:sz w:val="21"/>
              </w:rPr>
              <w:t>-</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w w:val="100"/>
                <w:sz w:val="21"/>
              </w:rPr>
              <w:t>-</w:t>
            </w:r>
          </w:p>
        </w:tc>
      </w:tr>
      <w:tr>
        <w:trPr>
          <w:trHeight w:val="348"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19,343,900.00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19,343,900.00</w:t>
            </w:r>
          </w:p>
        </w:tc>
      </w:tr>
      <w:tr>
        <w:trPr>
          <w:trHeight w:val="351"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其中：从其他综合收益转入</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2,933,348.00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2,933,348.00</w:t>
            </w:r>
          </w:p>
        </w:tc>
      </w:tr>
      <w:tr>
        <w:trPr>
          <w:trHeight w:val="350"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19,343,900.00</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19,343,900.00</w:t>
            </w:r>
          </w:p>
        </w:tc>
      </w:tr>
      <w:tr>
        <w:trPr>
          <w:trHeight w:val="350"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其中：期后公允价值回升转回</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w w:val="100"/>
                <w:sz w:val="21"/>
              </w:rPr>
              <w:t>/</w:t>
            </w:r>
          </w:p>
        </w:tc>
        <w:tc>
          <w:tcPr>
            <w:tcW w:w="2705"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w w:val="100"/>
                <w:sz w:val="21"/>
              </w:rPr>
              <w:t>-</w:t>
            </w:r>
          </w:p>
        </w:tc>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w w:val="100"/>
                <w:sz w:val="21"/>
              </w:rPr>
              <w:t>-</w:t>
            </w:r>
          </w:p>
        </w:tc>
      </w:tr>
    </w:tbl>
    <w:p>
      <w:pPr>
        <w:pStyle w:val="BodyText"/>
        <w:spacing w:line="241" w:lineRule="exact"/>
        <w:ind w:left="598" w:right="0" w:firstLine="419"/>
        <w:jc w:val="both"/>
      </w:pPr>
      <w:r>
        <w:rPr>
          <w:spacing w:val="-3"/>
        </w:rPr>
        <w:t>注：</w:t>
      </w:r>
      <w:r>
        <w:rPr>
          <w:rFonts w:ascii="宋体" w:hAnsi="宋体" w:cs="宋体" w:eastAsia="宋体" w:hint="default"/>
          <w:spacing w:val="-3"/>
        </w:rPr>
        <w:t>2018</w:t>
      </w:r>
      <w:r>
        <w:rPr>
          <w:rFonts w:ascii="宋体" w:hAnsi="宋体" w:cs="宋体" w:eastAsia="宋体" w:hint="default"/>
          <w:spacing w:val="-32"/>
        </w:rPr>
        <w:t> </w:t>
      </w:r>
      <w:r>
        <w:rPr/>
        <w:t>年</w:t>
      </w:r>
      <w:r>
        <w:rPr>
          <w:spacing w:val="-29"/>
        </w:rPr>
        <w:t> </w:t>
      </w:r>
      <w:r>
        <w:rPr>
          <w:rFonts w:ascii="宋体" w:hAnsi="宋体" w:cs="宋体" w:eastAsia="宋体" w:hint="default"/>
        </w:rPr>
        <w:t>5</w:t>
      </w:r>
      <w:r>
        <w:rPr>
          <w:rFonts w:ascii="宋体" w:hAnsi="宋体" w:cs="宋体" w:eastAsia="宋体" w:hint="default"/>
          <w:spacing w:val="-32"/>
        </w:rPr>
        <w:t> </w:t>
      </w:r>
      <w:r>
        <w:rPr>
          <w:spacing w:val="-3"/>
        </w:rPr>
        <w:t>月道有道复牌后，道有道股票价格发生较大变化，交易活跃度大幅下降，道有</w:t>
      </w:r>
    </w:p>
    <w:p>
      <w:pPr>
        <w:pStyle w:val="BodyText"/>
        <w:spacing w:line="355" w:lineRule="auto" w:before="133"/>
        <w:ind w:left="598" w:right="0"/>
        <w:jc w:val="left"/>
      </w:pPr>
      <w:r>
        <w:rPr>
          <w:spacing w:val="-2"/>
        </w:rPr>
        <w:t>道股权价值与公司投资预期出现了较大偏差，公司拟进行处置。根据北京中科华资产评估有限公</w:t>
      </w:r>
      <w:r>
        <w:rPr>
          <w:spacing w:val="-26"/>
        </w:rPr>
        <w:t> </w:t>
      </w:r>
      <w:r>
        <w:rPr>
          <w:spacing w:val="-26"/>
        </w:rPr>
      </w:r>
      <w:r>
        <w:rPr/>
        <w:t>司出具的中科华评报字</w:t>
      </w:r>
      <w:r>
        <w:rPr>
          <w:rFonts w:ascii="宋体" w:hAnsi="宋体" w:cs="宋体" w:eastAsia="宋体" w:hint="default"/>
        </w:rPr>
        <w:t>[2018]</w:t>
      </w:r>
      <w:r>
        <w:rPr/>
        <w:t>第</w:t>
      </w:r>
      <w:r>
        <w:rPr>
          <w:spacing w:val="-58"/>
        </w:rPr>
        <w:t> </w:t>
      </w:r>
      <w:r>
        <w:rPr>
          <w:rFonts w:ascii="宋体" w:hAnsi="宋体" w:cs="宋体" w:eastAsia="宋体" w:hint="default"/>
        </w:rPr>
        <w:t>087</w:t>
      </w:r>
      <w:r>
        <w:rPr>
          <w:rFonts w:ascii="宋体" w:hAnsi="宋体" w:cs="宋体" w:eastAsia="宋体" w:hint="default"/>
          <w:spacing w:val="-58"/>
        </w:rPr>
        <w:t> </w:t>
      </w:r>
      <w:r>
        <w:rPr/>
        <w:t>号评估报告：采用市场法评估，本公司持有的道有道市场价</w:t>
      </w:r>
    </w:p>
    <w:p>
      <w:pPr>
        <w:pStyle w:val="BodyText"/>
        <w:spacing w:line="240" w:lineRule="auto" w:before="34"/>
        <w:ind w:left="598" w:right="0"/>
        <w:jc w:val="left"/>
      </w:pPr>
      <w:r>
        <w:rPr/>
        <w:t>值为</w:t>
      </w:r>
      <w:r>
        <w:rPr>
          <w:spacing w:val="-54"/>
        </w:rPr>
        <w:t> </w:t>
      </w:r>
      <w:r>
        <w:rPr>
          <w:rFonts w:ascii="宋体" w:hAnsi="宋体" w:cs="宋体" w:eastAsia="宋体" w:hint="default"/>
        </w:rPr>
        <w:t>6,065.61</w:t>
      </w:r>
      <w:r>
        <w:rPr>
          <w:rFonts w:ascii="宋体" w:hAnsi="宋体" w:cs="宋体" w:eastAsia="宋体" w:hint="default"/>
          <w:spacing w:val="-56"/>
        </w:rPr>
        <w:t> </w:t>
      </w:r>
      <w:r>
        <w:rPr/>
        <w:t>万元，公司计提可供出售金融资产减值准备</w:t>
      </w:r>
      <w:r>
        <w:rPr>
          <w:spacing w:val="-53"/>
        </w:rPr>
        <w:t> </w:t>
      </w:r>
      <w:r>
        <w:rPr>
          <w:rFonts w:ascii="宋体" w:hAnsi="宋体" w:cs="宋体" w:eastAsia="宋体" w:hint="default"/>
        </w:rPr>
        <w:t>1,934.39</w:t>
      </w:r>
      <w:r>
        <w:rPr>
          <w:rFonts w:ascii="宋体" w:hAnsi="宋体" w:cs="宋体" w:eastAsia="宋体" w:hint="default"/>
          <w:spacing w:val="-54"/>
        </w:rPr>
        <w:t> </w:t>
      </w:r>
      <w:r>
        <w:rPr/>
        <w:t>万元。</w:t>
      </w:r>
    </w:p>
    <w:p>
      <w:pPr>
        <w:pStyle w:val="BodyText"/>
        <w:spacing w:line="357" w:lineRule="auto" w:before="133"/>
        <w:ind w:left="598" w:right="608" w:firstLine="419"/>
        <w:jc w:val="both"/>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日，本公司第三届董事会第七次（临时）会议审议批准通过《关于出售公司</w:t>
      </w:r>
      <w:r>
        <w:rPr>
          <w:w w:val="100"/>
        </w:rPr>
        <w:t> </w:t>
      </w:r>
      <w:r>
        <w:rPr>
          <w:spacing w:val="-6"/>
          <w:w w:val="100"/>
        </w:rPr>
        <w:t>所持有道有道（北京）科技股份有限公司股权的议案》，本公司将所持道有道股票转让于自然人赵</w:t>
      </w:r>
      <w:r>
        <w:rPr>
          <w:w w:val="100"/>
        </w:rPr>
        <w:t> </w:t>
      </w:r>
      <w:r>
        <w:rPr/>
        <w:t>杰。截至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日，本公司已完成所持道有道股份转让。</w:t>
      </w:r>
    </w:p>
    <w:p>
      <w:pPr>
        <w:pStyle w:val="Heading2"/>
        <w:spacing w:line="240" w:lineRule="auto" w:before="90"/>
        <w:ind w:left="598" w:right="0"/>
        <w:jc w:val="left"/>
        <w:rPr>
          <w:b w:val="0"/>
          <w:bCs w:val="0"/>
        </w:rPr>
      </w:pPr>
      <w:r>
        <w:rPr>
          <w:rFonts w:ascii="宋体" w:hAnsi="宋体" w:cs="宋体" w:eastAsia="宋体" w:hint="default"/>
        </w:rPr>
        <w:t>(5).</w:t>
      </w:r>
      <w:r>
        <w:rPr/>
        <w:t>可供出售权益工具期末公允价值严重下跌或非暂时性下跌但未计提减值准备的相关说明</w:t>
      </w:r>
      <w:r>
        <w:rPr>
          <w:b w:val="0"/>
          <w:bCs w:val="0"/>
        </w:rPr>
      </w:r>
    </w:p>
    <w:p>
      <w:pPr>
        <w:pStyle w:val="BodyText"/>
        <w:spacing w:line="272" w:lineRule="exact" w:before="86"/>
        <w:ind w:left="598" w:right="7854"/>
        <w:jc w:val="left"/>
      </w:pPr>
      <w:r>
        <w:rPr/>
        <w:t>□适用</w:t>
      </w:r>
      <w:r>
        <w:rPr>
          <w:spacing w:val="-1"/>
        </w:rPr>
        <w:t> </w:t>
      </w:r>
      <w:r>
        <w:rPr/>
        <w:t>√不适用</w:t>
      </w:r>
      <w:r>
        <w:rPr>
          <w:w w:val="100"/>
        </w:rPr>
        <w:t> </w:t>
      </w:r>
      <w:r>
        <w:rPr/>
        <w:t>其他说明</w:t>
      </w:r>
    </w:p>
    <w:p>
      <w:pPr>
        <w:pStyle w:val="BodyText"/>
        <w:spacing w:line="249" w:lineRule="exact"/>
        <w:ind w:left="598" w:right="0"/>
        <w:jc w:val="left"/>
      </w:pPr>
      <w:r>
        <w:rPr/>
        <w:t>□适用</w:t>
      </w:r>
      <w:r>
        <w:rPr>
          <w:spacing w:val="-1"/>
        </w:rPr>
        <w:t> </w:t>
      </w:r>
      <w:r>
        <w:rPr/>
        <w:t>√不适用</w:t>
      </w:r>
    </w:p>
    <w:p>
      <w:pPr>
        <w:pStyle w:val="Heading2"/>
        <w:spacing w:line="290" w:lineRule="auto" w:before="56"/>
        <w:ind w:left="598" w:right="7107"/>
        <w:jc w:val="left"/>
        <w:rPr>
          <w:b w:val="0"/>
          <w:bCs w:val="0"/>
        </w:rPr>
      </w:pPr>
      <w:r>
        <w:rPr>
          <w:rFonts w:ascii="宋体" w:hAnsi="宋体" w:cs="宋体" w:eastAsia="宋体" w:hint="default"/>
        </w:rPr>
        <w:t>12</w:t>
      </w:r>
      <w:r>
        <w:rPr/>
        <w:t>、</w:t>
      </w:r>
      <w:r>
        <w:rPr>
          <w:spacing w:val="-25"/>
        </w:rPr>
        <w:t> </w:t>
      </w:r>
      <w:r>
        <w:rPr/>
        <w:t>持有至到期投资</w:t>
      </w:r>
      <w:r>
        <w:rPr>
          <w:w w:val="100"/>
        </w:rPr>
        <w:t> </w:t>
      </w:r>
      <w:r>
        <w:rPr>
          <w:rFonts w:ascii="宋体" w:hAnsi="宋体" w:cs="宋体" w:eastAsia="宋体" w:hint="default"/>
        </w:rPr>
        <w:t>(1).</w:t>
      </w:r>
      <w:r>
        <w:rPr/>
        <w:t>持有至到期投资情况</w:t>
      </w:r>
      <w:r>
        <w:rPr>
          <w:b w:val="0"/>
          <w:bCs w:val="0"/>
        </w:rPr>
      </w:r>
    </w:p>
    <w:p>
      <w:pPr>
        <w:spacing w:line="292" w:lineRule="auto" w:before="12"/>
        <w:ind w:left="598" w:right="647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pStyle w:val="BodyText"/>
        <w:spacing w:line="240" w:lineRule="auto" w:before="10"/>
        <w:ind w:left="598" w:right="0"/>
        <w:jc w:val="left"/>
      </w:pPr>
      <w:r>
        <w:rPr/>
        <w:t>□适用</w:t>
      </w:r>
      <w:r>
        <w:rPr>
          <w:spacing w:val="-1"/>
        </w:rPr>
        <w:t> </w:t>
      </w:r>
      <w:r>
        <w:rPr/>
        <w:t>√不适用</w:t>
      </w:r>
    </w:p>
    <w:p>
      <w:pPr>
        <w:spacing w:after="0" w:line="240" w:lineRule="auto"/>
        <w:jc w:val="left"/>
        <w:sectPr>
          <w:type w:val="continuous"/>
          <w:pgSz w:w="11910" w:h="16840"/>
          <w:pgMar w:top="1120" w:bottom="1380" w:left="1200" w:right="660"/>
        </w:sectPr>
      </w:pPr>
    </w:p>
    <w:p>
      <w:pPr>
        <w:spacing w:line="240" w:lineRule="auto" w:before="1"/>
        <w:rPr>
          <w:rFonts w:ascii="宋体" w:hAnsi="宋体" w:cs="宋体" w:eastAsia="宋体" w:hint="default"/>
          <w:sz w:val="25"/>
          <w:szCs w:val="25"/>
        </w:rPr>
      </w:pPr>
    </w:p>
    <w:p>
      <w:pPr>
        <w:pStyle w:val="Heading2"/>
        <w:spacing w:line="240" w:lineRule="auto"/>
        <w:ind w:left="138" w:right="125"/>
        <w:jc w:val="left"/>
        <w:rPr>
          <w:b w:val="0"/>
          <w:bCs w:val="0"/>
        </w:rPr>
      </w:pPr>
      <w:r>
        <w:rPr>
          <w:rFonts w:ascii="宋体" w:hAnsi="宋体" w:cs="宋体" w:eastAsia="宋体" w:hint="default"/>
        </w:rPr>
        <w:t>(3).</w:t>
      </w:r>
      <w:r>
        <w:rPr/>
        <w:t>本期重分类的持有至到期投资</w:t>
      </w:r>
      <w:r>
        <w:rPr>
          <w:b w:val="0"/>
          <w:bCs w:val="0"/>
        </w:rPr>
      </w:r>
    </w:p>
    <w:p>
      <w:pPr>
        <w:pStyle w:val="BodyText"/>
        <w:tabs>
          <w:tab w:pos="980" w:val="left" w:leader="none"/>
        </w:tabs>
        <w:spacing w:line="272" w:lineRule="exact" w:before="86"/>
        <w:ind w:left="138" w:right="7283"/>
        <w:jc w:val="left"/>
      </w:pPr>
      <w:r>
        <w:rPr>
          <w:spacing w:val="-1"/>
        </w:rPr>
        <w:t>□适用</w:t>
        <w:tab/>
      </w:r>
      <w:r>
        <w:rPr>
          <w:spacing w:val="-2"/>
        </w:rPr>
        <w:t>√不适用</w:t>
      </w:r>
      <w:r>
        <w:rPr>
          <w:spacing w:val="-99"/>
        </w:rPr>
        <w:t> </w:t>
      </w:r>
      <w:r>
        <w:rPr>
          <w:spacing w:val="-99"/>
        </w:rPr>
      </w:r>
      <w:r>
        <w:rPr/>
        <w:t>其他说明：</w:t>
      </w:r>
    </w:p>
    <w:p>
      <w:pPr>
        <w:pStyle w:val="BodyText"/>
        <w:spacing w:line="249" w:lineRule="exact"/>
        <w:ind w:left="138" w:right="125"/>
        <w:jc w:val="left"/>
      </w:pPr>
      <w:r>
        <w:rPr/>
        <w:t>□适用</w:t>
      </w:r>
      <w:r>
        <w:rPr>
          <w:spacing w:val="-1"/>
        </w:rPr>
        <w:t> </w:t>
      </w:r>
      <w:r>
        <w:rPr/>
        <w:t>√不适用</w:t>
      </w:r>
    </w:p>
    <w:p>
      <w:pPr>
        <w:pStyle w:val="Heading2"/>
        <w:spacing w:line="290" w:lineRule="auto" w:before="56"/>
        <w:ind w:left="138" w:right="7049"/>
        <w:jc w:val="left"/>
        <w:rPr>
          <w:b w:val="0"/>
          <w:bCs w:val="0"/>
        </w:rPr>
      </w:pPr>
      <w:r>
        <w:rPr>
          <w:rFonts w:ascii="宋体" w:hAnsi="宋体" w:cs="宋体" w:eastAsia="宋体" w:hint="default"/>
        </w:rPr>
        <w:t>13</w:t>
      </w:r>
      <w:r>
        <w:rPr/>
        <w:t>、</w:t>
      </w:r>
      <w:r>
        <w:rPr>
          <w:spacing w:val="-25"/>
        </w:rPr>
        <w:t> </w:t>
      </w:r>
      <w:r>
        <w:rPr/>
        <w:t>长期应收款</w:t>
      </w:r>
      <w:r>
        <w:rPr>
          <w:w w:val="100"/>
        </w:rPr>
        <w:t> </w:t>
      </w:r>
      <w:r>
        <w:rPr>
          <w:rFonts w:ascii="宋体" w:hAnsi="宋体" w:cs="宋体" w:eastAsia="宋体" w:hint="default"/>
        </w:rPr>
        <w:t>(1).</w:t>
      </w:r>
      <w:r>
        <w:rPr/>
        <w:t>长期应收款情况</w:t>
      </w:r>
      <w:r>
        <w:rPr>
          <w:b w:val="0"/>
          <w:bCs w:val="0"/>
        </w:rPr>
      </w:r>
    </w:p>
    <w:p>
      <w:pPr>
        <w:spacing w:line="290" w:lineRule="auto" w:before="12"/>
        <w:ind w:left="138" w:right="47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tabs>
          <w:tab w:pos="980" w:val="left" w:leader="none"/>
        </w:tabs>
        <w:spacing w:line="290" w:lineRule="auto" w:before="12"/>
        <w:ind w:left="138" w:right="389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pStyle w:val="BodyText"/>
        <w:tabs>
          <w:tab w:pos="980" w:val="left" w:leader="none"/>
        </w:tabs>
        <w:spacing w:line="240" w:lineRule="auto" w:before="13"/>
        <w:ind w:left="138" w:right="7283"/>
        <w:jc w:val="left"/>
      </w:pPr>
      <w:r>
        <w:rPr>
          <w:spacing w:val="-1"/>
        </w:rPr>
        <w:t>□适用</w:t>
        <w:tab/>
      </w:r>
      <w:r>
        <w:rPr>
          <w:spacing w:val="-2"/>
        </w:rPr>
        <w:t>√不适用</w:t>
      </w:r>
      <w:r>
        <w:rPr>
          <w:spacing w:val="-99"/>
        </w:rPr>
        <w:t> </w:t>
      </w:r>
      <w:r>
        <w:rPr>
          <w:spacing w:val="-99"/>
        </w:rPr>
      </w:r>
      <w:r>
        <w:rPr/>
        <w:t>其他说明</w:t>
      </w:r>
    </w:p>
    <w:p>
      <w:pPr>
        <w:pStyle w:val="BodyText"/>
        <w:spacing w:line="271" w:lineRule="exact"/>
        <w:ind w:left="138" w:right="125"/>
        <w:jc w:val="left"/>
      </w:pPr>
      <w:r>
        <w:rPr/>
        <w:t>□适用</w:t>
      </w:r>
      <w:r>
        <w:rPr>
          <w:spacing w:val="-1"/>
        </w:rPr>
        <w:t> </w:t>
      </w:r>
      <w:r>
        <w:rPr/>
        <w:t>√不适用</w:t>
      </w:r>
    </w:p>
    <w:p>
      <w:pPr>
        <w:spacing w:after="0" w:line="271" w:lineRule="exact"/>
        <w:jc w:val="left"/>
        <w:sectPr>
          <w:pgSz w:w="11910" w:h="16840"/>
          <w:pgMar w:header="0" w:footer="1195" w:top="1120" w:bottom="1380" w:left="1660" w:right="1140"/>
        </w:sectPr>
      </w:pPr>
    </w:p>
    <w:p>
      <w:pPr>
        <w:spacing w:before="20"/>
        <w:ind w:left="6793" w:right="6497"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5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7"/>
          <w:footerReference w:type="default" r:id="rId68"/>
          <w:pgSz w:w="16840" w:h="11910" w:orient="landscape"/>
          <w:pgMar w:header="0" w:footer="0" w:top="800" w:bottom="280" w:left="900" w:right="1300"/>
        </w:sectPr>
      </w:pPr>
    </w:p>
    <w:p>
      <w:pPr>
        <w:pStyle w:val="Heading2"/>
        <w:spacing w:line="240" w:lineRule="auto"/>
        <w:ind w:left="540" w:right="-19"/>
        <w:jc w:val="left"/>
        <w:rPr>
          <w:b w:val="0"/>
          <w:bCs w:val="0"/>
        </w:rPr>
      </w:pPr>
      <w:r>
        <w:rPr>
          <w:rFonts w:ascii="宋体" w:hAnsi="宋体" w:cs="宋体" w:eastAsia="宋体" w:hint="default"/>
        </w:rPr>
        <w:t>14</w:t>
      </w:r>
      <w:r>
        <w:rPr/>
        <w:t>、</w:t>
      </w:r>
      <w:r>
        <w:rPr>
          <w:spacing w:val="-23"/>
        </w:rPr>
        <w:t> </w:t>
      </w:r>
      <w:r>
        <w:rPr/>
        <w:t>长期股权投资</w:t>
      </w:r>
      <w:r>
        <w:rPr>
          <w:b w:val="0"/>
          <w:bCs w:val="0"/>
        </w:rPr>
      </w:r>
    </w:p>
    <w:p>
      <w:pPr>
        <w:pStyle w:val="BodyText"/>
        <w:spacing w:line="240" w:lineRule="auto" w:before="56"/>
        <w:ind w:left="54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91" w:val="left" w:leader="none"/>
        </w:tabs>
        <w:spacing w:line="240" w:lineRule="auto"/>
        <w:ind w:left="540" w:right="0"/>
        <w:jc w:val="left"/>
      </w:pPr>
      <w:r>
        <w:rPr>
          <w:spacing w:val="-1"/>
        </w:rPr>
        <w:t>单位：元</w:t>
        <w:tab/>
        <w:t>币种：人民币</w:t>
      </w:r>
    </w:p>
    <w:p>
      <w:pPr>
        <w:spacing w:after="0" w:line="240" w:lineRule="auto"/>
        <w:jc w:val="left"/>
        <w:sectPr>
          <w:type w:val="continuous"/>
          <w:pgSz w:w="16840" w:h="11910" w:orient="landscape"/>
          <w:pgMar w:top="1120" w:bottom="1380" w:left="900" w:right="1300"/>
          <w:cols w:num="2" w:equalWidth="0">
            <w:col w:w="2312" w:space="9251"/>
            <w:col w:w="3077"/>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96"/>
        <w:gridCol w:w="1687"/>
        <w:gridCol w:w="1580"/>
        <w:gridCol w:w="598"/>
        <w:gridCol w:w="1913"/>
        <w:gridCol w:w="826"/>
        <w:gridCol w:w="710"/>
        <w:gridCol w:w="996"/>
        <w:gridCol w:w="710"/>
        <w:gridCol w:w="1582"/>
        <w:gridCol w:w="1687"/>
        <w:gridCol w:w="824"/>
      </w:tblGrid>
      <w:tr>
        <w:trPr>
          <w:trHeight w:val="350" w:hRule="exact"/>
        </w:trPr>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628" w:right="624"/>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915"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6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628" w:right="624"/>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24" w:type="dxa"/>
            <w:vMerge w:val="restart"/>
            <w:tcBorders>
              <w:top w:val="single" w:sz="4" w:space="0" w:color="000000"/>
              <w:left w:val="single" w:sz="4" w:space="0" w:color="000000"/>
              <w:right w:val="single" w:sz="4" w:space="0" w:color="000000"/>
            </w:tcBorders>
          </w:tcPr>
          <w:p>
            <w:pPr>
              <w:pStyle w:val="TableParagraph"/>
              <w:spacing w:line="237" w:lineRule="auto" w:before="143"/>
              <w:ind w:left="197" w:right="192"/>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100" w:hRule="exact"/>
        </w:trPr>
        <w:tc>
          <w:tcPr>
            <w:tcW w:w="1296" w:type="dxa"/>
            <w:vMerge/>
            <w:tcBorders>
              <w:left w:val="single" w:sz="4" w:space="0" w:color="000000"/>
              <w:bottom w:val="single" w:sz="4" w:space="0" w:color="000000"/>
              <w:right w:val="single" w:sz="4" w:space="0" w:color="000000"/>
            </w:tcBorders>
          </w:tcPr>
          <w:p>
            <w:pPr/>
          </w:p>
        </w:tc>
        <w:tc>
          <w:tcPr>
            <w:tcW w:w="1687" w:type="dxa"/>
            <w:vMerge/>
            <w:tcBorders>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87" w:right="187"/>
              <w:jc w:val="both"/>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635" w:right="108" w:hanging="526"/>
              <w:jc w:val="left"/>
              <w:rPr>
                <w:rFonts w:ascii="宋体" w:hAnsi="宋体" w:cs="宋体" w:eastAsia="宋体" w:hint="default"/>
                <w:sz w:val="21"/>
                <w:szCs w:val="21"/>
              </w:rPr>
            </w:pPr>
            <w:r>
              <w:rPr>
                <w:rFonts w:ascii="宋体" w:hAnsi="宋体" w:cs="宋体" w:eastAsia="宋体" w:hint="default"/>
                <w:sz w:val="21"/>
                <w:szCs w:val="21"/>
              </w:rPr>
              <w:t>权益法下确认的投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7"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37" w:lineRule="auto" w:before="2"/>
              <w:ind w:left="197" w:right="194"/>
              <w:jc w:val="both"/>
              <w:rPr>
                <w:rFonts w:ascii="宋体" w:hAnsi="宋体" w:cs="宋体" w:eastAsia="宋体" w:hint="default"/>
                <w:sz w:val="21"/>
                <w:szCs w:val="21"/>
              </w:rPr>
            </w:pP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宣告发</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9" w:right="137"/>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87"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r>
      <w:tr>
        <w:trPr>
          <w:trHeight w:val="350" w:hRule="exact"/>
        </w:trPr>
        <w:tc>
          <w:tcPr>
            <w:tcW w:w="144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50"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新华智云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sz w:val="21"/>
              </w:rPr>
              <w:t>156,947,326.00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30,000,000.00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-13,407,011.18</w:t>
            </w:r>
          </w:p>
        </w:tc>
        <w:tc>
          <w:tcPr>
            <w:tcW w:w="82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sz w:val="21"/>
              </w:rPr>
              <w:t>18,058,797.20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191,599,112.02</w:t>
            </w:r>
          </w:p>
        </w:tc>
        <w:tc>
          <w:tcPr>
            <w:tcW w:w="82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sz w:val="21"/>
              </w:rPr>
              <w:t>156,947,326.00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30,000,000.00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-13,407,011.18</w:t>
            </w:r>
          </w:p>
        </w:tc>
        <w:tc>
          <w:tcPr>
            <w:tcW w:w="82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sz w:val="21"/>
              </w:rPr>
              <w:t>18,058,797.20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191,599,112.02</w:t>
            </w:r>
          </w:p>
        </w:tc>
        <w:tc>
          <w:tcPr>
            <w:tcW w:w="824"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441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50"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新华康美</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48,900,202.87</w:t>
            </w:r>
          </w:p>
        </w:tc>
        <w:tc>
          <w:tcPr>
            <w:tcW w:w="15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-3,523,165.66</w:t>
            </w:r>
          </w:p>
        </w:tc>
        <w:tc>
          <w:tcPr>
            <w:tcW w:w="82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45,377,037.21</w:t>
            </w:r>
          </w:p>
        </w:tc>
        <w:tc>
          <w:tcPr>
            <w:tcW w:w="82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新彩华章</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5,928,820.26</w:t>
            </w:r>
          </w:p>
        </w:tc>
        <w:tc>
          <w:tcPr>
            <w:tcW w:w="15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983,339.92</w:t>
            </w:r>
          </w:p>
        </w:tc>
        <w:tc>
          <w:tcPr>
            <w:tcW w:w="82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6,912,160.18</w:t>
            </w:r>
          </w:p>
        </w:tc>
        <w:tc>
          <w:tcPr>
            <w:tcW w:w="824"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海南亿连</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3,075,981.24</w:t>
            </w:r>
          </w:p>
        </w:tc>
        <w:tc>
          <w:tcPr>
            <w:tcW w:w="1580"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-561,136.10</w:t>
            </w:r>
          </w:p>
        </w:tc>
        <w:tc>
          <w:tcPr>
            <w:tcW w:w="82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2,514,845.14</w:t>
            </w:r>
          </w:p>
        </w:tc>
        <w:tc>
          <w:tcPr>
            <w:tcW w:w="82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江苏瑞德</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5,991,535.49</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3,000,000.00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313,465.63</w:t>
            </w:r>
          </w:p>
        </w:tc>
        <w:tc>
          <w:tcPr>
            <w:tcW w:w="82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9,305,001.12</w:t>
            </w:r>
          </w:p>
        </w:tc>
        <w:tc>
          <w:tcPr>
            <w:tcW w:w="82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sz w:val="21"/>
              </w:rPr>
              <w:t>63,896,539.86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3,000,000.00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-2,787,496.21</w:t>
            </w:r>
          </w:p>
        </w:tc>
        <w:tc>
          <w:tcPr>
            <w:tcW w:w="82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64,109,043.65</w:t>
            </w:r>
          </w:p>
        </w:tc>
        <w:tc>
          <w:tcPr>
            <w:tcW w:w="82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sz w:val="21"/>
              </w:rPr>
              <w:t>220,843,865.86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33,000,000.00</w:t>
            </w:r>
          </w:p>
        </w:tc>
        <w:tc>
          <w:tcPr>
            <w:tcW w:w="59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-16,194,507.39</w:t>
            </w:r>
          </w:p>
        </w:tc>
        <w:tc>
          <w:tcPr>
            <w:tcW w:w="82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sz w:val="21"/>
              </w:rPr>
              <w:t>18,058,797.20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255,708,155.67</w:t>
            </w:r>
          </w:p>
        </w:tc>
        <w:tc>
          <w:tcPr>
            <w:tcW w:w="82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left="540" w:right="6519"/>
        <w:jc w:val="left"/>
      </w:pPr>
      <w:r>
        <w:rPr/>
        <w:t>其他说明</w:t>
      </w:r>
      <w:r>
        <w:rPr>
          <w:w w:val="100"/>
        </w:rPr>
        <w:t> </w:t>
      </w:r>
      <w:r>
        <w:rPr>
          <w:spacing w:val="-2"/>
        </w:rPr>
        <w:t>上述投资详见本报告第十一节、九、</w:t>
      </w:r>
      <w:r>
        <w:rPr>
          <w:rFonts w:ascii="宋体" w:hAnsi="宋体" w:cs="宋体" w:eastAsia="宋体" w:hint="default"/>
          <w:spacing w:val="-2"/>
        </w:rPr>
        <w:t>3</w:t>
      </w:r>
      <w:r>
        <w:rPr>
          <w:spacing w:val="-2"/>
        </w:rPr>
        <w:t>、在合营安排或联营企业中的权益。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0"/>
        <w:ind w:left="6793" w:right="6480" w:firstLine="0"/>
        <w:jc w:val="center"/>
        <w:rPr>
          <w:rFonts w:ascii="Calibri" w:hAnsi="Calibri" w:cs="Calibri" w:eastAsia="Calibri" w:hint="default"/>
          <w:sz w:val="18"/>
          <w:szCs w:val="18"/>
        </w:rPr>
      </w:pPr>
      <w:r>
        <w:rPr>
          <w:rFonts w:ascii="Calibri"/>
          <w:b/>
          <w:sz w:val="18"/>
        </w:rPr>
        <w:t>125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900" w:right="130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69"/>
          <w:pgSz w:w="11910" w:h="16840"/>
          <w:pgMar w:footer="1195" w:header="0" w:top="1120" w:bottom="1380" w:left="1580" w:right="1040"/>
          <w:pgNumType w:start="126"/>
        </w:sectPr>
      </w:pPr>
    </w:p>
    <w:p>
      <w:pPr>
        <w:spacing w:line="240" w:lineRule="auto" w:before="3"/>
        <w:rPr>
          <w:rFonts w:ascii="Calibri" w:hAnsi="Calibri" w:cs="Calibri" w:eastAsia="Calibri" w:hint="default"/>
          <w:b/>
          <w:bCs/>
          <w:sz w:val="17"/>
          <w:szCs w:val="17"/>
        </w:rPr>
      </w:pPr>
    </w:p>
    <w:p>
      <w:pPr>
        <w:pStyle w:val="Heading2"/>
        <w:spacing w:line="240" w:lineRule="auto" w:before="0"/>
        <w:ind w:right="0"/>
        <w:jc w:val="left"/>
        <w:rPr>
          <w:b w:val="0"/>
          <w:bCs w:val="0"/>
        </w:rPr>
      </w:pPr>
      <w:r>
        <w:rPr>
          <w:rFonts w:ascii="宋体" w:hAnsi="宋体" w:cs="宋体" w:eastAsia="宋体" w:hint="default"/>
        </w:rPr>
        <w:t>15</w:t>
      </w:r>
      <w:r>
        <w:rPr/>
        <w:t>、</w:t>
      </w:r>
      <w:r>
        <w:rPr>
          <w:spacing w:val="-24"/>
        </w:rPr>
        <w:t> </w:t>
      </w:r>
      <w:r>
        <w:rPr/>
        <w:t>投资性房地产</w:t>
      </w:r>
      <w:r>
        <w:rPr>
          <w:b w:val="0"/>
          <w:bCs w:val="0"/>
        </w:rPr>
      </w:r>
    </w:p>
    <w:p>
      <w:pPr>
        <w:pStyle w:val="BodyText"/>
        <w:spacing w:line="240" w:lineRule="auto" w:before="56"/>
        <w:ind w:right="0"/>
        <w:jc w:val="left"/>
      </w:pPr>
      <w:r>
        <w:rPr>
          <w:spacing w:val="-2"/>
        </w:rPr>
        <w:t>投资性房地产计量模式</w:t>
      </w:r>
      <w:r>
        <w:rPr>
          <w:spacing w:val="-86"/>
        </w:rPr>
        <w:t> </w:t>
      </w:r>
      <w:r>
        <w:rPr>
          <w:spacing w:val="-86"/>
        </w:rPr>
      </w:r>
      <w:r>
        <w:rPr/>
        <w:t>不适用</w:t>
      </w:r>
    </w:p>
    <w:p>
      <w:pPr>
        <w:pStyle w:val="Heading2"/>
        <w:spacing w:line="290" w:lineRule="auto" w:before="56"/>
        <w:ind w:right="736"/>
        <w:jc w:val="left"/>
        <w:rPr>
          <w:b w:val="0"/>
          <w:bCs w:val="0"/>
        </w:rPr>
      </w:pPr>
      <w:r>
        <w:rPr>
          <w:rFonts w:ascii="宋体" w:hAnsi="宋体" w:cs="宋体" w:eastAsia="宋体" w:hint="default"/>
        </w:rPr>
        <w:t>16</w:t>
      </w:r>
      <w:r>
        <w:rPr/>
        <w:t>、</w:t>
      </w:r>
      <w:r>
        <w:rPr>
          <w:spacing w:val="-25"/>
        </w:rPr>
        <w:t> </w:t>
      </w:r>
      <w:r>
        <w:rPr/>
        <w:t>固定资产</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21" w:space="420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299,703,035.40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184,494,818.09</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864"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299,703,035.40</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184,494,818.09</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14"/>
        <w:jc w:val="left"/>
      </w:pPr>
      <w:r>
        <w:rPr/>
        <w:t>其他说明：</w:t>
      </w:r>
    </w:p>
    <w:p>
      <w:pPr>
        <w:spacing w:line="290" w:lineRule="auto" w:before="0"/>
        <w:ind w:left="21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pStyle w:val="BodyText"/>
        <w:spacing w:line="240" w:lineRule="auto" w:before="12"/>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05"/>
        <w:gridCol w:w="1959"/>
        <w:gridCol w:w="1961"/>
        <w:gridCol w:w="2137"/>
      </w:tblGrid>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电子及办公设备</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959"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22,862,496.53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216,223,769.61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239,086,266.14</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5,272,653.86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151,320,699.32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156,593,353.18</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5,272,653.86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38,090,859.37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43,363,513.23</w:t>
            </w: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）在建工程转入</w:t>
            </w:r>
          </w:p>
        </w:tc>
        <w:tc>
          <w:tcPr>
            <w:tcW w:w="1959"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113,229,839.95</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113,229,839.95</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314,786.00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542,909.89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857,695.89</w:t>
            </w: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314,786.00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542,909.89</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857,695.89</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27,820,364.39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367,001,559.04</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394,821,923.43</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959"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3,926,360.97</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50,665,087.08</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54,591,448.05</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3,464,241.13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37,676,464.17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41,140,705.30</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3,464,241.13</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37,676,464.17</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41,140,705.30</w:t>
            </w: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299,046.70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314,218.62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613,265.32</w:t>
            </w:r>
          </w:p>
        </w:tc>
      </w:tr>
      <w:tr>
        <w:trPr>
          <w:trHeight w:val="28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299,046.70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314,218.62</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613,265.32</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7,091,555.40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88,027,332.63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95,118,888.03</w:t>
            </w: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959"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959"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959"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959"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959"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）处置或报废</w:t>
            </w:r>
          </w:p>
        </w:tc>
        <w:tc>
          <w:tcPr>
            <w:tcW w:w="1959"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959"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959"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20,728,808.99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278,974,226.41</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299,703,035.40</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18,936,135.56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165,558,682.53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184,494,818.09</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080" w:right="480"/>
        </w:sectPr>
      </w:pPr>
    </w:p>
    <w:p>
      <w:pPr>
        <w:pStyle w:val="Heading2"/>
        <w:spacing w:line="240" w:lineRule="auto"/>
        <w:ind w:left="718" w:right="-16"/>
        <w:jc w:val="left"/>
        <w:rPr>
          <w:b w:val="0"/>
          <w:bCs w:val="0"/>
        </w:rPr>
      </w:pPr>
      <w:r>
        <w:rPr>
          <w:rFonts w:ascii="宋体" w:hAnsi="宋体" w:cs="宋体" w:eastAsia="宋体" w:hint="default"/>
        </w:rPr>
        <w:t>(2).</w:t>
      </w:r>
      <w:r>
        <w:rPr/>
        <w:t>暂时闲置的固定资产情况</w:t>
      </w:r>
      <w:r>
        <w:rPr>
          <w:b w:val="0"/>
          <w:bCs w:val="0"/>
        </w:rPr>
      </w:r>
    </w:p>
    <w:p>
      <w:pPr>
        <w:spacing w:line="290" w:lineRule="auto" w:before="58"/>
        <w:ind w:left="718" w:right="-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90" w:lineRule="auto" w:before="14"/>
        <w:ind w:left="718" w:right="40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90" w:lineRule="auto" w:before="14"/>
        <w:ind w:left="718" w:right="19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pStyle w:val="BodyText"/>
        <w:spacing w:line="272" w:lineRule="exact" w:before="42"/>
        <w:ind w:left="718" w:right="1996"/>
        <w:jc w:val="left"/>
      </w:pPr>
      <w:r>
        <w:rPr/>
        <w:t>□适用</w:t>
      </w:r>
      <w:r>
        <w:rPr>
          <w:spacing w:val="-1"/>
        </w:rPr>
        <w:t> </w:t>
      </w:r>
      <w:r>
        <w:rPr/>
        <w:t>√不适用</w:t>
      </w:r>
      <w:r>
        <w:rPr>
          <w:w w:val="100"/>
        </w:rPr>
        <w:t> </w:t>
      </w:r>
      <w:r>
        <w:rPr/>
        <w:t>其他说明：</w:t>
      </w:r>
    </w:p>
    <w:p>
      <w:pPr>
        <w:pStyle w:val="BodyText"/>
        <w:spacing w:line="249" w:lineRule="exact"/>
        <w:ind w:left="718" w:right="-16"/>
        <w:jc w:val="left"/>
      </w:pPr>
      <w:r>
        <w:rPr/>
        <w:t>□适用</w:t>
      </w:r>
      <w:r>
        <w:rPr>
          <w:spacing w:val="-1"/>
        </w:rPr>
        <w:t> </w:t>
      </w:r>
      <w:r>
        <w:rPr/>
        <w:t>√不适用</w:t>
      </w:r>
    </w:p>
    <w:p>
      <w:pPr>
        <w:pStyle w:val="Heading2"/>
        <w:spacing w:line="240" w:lineRule="auto" w:before="57"/>
        <w:ind w:left="718" w:right="-16"/>
        <w:jc w:val="left"/>
        <w:rPr>
          <w:b w:val="0"/>
          <w:bCs w:val="0"/>
        </w:rPr>
      </w:pPr>
      <w:r>
        <w:rPr/>
        <w:t>固定资产清理</w:t>
      </w:r>
      <w:r>
        <w:rPr>
          <w:b w:val="0"/>
          <w:bCs w:val="0"/>
        </w:rPr>
      </w:r>
    </w:p>
    <w:p>
      <w:pPr>
        <w:spacing w:line="290" w:lineRule="auto" w:before="58"/>
        <w:ind w:left="718" w:right="199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在建工程</w:t>
      </w:r>
      <w:r>
        <w:rPr>
          <w:rFonts w:ascii="宋体" w:hAnsi="宋体" w:cs="宋体" w:eastAsia="宋体" w:hint="default"/>
          <w:b/>
          <w:bCs/>
          <w:w w:val="100"/>
          <w:sz w:val="21"/>
          <w:szCs w:val="21"/>
        </w:rPr>
        <w:t> </w:t>
      </w:r>
      <w:r>
        <w:rPr>
          <w:rFonts w:ascii="宋体" w:hAnsi="宋体" w:cs="宋体" w:eastAsia="宋体" w:hint="default"/>
          <w:b/>
          <w:bCs/>
          <w:sz w:val="21"/>
          <w:szCs w:val="21"/>
        </w:rPr>
        <w:t>总表情况</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sz w:val="21"/>
          <w:szCs w:val="21"/>
        </w:rPr>
      </w:r>
    </w:p>
    <w:p>
      <w:pPr>
        <w:pStyle w:val="BodyText"/>
        <w:spacing w:line="240" w:lineRule="auto" w:before="14"/>
        <w:ind w:left="71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tabs>
          <w:tab w:pos="1769" w:val="left" w:leader="none"/>
        </w:tabs>
        <w:spacing w:line="240" w:lineRule="auto"/>
        <w:ind w:left="718" w:right="0"/>
        <w:jc w:val="left"/>
      </w:pPr>
      <w:r>
        <w:rPr>
          <w:spacing w:val="-1"/>
        </w:rPr>
        <w:t>单位：元</w:t>
        <w:tab/>
      </w:r>
      <w:r>
        <w:rPr>
          <w:spacing w:val="-2"/>
        </w:rPr>
        <w:t>币种：人民币</w:t>
      </w:r>
    </w:p>
    <w:p>
      <w:pPr>
        <w:spacing w:after="0" w:line="240" w:lineRule="auto"/>
        <w:jc w:val="left"/>
        <w:sectPr>
          <w:type w:val="continuous"/>
          <w:pgSz w:w="11910" w:h="16840"/>
          <w:pgMar w:top="1120" w:bottom="1380" w:left="1080" w:right="480"/>
          <w:cols w:num="2" w:equalWidth="0">
            <w:col w:w="4309" w:space="2213"/>
            <w:col w:w="3828"/>
          </w:cols>
        </w:sectPr>
      </w:pPr>
    </w:p>
    <w:p>
      <w:pPr>
        <w:spacing w:line="240" w:lineRule="auto" w:before="7"/>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402"/>
        <w:gridCol w:w="3190"/>
        <w:gridCol w:w="3476"/>
      </w:tblGrid>
      <w:tr>
        <w:trPr>
          <w:trHeight w:val="28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1"/>
              <w:jc w:val="right"/>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
              <w:jc w:val="right"/>
              <w:rPr>
                <w:rFonts w:ascii="宋体" w:hAnsi="宋体" w:cs="宋体" w:eastAsia="宋体" w:hint="default"/>
                <w:sz w:val="21"/>
                <w:szCs w:val="21"/>
              </w:rPr>
            </w:pPr>
            <w:r>
              <w:rPr>
                <w:rFonts w:ascii="宋体"/>
                <w:spacing w:val="-1"/>
                <w:sz w:val="21"/>
              </w:rPr>
              <w:t>249,603,178.32</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288,613,655.55</w:t>
            </w:r>
          </w:p>
        </w:tc>
      </w:tr>
      <w:tr>
        <w:trPr>
          <w:trHeight w:val="281"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190" w:type="dxa"/>
            <w:tcBorders>
              <w:top w:val="single" w:sz="4" w:space="0" w:color="000000"/>
              <w:left w:val="single" w:sz="4" w:space="0" w:color="000000"/>
              <w:bottom w:val="single" w:sz="4" w:space="0" w:color="000000"/>
              <w:right w:val="single" w:sz="4" w:space="0" w:color="000000"/>
            </w:tcBorders>
          </w:tcPr>
          <w:p>
            <w:pPr/>
          </w:p>
        </w:tc>
        <w:tc>
          <w:tcPr>
            <w:tcW w:w="3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81"/>
              <w:jc w:val="righ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249,603,178.32</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288,613,655.55</w:t>
            </w:r>
          </w:p>
        </w:tc>
      </w:tr>
    </w:tbl>
    <w:p>
      <w:pPr>
        <w:spacing w:after="0" w:line="243" w:lineRule="exact"/>
        <w:jc w:val="right"/>
        <w:rPr>
          <w:rFonts w:ascii="宋体" w:hAnsi="宋体" w:cs="宋体" w:eastAsia="宋体" w:hint="default"/>
          <w:sz w:val="21"/>
          <w:szCs w:val="21"/>
        </w:rPr>
        <w:sectPr>
          <w:type w:val="continuous"/>
          <w:pgSz w:w="11910" w:h="16840"/>
          <w:pgMar w:top="1120" w:bottom="1380" w:left="1080" w:right="480"/>
        </w:sectPr>
      </w:pPr>
    </w:p>
    <w:p>
      <w:pPr>
        <w:pStyle w:val="BodyText"/>
        <w:spacing w:line="241" w:lineRule="exact"/>
        <w:ind w:left="718" w:right="-14"/>
        <w:jc w:val="left"/>
      </w:pPr>
      <w:r>
        <w:rPr/>
        <w:t>其他说明：</w:t>
      </w:r>
    </w:p>
    <w:p>
      <w:pPr>
        <w:spacing w:line="290" w:lineRule="auto" w:before="0"/>
        <w:ind w:left="71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在建工程</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pStyle w:val="BodyText"/>
        <w:spacing w:line="240" w:lineRule="auto" w:before="12"/>
        <w:ind w:left="71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tabs>
          <w:tab w:pos="1769" w:val="left" w:leader="none"/>
        </w:tabs>
        <w:spacing w:line="240" w:lineRule="auto"/>
        <w:ind w:left="718" w:right="0"/>
        <w:jc w:val="left"/>
      </w:pPr>
      <w:r>
        <w:rPr>
          <w:spacing w:val="-1"/>
        </w:rPr>
        <w:t>单位：元</w:t>
        <w:tab/>
      </w:r>
      <w:r>
        <w:rPr>
          <w:spacing w:val="-2"/>
        </w:rPr>
        <w:t>币种：人民币</w:t>
      </w:r>
    </w:p>
    <w:p>
      <w:pPr>
        <w:spacing w:after="0" w:line="240" w:lineRule="auto"/>
        <w:jc w:val="left"/>
        <w:sectPr>
          <w:type w:val="continuous"/>
          <w:pgSz w:w="11910" w:h="16840"/>
          <w:pgMar w:top="1120" w:bottom="1380" w:left="1080" w:right="480"/>
          <w:cols w:num="2" w:equalWidth="0">
            <w:col w:w="2413" w:space="4109"/>
            <w:col w:w="3828"/>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588"/>
        <w:gridCol w:w="1702"/>
        <w:gridCol w:w="528"/>
        <w:gridCol w:w="1642"/>
        <w:gridCol w:w="1532"/>
        <w:gridCol w:w="516"/>
        <w:gridCol w:w="1531"/>
      </w:tblGrid>
      <w:tr>
        <w:trPr>
          <w:trHeight w:val="295" w:hRule="exact"/>
        </w:trPr>
        <w:tc>
          <w:tcPr>
            <w:tcW w:w="258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58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多语种网站建设和海外访问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提速等项目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7"/>
              <w:jc w:val="right"/>
              <w:rPr>
                <w:rFonts w:ascii="宋体" w:hAnsi="宋体" w:cs="宋体" w:eastAsia="宋体" w:hint="default"/>
                <w:sz w:val="21"/>
                <w:szCs w:val="21"/>
              </w:rPr>
            </w:pPr>
            <w:r>
              <w:rPr>
                <w:rFonts w:ascii="宋体"/>
                <w:spacing w:val="-1"/>
                <w:sz w:val="21"/>
              </w:rPr>
              <w:t>182,184,787.86</w:t>
            </w:r>
          </w:p>
        </w:tc>
        <w:tc>
          <w:tcPr>
            <w:tcW w:w="52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182,184,787.86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248,598,461.28</w:t>
            </w:r>
          </w:p>
        </w:tc>
        <w:tc>
          <w:tcPr>
            <w:tcW w:w="51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248,598,461.28</w:t>
            </w:r>
          </w:p>
        </w:tc>
      </w:tr>
      <w:tr>
        <w:trPr>
          <w:trHeight w:val="293"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移动化社交化分享传播系统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7"/>
              <w:jc w:val="right"/>
              <w:rPr>
                <w:rFonts w:ascii="宋体" w:hAnsi="宋体" w:cs="宋体" w:eastAsia="宋体" w:hint="default"/>
                <w:sz w:val="21"/>
                <w:szCs w:val="21"/>
              </w:rPr>
            </w:pPr>
            <w:r>
              <w:rPr>
                <w:rFonts w:ascii="宋体"/>
                <w:spacing w:val="-1"/>
                <w:sz w:val="21"/>
              </w:rPr>
              <w:t>24,377,177.94</w:t>
            </w:r>
          </w:p>
        </w:tc>
        <w:tc>
          <w:tcPr>
            <w:tcW w:w="52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24,377,177.94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
              <w:jc w:val="right"/>
              <w:rPr>
                <w:rFonts w:ascii="宋体" w:hAnsi="宋体" w:cs="宋体" w:eastAsia="宋体" w:hint="default"/>
                <w:sz w:val="21"/>
                <w:szCs w:val="21"/>
              </w:rPr>
            </w:pPr>
            <w:r>
              <w:rPr>
                <w:rFonts w:ascii="宋体"/>
                <w:spacing w:val="-1"/>
                <w:sz w:val="21"/>
              </w:rPr>
              <w:t>19,676,055.34</w:t>
            </w:r>
          </w:p>
        </w:tc>
        <w:tc>
          <w:tcPr>
            <w:tcW w:w="51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19,676,055.34</w:t>
            </w:r>
          </w:p>
        </w:tc>
      </w:tr>
      <w:tr>
        <w:trPr>
          <w:trHeight w:val="55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互联网金融创新实验室综合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业务系统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7"/>
              <w:jc w:val="right"/>
              <w:rPr>
                <w:rFonts w:ascii="宋体" w:hAnsi="宋体" w:cs="宋体" w:eastAsia="宋体" w:hint="default"/>
                <w:sz w:val="21"/>
                <w:szCs w:val="21"/>
              </w:rPr>
            </w:pPr>
            <w:r>
              <w:rPr>
                <w:rFonts w:ascii="宋体"/>
                <w:spacing w:val="-1"/>
                <w:sz w:val="21"/>
              </w:rPr>
              <w:t>26,582,447.30</w:t>
            </w:r>
          </w:p>
        </w:tc>
        <w:tc>
          <w:tcPr>
            <w:tcW w:w="52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26,582,447.30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16,729,000.00</w:t>
            </w:r>
          </w:p>
        </w:tc>
        <w:tc>
          <w:tcPr>
            <w:tcW w:w="51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16,729,000.00</w:t>
            </w:r>
          </w:p>
        </w:tc>
      </w:tr>
      <w:tr>
        <w:trPr>
          <w:trHeight w:val="828"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交互式高清视频数字系统及</w:t>
            </w:r>
          </w:p>
          <w:p>
            <w:pPr>
              <w:pStyle w:val="TableParagraph"/>
              <w:spacing w:line="240" w:lineRule="auto"/>
              <w:ind w:left="26" w:right="26"/>
              <w:jc w:val="left"/>
              <w:rPr>
                <w:rFonts w:ascii="宋体" w:hAnsi="宋体" w:cs="宋体" w:eastAsia="宋体" w:hint="default"/>
                <w:sz w:val="21"/>
                <w:szCs w:val="21"/>
              </w:rPr>
            </w:pPr>
            <w:r>
              <w:rPr>
                <w:rFonts w:ascii="宋体" w:hAnsi="宋体" w:cs="宋体" w:eastAsia="宋体" w:hint="default"/>
                <w:spacing w:val="-2"/>
                <w:sz w:val="21"/>
                <w:szCs w:val="21"/>
              </w:rPr>
              <w:t>移动化社交化分享传播平台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21"/>
                <w:szCs w:val="21"/>
              </w:rPr>
            </w:pPr>
            <w:r>
              <w:rPr>
                <w:rFonts w:ascii="宋体"/>
                <w:spacing w:val="-1"/>
                <w:sz w:val="21"/>
              </w:rPr>
              <w:t>8,568,408.17</w:t>
            </w:r>
          </w:p>
        </w:tc>
        <w:tc>
          <w:tcPr>
            <w:tcW w:w="52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8,568,408.17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3,235,440.51</w:t>
            </w:r>
          </w:p>
        </w:tc>
        <w:tc>
          <w:tcPr>
            <w:tcW w:w="51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3,235,440.51</w:t>
            </w:r>
          </w:p>
        </w:tc>
      </w:tr>
      <w:tr>
        <w:trPr>
          <w:trHeight w:val="828"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基于前沿可视化传播形态的</w:t>
            </w:r>
          </w:p>
          <w:p>
            <w:pPr>
              <w:pStyle w:val="TableParagraph"/>
              <w:spacing w:line="272" w:lineRule="exact" w:before="27"/>
              <w:ind w:left="26" w:right="79"/>
              <w:jc w:val="left"/>
              <w:rPr>
                <w:rFonts w:ascii="宋体" w:hAnsi="宋体" w:cs="宋体" w:eastAsia="宋体" w:hint="default"/>
                <w:sz w:val="21"/>
                <w:szCs w:val="21"/>
              </w:rPr>
            </w:pPr>
            <w:r>
              <w:rPr>
                <w:rFonts w:ascii="宋体" w:hAnsi="宋体" w:cs="宋体" w:eastAsia="宋体" w:hint="default"/>
                <w:sz w:val="21"/>
                <w:szCs w:val="21"/>
              </w:rPr>
              <w:t>DAM</w:t>
            </w:r>
            <w:r>
              <w:rPr>
                <w:rFonts w:ascii="宋体" w:hAnsi="宋体" w:cs="宋体" w:eastAsia="宋体" w:hint="default"/>
                <w:spacing w:val="-53"/>
                <w:sz w:val="21"/>
                <w:szCs w:val="21"/>
              </w:rPr>
              <w:t> </w:t>
            </w:r>
            <w:r>
              <w:rPr>
                <w:rFonts w:ascii="宋体" w:hAnsi="宋体" w:cs="宋体" w:eastAsia="宋体" w:hint="default"/>
                <w:sz w:val="21"/>
                <w:szCs w:val="21"/>
              </w:rPr>
              <w:t>互联网媒体交互生态系</w:t>
            </w:r>
            <w:r>
              <w:rPr>
                <w:rFonts w:ascii="宋体" w:hAnsi="宋体" w:cs="宋体" w:eastAsia="宋体" w:hint="default"/>
                <w:w w:val="100"/>
                <w:sz w:val="21"/>
                <w:szCs w:val="21"/>
              </w:rPr>
              <w:t> </w:t>
            </w:r>
            <w:r>
              <w:rPr>
                <w:rFonts w:ascii="宋体" w:hAnsi="宋体" w:cs="宋体" w:eastAsia="宋体" w:hint="default"/>
                <w:sz w:val="21"/>
                <w:szCs w:val="21"/>
              </w:rPr>
              <w:t>统建设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21"/>
                <w:szCs w:val="21"/>
              </w:rPr>
            </w:pPr>
            <w:r>
              <w:rPr>
                <w:rFonts w:ascii="宋体"/>
                <w:spacing w:val="-1"/>
                <w:sz w:val="21"/>
              </w:rPr>
              <w:t>2,739,314.91</w:t>
            </w:r>
          </w:p>
        </w:tc>
        <w:tc>
          <w:tcPr>
            <w:tcW w:w="52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2,739,314.91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338,461.52</w:t>
            </w:r>
          </w:p>
        </w:tc>
        <w:tc>
          <w:tcPr>
            <w:tcW w:w="51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338,461.52</w:t>
            </w:r>
          </w:p>
        </w:tc>
      </w:tr>
      <w:tr>
        <w:trPr>
          <w:trHeight w:val="554"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思客智享媒体融合服务云平</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台系统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7"/>
              <w:jc w:val="right"/>
              <w:rPr>
                <w:rFonts w:ascii="宋体" w:hAnsi="宋体" w:cs="宋体" w:eastAsia="宋体" w:hint="default"/>
                <w:sz w:val="21"/>
                <w:szCs w:val="21"/>
              </w:rPr>
            </w:pPr>
            <w:r>
              <w:rPr>
                <w:rFonts w:ascii="宋体"/>
                <w:spacing w:val="-1"/>
                <w:sz w:val="21"/>
              </w:rPr>
              <w:t>2,668,534.48</w:t>
            </w:r>
          </w:p>
        </w:tc>
        <w:tc>
          <w:tcPr>
            <w:tcW w:w="52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2,668,534.48</w:t>
            </w:r>
          </w:p>
        </w:tc>
        <w:tc>
          <w:tcPr>
            <w:tcW w:w="1532"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7"/>
              <w:jc w:val="right"/>
              <w:rPr>
                <w:rFonts w:ascii="宋体" w:hAnsi="宋体" w:cs="宋体" w:eastAsia="宋体" w:hint="default"/>
                <w:sz w:val="21"/>
                <w:szCs w:val="21"/>
              </w:rPr>
            </w:pPr>
            <w:r>
              <w:rPr>
                <w:rFonts w:ascii="宋体"/>
                <w:spacing w:val="-1"/>
                <w:sz w:val="21"/>
              </w:rPr>
              <w:t>2,482,507.66</w:t>
            </w:r>
          </w:p>
        </w:tc>
        <w:tc>
          <w:tcPr>
            <w:tcW w:w="52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6"/>
              <w:jc w:val="right"/>
              <w:rPr>
                <w:rFonts w:ascii="宋体" w:hAnsi="宋体" w:cs="宋体" w:eastAsia="宋体" w:hint="default"/>
                <w:sz w:val="21"/>
                <w:szCs w:val="21"/>
              </w:rPr>
            </w:pPr>
            <w:r>
              <w:rPr>
                <w:rFonts w:ascii="宋体"/>
                <w:spacing w:val="-1"/>
                <w:sz w:val="21"/>
              </w:rPr>
              <w:t>2,482,507.66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2"/>
              <w:jc w:val="right"/>
              <w:rPr>
                <w:rFonts w:ascii="宋体" w:hAnsi="宋体" w:cs="宋体" w:eastAsia="宋体" w:hint="default"/>
                <w:sz w:val="21"/>
                <w:szCs w:val="21"/>
              </w:rPr>
            </w:pPr>
            <w:r>
              <w:rPr>
                <w:rFonts w:ascii="宋体"/>
                <w:spacing w:val="-1"/>
                <w:sz w:val="21"/>
              </w:rPr>
              <w:t>36,236.90</w:t>
            </w:r>
          </w:p>
        </w:tc>
        <w:tc>
          <w:tcPr>
            <w:tcW w:w="51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9"/>
              <w:jc w:val="right"/>
              <w:rPr>
                <w:rFonts w:ascii="宋体" w:hAnsi="宋体" w:cs="宋体" w:eastAsia="宋体" w:hint="default"/>
                <w:sz w:val="21"/>
                <w:szCs w:val="21"/>
              </w:rPr>
            </w:pPr>
            <w:r>
              <w:rPr>
                <w:rFonts w:ascii="宋体"/>
                <w:spacing w:val="-1"/>
                <w:sz w:val="21"/>
              </w:rPr>
              <w:t>36,236.90</w:t>
            </w:r>
          </w:p>
        </w:tc>
      </w:tr>
      <w:tr>
        <w:trPr>
          <w:trHeight w:val="295" w:hRule="exac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29"/>
              <w:jc w:val="right"/>
              <w:rPr>
                <w:rFonts w:ascii="宋体" w:hAnsi="宋体" w:cs="宋体" w:eastAsia="宋体" w:hint="default"/>
                <w:sz w:val="21"/>
                <w:szCs w:val="21"/>
              </w:rPr>
            </w:pPr>
            <w:r>
              <w:rPr>
                <w:rFonts w:ascii="宋体"/>
                <w:spacing w:val="-1"/>
                <w:sz w:val="21"/>
              </w:rPr>
              <w:t>249,603,178.32</w:t>
            </w:r>
          </w:p>
        </w:tc>
        <w:tc>
          <w:tcPr>
            <w:tcW w:w="528"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30"/>
              <w:jc w:val="right"/>
              <w:rPr>
                <w:rFonts w:ascii="宋体" w:hAnsi="宋体" w:cs="宋体" w:eastAsia="宋体" w:hint="default"/>
                <w:sz w:val="21"/>
                <w:szCs w:val="21"/>
              </w:rPr>
            </w:pPr>
            <w:r>
              <w:rPr>
                <w:rFonts w:ascii="宋体"/>
                <w:spacing w:val="-1"/>
                <w:sz w:val="21"/>
              </w:rPr>
              <w:t>249,603,178.32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22"/>
              <w:jc w:val="right"/>
              <w:rPr>
                <w:rFonts w:ascii="宋体" w:hAnsi="宋体" w:cs="宋体" w:eastAsia="宋体" w:hint="default"/>
                <w:sz w:val="21"/>
                <w:szCs w:val="21"/>
              </w:rPr>
            </w:pPr>
            <w:r>
              <w:rPr>
                <w:rFonts w:ascii="宋体"/>
                <w:spacing w:val="-1"/>
                <w:sz w:val="21"/>
              </w:rPr>
              <w:t>288,613,655.55</w:t>
            </w:r>
          </w:p>
        </w:tc>
        <w:tc>
          <w:tcPr>
            <w:tcW w:w="516"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288,613,655.55</w:t>
            </w:r>
          </w:p>
        </w:tc>
      </w:tr>
    </w:tbl>
    <w:p>
      <w:pPr>
        <w:spacing w:after="0" w:line="248" w:lineRule="exact"/>
        <w:jc w:val="right"/>
        <w:rPr>
          <w:rFonts w:ascii="宋体" w:hAnsi="宋体" w:cs="宋体" w:eastAsia="宋体" w:hint="default"/>
          <w:sz w:val="21"/>
          <w:szCs w:val="21"/>
        </w:rPr>
        <w:sectPr>
          <w:type w:val="continuous"/>
          <w:pgSz w:w="11910" w:h="16840"/>
          <w:pgMar w:top="1120" w:bottom="1380" w:left="1080" w:right="480"/>
        </w:sectPr>
      </w:pPr>
    </w:p>
    <w:p>
      <w:pPr>
        <w:spacing w:before="20"/>
        <w:ind w:left="6595" w:right="661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3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0"/>
          <w:footerReference w:type="default" r:id="rId71"/>
          <w:pgSz w:w="16840" w:h="11910" w:orient="landscape"/>
          <w:pgMar w:header="0" w:footer="0" w:top="800" w:bottom="280" w:left="1100" w:right="1180"/>
        </w:sectPr>
      </w:pPr>
    </w:p>
    <w:p>
      <w:pPr>
        <w:pStyle w:val="Heading2"/>
        <w:spacing w:line="240" w:lineRule="auto"/>
        <w:ind w:left="340" w:right="-15"/>
        <w:jc w:val="left"/>
        <w:rPr>
          <w:b w:val="0"/>
          <w:bCs w:val="0"/>
        </w:rPr>
      </w:pPr>
      <w:r>
        <w:rPr>
          <w:rFonts w:ascii="宋体" w:hAnsi="宋体" w:cs="宋体" w:eastAsia="宋体" w:hint="default"/>
        </w:rPr>
        <w:t>(2).</w:t>
      </w:r>
      <w:r>
        <w:rPr/>
        <w:t>重要在建工程项目本期变动情况</w:t>
      </w:r>
      <w:r>
        <w:rPr>
          <w:b w:val="0"/>
          <w:bCs w:val="0"/>
        </w:rPr>
      </w:r>
    </w:p>
    <w:p>
      <w:pPr>
        <w:pStyle w:val="BodyText"/>
        <w:spacing w:line="240" w:lineRule="auto" w:before="56"/>
        <w:ind w:left="340"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91" w:val="left" w:leader="none"/>
        </w:tabs>
        <w:spacing w:line="240" w:lineRule="auto"/>
        <w:ind w:left="340" w:right="0"/>
        <w:jc w:val="left"/>
      </w:pPr>
      <w:r>
        <w:rPr>
          <w:spacing w:val="-1"/>
        </w:rPr>
        <w:t>单位：元</w:t>
        <w:tab/>
        <w:t>币种：人民币</w:t>
      </w:r>
    </w:p>
    <w:p>
      <w:pPr>
        <w:spacing w:after="0" w:line="240" w:lineRule="auto"/>
        <w:jc w:val="left"/>
        <w:sectPr>
          <w:type w:val="continuous"/>
          <w:pgSz w:w="16840" w:h="11910" w:orient="landscape"/>
          <w:pgMar w:top="1120" w:bottom="1380" w:left="1100" w:right="1180"/>
          <w:cols w:num="2" w:equalWidth="0">
            <w:col w:w="3720" w:space="7842"/>
            <w:col w:w="299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59"/>
        <w:gridCol w:w="1639"/>
        <w:gridCol w:w="1681"/>
        <w:gridCol w:w="1502"/>
        <w:gridCol w:w="1606"/>
        <w:gridCol w:w="679"/>
        <w:gridCol w:w="1534"/>
        <w:gridCol w:w="677"/>
        <w:gridCol w:w="343"/>
        <w:gridCol w:w="677"/>
        <w:gridCol w:w="703"/>
        <w:gridCol w:w="708"/>
        <w:gridCol w:w="912"/>
      </w:tblGrid>
      <w:tr>
        <w:trPr>
          <w:trHeight w:val="1645"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9"/>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65"/>
              <w:jc w:val="right"/>
              <w:rPr>
                <w:rFonts w:ascii="宋体" w:hAnsi="宋体" w:cs="宋体" w:eastAsia="宋体" w:hint="default"/>
                <w:sz w:val="21"/>
                <w:szCs w:val="21"/>
              </w:rPr>
            </w:pPr>
            <w:r>
              <w:rPr>
                <w:rFonts w:ascii="宋体" w:hAnsi="宋体" w:cs="宋体" w:eastAsia="宋体" w:hint="default"/>
                <w:spacing w:val="-1"/>
                <w:sz w:val="21"/>
                <w:szCs w:val="21"/>
              </w:rPr>
              <w:t>本期增加金额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6" w:right="94" w:hanging="421"/>
              <w:jc w:val="left"/>
              <w:rPr>
                <w:rFonts w:ascii="宋体" w:hAnsi="宋体" w:cs="宋体" w:eastAsia="宋体" w:hint="default"/>
                <w:sz w:val="21"/>
                <w:szCs w:val="21"/>
              </w:rPr>
            </w:pPr>
            <w:r>
              <w:rPr>
                <w:rFonts w:ascii="宋体" w:hAnsi="宋体" w:cs="宋体" w:eastAsia="宋体" w:hint="default"/>
                <w:sz w:val="21"/>
                <w:szCs w:val="21"/>
              </w:rPr>
              <w:t>本期转入固定资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产金额</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88" w:right="156"/>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52" w:right="548"/>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z w:val="21"/>
                <w:szCs w:val="21"/>
              </w:rPr>
              <w:t>工程</w:t>
            </w:r>
          </w:p>
          <w:p>
            <w:pPr>
              <w:pStyle w:val="TableParagraph"/>
              <w:spacing w:line="237" w:lineRule="auto" w:before="2"/>
              <w:ind w:left="69" w:right="67" w:firstLine="52"/>
              <w:jc w:val="both"/>
              <w:rPr>
                <w:rFonts w:ascii="宋体" w:hAnsi="宋体" w:cs="宋体" w:eastAsia="宋体" w:hint="default"/>
                <w:sz w:val="21"/>
                <w:szCs w:val="21"/>
              </w:rPr>
            </w:pPr>
            <w:r>
              <w:rPr>
                <w:rFonts w:ascii="宋体" w:hAnsi="宋体" w:cs="宋体" w:eastAsia="宋体" w:hint="default"/>
                <w:sz w:val="21"/>
                <w:szCs w:val="21"/>
              </w:rPr>
              <w:t>累计</w:t>
            </w:r>
            <w:r>
              <w:rPr>
                <w:rFonts w:ascii="宋体" w:hAnsi="宋体" w:cs="宋体" w:eastAsia="宋体" w:hint="default"/>
                <w:w w:val="100"/>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占预</w:t>
            </w:r>
            <w:r>
              <w:rPr>
                <w:rFonts w:ascii="宋体" w:hAnsi="宋体" w:cs="宋体" w:eastAsia="宋体" w:hint="default"/>
                <w:spacing w:val="-103"/>
                <w:sz w:val="21"/>
                <w:szCs w:val="21"/>
              </w:rPr>
              <w:t> </w:t>
            </w:r>
            <w:r>
              <w:rPr>
                <w:rFonts w:ascii="宋体" w:hAnsi="宋体" w:cs="宋体" w:eastAsia="宋体" w:hint="default"/>
                <w:sz w:val="21"/>
                <w:szCs w:val="21"/>
              </w:rPr>
              <w:t>算比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59" w:right="60"/>
              <w:jc w:val="both"/>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进</w:t>
            </w:r>
            <w:r>
              <w:rPr>
                <w:rFonts w:ascii="宋体" w:hAnsi="宋体" w:cs="宋体" w:eastAsia="宋体" w:hint="default"/>
                <w:w w:val="100"/>
                <w:sz w:val="21"/>
                <w:szCs w:val="21"/>
              </w:rPr>
              <w:t> </w:t>
            </w:r>
            <w:r>
              <w:rPr>
                <w:rFonts w:ascii="宋体" w:hAnsi="宋体" w:cs="宋体" w:eastAsia="宋体" w:hint="default"/>
                <w:sz w:val="21"/>
                <w:szCs w:val="21"/>
              </w:rPr>
              <w:t>度</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2" w:right="120"/>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31" w:right="26"/>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 </w:t>
            </w: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33" w:right="29"/>
              <w:jc w:val="center"/>
              <w:rPr>
                <w:rFonts w:ascii="宋体" w:hAnsi="宋体" w:cs="宋体" w:eastAsia="宋体" w:hint="default"/>
                <w:sz w:val="21"/>
                <w:szCs w:val="21"/>
              </w:rPr>
            </w:pPr>
            <w:r>
              <w:rPr>
                <w:rFonts w:ascii="宋体" w:hAnsi="宋体" w:cs="宋体" w:eastAsia="宋体" w:hint="default"/>
                <w:sz w:val="21"/>
                <w:szCs w:val="21"/>
              </w:rPr>
              <w:t>本期利</w:t>
            </w:r>
            <w:r>
              <w:rPr>
                <w:rFonts w:ascii="宋体" w:hAnsi="宋体" w:cs="宋体" w:eastAsia="宋体" w:hint="default"/>
                <w:w w:val="100"/>
                <w:sz w:val="21"/>
                <w:szCs w:val="21"/>
              </w:rPr>
              <w:t> </w:t>
            </w:r>
            <w:r>
              <w:rPr>
                <w:rFonts w:ascii="宋体" w:hAnsi="宋体" w:cs="宋体" w:eastAsia="宋体" w:hint="default"/>
                <w:sz w:val="21"/>
                <w:szCs w:val="21"/>
              </w:rPr>
              <w:t>息资本</w:t>
            </w:r>
            <w:r>
              <w:rPr>
                <w:rFonts w:ascii="宋体" w:hAnsi="宋体" w:cs="宋体" w:eastAsia="宋体" w:hint="default"/>
                <w:w w:val="100"/>
                <w:sz w:val="21"/>
                <w:szCs w:val="21"/>
              </w:rPr>
              <w:t> </w:t>
            </w:r>
            <w:r>
              <w:rPr>
                <w:rFonts w:ascii="宋体" w:hAnsi="宋体" w:cs="宋体" w:eastAsia="宋体" w:hint="default"/>
                <w:sz w:val="21"/>
                <w:szCs w:val="21"/>
              </w:rPr>
              <w:t>化率</w:t>
            </w:r>
            <w:r>
              <w:rPr>
                <w:rFonts w:ascii="宋体" w:hAnsi="宋体" w:cs="宋体" w:eastAsia="宋体" w:hint="default"/>
                <w:w w:val="100"/>
                <w:sz w:val="21"/>
                <w:szCs w:val="21"/>
              </w:rPr>
              <w:t> </w:t>
            </w:r>
            <w:r>
              <w:rPr>
                <w:rFonts w:ascii="宋体" w:hAnsi="宋体" w:cs="宋体" w:eastAsia="宋体" w:hint="default"/>
                <w:sz w:val="21"/>
                <w:szCs w:val="21"/>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资金来源</w:t>
            </w:r>
          </w:p>
        </w:tc>
      </w:tr>
      <w:tr>
        <w:trPr>
          <w:trHeight w:val="828"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多语种网站建设</w:t>
            </w:r>
          </w:p>
          <w:p>
            <w:pPr>
              <w:pStyle w:val="TableParagraph"/>
              <w:spacing w:line="272" w:lineRule="exact" w:before="27"/>
              <w:ind w:left="26" w:right="147"/>
              <w:jc w:val="left"/>
              <w:rPr>
                <w:rFonts w:ascii="宋体" w:hAnsi="宋体" w:cs="宋体" w:eastAsia="宋体" w:hint="default"/>
                <w:sz w:val="21"/>
                <w:szCs w:val="21"/>
              </w:rPr>
            </w:pPr>
            <w:r>
              <w:rPr>
                <w:rFonts w:ascii="宋体" w:hAnsi="宋体" w:cs="宋体" w:eastAsia="宋体" w:hint="default"/>
                <w:sz w:val="21"/>
                <w:szCs w:val="21"/>
              </w:rPr>
              <w:t>和海外访问提速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等项目</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21"/>
                <w:szCs w:val="21"/>
              </w:rPr>
            </w:pPr>
            <w:r>
              <w:rPr>
                <w:rFonts w:ascii="宋体"/>
                <w:spacing w:val="-1"/>
                <w:sz w:val="21"/>
              </w:rPr>
              <w:t>251,842,900.00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248,598,461.28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46,816,285.22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7"/>
              <w:jc w:val="center"/>
              <w:rPr>
                <w:rFonts w:ascii="宋体" w:hAnsi="宋体" w:cs="宋体" w:eastAsia="宋体" w:hint="default"/>
                <w:sz w:val="21"/>
                <w:szCs w:val="21"/>
              </w:rPr>
            </w:pPr>
            <w:r>
              <w:rPr>
                <w:rFonts w:ascii="宋体"/>
                <w:sz w:val="21"/>
              </w:rPr>
              <w:t>113,229,839.95</w:t>
            </w:r>
          </w:p>
        </w:tc>
        <w:tc>
          <w:tcPr>
            <w:tcW w:w="6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182,184,906.55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sz w:val="21"/>
              </w:rPr>
              <w:t>72.34</w:t>
            </w:r>
          </w:p>
        </w:tc>
        <w:tc>
          <w:tcPr>
            <w:tcW w:w="34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财政部</w:t>
            </w:r>
          </w:p>
        </w:tc>
      </w:tr>
      <w:tr>
        <w:trPr>
          <w:trHeight w:val="554"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移动化社交化分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享传播系统</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7"/>
              <w:jc w:val="right"/>
              <w:rPr>
                <w:rFonts w:ascii="宋体" w:hAnsi="宋体" w:cs="宋体" w:eastAsia="宋体" w:hint="default"/>
                <w:sz w:val="21"/>
                <w:szCs w:val="21"/>
              </w:rPr>
            </w:pPr>
            <w:r>
              <w:rPr>
                <w:rFonts w:ascii="宋体"/>
                <w:spacing w:val="-1"/>
                <w:sz w:val="21"/>
              </w:rPr>
              <w:t>24,800,000.00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19,676,055.34</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4,701,122.60</w:t>
            </w:r>
          </w:p>
        </w:tc>
        <w:tc>
          <w:tcPr>
            <w:tcW w:w="16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24,377,177.94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9" w:right="0"/>
              <w:jc w:val="left"/>
              <w:rPr>
                <w:rFonts w:ascii="宋体" w:hAnsi="宋体" w:cs="宋体" w:eastAsia="宋体" w:hint="default"/>
                <w:sz w:val="21"/>
                <w:szCs w:val="21"/>
              </w:rPr>
            </w:pPr>
            <w:r>
              <w:rPr>
                <w:rFonts w:ascii="宋体"/>
                <w:sz w:val="21"/>
              </w:rPr>
              <w:t>98.30</w:t>
            </w:r>
          </w:p>
        </w:tc>
        <w:tc>
          <w:tcPr>
            <w:tcW w:w="34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中宣部</w:t>
            </w:r>
          </w:p>
        </w:tc>
      </w:tr>
      <w:tr>
        <w:trPr>
          <w:trHeight w:val="828"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互联网金融创新</w:t>
            </w:r>
          </w:p>
          <w:p>
            <w:pPr>
              <w:pStyle w:val="TableParagraph"/>
              <w:spacing w:line="272" w:lineRule="exact" w:before="27"/>
              <w:ind w:left="26" w:right="147"/>
              <w:jc w:val="left"/>
              <w:rPr>
                <w:rFonts w:ascii="宋体" w:hAnsi="宋体" w:cs="宋体" w:eastAsia="宋体" w:hint="default"/>
                <w:sz w:val="21"/>
                <w:szCs w:val="21"/>
              </w:rPr>
            </w:pPr>
            <w:r>
              <w:rPr>
                <w:rFonts w:ascii="宋体" w:hAnsi="宋体" w:cs="宋体" w:eastAsia="宋体" w:hint="default"/>
                <w:sz w:val="21"/>
                <w:szCs w:val="21"/>
              </w:rPr>
              <w:t>实验室综合业务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系统</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21"/>
                <w:szCs w:val="21"/>
              </w:rPr>
            </w:pPr>
            <w:r>
              <w:rPr>
                <w:rFonts w:ascii="宋体"/>
                <w:spacing w:val="-1"/>
                <w:sz w:val="21"/>
              </w:rPr>
              <w:t>30,800,000.00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16,729,000.00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9,853,447.30</w:t>
            </w:r>
          </w:p>
        </w:tc>
        <w:tc>
          <w:tcPr>
            <w:tcW w:w="16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26,582,447.30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sz w:val="21"/>
              </w:rPr>
              <w:t>86.31</w:t>
            </w:r>
          </w:p>
        </w:tc>
        <w:tc>
          <w:tcPr>
            <w:tcW w:w="34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自有资金</w:t>
            </w:r>
          </w:p>
        </w:tc>
      </w:tr>
      <w:tr>
        <w:trPr>
          <w:trHeight w:val="1099"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交互式高清视频</w:t>
            </w:r>
          </w:p>
          <w:p>
            <w:pPr>
              <w:pStyle w:val="TableParagraph"/>
              <w:spacing w:line="237" w:lineRule="auto"/>
              <w:ind w:left="26" w:right="147"/>
              <w:jc w:val="both"/>
              <w:rPr>
                <w:rFonts w:ascii="宋体" w:hAnsi="宋体" w:cs="宋体" w:eastAsia="宋体" w:hint="default"/>
                <w:sz w:val="21"/>
                <w:szCs w:val="21"/>
              </w:rPr>
            </w:pPr>
            <w:r>
              <w:rPr>
                <w:rFonts w:ascii="宋体" w:hAnsi="宋体" w:cs="宋体" w:eastAsia="宋体" w:hint="default"/>
                <w:sz w:val="21"/>
                <w:szCs w:val="21"/>
              </w:rPr>
              <w:t>数字系统及移动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化社交化分享传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播平台项目</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27"/>
              <w:jc w:val="right"/>
              <w:rPr>
                <w:rFonts w:ascii="宋体" w:hAnsi="宋体" w:cs="宋体" w:eastAsia="宋体" w:hint="default"/>
                <w:sz w:val="21"/>
                <w:szCs w:val="21"/>
              </w:rPr>
            </w:pPr>
            <w:r>
              <w:rPr>
                <w:rFonts w:ascii="宋体"/>
                <w:spacing w:val="-1"/>
                <w:sz w:val="21"/>
              </w:rPr>
              <w:t>12,000,000.00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3,235,440.51</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5,332,967.66</w:t>
            </w:r>
          </w:p>
        </w:tc>
        <w:tc>
          <w:tcPr>
            <w:tcW w:w="16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8,568,408.17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9" w:right="0"/>
              <w:jc w:val="left"/>
              <w:rPr>
                <w:rFonts w:ascii="宋体" w:hAnsi="宋体" w:cs="宋体" w:eastAsia="宋体" w:hint="default"/>
                <w:sz w:val="21"/>
                <w:szCs w:val="21"/>
              </w:rPr>
            </w:pPr>
            <w:r>
              <w:rPr>
                <w:rFonts w:ascii="宋体"/>
                <w:sz w:val="21"/>
              </w:rPr>
              <w:t>71.40</w:t>
            </w:r>
          </w:p>
        </w:tc>
        <w:tc>
          <w:tcPr>
            <w:tcW w:w="343"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财政部</w:t>
            </w:r>
          </w:p>
        </w:tc>
      </w:tr>
      <w:tr>
        <w:trPr>
          <w:trHeight w:val="281" w:hRule="exact"/>
        </w:trPr>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center"/>
              <w:rPr>
                <w:rFonts w:ascii="宋体" w:hAnsi="宋体" w:cs="宋体" w:eastAsia="宋体" w:hint="default"/>
                <w:sz w:val="21"/>
                <w:szCs w:val="21"/>
              </w:rPr>
            </w:pPr>
            <w:r>
              <w:rPr>
                <w:rFonts w:ascii="宋体" w:hAnsi="宋体" w:cs="宋体" w:eastAsia="宋体" w:hint="default"/>
                <w:sz w:val="21"/>
                <w:szCs w:val="21"/>
              </w:rPr>
              <w:t>合计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pacing w:val="-1"/>
                <w:sz w:val="21"/>
              </w:rPr>
              <w:t>319,442,900.00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288,238,957.13</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66,703,822.78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sz w:val="21"/>
              </w:rPr>
              <w:t>113,229,839.95</w:t>
            </w:r>
          </w:p>
        </w:tc>
        <w:tc>
          <w:tcPr>
            <w:tcW w:w="679"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241,712,939.96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w w:val="100"/>
                <w:sz w:val="21"/>
              </w:rPr>
              <w:t>/</w:t>
            </w:r>
          </w:p>
        </w:tc>
        <w:tc>
          <w:tcPr>
            <w:tcW w:w="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w:t>
            </w:r>
          </w:p>
        </w:tc>
        <w:tc>
          <w:tcPr>
            <w:tcW w:w="67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w w:val="100"/>
                <w:sz w:val="21"/>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5"/>
              <w:jc w:val="center"/>
              <w:rPr>
                <w:rFonts w:ascii="宋体" w:hAnsi="宋体" w:cs="宋体" w:eastAsia="宋体" w:hint="default"/>
                <w:sz w:val="21"/>
                <w:szCs w:val="21"/>
              </w:rPr>
            </w:pPr>
            <w:r>
              <w:rPr>
                <w:rFonts w:ascii="宋体"/>
                <w:w w:val="100"/>
                <w:sz w:val="21"/>
              </w:rPr>
              <w:t>/</w:t>
            </w:r>
          </w:p>
        </w:tc>
      </w:tr>
    </w:tbl>
    <w:p>
      <w:pPr>
        <w:pStyle w:val="BodyText"/>
        <w:spacing w:line="350" w:lineRule="auto" w:before="74"/>
        <w:ind w:left="340" w:right="51" w:firstLine="420"/>
        <w:jc w:val="left"/>
      </w:pPr>
      <w:r>
        <w:rPr>
          <w:spacing w:val="-3"/>
        </w:rPr>
        <w:t>注：（</w:t>
      </w:r>
      <w:r>
        <w:rPr>
          <w:rFonts w:ascii="宋体" w:hAnsi="宋体" w:cs="宋体" w:eastAsia="宋体" w:hint="default"/>
          <w:spacing w:val="-3"/>
        </w:rPr>
        <w:t>1</w:t>
      </w:r>
      <w:r>
        <w:rPr>
          <w:spacing w:val="-3"/>
        </w:rPr>
        <w:t>）“多语种网站建设和海外访问提速等项目”为本公司承担财政部“多语种网站建设和海外访问提速等”项目形成的专项资产。详见本报告</w:t>
      </w:r>
      <w:r>
        <w:rPr>
          <w:w w:val="100"/>
        </w:rPr>
        <w:t> </w:t>
      </w:r>
      <w:r>
        <w:rPr/>
        <w:t>第十一节、七、</w:t>
      </w:r>
      <w:r>
        <w:rPr>
          <w:rFonts w:ascii="宋体" w:hAnsi="宋体" w:cs="宋体" w:eastAsia="宋体" w:hint="default"/>
        </w:rPr>
        <w:t>39</w:t>
      </w:r>
      <w:r>
        <w:rPr/>
        <w:t>、长期应付款；</w:t>
      </w:r>
    </w:p>
    <w:p>
      <w:pPr>
        <w:pStyle w:val="BodyText"/>
        <w:spacing w:line="348" w:lineRule="auto" w:before="30"/>
        <w:ind w:left="340" w:right="51" w:firstLine="420"/>
        <w:jc w:val="left"/>
      </w:pPr>
      <w:r>
        <w:rPr>
          <w:spacing w:val="-3"/>
        </w:rPr>
        <w:t>（</w:t>
      </w:r>
      <w:r>
        <w:rPr>
          <w:rFonts w:ascii="宋体" w:hAnsi="宋体" w:cs="宋体" w:eastAsia="宋体" w:hint="default"/>
          <w:spacing w:val="-3"/>
        </w:rPr>
        <w:t>2</w:t>
      </w:r>
      <w:r>
        <w:rPr>
          <w:spacing w:val="-3"/>
        </w:rPr>
        <w:t>）“移动化社交化分享传播系统”为本公司承担“全媒体产品数字加工云平台”项目形成的专项资产。详见本报告第十一节、七、</w:t>
      </w:r>
      <w:r>
        <w:rPr>
          <w:rFonts w:ascii="宋体" w:hAnsi="宋体" w:cs="宋体" w:eastAsia="宋体" w:hint="default"/>
          <w:spacing w:val="-3"/>
        </w:rPr>
        <w:t>39</w:t>
      </w:r>
      <w:r>
        <w:rPr>
          <w:spacing w:val="-3"/>
        </w:rPr>
        <w:t>、长期应付</w:t>
      </w:r>
      <w:r>
        <w:rPr>
          <w:spacing w:val="-3"/>
          <w:w w:val="100"/>
        </w:rPr>
        <w:t> </w:t>
      </w:r>
      <w:r>
        <w:rPr/>
        <w:t>款；</w:t>
      </w:r>
    </w:p>
    <w:p>
      <w:pPr>
        <w:pStyle w:val="BodyText"/>
        <w:spacing w:line="350" w:lineRule="auto" w:before="31"/>
        <w:ind w:left="340" w:right="51" w:firstLine="420"/>
        <w:jc w:val="left"/>
      </w:pPr>
      <w:r>
        <w:rPr>
          <w:spacing w:val="-3"/>
        </w:rPr>
        <w:t>（</w:t>
      </w:r>
      <w:r>
        <w:rPr>
          <w:rFonts w:ascii="宋体" w:hAnsi="宋体" w:cs="宋体" w:eastAsia="宋体" w:hint="default"/>
          <w:spacing w:val="-3"/>
        </w:rPr>
        <w:t>3</w:t>
      </w:r>
      <w:r>
        <w:rPr>
          <w:spacing w:val="-3"/>
        </w:rPr>
        <w:t>）“交互式高清视频数字系统及移动化社交化分享传播平台项目”为本公司承担财政部“文化产业发展专项资金”项目形成的专项资产。详见本</w:t>
      </w:r>
      <w:r>
        <w:rPr>
          <w:w w:val="100"/>
        </w:rPr>
        <w:t> </w:t>
      </w:r>
      <w:r>
        <w:rPr/>
        <w:t>报告第十一节、七、</w:t>
      </w:r>
      <w:r>
        <w:rPr>
          <w:rFonts w:ascii="宋体" w:hAnsi="宋体" w:cs="宋体" w:eastAsia="宋体" w:hint="default"/>
        </w:rPr>
        <w:t>42</w:t>
      </w:r>
      <w:r>
        <w:rPr/>
        <w:t>、递延收益。</w:t>
      </w:r>
    </w:p>
    <w:p>
      <w:pPr>
        <w:spacing w:before="108"/>
        <w:ind w:left="6595" w:right="6599" w:firstLine="0"/>
        <w:jc w:val="center"/>
        <w:rPr>
          <w:rFonts w:ascii="Calibri" w:hAnsi="Calibri" w:cs="Calibri" w:eastAsia="Calibri" w:hint="default"/>
          <w:sz w:val="18"/>
          <w:szCs w:val="18"/>
        </w:rPr>
      </w:pPr>
      <w:r>
        <w:rPr>
          <w:rFonts w:ascii="Calibri"/>
          <w:b/>
          <w:sz w:val="18"/>
        </w:rPr>
        <w:t>128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100" w:right="118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72"/>
          <w:pgSz w:w="11910" w:h="16840"/>
          <w:pgMar w:footer="1195" w:header="0" w:top="1120" w:bottom="1380" w:left="1420" w:right="880"/>
          <w:pgNumType w:start="12"/>
        </w:sectPr>
      </w:pPr>
    </w:p>
    <w:p>
      <w:pPr>
        <w:pStyle w:val="Heading2"/>
        <w:spacing w:line="240" w:lineRule="auto"/>
        <w:ind w:left="378" w:right="-14"/>
        <w:jc w:val="left"/>
        <w:rPr>
          <w:b w:val="0"/>
          <w:bCs w:val="0"/>
        </w:rPr>
      </w:pPr>
      <w:r>
        <w:rPr>
          <w:rFonts w:ascii="宋体" w:hAnsi="宋体" w:cs="宋体" w:eastAsia="宋体" w:hint="default"/>
        </w:rPr>
        <w:t>(3).</w:t>
      </w:r>
      <w:r>
        <w:rPr/>
        <w:t>本期计提在建工程减值准备情况</w:t>
      </w:r>
      <w:r>
        <w:rPr>
          <w:b w:val="0"/>
          <w:bCs w:val="0"/>
        </w:rPr>
      </w:r>
    </w:p>
    <w:p>
      <w:pPr>
        <w:pStyle w:val="BodyText"/>
        <w:spacing w:line="272" w:lineRule="exact" w:before="86"/>
        <w:ind w:left="378" w:right="2630"/>
        <w:jc w:val="left"/>
      </w:pPr>
      <w:r>
        <w:rPr/>
        <w:t>□适用</w:t>
      </w:r>
      <w:r>
        <w:rPr>
          <w:spacing w:val="-1"/>
        </w:rPr>
        <w:t> </w:t>
      </w:r>
      <w:r>
        <w:rPr/>
        <w:t>√不适用</w:t>
      </w:r>
      <w:r>
        <w:rPr>
          <w:w w:val="100"/>
        </w:rPr>
        <w:t> </w:t>
      </w:r>
      <w:r>
        <w:rPr/>
        <w:t>其他说明</w:t>
      </w:r>
    </w:p>
    <w:p>
      <w:pPr>
        <w:pStyle w:val="BodyText"/>
        <w:spacing w:line="249" w:lineRule="exact"/>
        <w:ind w:left="378" w:right="-14"/>
        <w:jc w:val="left"/>
      </w:pPr>
      <w:r>
        <w:rPr/>
        <w:t>□适用</w:t>
      </w:r>
      <w:r>
        <w:rPr>
          <w:spacing w:val="-1"/>
        </w:rPr>
        <w:t> </w:t>
      </w:r>
      <w:r>
        <w:rPr/>
        <w:t>√不适用</w:t>
      </w:r>
    </w:p>
    <w:p>
      <w:pPr>
        <w:pStyle w:val="Heading2"/>
        <w:spacing w:line="290" w:lineRule="auto" w:before="56"/>
        <w:ind w:left="378" w:right="2515"/>
        <w:jc w:val="left"/>
        <w:rPr>
          <w:b w:val="0"/>
          <w:bCs w:val="0"/>
        </w:rPr>
      </w:pPr>
      <w:r>
        <w:rPr/>
        <w:t>工程物资</w:t>
      </w:r>
      <w:r>
        <w:rPr>
          <w:w w:val="100"/>
        </w:rPr>
        <w:t> </w:t>
      </w:r>
      <w:r>
        <w:rPr>
          <w:rFonts w:ascii="宋体" w:hAnsi="宋体" w:cs="宋体" w:eastAsia="宋体" w:hint="default"/>
        </w:rPr>
        <w:t>(1).</w:t>
      </w:r>
      <w:r>
        <w:rPr/>
        <w:t>工程物资情况</w:t>
      </w:r>
      <w:r>
        <w:rPr>
          <w:b w:val="0"/>
          <w:bCs w:val="0"/>
        </w:rPr>
      </w:r>
    </w:p>
    <w:p>
      <w:pPr>
        <w:spacing w:line="290" w:lineRule="auto" w:before="12"/>
        <w:ind w:left="378" w:right="222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生产性生物资产</w:t>
      </w:r>
      <w:r>
        <w:rPr>
          <w:rFonts w:ascii="宋体" w:hAnsi="宋体" w:cs="宋体" w:eastAsia="宋体" w:hint="default"/>
          <w:sz w:val="21"/>
          <w:szCs w:val="21"/>
        </w:rPr>
      </w:r>
    </w:p>
    <w:p>
      <w:pPr>
        <w:pStyle w:val="Heading2"/>
        <w:spacing w:line="240" w:lineRule="auto" w:before="12"/>
        <w:ind w:left="378" w:right="-14"/>
        <w:jc w:val="left"/>
        <w:rPr>
          <w:b w:val="0"/>
          <w:bCs w:val="0"/>
        </w:rPr>
      </w:pPr>
      <w:r>
        <w:rPr>
          <w:rFonts w:ascii="宋体" w:hAnsi="宋体" w:cs="宋体" w:eastAsia="宋体" w:hint="default"/>
        </w:rPr>
        <w:t>(1).</w:t>
      </w:r>
      <w:r>
        <w:rPr/>
        <w:t>采用成本计量模式的生产性生物资产</w:t>
      </w:r>
      <w:r>
        <w:rPr>
          <w:b w:val="0"/>
          <w:bCs w:val="0"/>
        </w:rPr>
      </w:r>
    </w:p>
    <w:p>
      <w:pPr>
        <w:spacing w:line="290" w:lineRule="auto" w:before="58"/>
        <w:ind w:left="37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pStyle w:val="BodyText"/>
        <w:spacing w:line="272" w:lineRule="exact" w:before="42"/>
        <w:ind w:left="378" w:right="2630"/>
        <w:jc w:val="left"/>
      </w:pPr>
      <w:r>
        <w:rPr/>
        <w:t>□适用</w:t>
      </w:r>
      <w:r>
        <w:rPr>
          <w:spacing w:val="-1"/>
        </w:rPr>
        <w:t> </w:t>
      </w:r>
      <w:r>
        <w:rPr/>
        <w:t>√不适用</w:t>
      </w:r>
      <w:r>
        <w:rPr>
          <w:w w:val="100"/>
        </w:rPr>
        <w:t> </w:t>
      </w:r>
      <w:r>
        <w:rPr/>
        <w:t>其他说明</w:t>
      </w:r>
    </w:p>
    <w:p>
      <w:pPr>
        <w:pStyle w:val="BodyText"/>
        <w:spacing w:line="249" w:lineRule="exact"/>
        <w:ind w:left="378" w:right="-14"/>
        <w:jc w:val="left"/>
      </w:pPr>
      <w:r>
        <w:rPr/>
        <w:t>□适用</w:t>
      </w:r>
      <w:r>
        <w:rPr>
          <w:spacing w:val="-1"/>
        </w:rPr>
        <w:t> </w:t>
      </w:r>
      <w:r>
        <w:rPr/>
        <w:t>√不适用</w:t>
      </w:r>
    </w:p>
    <w:p>
      <w:pPr>
        <w:pStyle w:val="Heading2"/>
        <w:spacing w:line="240" w:lineRule="auto" w:before="56"/>
        <w:ind w:left="378" w:right="-14"/>
        <w:jc w:val="left"/>
        <w:rPr>
          <w:b w:val="0"/>
          <w:bCs w:val="0"/>
        </w:rPr>
      </w:pPr>
      <w:r>
        <w:rPr>
          <w:rFonts w:ascii="宋体" w:hAnsi="宋体" w:cs="宋体" w:eastAsia="宋体" w:hint="default"/>
        </w:rPr>
        <w:t>19</w:t>
      </w:r>
      <w:r>
        <w:rPr/>
        <w:t>、</w:t>
      </w:r>
      <w:r>
        <w:rPr>
          <w:spacing w:val="-25"/>
        </w:rPr>
        <w:t> </w:t>
      </w:r>
      <w:r>
        <w:rPr/>
        <w:t>油气资产</w:t>
      </w:r>
      <w:r>
        <w:rPr>
          <w:b w:val="0"/>
          <w:bCs w:val="0"/>
        </w:rPr>
      </w:r>
    </w:p>
    <w:p>
      <w:pPr>
        <w:spacing w:line="290" w:lineRule="auto" w:before="58"/>
        <w:ind w:left="378" w:right="25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无形资产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pStyle w:val="BodyText"/>
        <w:tabs>
          <w:tab w:pos="1220" w:val="left" w:leader="none"/>
        </w:tabs>
        <w:spacing w:line="240" w:lineRule="auto" w:before="12"/>
        <w:ind w:left="378" w:right="-14"/>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tabs>
          <w:tab w:pos="1429" w:val="left" w:leader="none"/>
        </w:tabs>
        <w:spacing w:line="240" w:lineRule="auto"/>
        <w:ind w:left="378" w:right="0"/>
        <w:jc w:val="left"/>
      </w:pPr>
      <w:r>
        <w:rPr>
          <w:spacing w:val="-1"/>
        </w:rPr>
        <w:t>单位：元</w:t>
        <w:tab/>
      </w:r>
      <w:r>
        <w:rPr>
          <w:spacing w:val="-2"/>
        </w:rPr>
        <w:t>币种：人民币</w:t>
      </w:r>
    </w:p>
    <w:p>
      <w:pPr>
        <w:spacing w:after="0" w:line="240" w:lineRule="auto"/>
        <w:jc w:val="left"/>
        <w:sectPr>
          <w:type w:val="continuous"/>
          <w:pgSz w:w="11910" w:h="16840"/>
          <w:pgMar w:top="1120" w:bottom="1380" w:left="1420" w:right="880"/>
          <w:cols w:num="2" w:equalWidth="0">
            <w:col w:w="4603" w:space="1919"/>
            <w:col w:w="3088"/>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579"/>
        <w:gridCol w:w="2895"/>
        <w:gridCol w:w="2897"/>
      </w:tblGrid>
      <w:tr>
        <w:trPr>
          <w:trHeight w:val="351"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70"/>
              <w:jc w:val="right"/>
              <w:rPr>
                <w:rFonts w:ascii="宋体" w:hAnsi="宋体" w:cs="宋体" w:eastAsia="宋体" w:hint="default"/>
                <w:sz w:val="21"/>
                <w:szCs w:val="21"/>
              </w:rPr>
            </w:pPr>
            <w:r>
              <w:rPr>
                <w:rFonts w:ascii="宋体" w:hAnsi="宋体" w:cs="宋体" w:eastAsia="宋体" w:hint="default"/>
                <w:sz w:val="21"/>
                <w:szCs w:val="21"/>
              </w:rPr>
              <w:t>项目</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895"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12,484,095.79</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12,484,095.79</w:t>
            </w: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570"/>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6,499,176.12</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6,499,176.12</w:t>
            </w: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3,691,508.44</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3,691,508.44</w:t>
            </w: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2,807,667.68</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2,807,667.68</w:t>
            </w: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70"/>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65,094.34</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65,094.34</w:t>
            </w: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65,094.34</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65,094.34</w:t>
            </w:r>
          </w:p>
        </w:tc>
      </w:tr>
      <w:tr>
        <w:trPr>
          <w:trHeight w:val="348"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18,918,177.57</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18,918,177.57</w:t>
            </w: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2895"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5,023,302.13</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5,023,302.13</w:t>
            </w: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70"/>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1,491,360.94</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1,491,360.94</w:t>
            </w: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1,491,360.94</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1,491,360.94</w:t>
            </w: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70"/>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10,306.56</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10,306.56</w:t>
            </w:r>
          </w:p>
        </w:tc>
      </w:tr>
      <w:tr>
        <w:trPr>
          <w:trHeight w:val="348"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10,306.56</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10,306.56</w:t>
            </w: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6,504,356.51</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6,504,356.51</w:t>
            </w: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895"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2895"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70"/>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2895"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2895"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70"/>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2895"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42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3579"/>
        <w:gridCol w:w="2895"/>
        <w:gridCol w:w="2897"/>
      </w:tblGrid>
      <w:tr>
        <w:trPr>
          <w:trHeight w:val="351"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2895"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895"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70"/>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期末账面价值</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12,413,821.06</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12,413,821.06</w:t>
            </w:r>
          </w:p>
        </w:tc>
      </w:tr>
      <w:tr>
        <w:trPr>
          <w:trHeight w:val="350" w:hRule="exact"/>
        </w:trPr>
        <w:tc>
          <w:tcPr>
            <w:tcW w:w="3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70"/>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期初账面价值</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7,460,793.66</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7,460,793.66</w:t>
            </w:r>
          </w:p>
        </w:tc>
      </w:tr>
    </w:tbl>
    <w:p>
      <w:pPr>
        <w:spacing w:line="290" w:lineRule="auto" w:before="93"/>
        <w:ind w:left="398" w:right="2650" w:firstLine="0"/>
        <w:jc w:val="left"/>
        <w:rPr>
          <w:rFonts w:ascii="宋体" w:hAnsi="宋体" w:cs="宋体" w:eastAsia="宋体" w:hint="default"/>
          <w:sz w:val="21"/>
          <w:szCs w:val="21"/>
        </w:rPr>
      </w:pPr>
      <w:r>
        <w:rPr>
          <w:rFonts w:ascii="宋体" w:hAnsi="宋体" w:cs="宋体" w:eastAsia="宋体" w:hint="default"/>
          <w:sz w:val="21"/>
          <w:szCs w:val="21"/>
        </w:rPr>
        <w:t>本期末通过公司内部研发形成的无形资产占无形资产余额的比例</w:t>
      </w:r>
      <w:r>
        <w:rPr>
          <w:rFonts w:ascii="宋体" w:hAnsi="宋体" w:cs="宋体" w:eastAsia="宋体" w:hint="default"/>
          <w:spacing w:val="-57"/>
          <w:sz w:val="21"/>
          <w:szCs w:val="21"/>
        </w:rPr>
        <w:t> </w:t>
      </w:r>
      <w:r>
        <w:rPr>
          <w:rFonts w:ascii="宋体" w:hAnsi="宋体" w:cs="宋体" w:eastAsia="宋体" w:hint="default"/>
          <w:sz w:val="21"/>
          <w:szCs w:val="21"/>
        </w:rPr>
        <w:t>21.67%</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pStyle w:val="BodyText"/>
        <w:spacing w:line="272" w:lineRule="exact" w:before="42"/>
        <w:ind w:left="398" w:right="7634"/>
        <w:jc w:val="left"/>
      </w:pPr>
      <w:r>
        <w:rPr/>
        <w:t>□适用</w:t>
      </w:r>
      <w:r>
        <w:rPr>
          <w:spacing w:val="-1"/>
        </w:rPr>
        <w:t> </w:t>
      </w:r>
      <w:r>
        <w:rPr/>
        <w:t>√不适用</w:t>
      </w:r>
      <w:r>
        <w:rPr>
          <w:w w:val="100"/>
        </w:rPr>
        <w:t> </w:t>
      </w:r>
      <w:r>
        <w:rPr/>
        <w:t>其他说明：</w:t>
      </w:r>
    </w:p>
    <w:p>
      <w:pPr>
        <w:pStyle w:val="BodyText"/>
        <w:spacing w:line="249" w:lineRule="exact"/>
        <w:ind w:left="398" w:right="2650"/>
        <w:jc w:val="left"/>
      </w:pPr>
      <w:r>
        <w:rPr/>
        <w:t>□适用</w:t>
      </w:r>
      <w:r>
        <w:rPr>
          <w:spacing w:val="-1"/>
        </w:rPr>
        <w:t> </w:t>
      </w:r>
      <w:r>
        <w:rPr/>
        <w:t>√不适用</w:t>
      </w:r>
    </w:p>
    <w:p>
      <w:pPr>
        <w:pStyle w:val="Heading2"/>
        <w:spacing w:line="240" w:lineRule="auto" w:before="57"/>
        <w:ind w:left="398" w:right="2650"/>
        <w:jc w:val="left"/>
        <w:rPr>
          <w:b w:val="0"/>
          <w:bCs w:val="0"/>
        </w:rPr>
      </w:pPr>
      <w:r>
        <w:rPr>
          <w:rFonts w:ascii="宋体" w:hAnsi="宋体" w:cs="宋体" w:eastAsia="宋体" w:hint="default"/>
        </w:rPr>
        <w:t>21</w:t>
      </w:r>
      <w:r>
        <w:rPr/>
        <w:t>、</w:t>
      </w:r>
      <w:r>
        <w:rPr>
          <w:spacing w:val="-25"/>
        </w:rPr>
        <w:t> </w:t>
      </w:r>
      <w:r>
        <w:rPr/>
        <w:t>开发支出</w:t>
      </w:r>
      <w:r>
        <w:rPr>
          <w:b w:val="0"/>
          <w:bCs w:val="0"/>
        </w:rPr>
      </w:r>
    </w:p>
    <w:p>
      <w:pPr>
        <w:pStyle w:val="BodyText"/>
        <w:spacing w:line="240" w:lineRule="auto" w:before="58"/>
        <w:ind w:left="398" w:right="2650"/>
        <w:jc w:val="left"/>
      </w:pPr>
      <w:r>
        <w:rPr/>
        <w:t>√适用</w:t>
      </w:r>
      <w:r>
        <w:rPr>
          <w:spacing w:val="-1"/>
        </w:rPr>
        <w:t> </w:t>
      </w:r>
      <w:r>
        <w:rPr/>
        <w:t>□不适用</w:t>
      </w:r>
    </w:p>
    <w:p>
      <w:pPr>
        <w:pStyle w:val="BodyText"/>
        <w:tabs>
          <w:tab w:pos="1051" w:val="left" w:leader="none"/>
        </w:tabs>
        <w:spacing w:line="271" w:lineRule="exact"/>
        <w:ind w:left="0" w:right="39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979"/>
        <w:gridCol w:w="900"/>
        <w:gridCol w:w="1784"/>
        <w:gridCol w:w="1995"/>
        <w:gridCol w:w="1699"/>
      </w:tblGrid>
      <w:tr>
        <w:trPr>
          <w:trHeight w:val="281" w:hRule="exact"/>
        </w:trPr>
        <w:tc>
          <w:tcPr>
            <w:tcW w:w="2979"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900" w:type="dxa"/>
            <w:vMerge w:val="restart"/>
            <w:tcBorders>
              <w:top w:val="single" w:sz="4" w:space="0" w:color="000000"/>
              <w:left w:val="single" w:sz="4" w:space="0" w:color="000000"/>
              <w:right w:val="single" w:sz="4" w:space="0" w:color="000000"/>
            </w:tcBorders>
          </w:tcPr>
          <w:p>
            <w:pPr>
              <w:pStyle w:val="TableParagraph"/>
              <w:spacing w:line="244" w:lineRule="exact"/>
              <w:ind w:left="235" w:right="0"/>
              <w:jc w:val="left"/>
              <w:rPr>
                <w:rFonts w:ascii="宋体" w:hAnsi="宋体" w:cs="宋体" w:eastAsia="宋体" w:hint="default"/>
                <w:sz w:val="21"/>
                <w:szCs w:val="21"/>
              </w:rPr>
            </w:pPr>
            <w:r>
              <w:rPr>
                <w:rFonts w:ascii="宋体" w:hAnsi="宋体" w:cs="宋体" w:eastAsia="宋体" w:hint="default"/>
                <w:sz w:val="21"/>
                <w:szCs w:val="21"/>
              </w:rPr>
              <w:t>期初</w:t>
            </w:r>
          </w:p>
          <w:p>
            <w:pPr>
              <w:pStyle w:val="TableParagraph"/>
              <w:spacing w:line="273" w:lineRule="exact"/>
              <w:ind w:left="235"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699" w:type="dxa"/>
            <w:vMerge w:val="restart"/>
            <w:tcBorders>
              <w:top w:val="single" w:sz="4" w:space="0" w:color="000000"/>
              <w:left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979"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4" w:right="0"/>
              <w:jc w:val="left"/>
              <w:rPr>
                <w:rFonts w:ascii="宋体" w:hAnsi="宋体" w:cs="宋体" w:eastAsia="宋体" w:hint="default"/>
                <w:sz w:val="21"/>
                <w:szCs w:val="21"/>
              </w:rPr>
            </w:pPr>
            <w:r>
              <w:rPr>
                <w:rFonts w:ascii="宋体" w:hAnsi="宋体" w:cs="宋体" w:eastAsia="宋体" w:hint="default"/>
                <w:sz w:val="21"/>
                <w:szCs w:val="21"/>
              </w:rPr>
              <w:t>内部开发支出</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6" w:right="0"/>
              <w:jc w:val="left"/>
              <w:rPr>
                <w:rFonts w:ascii="宋体" w:hAnsi="宋体" w:cs="宋体" w:eastAsia="宋体" w:hint="default"/>
                <w:sz w:val="21"/>
                <w:szCs w:val="21"/>
              </w:rPr>
            </w:pPr>
            <w:r>
              <w:rPr>
                <w:rFonts w:ascii="宋体" w:hAnsi="宋体" w:cs="宋体" w:eastAsia="宋体" w:hint="default"/>
                <w:sz w:val="21"/>
                <w:szCs w:val="21"/>
              </w:rPr>
              <w:t>确认为无形资产</w:t>
            </w:r>
          </w:p>
        </w:tc>
        <w:tc>
          <w:tcPr>
            <w:tcW w:w="1699" w:type="dxa"/>
            <w:vMerge/>
            <w:tcBorders>
              <w:left w:val="single" w:sz="4" w:space="0" w:color="000000"/>
              <w:bottom w:val="single" w:sz="4" w:space="0" w:color="000000"/>
              <w:right w:val="single" w:sz="4" w:space="0" w:color="000000"/>
            </w:tcBorders>
          </w:tcPr>
          <w:p>
            <w:pPr/>
          </w:p>
        </w:tc>
      </w:tr>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新华睿思</w:t>
            </w:r>
            <w:r>
              <w:rPr>
                <w:rFonts w:ascii="Wingdings" w:hAnsi="Wingdings" w:cs="Wingdings" w:eastAsia="Wingdings" w:hint="default"/>
                <w:sz w:val="21"/>
                <w:szCs w:val="21"/>
              </w:rPr>
              <w:t></w:t>
            </w:r>
            <w:r>
              <w:rPr>
                <w:rFonts w:ascii="宋体" w:hAnsi="宋体" w:cs="宋体" w:eastAsia="宋体" w:hint="default"/>
                <w:sz w:val="21"/>
                <w:szCs w:val="21"/>
              </w:rPr>
              <w:t>数媒分析平台</w:t>
            </w:r>
          </w:p>
        </w:tc>
        <w:tc>
          <w:tcPr>
            <w:tcW w:w="900"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2,807,667.68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2,807,667.68</w:t>
            </w:r>
          </w:p>
        </w:tc>
        <w:tc>
          <w:tcPr>
            <w:tcW w:w="169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新华睿思数据云图分析平台</w:t>
            </w:r>
          </w:p>
        </w:tc>
        <w:tc>
          <w:tcPr>
            <w:tcW w:w="900"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5,412,642.08</w:t>
            </w:r>
          </w:p>
        </w:tc>
        <w:tc>
          <w:tcPr>
            <w:tcW w:w="1995"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5,412,642.08</w:t>
            </w:r>
          </w:p>
        </w:tc>
      </w:tr>
      <w:tr>
        <w:trPr>
          <w:trHeight w:val="28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900"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8,220,309.76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2,807,667.68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5,412,642.08</w:t>
            </w:r>
          </w:p>
        </w:tc>
      </w:tr>
    </w:tbl>
    <w:p>
      <w:pPr>
        <w:pStyle w:val="BodyText"/>
        <w:spacing w:line="241" w:lineRule="exact"/>
        <w:ind w:left="398" w:right="2650"/>
        <w:jc w:val="left"/>
      </w:pPr>
      <w:r>
        <w:rPr/>
        <w:t>其他说明</w:t>
      </w:r>
    </w:p>
    <w:p>
      <w:pPr>
        <w:pStyle w:val="BodyText"/>
        <w:spacing w:line="307" w:lineRule="auto" w:before="87"/>
        <w:ind w:left="398" w:right="387" w:firstLine="419"/>
        <w:jc w:val="right"/>
      </w:pPr>
      <w:r>
        <w:rPr>
          <w:spacing w:val="-2"/>
        </w:rPr>
        <w:t>（</w:t>
      </w:r>
      <w:r>
        <w:rPr>
          <w:rFonts w:ascii="宋体" w:hAnsi="宋体" w:cs="宋体" w:eastAsia="宋体" w:hint="default"/>
          <w:spacing w:val="-2"/>
        </w:rPr>
        <w:t>1</w:t>
      </w:r>
      <w:r>
        <w:rPr>
          <w:spacing w:val="-2"/>
        </w:rPr>
        <w:t>）新华睿思</w:t>
      </w:r>
      <w:r>
        <w:rPr>
          <w:rFonts w:ascii="Wingdings" w:hAnsi="Wingdings" w:cs="Wingdings" w:eastAsia="Wingdings" w:hint="default"/>
          <w:spacing w:val="-2"/>
        </w:rPr>
        <w:t></w:t>
      </w:r>
      <w:r>
        <w:rPr>
          <w:spacing w:val="-2"/>
        </w:rPr>
        <w:t>数媒分析平台为本公司自主研发的大数据平台产品系统，该平台包含新华睿</w:t>
      </w:r>
      <w:r>
        <w:rPr>
          <w:w w:val="100"/>
        </w:rPr>
        <w:t> </w:t>
      </w:r>
      <w:r>
        <w:rPr>
          <w:spacing w:val="-3"/>
        </w:rPr>
        <w:t>思</w:t>
      </w:r>
      <w:r>
        <w:rPr>
          <w:rFonts w:ascii="Wingdings" w:hAnsi="Wingdings" w:cs="Wingdings" w:eastAsia="Wingdings" w:hint="default"/>
          <w:spacing w:val="-3"/>
        </w:rPr>
        <w:t></w:t>
      </w:r>
      <w:r>
        <w:rPr>
          <w:spacing w:val="-3"/>
        </w:rPr>
        <w:t>数媒智慧引擎系统软件系统、新华睿思</w:t>
      </w:r>
      <w:r>
        <w:rPr>
          <w:rFonts w:ascii="Wingdings" w:hAnsi="Wingdings" w:cs="Wingdings" w:eastAsia="Wingdings" w:hint="default"/>
          <w:spacing w:val="-3"/>
        </w:rPr>
        <w:t></w:t>
      </w:r>
      <w:r>
        <w:rPr>
          <w:spacing w:val="-3"/>
        </w:rPr>
        <w:t>数媒传播分析系统软件系统、新华睿思</w:t>
      </w:r>
      <w:r>
        <w:rPr>
          <w:rFonts w:ascii="Wingdings" w:hAnsi="Wingdings" w:cs="Wingdings" w:eastAsia="Wingdings" w:hint="default"/>
          <w:spacing w:val="-3"/>
        </w:rPr>
        <w:t></w:t>
      </w:r>
      <w:r>
        <w:rPr>
          <w:spacing w:val="-3"/>
        </w:rPr>
        <w:t>数媒账号分析</w:t>
      </w:r>
      <w:r>
        <w:rPr>
          <w:spacing w:val="-66"/>
        </w:rPr>
        <w:t> </w:t>
      </w:r>
      <w:r>
        <w:rPr>
          <w:spacing w:val="-66"/>
        </w:rPr>
      </w:r>
      <w:r>
        <w:rPr>
          <w:spacing w:val="-4"/>
        </w:rPr>
        <w:t>系统软件系统、新华睿思</w:t>
      </w:r>
      <w:r>
        <w:rPr>
          <w:rFonts w:ascii="Wingdings" w:hAnsi="Wingdings" w:cs="Wingdings" w:eastAsia="Wingdings" w:hint="default"/>
          <w:spacing w:val="-4"/>
        </w:rPr>
        <w:t></w:t>
      </w:r>
      <w:r>
        <w:rPr>
          <w:spacing w:val="-4"/>
        </w:rPr>
        <w:t>数媒竞媒分析系统软件系统。该平台是本公司通过运用云计算、人工智</w:t>
      </w:r>
      <w:r>
        <w:rPr>
          <w:spacing w:val="-44"/>
        </w:rPr>
        <w:t> </w:t>
      </w:r>
      <w:r>
        <w:rPr>
          <w:spacing w:val="-44"/>
        </w:rPr>
      </w:r>
      <w:r>
        <w:rPr>
          <w:spacing w:val="-2"/>
        </w:rPr>
        <w:t>能、深度学习等先进技术，深度融合科技与传媒，在策划、采集、编辑、加工、分发、反馈等环</w:t>
      </w:r>
      <w:r>
        <w:rPr>
          <w:spacing w:val="-53"/>
        </w:rPr>
        <w:t> </w:t>
      </w:r>
      <w:r>
        <w:rPr>
          <w:spacing w:val="-53"/>
        </w:rPr>
      </w:r>
      <w:r>
        <w:rPr>
          <w:spacing w:val="-2"/>
        </w:rPr>
        <w:t>节进行全流程应用，助力创新内容生产、重塑媒介形态、打造智慧媒体的传媒大数据平台，包括</w:t>
      </w:r>
      <w:r>
        <w:rPr>
          <w:spacing w:val="-53"/>
        </w:rPr>
        <w:t> </w:t>
      </w:r>
      <w:r>
        <w:rPr>
          <w:spacing w:val="-53"/>
        </w:rPr>
      </w:r>
      <w:r>
        <w:rPr>
          <w:spacing w:val="-2"/>
        </w:rPr>
        <w:t>素材推送、领域热点、栏目订阅、专题分析、网站传播分析、账号分析和竞媒比对等八大服务。</w:t>
      </w:r>
      <w:r>
        <w:rPr>
          <w:spacing w:val="-53"/>
        </w:rPr>
        <w:t> </w:t>
      </w:r>
      <w:r>
        <w:rPr>
          <w:spacing w:val="-53"/>
        </w:rPr>
      </w:r>
      <w:r>
        <w:rPr/>
        <w:t>该平台系统已于</w:t>
      </w:r>
      <w:r>
        <w:rPr>
          <w:spacing w:val="-54"/>
        </w:rPr>
        <w:t> </w:t>
      </w:r>
      <w:r>
        <w:rPr>
          <w:rFonts w:ascii="宋体" w:hAnsi="宋体" w:cs="宋体" w:eastAsia="宋体" w:hint="default"/>
        </w:rPr>
        <w:t>2018</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月份完成研究开发，</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t>月预期功能全部得以实现且在公司</w:t>
      </w:r>
    </w:p>
    <w:p>
      <w:pPr>
        <w:pStyle w:val="BodyText"/>
        <w:spacing w:line="240" w:lineRule="auto" w:before="26"/>
        <w:ind w:left="398" w:right="0"/>
        <w:jc w:val="left"/>
      </w:pPr>
      <w:r>
        <w:rPr/>
        <w:t>的业务中得到实际应用，并于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月获得《计算机软件著作权登记证书》。</w:t>
      </w:r>
    </w:p>
    <w:p>
      <w:pPr>
        <w:pStyle w:val="BodyText"/>
        <w:spacing w:line="314" w:lineRule="auto" w:before="85"/>
        <w:ind w:left="398" w:right="388" w:firstLine="419"/>
        <w:jc w:val="both"/>
      </w:pPr>
      <w:r>
        <w:rPr>
          <w:spacing w:val="-4"/>
        </w:rPr>
        <w:t>（</w:t>
      </w:r>
      <w:r>
        <w:rPr>
          <w:rFonts w:ascii="宋体" w:hAnsi="宋体" w:cs="宋体" w:eastAsia="宋体" w:hint="default"/>
          <w:spacing w:val="-4"/>
        </w:rPr>
        <w:t>2</w:t>
      </w:r>
      <w:r>
        <w:rPr>
          <w:spacing w:val="-4"/>
        </w:rPr>
        <w:t>）新华睿思数据云图分析平台为本公司自主研发的大数据平台产品系统，该平台包括新华</w:t>
      </w:r>
      <w:r>
        <w:rPr>
          <w:w w:val="100"/>
        </w:rPr>
        <w:t> </w:t>
      </w:r>
      <w:r>
        <w:rPr>
          <w:spacing w:val="-2"/>
        </w:rPr>
        <w:t>睿思社交账号监测系统软件、新华睿思大数据信息监测系统软件、新华睿思大数据分析研判系统</w:t>
      </w:r>
      <w:r>
        <w:rPr>
          <w:spacing w:val="-25"/>
        </w:rPr>
        <w:t> </w:t>
      </w:r>
      <w:r>
        <w:rPr>
          <w:spacing w:val="-25"/>
        </w:rPr>
      </w:r>
      <w:r>
        <w:rPr>
          <w:spacing w:val="-2"/>
        </w:rPr>
        <w:t>软件。该平台是本公司通过运用云计算、人工智能、机器学习等先进技术，重构大数据视角下的</w:t>
      </w:r>
      <w:r>
        <w:rPr>
          <w:spacing w:val="-25"/>
        </w:rPr>
        <w:t> </w:t>
      </w:r>
      <w:r>
        <w:rPr>
          <w:spacing w:val="-25"/>
        </w:rPr>
      </w:r>
      <w:r>
        <w:rPr>
          <w:spacing w:val="-2"/>
        </w:rPr>
        <w:t>智能感知服务模式。为政企用户提供广度、速度、深度兼备的融合信息服务，全方位助力政府部</w:t>
      </w:r>
      <w:r>
        <w:rPr>
          <w:spacing w:val="-25"/>
        </w:rPr>
        <w:t> </w:t>
      </w:r>
      <w:r>
        <w:rPr>
          <w:spacing w:val="-25"/>
        </w:rPr>
      </w:r>
      <w:r>
        <w:rPr>
          <w:spacing w:val="-8"/>
          <w:w w:val="100"/>
        </w:rPr>
        <w:t>门提升网络空间治理能力和政务服务能力，显著增强企业的创造力、竞争力和影响力。平台在</w:t>
      </w:r>
      <w:r>
        <w:rPr>
          <w:spacing w:val="-40"/>
          <w:w w:val="100"/>
        </w:rPr>
        <w:t> </w:t>
      </w:r>
      <w:r>
        <w:rPr>
          <w:rFonts w:ascii="宋体" w:hAnsi="宋体" w:cs="宋体" w:eastAsia="宋体" w:hint="default"/>
          <w:spacing w:val="-1"/>
          <w:w w:val="100"/>
        </w:rPr>
        <w:t>V3.0</w:t>
      </w:r>
      <w:r>
        <w:rPr>
          <w:rFonts w:ascii="宋体" w:hAnsi="宋体" w:cs="宋体" w:eastAsia="宋体" w:hint="default"/>
          <w:spacing w:val="-100"/>
          <w:w w:val="100"/>
        </w:rPr>
        <w:t> </w:t>
      </w:r>
      <w:r>
        <w:rPr>
          <w:rFonts w:ascii="宋体" w:hAnsi="宋体" w:cs="宋体" w:eastAsia="宋体" w:hint="default"/>
          <w:spacing w:val="-100"/>
          <w:w w:val="100"/>
        </w:rPr>
      </w:r>
      <w:r>
        <w:rPr>
          <w:spacing w:val="-2"/>
        </w:rPr>
        <w:t>的基础上新增账号监测、历史舆情、境外账号、视觉大屏、分析任务五大服务，全面优化日常监</w:t>
      </w:r>
      <w:r>
        <w:rPr>
          <w:spacing w:val="-26"/>
        </w:rPr>
        <w:t> </w:t>
      </w:r>
      <w:r>
        <w:rPr>
          <w:spacing w:val="-26"/>
        </w:rPr>
      </w:r>
      <w:r>
        <w:rPr/>
        <w:t>测、事件追踪等五大服务。</w:t>
      </w:r>
    </w:p>
    <w:p>
      <w:pPr>
        <w:pStyle w:val="BodyText"/>
        <w:spacing w:line="240" w:lineRule="auto" w:before="20"/>
        <w:ind w:left="0" w:right="387"/>
        <w:jc w:val="right"/>
      </w:pPr>
      <w:r>
        <w:rPr>
          <w:w w:val="100"/>
        </w:rPr>
        <w:t>该平</w:t>
      </w:r>
      <w:r>
        <w:rPr>
          <w:spacing w:val="-3"/>
          <w:w w:val="100"/>
        </w:rPr>
        <w:t>台</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2"/>
        </w:rPr>
        <w:t> </w:t>
      </w:r>
      <w:r>
        <w:rPr>
          <w:rFonts w:ascii="宋体" w:hAnsi="宋体" w:cs="宋体" w:eastAsia="宋体" w:hint="default"/>
          <w:w w:val="100"/>
        </w:rPr>
        <w:t>1</w:t>
      </w:r>
      <w:r>
        <w:rPr>
          <w:rFonts w:ascii="宋体" w:hAnsi="宋体" w:cs="宋体" w:eastAsia="宋体" w:hint="default"/>
          <w:spacing w:val="-55"/>
        </w:rPr>
        <w:t> </w:t>
      </w:r>
      <w:r>
        <w:rPr>
          <w:w w:val="100"/>
        </w:rPr>
        <w:t>月</w:t>
      </w:r>
      <w:r>
        <w:rPr>
          <w:spacing w:val="-3"/>
          <w:w w:val="100"/>
        </w:rPr>
        <w:t>份完</w:t>
      </w:r>
      <w:r>
        <w:rPr>
          <w:w w:val="100"/>
        </w:rPr>
        <w:t>成研</w:t>
      </w:r>
      <w:r>
        <w:rPr>
          <w:spacing w:val="-3"/>
          <w:w w:val="100"/>
        </w:rPr>
        <w:t>究</w:t>
      </w:r>
      <w:r>
        <w:rPr>
          <w:w w:val="100"/>
        </w:rPr>
        <w:t>开</w:t>
      </w:r>
      <w:r>
        <w:rPr>
          <w:spacing w:val="-3"/>
          <w:w w:val="100"/>
        </w:rPr>
        <w:t>发</w:t>
      </w:r>
      <w:r>
        <w:rPr>
          <w:spacing w:val="-94"/>
          <w:w w:val="100"/>
        </w:rPr>
        <w:t>，</w:t>
      </w:r>
      <w:r>
        <w:rPr>
          <w:w w:val="100"/>
        </w:rPr>
        <w:t>预</w:t>
      </w:r>
      <w:r>
        <w:rPr>
          <w:spacing w:val="-3"/>
          <w:w w:val="100"/>
        </w:rPr>
        <w:t>期</w:t>
      </w:r>
      <w:r>
        <w:rPr>
          <w:w w:val="100"/>
        </w:rPr>
        <w:t>功</w:t>
      </w:r>
      <w:r>
        <w:rPr>
          <w:spacing w:val="-3"/>
          <w:w w:val="100"/>
        </w:rPr>
        <w:t>能</w:t>
      </w:r>
      <w:r>
        <w:rPr>
          <w:w w:val="100"/>
        </w:rPr>
        <w:t>全</w:t>
      </w:r>
      <w:r>
        <w:rPr>
          <w:spacing w:val="-3"/>
          <w:w w:val="100"/>
        </w:rPr>
        <w:t>部</w:t>
      </w:r>
      <w:r>
        <w:rPr>
          <w:w w:val="100"/>
        </w:rPr>
        <w:t>得以</w:t>
      </w:r>
      <w:r>
        <w:rPr>
          <w:spacing w:val="-3"/>
          <w:w w:val="100"/>
        </w:rPr>
        <w:t>实</w:t>
      </w:r>
      <w:r>
        <w:rPr>
          <w:w w:val="100"/>
        </w:rPr>
        <w:t>现</w:t>
      </w:r>
      <w:r>
        <w:rPr>
          <w:spacing w:val="-3"/>
          <w:w w:val="100"/>
        </w:rPr>
        <w:t>且</w:t>
      </w:r>
      <w:r>
        <w:rPr>
          <w:w w:val="100"/>
        </w:rPr>
        <w:t>在</w:t>
      </w:r>
      <w:r>
        <w:rPr>
          <w:spacing w:val="-3"/>
          <w:w w:val="100"/>
        </w:rPr>
        <w:t>公</w:t>
      </w:r>
      <w:r>
        <w:rPr>
          <w:w w:val="100"/>
        </w:rPr>
        <w:t>司</w:t>
      </w:r>
      <w:r>
        <w:rPr>
          <w:spacing w:val="-3"/>
          <w:w w:val="100"/>
        </w:rPr>
        <w:t>的</w:t>
      </w:r>
      <w:r>
        <w:rPr>
          <w:w w:val="100"/>
        </w:rPr>
        <w:t>业</w:t>
      </w:r>
      <w:r>
        <w:rPr>
          <w:spacing w:val="-3"/>
          <w:w w:val="100"/>
        </w:rPr>
        <w:t>务</w:t>
      </w:r>
      <w:r>
        <w:rPr>
          <w:w w:val="100"/>
        </w:rPr>
        <w:t>中得</w:t>
      </w:r>
      <w:r>
        <w:rPr>
          <w:spacing w:val="-3"/>
          <w:w w:val="100"/>
        </w:rPr>
        <w:t>到</w:t>
      </w:r>
      <w:r>
        <w:rPr>
          <w:w w:val="100"/>
        </w:rPr>
        <w:t>实</w:t>
      </w:r>
      <w:r>
        <w:rPr>
          <w:spacing w:val="-3"/>
          <w:w w:val="100"/>
        </w:rPr>
        <w:t>际</w:t>
      </w:r>
      <w:r>
        <w:rPr>
          <w:w w:val="100"/>
        </w:rPr>
        <w:t>应</w:t>
      </w:r>
    </w:p>
    <w:p>
      <w:pPr>
        <w:pStyle w:val="BodyText"/>
        <w:spacing w:line="290" w:lineRule="auto" w:before="85"/>
        <w:ind w:left="398" w:right="3859"/>
        <w:jc w:val="left"/>
        <w:rPr>
          <w:rFonts w:ascii="宋体" w:hAnsi="宋体" w:cs="宋体" w:eastAsia="宋体" w:hint="default"/>
        </w:rPr>
      </w:pPr>
      <w:r>
        <w:rPr/>
        <w:t>用，并于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月获得《计算机软件著作权登记书》。</w:t>
      </w:r>
      <w:r>
        <w:rPr>
          <w:w w:val="100"/>
        </w:rPr>
        <w:t> </w:t>
      </w:r>
      <w:r>
        <w:rPr>
          <w:rFonts w:ascii="宋体" w:hAnsi="宋体" w:cs="宋体" w:eastAsia="宋体" w:hint="default"/>
          <w:b/>
          <w:bCs/>
        </w:rPr>
        <w:t>22</w:t>
      </w:r>
      <w:r>
        <w:rPr>
          <w:rFonts w:ascii="宋体" w:hAnsi="宋体" w:cs="宋体" w:eastAsia="宋体" w:hint="default"/>
          <w:b/>
          <w:bCs/>
        </w:rPr>
        <w:t>、</w:t>
      </w:r>
      <w:r>
        <w:rPr>
          <w:rFonts w:ascii="宋体" w:hAnsi="宋体" w:cs="宋体" w:eastAsia="宋体" w:hint="default"/>
          <w:b/>
          <w:bCs/>
          <w:spacing w:val="-26"/>
        </w:rPr>
        <w:t> </w:t>
      </w:r>
      <w:r>
        <w:rPr>
          <w:rFonts w:ascii="宋体" w:hAnsi="宋体" w:cs="宋体" w:eastAsia="宋体" w:hint="default"/>
          <w:b/>
          <w:bCs/>
        </w:rPr>
        <w:t>商誉</w:t>
      </w:r>
      <w:r>
        <w:rPr>
          <w:rFonts w:ascii="宋体" w:hAnsi="宋体" w:cs="宋体" w:eastAsia="宋体" w:hint="default"/>
        </w:rPr>
      </w:r>
    </w:p>
    <w:p>
      <w:pPr>
        <w:pStyle w:val="Heading2"/>
        <w:spacing w:line="240" w:lineRule="auto" w:before="12"/>
        <w:ind w:left="398" w:right="2650"/>
        <w:jc w:val="left"/>
        <w:rPr>
          <w:b w:val="0"/>
          <w:bCs w:val="0"/>
        </w:rPr>
      </w:pPr>
      <w:r>
        <w:rPr>
          <w:rFonts w:ascii="宋体" w:hAnsi="宋体" w:cs="宋体" w:eastAsia="宋体" w:hint="default"/>
        </w:rPr>
        <w:t>(1).</w:t>
      </w:r>
      <w:r>
        <w:rPr/>
        <w:t>商誉账面原值</w:t>
      </w:r>
      <w:r>
        <w:rPr>
          <w:b w:val="0"/>
          <w:bCs w:val="0"/>
        </w:rPr>
      </w:r>
    </w:p>
    <w:p>
      <w:pPr>
        <w:spacing w:line="290" w:lineRule="auto" w:before="58"/>
        <w:ind w:left="398" w:right="75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pStyle w:val="BodyText"/>
        <w:spacing w:line="240" w:lineRule="auto" w:before="14"/>
        <w:ind w:left="398" w:right="2650"/>
        <w:jc w:val="left"/>
      </w:pPr>
      <w:r>
        <w:rPr/>
        <w:t>□适用</w:t>
      </w:r>
      <w:r>
        <w:rPr>
          <w:spacing w:val="-1"/>
        </w:rPr>
        <w:t> </w:t>
      </w:r>
      <w:r>
        <w:rPr/>
        <w:t>√不适用</w:t>
      </w:r>
    </w:p>
    <w:p>
      <w:pPr>
        <w:spacing w:after="0" w:line="240" w:lineRule="auto"/>
        <w:jc w:val="left"/>
        <w:sectPr>
          <w:pgSz w:w="11910" w:h="16840"/>
          <w:pgMar w:header="0" w:footer="1195" w:top="1120" w:bottom="1380" w:left="1400" w:right="880"/>
        </w:sectPr>
      </w:pPr>
    </w:p>
    <w:p>
      <w:pPr>
        <w:spacing w:line="240" w:lineRule="auto" w:before="1"/>
        <w:rPr>
          <w:rFonts w:ascii="宋体" w:hAnsi="宋体" w:cs="宋体" w:eastAsia="宋体" w:hint="default"/>
          <w:sz w:val="25"/>
          <w:szCs w:val="25"/>
        </w:rPr>
      </w:pPr>
    </w:p>
    <w:p>
      <w:pPr>
        <w:pStyle w:val="Heading2"/>
        <w:spacing w:line="240" w:lineRule="auto"/>
        <w:ind w:right="3319"/>
        <w:jc w:val="left"/>
        <w:rPr>
          <w:b w:val="0"/>
          <w:bCs w:val="0"/>
        </w:rPr>
      </w:pPr>
      <w:r>
        <w:rPr>
          <w:rFonts w:ascii="宋体" w:hAnsi="宋体" w:cs="宋体" w:eastAsia="宋体" w:hint="default"/>
        </w:rPr>
        <w:t>(3).</w:t>
      </w:r>
      <w:r>
        <w:rPr/>
        <w:t>商誉所在资产组或资产组组合的相关信息</w:t>
      </w:r>
      <w:r>
        <w:rPr>
          <w:b w:val="0"/>
          <w:bCs w:val="0"/>
        </w:rPr>
      </w:r>
    </w:p>
    <w:p>
      <w:pPr>
        <w:pStyle w:val="Heading2"/>
        <w:spacing w:line="290" w:lineRule="auto" w:before="58"/>
        <w:ind w:right="22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spacing w:val="-1"/>
        </w:rPr>
        <w:t>(4).</w:t>
      </w:r>
      <w:r>
        <w:rPr>
          <w:spacing w:val="-1"/>
        </w:rPr>
        <w:t>说明商誉减值测试过程、关键参数（例如预计未来现金流量现值时的预测期增长率、稳定期</w:t>
      </w:r>
      <w:r>
        <w:rPr>
          <w:b w:val="0"/>
          <w:bCs w:val="0"/>
          <w:spacing w:val="-1"/>
        </w:rPr>
      </w:r>
    </w:p>
    <w:p>
      <w:pPr>
        <w:pStyle w:val="Heading2"/>
        <w:spacing w:line="230" w:lineRule="exact" w:before="0"/>
        <w:ind w:left="642" w:right="227"/>
        <w:jc w:val="left"/>
        <w:rPr>
          <w:b w:val="0"/>
          <w:bCs w:val="0"/>
        </w:rPr>
      </w:pPr>
      <w:r>
        <w:rPr/>
        <w:t>增长率、利润率、折现率、预测期等，如适用）及商誉减值损失的确认方法</w:t>
      </w:r>
      <w:r>
        <w:rPr>
          <w:b w:val="0"/>
          <w:bCs w:val="0"/>
        </w:rPr>
      </w:r>
    </w:p>
    <w:p>
      <w:pPr>
        <w:spacing w:line="290" w:lineRule="auto" w:before="56"/>
        <w:ind w:left="218" w:right="672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商誉减值测试的影响</w:t>
      </w:r>
      <w:r>
        <w:rPr>
          <w:rFonts w:ascii="宋体" w:hAnsi="宋体" w:cs="宋体" w:eastAsia="宋体" w:hint="default"/>
          <w:sz w:val="21"/>
          <w:szCs w:val="21"/>
        </w:rPr>
      </w:r>
    </w:p>
    <w:p>
      <w:pPr>
        <w:pStyle w:val="BodyText"/>
        <w:spacing w:line="240" w:lineRule="auto" w:before="12"/>
        <w:ind w:right="7474"/>
        <w:jc w:val="left"/>
      </w:pPr>
      <w:r>
        <w:rPr/>
        <w:t>□适用</w:t>
      </w:r>
      <w:r>
        <w:rPr>
          <w:spacing w:val="-1"/>
        </w:rPr>
        <w:t> </w:t>
      </w:r>
      <w:r>
        <w:rPr/>
        <w:t>√不适用</w:t>
      </w:r>
      <w:r>
        <w:rPr>
          <w:w w:val="100"/>
        </w:rPr>
        <w:t> </w:t>
      </w:r>
      <w:r>
        <w:rPr/>
        <w:t>其他说明</w:t>
      </w:r>
    </w:p>
    <w:p>
      <w:pPr>
        <w:spacing w:line="290" w:lineRule="auto" w:before="0"/>
        <w:ind w:left="218" w:right="7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12"/>
        <w:ind w:right="3319"/>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63"/>
        <w:gridCol w:w="1580"/>
        <w:gridCol w:w="1702"/>
        <w:gridCol w:w="1702"/>
        <w:gridCol w:w="1124"/>
        <w:gridCol w:w="1579"/>
      </w:tblGrid>
      <w:tr>
        <w:trPr>
          <w:trHeight w:val="55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63"/>
              <w:jc w:val="right"/>
              <w:rPr>
                <w:rFonts w:ascii="宋体" w:hAnsi="宋体" w:cs="宋体" w:eastAsia="宋体" w:hint="default"/>
                <w:sz w:val="21"/>
                <w:szCs w:val="21"/>
              </w:rPr>
            </w:pPr>
            <w:r>
              <w:rPr>
                <w:rFonts w:ascii="宋体" w:hAnsi="宋体" w:cs="宋体" w:eastAsia="宋体" w:hint="default"/>
                <w:sz w:val="21"/>
                <w:szCs w:val="21"/>
              </w:rPr>
              <w:t>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6"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其他减少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装修款</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16,557,588.20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23" w:right="0"/>
              <w:jc w:val="left"/>
              <w:rPr>
                <w:rFonts w:ascii="宋体" w:hAnsi="宋体" w:cs="宋体" w:eastAsia="宋体" w:hint="default"/>
                <w:sz w:val="21"/>
                <w:szCs w:val="21"/>
              </w:rPr>
            </w:pPr>
            <w:r>
              <w:rPr>
                <w:rFonts w:ascii="宋体"/>
                <w:sz w:val="21"/>
              </w:rPr>
              <w:t>19,260,993.01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8,709,240.77</w:t>
            </w:r>
          </w:p>
        </w:tc>
        <w:tc>
          <w:tcPr>
            <w:tcW w:w="112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27,109,340.44</w:t>
            </w:r>
          </w:p>
        </w:tc>
      </w:tr>
      <w:tr>
        <w:trPr>
          <w:trHeight w:val="3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330,000.00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330,000.00</w:t>
            </w:r>
          </w:p>
        </w:tc>
        <w:tc>
          <w:tcPr>
            <w:tcW w:w="112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大数据平台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13,999,676.10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13,999,676.10</w:t>
            </w:r>
          </w:p>
        </w:tc>
        <w:tc>
          <w:tcPr>
            <w:tcW w:w="112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63"/>
              <w:jc w:val="righ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30,887,264.30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3" w:right="0"/>
              <w:jc w:val="left"/>
              <w:rPr>
                <w:rFonts w:ascii="宋体" w:hAnsi="宋体" w:cs="宋体" w:eastAsia="宋体" w:hint="default"/>
                <w:sz w:val="21"/>
                <w:szCs w:val="21"/>
              </w:rPr>
            </w:pPr>
            <w:r>
              <w:rPr>
                <w:rFonts w:ascii="宋体"/>
                <w:sz w:val="21"/>
              </w:rPr>
              <w:t>19,260,993.01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23,038,916.87</w:t>
            </w:r>
          </w:p>
        </w:tc>
        <w:tc>
          <w:tcPr>
            <w:tcW w:w="112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27,109,340.44</w:t>
            </w:r>
          </w:p>
        </w:tc>
      </w:tr>
    </w:tbl>
    <w:p>
      <w:pPr>
        <w:spacing w:after="0" w:line="274" w:lineRule="exact"/>
        <w:jc w:val="center"/>
        <w:rPr>
          <w:rFonts w:ascii="宋体" w:hAnsi="宋体" w:cs="宋体" w:eastAsia="宋体" w:hint="default"/>
          <w:sz w:val="21"/>
          <w:szCs w:val="21"/>
        </w:rPr>
        <w:sectPr>
          <w:footerReference w:type="default" r:id="rId73"/>
          <w:pgSz w:w="11910" w:h="16840"/>
          <w:pgMar w:footer="1195" w:header="0" w:top="1120" w:bottom="1380" w:left="1580" w:right="1040"/>
          <w:pgNumType w:start="131"/>
        </w:sectPr>
      </w:pPr>
    </w:p>
    <w:p>
      <w:pPr>
        <w:pStyle w:val="BodyText"/>
        <w:spacing w:line="240" w:lineRule="exact"/>
        <w:ind w:right="-18"/>
        <w:jc w:val="left"/>
      </w:pPr>
      <w:r>
        <w:rPr/>
        <w:t>其他说明：</w:t>
      </w:r>
    </w:p>
    <w:p>
      <w:pPr>
        <w:pStyle w:val="BodyText"/>
        <w:spacing w:line="274" w:lineRule="exact"/>
        <w:ind w:right="-18"/>
        <w:jc w:val="left"/>
      </w:pPr>
      <w:r>
        <w:rPr>
          <w:w w:val="100"/>
        </w:rPr>
        <w:t>无</w:t>
      </w:r>
    </w:p>
    <w:p>
      <w:pPr>
        <w:pStyle w:val="Heading2"/>
        <w:spacing w:line="290" w:lineRule="auto" w:before="56"/>
        <w:ind w:right="-18"/>
        <w:jc w:val="left"/>
        <w:rPr>
          <w:b w:val="0"/>
          <w:bCs w:val="0"/>
        </w:rPr>
      </w:pPr>
      <w:r>
        <w:rPr>
          <w:rFonts w:ascii="宋体" w:hAnsi="宋体" w:cs="宋体" w:eastAsia="宋体" w:hint="default"/>
        </w:rPr>
        <w:t>24</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t>未经抵销的递延所得税资产</w:t>
      </w:r>
      <w:r>
        <w:rPr>
          <w:b w:val="0"/>
          <w:bCs w:val="0"/>
        </w:rPr>
      </w:r>
    </w:p>
    <w:p>
      <w:pPr>
        <w:pStyle w:val="BodyText"/>
        <w:spacing w:line="240" w:lineRule="auto" w:before="14"/>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1560"/>
        <w:gridCol w:w="1560"/>
        <w:gridCol w:w="1558"/>
        <w:gridCol w:w="1855"/>
      </w:tblGrid>
      <w:tr>
        <w:trPr>
          <w:trHeight w:val="295" w:hRule="exact"/>
        </w:trPr>
        <w:tc>
          <w:tcPr>
            <w:tcW w:w="25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518"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资产</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4,950.00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1,237.50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1"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1,843,448.81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460,862.20</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1" w:right="0"/>
              <w:jc w:val="left"/>
              <w:rPr>
                <w:rFonts w:ascii="宋体" w:hAnsi="宋体" w:cs="宋体" w:eastAsia="宋体" w:hint="default"/>
                <w:sz w:val="21"/>
                <w:szCs w:val="21"/>
              </w:rPr>
            </w:pPr>
            <w:r>
              <w:rPr>
                <w:rFonts w:ascii="宋体" w:hAnsi="宋体" w:cs="宋体" w:eastAsia="宋体" w:hint="default"/>
                <w:sz w:val="21"/>
                <w:szCs w:val="21"/>
              </w:rPr>
              <w:t>可抵暂时性差异</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22,413.74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5,603.44</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1,870,812.55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467,703.14</w:t>
            </w:r>
          </w:p>
        </w:tc>
        <w:tc>
          <w:tcPr>
            <w:tcW w:w="1558"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pStyle w:val="Heading2"/>
        <w:spacing w:line="240" w:lineRule="auto" w:before="26"/>
        <w:ind w:right="-14"/>
        <w:jc w:val="left"/>
        <w:rPr>
          <w:b w:val="0"/>
          <w:bCs w:val="0"/>
        </w:rPr>
      </w:pPr>
      <w:r>
        <w:rPr>
          <w:rFonts w:ascii="宋体" w:hAnsi="宋体" w:cs="宋体" w:eastAsia="宋体" w:hint="default"/>
        </w:rPr>
        <w:t>(2).</w:t>
      </w:r>
      <w:r>
        <w:rPr/>
        <w:t>未经抵销的递延所得税负债</w:t>
      </w:r>
      <w:r>
        <w:rPr>
          <w:b w:val="0"/>
          <w:bCs w:val="0"/>
        </w:rPr>
      </w:r>
    </w:p>
    <w:p>
      <w:pPr>
        <w:spacing w:line="290" w:lineRule="auto" w:before="56"/>
        <w:ind w:left="21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90" w:lineRule="auto" w:before="12"/>
        <w:ind w:left="218" w:right="14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pStyle w:val="BodyText"/>
        <w:spacing w:line="240" w:lineRule="auto" w:before="12"/>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54" w:space="186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2,280,834.44</w:t>
            </w:r>
          </w:p>
        </w:tc>
      </w:tr>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15,541,244.27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8,894,616.63</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15,541,244.27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11,175,451.07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40" w:lineRule="auto"/>
        <w:ind w:right="0"/>
        <w:jc w:val="left"/>
        <w:rPr>
          <w:b w:val="0"/>
          <w:bCs w:val="0"/>
        </w:rPr>
      </w:pPr>
      <w:r>
        <w:rPr>
          <w:rFonts w:ascii="宋体" w:hAnsi="宋体" w:cs="宋体" w:eastAsia="宋体" w:hint="default"/>
          <w:spacing w:val="-1"/>
        </w:rPr>
        <w:t>(5).</w:t>
      </w:r>
      <w:r>
        <w:rPr>
          <w:spacing w:val="-1"/>
        </w:rPr>
        <w:t>未确认递延所得税资产的可抵扣亏损将于以下年度到期</w:t>
      </w:r>
      <w:r>
        <w:rPr>
          <w:b w:val="0"/>
          <w:bCs w:val="0"/>
          <w:spacing w:val="-1"/>
        </w:rPr>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705" w:space="761"/>
            <w:col w:w="2824"/>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1"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7,458,473.49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8,894,616.63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8,082,770.78</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15,541,244.27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8,894,616.63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14"/>
        <w:jc w:val="left"/>
      </w:pPr>
      <w:r>
        <w:rPr/>
        <w:t>其他说明：</w:t>
      </w:r>
    </w:p>
    <w:p>
      <w:pPr>
        <w:spacing w:line="290" w:lineRule="auto" w:before="0"/>
        <w:ind w:left="218" w:right="-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25</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其他非流动资产</w:t>
      </w:r>
      <w:r>
        <w:rPr>
          <w:rFonts w:ascii="宋体" w:hAnsi="宋体" w:cs="宋体" w:eastAsia="宋体" w:hint="default"/>
          <w:sz w:val="21"/>
          <w:szCs w:val="21"/>
        </w:rPr>
      </w:r>
    </w:p>
    <w:p>
      <w:pPr>
        <w:pStyle w:val="BodyText"/>
        <w:spacing w:line="240" w:lineRule="auto" w:before="14"/>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01" w:space="432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293"/>
        <w:gridCol w:w="2976"/>
        <w:gridCol w:w="2626"/>
      </w:tblGrid>
      <w:tr>
        <w:trPr>
          <w:trHeight w:val="348"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0"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预付系统工程、设备款、车辆款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5,405,870.83</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宋体" w:hAnsi="宋体" w:cs="宋体" w:eastAsia="宋体" w:hint="default"/>
                <w:sz w:val="21"/>
                <w:szCs w:val="21"/>
              </w:rPr>
            </w:pPr>
            <w:r>
              <w:rPr>
                <w:rFonts w:ascii="宋体"/>
                <w:spacing w:val="-1"/>
                <w:sz w:val="21"/>
              </w:rPr>
              <w:t>7,323,226.68</w:t>
            </w:r>
          </w:p>
        </w:tc>
      </w:tr>
      <w:tr>
        <w:trPr>
          <w:trHeight w:val="350"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预付股权收购款</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36,000,000.00</w:t>
            </w:r>
          </w:p>
        </w:tc>
        <w:tc>
          <w:tcPr>
            <w:tcW w:w="262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41,405,870.83</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pacing w:val="-1"/>
                <w:sz w:val="21"/>
              </w:rPr>
              <w:t>7,323,226.68</w:t>
            </w:r>
          </w:p>
        </w:tc>
      </w:tr>
    </w:tbl>
    <w:p>
      <w:pPr>
        <w:spacing w:after="0" w:line="274"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12"/>
        <w:jc w:val="left"/>
      </w:pPr>
      <w:r>
        <w:rPr/>
        <w:t>其他说明：</w:t>
      </w:r>
    </w:p>
    <w:p>
      <w:pPr>
        <w:spacing w:line="290" w:lineRule="auto" w:before="0"/>
        <w:ind w:left="218" w:right="-12" w:firstLine="0"/>
        <w:jc w:val="left"/>
        <w:rPr>
          <w:rFonts w:ascii="宋体" w:hAnsi="宋体" w:cs="宋体" w:eastAsia="宋体" w:hint="default"/>
          <w:sz w:val="21"/>
          <w:szCs w:val="21"/>
        </w:rPr>
      </w:pPr>
      <w:r>
        <w:rPr>
          <w:rFonts w:ascii="宋体" w:hAnsi="宋体" w:cs="宋体" w:eastAsia="宋体" w:hint="default"/>
          <w:sz w:val="21"/>
          <w:szCs w:val="21"/>
        </w:rPr>
        <w:t>预付股权收购款为本公司收购亿连科技</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z w:val="21"/>
          <w:szCs w:val="21"/>
        </w:rPr>
        <w:t>股权预付款。</w:t>
      </w:r>
      <w:r>
        <w:rPr>
          <w:rFonts w:ascii="宋体" w:hAnsi="宋体" w:cs="宋体" w:eastAsia="宋体" w:hint="default"/>
          <w:w w:val="100"/>
          <w:sz w:val="21"/>
          <w:szCs w:val="21"/>
        </w:rPr>
        <w:t> </w:t>
      </w:r>
      <w:r>
        <w:rPr>
          <w:rFonts w:ascii="宋体" w:hAnsi="宋体" w:cs="宋体" w:eastAsia="宋体" w:hint="default"/>
          <w:b/>
          <w:bCs/>
          <w:sz w:val="21"/>
          <w:szCs w:val="21"/>
        </w:rPr>
        <w:t>26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短期借款</w:t>
      </w:r>
      <w:r>
        <w:rPr>
          <w:rFonts w:ascii="宋体" w:hAnsi="宋体" w:cs="宋体" w:eastAsia="宋体" w:hint="default"/>
          <w:sz w:val="21"/>
          <w:szCs w:val="21"/>
        </w:rPr>
      </w:r>
    </w:p>
    <w:p>
      <w:pPr>
        <w:pStyle w:val="Heading2"/>
        <w:spacing w:line="240" w:lineRule="auto" w:before="12"/>
        <w:ind w:right="-12"/>
        <w:jc w:val="left"/>
        <w:rPr>
          <w:b w:val="0"/>
          <w:bCs w:val="0"/>
        </w:rPr>
      </w:pPr>
      <w:r>
        <w:rPr>
          <w:rFonts w:ascii="宋体" w:hAnsi="宋体" w:cs="宋体" w:eastAsia="宋体" w:hint="default"/>
        </w:rPr>
        <w:t>(1).</w:t>
      </w:r>
      <w:r>
        <w:rPr/>
        <w:t>短期借款分类</w:t>
      </w:r>
      <w:r>
        <w:rPr>
          <w:b w:val="0"/>
          <w:bCs w:val="0"/>
        </w:rPr>
      </w:r>
    </w:p>
    <w:p>
      <w:pPr>
        <w:spacing w:line="290" w:lineRule="auto" w:before="58"/>
        <w:ind w:left="218" w:right="20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pStyle w:val="BodyText"/>
        <w:spacing w:line="272" w:lineRule="exact" w:before="42"/>
        <w:ind w:right="-12"/>
        <w:jc w:val="left"/>
      </w:pPr>
      <w:r>
        <w:rPr/>
        <w:t>□适用</w:t>
      </w:r>
      <w:r>
        <w:rPr>
          <w:spacing w:val="-2"/>
        </w:rPr>
        <w:t> </w:t>
      </w:r>
      <w:r>
        <w:rPr/>
        <w:t>√不适用</w:t>
      </w:r>
      <w:r>
        <w:rPr>
          <w:w w:val="100"/>
        </w:rPr>
        <w:t> </w:t>
      </w:r>
      <w:r>
        <w:rPr>
          <w:spacing w:val="-2"/>
        </w:rPr>
        <w:t>其中重要的已逾期未偿还的短期借款情况如下：</w:t>
      </w:r>
    </w:p>
    <w:p>
      <w:pPr>
        <w:pStyle w:val="BodyText"/>
        <w:spacing w:line="272" w:lineRule="exact" w:before="1"/>
        <w:ind w:right="3609"/>
        <w:jc w:val="left"/>
      </w:pPr>
      <w:r>
        <w:rPr/>
        <w:t>□适用</w:t>
      </w:r>
      <w:r>
        <w:rPr>
          <w:spacing w:val="-1"/>
        </w:rPr>
        <w:t> </w:t>
      </w:r>
      <w:r>
        <w:rPr/>
        <w:t>√不适用</w:t>
      </w:r>
      <w:r>
        <w:rPr>
          <w:w w:val="100"/>
        </w:rPr>
        <w:t> </w:t>
      </w:r>
      <w:r>
        <w:rPr/>
        <w:t>其他说明</w:t>
      </w:r>
    </w:p>
    <w:p>
      <w:pPr>
        <w:pStyle w:val="BodyText"/>
        <w:spacing w:line="249" w:lineRule="exact"/>
        <w:ind w:right="-12"/>
        <w:jc w:val="left"/>
      </w:pPr>
      <w:r>
        <w:rPr/>
        <w:t>□适用</w:t>
      </w:r>
      <w:r>
        <w:rPr>
          <w:spacing w:val="-1"/>
        </w:rPr>
        <w:t> </w:t>
      </w:r>
      <w:r>
        <w:rPr/>
        <w:t>√不适用</w:t>
      </w:r>
    </w:p>
    <w:p>
      <w:pPr>
        <w:pStyle w:val="Heading2"/>
        <w:spacing w:line="240" w:lineRule="auto" w:before="56"/>
        <w:ind w:right="-12"/>
        <w:jc w:val="left"/>
        <w:rPr>
          <w:b w:val="0"/>
          <w:bCs w:val="0"/>
        </w:rPr>
      </w:pPr>
      <w:r>
        <w:rPr>
          <w:rFonts w:ascii="宋体" w:hAnsi="宋体" w:cs="宋体" w:eastAsia="宋体" w:hint="default"/>
        </w:rPr>
        <w:t>27</w:t>
      </w:r>
      <w:r>
        <w:rPr/>
        <w:t>、</w:t>
      </w:r>
      <w:r>
        <w:rPr>
          <w:spacing w:val="-27"/>
        </w:rPr>
        <w:t> </w:t>
      </w:r>
      <w:r>
        <w:rPr/>
        <w:t>以公允价值计量且其变动计入当期损益的金融负债</w:t>
      </w:r>
      <w:r>
        <w:rPr>
          <w:b w:val="0"/>
          <w:bCs w:val="0"/>
        </w:rPr>
      </w:r>
    </w:p>
    <w:p>
      <w:pPr>
        <w:spacing w:line="290" w:lineRule="auto" w:before="58"/>
        <w:ind w:left="218" w:right="34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pStyle w:val="BodyText"/>
        <w:spacing w:line="240" w:lineRule="auto" w:before="14"/>
        <w:ind w:right="-12"/>
        <w:jc w:val="left"/>
      </w:pPr>
      <w:r>
        <w:rPr/>
        <w:t>□适用</w:t>
      </w:r>
      <w:r>
        <w:rPr>
          <w:spacing w:val="-1"/>
        </w:rPr>
        <w:t> </w:t>
      </w:r>
      <w:r>
        <w:rPr/>
        <w:t>√不适用</w:t>
      </w:r>
    </w:p>
    <w:p>
      <w:pPr>
        <w:pStyle w:val="Heading2"/>
        <w:spacing w:line="292" w:lineRule="auto" w:before="56"/>
        <w:ind w:right="2781"/>
        <w:jc w:val="left"/>
        <w:rPr>
          <w:b w:val="0"/>
          <w:bCs w:val="0"/>
        </w:rPr>
      </w:pPr>
      <w:r>
        <w:rPr>
          <w:rFonts w:ascii="宋体" w:hAnsi="宋体" w:cs="宋体" w:eastAsia="宋体" w:hint="default"/>
        </w:rPr>
        <w:t>29</w:t>
      </w:r>
      <w:r>
        <w:rPr/>
        <w:t>、</w:t>
      </w:r>
      <w:r>
        <w:rPr>
          <w:spacing w:val="-23"/>
        </w:rPr>
        <w:t> </w:t>
      </w:r>
      <w:r>
        <w:rPr/>
        <w:t>应付票据及应付账款</w:t>
      </w:r>
      <w:r>
        <w:rPr>
          <w:w w:val="100"/>
        </w:rPr>
        <w:t> </w:t>
      </w:r>
      <w:r>
        <w:rPr/>
        <w:t>总表情况</w:t>
      </w:r>
      <w:r>
        <w:rPr>
          <w:b w:val="0"/>
          <w:bCs w:val="0"/>
        </w:rPr>
      </w:r>
    </w:p>
    <w:p>
      <w:pPr>
        <w:pStyle w:val="Heading2"/>
        <w:spacing w:line="240" w:lineRule="auto" w:before="10"/>
        <w:ind w:right="-12"/>
        <w:jc w:val="left"/>
        <w:rPr>
          <w:b w:val="0"/>
          <w:bCs w:val="0"/>
        </w:rPr>
      </w:pPr>
      <w:r>
        <w:rPr>
          <w:rFonts w:ascii="宋体" w:hAnsi="宋体" w:cs="宋体" w:eastAsia="宋体" w:hint="default"/>
        </w:rPr>
        <w:t>(1).</w:t>
      </w:r>
      <w:r>
        <w:rPr/>
        <w:t>分类列示</w:t>
      </w:r>
      <w:r>
        <w:rPr>
          <w:b w:val="0"/>
          <w:bCs w:val="0"/>
        </w:rPr>
      </w:r>
    </w:p>
    <w:p>
      <w:pPr>
        <w:pStyle w:val="BodyText"/>
        <w:spacing w:line="240" w:lineRule="auto" w:before="58"/>
        <w:ind w:right="-1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63"/>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422" w:space="1099"/>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348"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0"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36,000,000.00</w:t>
            </w: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142,007,402.89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123,362,934.80</w:t>
            </w:r>
          </w:p>
        </w:tc>
      </w:tr>
      <w:tr>
        <w:trPr>
          <w:trHeight w:val="350"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178,007,402.89</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123,362,934.80</w:t>
            </w:r>
          </w:p>
        </w:tc>
      </w:tr>
    </w:tbl>
    <w:p>
      <w:pPr>
        <w:pStyle w:val="BodyText"/>
        <w:spacing w:line="240" w:lineRule="exact"/>
        <w:ind w:right="3319"/>
        <w:jc w:val="left"/>
      </w:pPr>
      <w:r>
        <w:rPr/>
        <w:t>其他说明：</w:t>
      </w:r>
    </w:p>
    <w:p>
      <w:pPr>
        <w:pStyle w:val="BodyText"/>
        <w:spacing w:line="274" w:lineRule="exact"/>
        <w:ind w:right="3319"/>
        <w:jc w:val="left"/>
      </w:pPr>
      <w:r>
        <w:rPr/>
        <w:t>□适用</w:t>
      </w:r>
      <w:r>
        <w:rPr>
          <w:spacing w:val="-1"/>
        </w:rPr>
        <w:t> </w:t>
      </w:r>
      <w:r>
        <w:rPr/>
        <w:t>√不适用</w:t>
      </w:r>
    </w:p>
    <w:p>
      <w:pPr>
        <w:spacing w:after="0" w:line="274"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90" w:lineRule="auto"/>
        <w:ind w:right="-14"/>
        <w:jc w:val="left"/>
        <w:rPr>
          <w:b w:val="0"/>
          <w:bCs w:val="0"/>
        </w:rPr>
      </w:pPr>
      <w:r>
        <w:rPr/>
        <w:t>应付票据</w:t>
      </w:r>
      <w:r>
        <w:rPr>
          <w:w w:val="100"/>
        </w:rPr>
        <w:t> </w:t>
      </w:r>
      <w:r>
        <w:rPr>
          <w:rFonts w:ascii="宋体" w:hAnsi="宋体" w:cs="宋体" w:eastAsia="宋体" w:hint="default"/>
        </w:rPr>
        <w:t>(1).</w:t>
      </w:r>
      <w:r>
        <w:rPr/>
        <w:t>应付票据列示</w:t>
      </w:r>
      <w:r>
        <w:rPr>
          <w:b w:val="0"/>
          <w:bCs w:val="0"/>
        </w:rPr>
      </w:r>
    </w:p>
    <w:p>
      <w:pPr>
        <w:pStyle w:val="BodyText"/>
        <w:spacing w:line="240" w:lineRule="auto" w:before="12"/>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353"/>
        <w:gridCol w:w="3401"/>
        <w:gridCol w:w="3308"/>
      </w:tblGrid>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种类</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0"/>
              <w:jc w:val="right"/>
              <w:rPr>
                <w:rFonts w:ascii="宋体" w:hAnsi="宋体" w:cs="宋体" w:eastAsia="宋体" w:hint="default"/>
                <w:sz w:val="21"/>
                <w:szCs w:val="21"/>
              </w:rPr>
            </w:pPr>
            <w:r>
              <w:rPr>
                <w:rFonts w:ascii="宋体" w:hAnsi="宋体" w:cs="宋体" w:eastAsia="宋体" w:hint="default"/>
                <w:spacing w:val="-1"/>
                <w:sz w:val="21"/>
                <w:szCs w:val="21"/>
              </w:rPr>
              <w:t>银行承兑汇票</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
              <w:jc w:val="right"/>
              <w:rPr>
                <w:rFonts w:ascii="宋体" w:hAnsi="宋体" w:cs="宋体" w:eastAsia="宋体" w:hint="default"/>
                <w:sz w:val="21"/>
                <w:szCs w:val="21"/>
              </w:rPr>
            </w:pPr>
            <w:r>
              <w:rPr>
                <w:rFonts w:ascii="宋体"/>
                <w:spacing w:val="-1"/>
                <w:sz w:val="21"/>
              </w:rPr>
              <w:t>36,000,000.00</w:t>
            </w:r>
          </w:p>
        </w:tc>
        <w:tc>
          <w:tcPr>
            <w:tcW w:w="33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8"/>
              <w:jc w:val="right"/>
              <w:rPr>
                <w:rFonts w:ascii="宋体" w:hAnsi="宋体" w:cs="宋体" w:eastAsia="宋体" w:hint="default"/>
                <w:sz w:val="21"/>
                <w:szCs w:val="21"/>
              </w:rPr>
            </w:pPr>
            <w:r>
              <w:rPr>
                <w:rFonts w:ascii="宋体" w:hAnsi="宋体" w:cs="宋体" w:eastAsia="宋体" w:hint="default"/>
                <w:sz w:val="21"/>
                <w:szCs w:val="21"/>
              </w:rPr>
              <w:t>合计</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36,000,000.00</w:t>
            </w:r>
          </w:p>
        </w:tc>
        <w:tc>
          <w:tcPr>
            <w:tcW w:w="330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pStyle w:val="BodyText"/>
        <w:spacing w:line="343" w:lineRule="auto" w:before="86"/>
        <w:ind w:right="-12" w:firstLine="419"/>
        <w:jc w:val="left"/>
        <w:rPr>
          <w:rFonts w:ascii="宋体" w:hAnsi="宋体" w:cs="宋体" w:eastAsia="宋体" w:hint="default"/>
        </w:rPr>
      </w:pPr>
      <w:r>
        <w:rPr/>
        <w:t>本期末已到期未支付的应付票据总额为 </w:t>
      </w:r>
      <w:r>
        <w:rPr>
          <w:rFonts w:ascii="宋体" w:hAnsi="宋体" w:cs="宋体" w:eastAsia="宋体" w:hint="default"/>
        </w:rPr>
        <w:t>0.00</w:t>
      </w:r>
      <w:r>
        <w:rPr>
          <w:rFonts w:ascii="宋体" w:hAnsi="宋体" w:cs="宋体" w:eastAsia="宋体" w:hint="default"/>
          <w:spacing w:val="-54"/>
        </w:rPr>
        <w:t> </w:t>
      </w:r>
      <w:r>
        <w:rPr/>
        <w:t>元。</w:t>
      </w:r>
      <w:r>
        <w:rPr>
          <w:w w:val="100"/>
        </w:rPr>
        <w:t> </w:t>
      </w:r>
      <w:r>
        <w:rPr>
          <w:rFonts w:ascii="宋体" w:hAnsi="宋体" w:cs="宋体" w:eastAsia="宋体" w:hint="default"/>
          <w:b/>
          <w:bCs/>
        </w:rPr>
        <w:t>应付账款</w:t>
      </w:r>
      <w:r>
        <w:rPr>
          <w:rFonts w:ascii="宋体" w:hAnsi="宋体" w:cs="宋体" w:eastAsia="宋体" w:hint="default"/>
        </w:rPr>
      </w:r>
    </w:p>
    <w:p>
      <w:pPr>
        <w:pStyle w:val="Heading2"/>
        <w:spacing w:line="241" w:lineRule="exact" w:before="0"/>
        <w:ind w:right="-12"/>
        <w:jc w:val="left"/>
        <w:rPr>
          <w:b w:val="0"/>
          <w:bCs w:val="0"/>
        </w:rPr>
      </w:pPr>
      <w:r>
        <w:rPr>
          <w:rFonts w:ascii="宋体" w:hAnsi="宋体" w:cs="宋体" w:eastAsia="宋体" w:hint="default"/>
        </w:rPr>
        <w:t>(1).</w:t>
      </w:r>
      <w:r>
        <w:rPr/>
        <w:t>应付账款列示</w:t>
      </w:r>
      <w:r>
        <w:rPr>
          <w:b w:val="0"/>
          <w:bCs w:val="0"/>
        </w:rPr>
      </w:r>
    </w:p>
    <w:p>
      <w:pPr>
        <w:pStyle w:val="BodyText"/>
        <w:spacing w:line="240" w:lineRule="auto" w:before="59"/>
        <w:ind w:right="-1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212" w:space="131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代理及服务费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120,235,779.76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107,329,183.38</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线路租赁费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4,227,397.69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6,360,552.47</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工程项目款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823,654.32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3,589,541.08</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软件设备款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13,012,390.12</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3,221,095.64</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2,004,972.49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1,872,107.55</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1,703,208.51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990,454.68</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142,007,402.89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123,362,934.80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before="26"/>
        <w:ind w:right="-17"/>
        <w:jc w:val="left"/>
        <w:rPr>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pStyle w:val="BodyText"/>
        <w:spacing w:line="240" w:lineRule="auto" w:before="59"/>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89" w:space="313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z w:val="21"/>
                <w:szCs w:val="21"/>
              </w:rPr>
              <w:t>******</w:t>
            </w:r>
            <w:r>
              <w:rPr>
                <w:rFonts w:ascii="宋体" w:hAnsi="宋体" w:cs="宋体" w:eastAsia="宋体" w:hint="default"/>
                <w:sz w:val="21"/>
                <w:szCs w:val="21"/>
              </w:rPr>
              <w:t>管理有限公司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2,500,000.00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412"/>
        <w:jc w:val="left"/>
      </w:pPr>
      <w:r>
        <w:rPr/>
        <w:t>其他说明</w:t>
      </w:r>
    </w:p>
    <w:p>
      <w:pPr>
        <w:spacing w:line="290" w:lineRule="auto" w:before="0"/>
        <w:ind w:left="218" w:right="41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预收款项</w:t>
      </w:r>
      <w:r>
        <w:rPr>
          <w:rFonts w:ascii="宋体" w:hAnsi="宋体" w:cs="宋体" w:eastAsia="宋体" w:hint="default"/>
          <w:sz w:val="21"/>
          <w:szCs w:val="21"/>
        </w:rPr>
      </w:r>
    </w:p>
    <w:p>
      <w:pPr>
        <w:pStyle w:val="Heading2"/>
        <w:spacing w:line="240" w:lineRule="auto" w:before="12"/>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61,821,002.73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94,061,963.24</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信息服务费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66,830,122.23</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95,511,680.36</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其他服务费</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116,356,196.12</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41,200,189.38</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245,007,321.08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230,773,832.98</w:t>
            </w:r>
          </w:p>
        </w:tc>
      </w:tr>
    </w:tbl>
    <w:p>
      <w:pPr>
        <w:pStyle w:val="BodyText"/>
        <w:spacing w:line="241" w:lineRule="exact"/>
        <w:ind w:left="638" w:right="124"/>
        <w:jc w:val="left"/>
      </w:pPr>
      <w:r>
        <w:rPr/>
        <w:t>注：年末账龄超过一年的预收款项为</w:t>
      </w:r>
      <w:r>
        <w:rPr>
          <w:spacing w:val="-54"/>
        </w:rPr>
        <w:t> </w:t>
      </w:r>
      <w:r>
        <w:rPr>
          <w:rFonts w:ascii="宋体" w:hAnsi="宋体" w:cs="宋体" w:eastAsia="宋体" w:hint="default"/>
        </w:rPr>
        <w:t>34,089,882.27</w:t>
      </w:r>
      <w:r>
        <w:rPr>
          <w:rFonts w:ascii="宋体" w:hAnsi="宋体" w:cs="宋体" w:eastAsia="宋体" w:hint="default"/>
          <w:spacing w:val="-54"/>
        </w:rPr>
        <w:t> </w:t>
      </w:r>
      <w:r>
        <w:rPr/>
        <w:t>元（年初</w:t>
      </w:r>
      <w:r>
        <w:rPr>
          <w:spacing w:val="-56"/>
        </w:rPr>
        <w:t> </w:t>
      </w:r>
      <w:r>
        <w:rPr>
          <w:rFonts w:ascii="宋体" w:hAnsi="宋体" w:cs="宋体" w:eastAsia="宋体" w:hint="default"/>
        </w:rPr>
        <w:t>68,779,662.58</w:t>
      </w:r>
      <w:r>
        <w:rPr>
          <w:rFonts w:ascii="宋体" w:hAnsi="宋体" w:cs="宋体" w:eastAsia="宋体" w:hint="default"/>
          <w:spacing w:val="-53"/>
        </w:rPr>
        <w:t> </w:t>
      </w:r>
      <w:r>
        <w:rPr/>
        <w:t>元）主要为预</w:t>
      </w:r>
    </w:p>
    <w:p>
      <w:pPr>
        <w:pStyle w:val="BodyText"/>
        <w:spacing w:line="240" w:lineRule="auto" w:before="133"/>
        <w:ind w:right="227"/>
        <w:jc w:val="left"/>
      </w:pPr>
      <w:r>
        <w:rPr/>
        <w:t>收广告业务及信息服务款，鉴于项目尚未完成，该款项尚未结清。</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20" w:bottom="1380" w:left="1580" w:right="1040"/>
        </w:sectPr>
      </w:pPr>
    </w:p>
    <w:p>
      <w:pPr>
        <w:pStyle w:val="Heading2"/>
        <w:spacing w:line="240" w:lineRule="auto"/>
        <w:ind w:right="-1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490" w:space="30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2268"/>
        <w:gridCol w:w="2703"/>
      </w:tblGrid>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w:t>
            </w:r>
            <w:r>
              <w:rPr>
                <w:rFonts w:ascii="宋体" w:hAnsi="宋体" w:cs="宋体" w:eastAsia="宋体" w:hint="default"/>
                <w:sz w:val="21"/>
                <w:szCs w:val="21"/>
              </w:rPr>
              <w:t>****</w:t>
            </w:r>
            <w:r>
              <w:rPr>
                <w:rFonts w:ascii="宋体" w:hAnsi="宋体" w:cs="宋体" w:eastAsia="宋体" w:hint="default"/>
                <w:sz w:val="21"/>
                <w:szCs w:val="21"/>
              </w:rPr>
              <w:t>小镇管理委员会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服务基金会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4,657,398.59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未结算</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78"/>
        <w:gridCol w:w="2268"/>
        <w:gridCol w:w="2703"/>
      </w:tblGrid>
      <w:tr>
        <w:trPr>
          <w:trHeight w:val="28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时尚电子商务有限公司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1,283,018.92</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 w:right="0"/>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电子商务股份有限公司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1,000,000.00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未结算</w:t>
            </w:r>
          </w:p>
        </w:tc>
      </w:tr>
      <w:tr>
        <w:trPr>
          <w:trHeight w:val="28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16,940,417.51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pgSz w:w="11910" w:h="16840"/>
          <w:pgMar w:header="0" w:footer="1195" w:top="1120" w:bottom="1380" w:left="1580" w:right="1040"/>
        </w:sectPr>
      </w:pPr>
    </w:p>
    <w:p>
      <w:pPr>
        <w:pStyle w:val="Heading2"/>
        <w:spacing w:line="240" w:lineRule="auto" w:before="26"/>
        <w:ind w:right="-18"/>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72" w:lineRule="exact" w:before="84"/>
        <w:ind w:right="2942"/>
        <w:jc w:val="left"/>
      </w:pPr>
      <w:r>
        <w:rPr/>
        <w:t>□适用</w:t>
      </w:r>
      <w:r>
        <w:rPr>
          <w:spacing w:val="-1"/>
        </w:rPr>
        <w:t> </w:t>
      </w:r>
      <w:r>
        <w:rPr/>
        <w:t>√不适用</w:t>
      </w:r>
      <w:r>
        <w:rPr>
          <w:w w:val="100"/>
        </w:rPr>
        <w:t> </w:t>
      </w:r>
      <w:r>
        <w:rPr/>
        <w:t>其他说明</w:t>
      </w:r>
    </w:p>
    <w:p>
      <w:pPr>
        <w:pStyle w:val="BodyText"/>
        <w:spacing w:line="249" w:lineRule="exact"/>
        <w:ind w:right="-18"/>
        <w:jc w:val="left"/>
      </w:pPr>
      <w:r>
        <w:rPr/>
        <w:t>□适用</w:t>
      </w:r>
      <w:r>
        <w:rPr>
          <w:spacing w:val="-1"/>
        </w:rPr>
        <w:t> </w:t>
      </w:r>
      <w:r>
        <w:rPr/>
        <w:t>√不适用</w:t>
      </w:r>
    </w:p>
    <w:p>
      <w:pPr>
        <w:pStyle w:val="Heading2"/>
        <w:spacing w:line="290" w:lineRule="auto" w:before="56"/>
        <w:ind w:right="2406"/>
        <w:jc w:val="left"/>
        <w:rPr>
          <w:b w:val="0"/>
          <w:bCs w:val="0"/>
        </w:rPr>
      </w:pPr>
      <w:r>
        <w:rPr>
          <w:rFonts w:ascii="宋体" w:hAnsi="宋体" w:cs="宋体" w:eastAsia="宋体" w:hint="default"/>
        </w:rPr>
        <w:t>31</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755" w:space="176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6"/>
        <w:gridCol w:w="1582"/>
        <w:gridCol w:w="1685"/>
        <w:gridCol w:w="1688"/>
        <w:gridCol w:w="1579"/>
      </w:tblGrid>
      <w:tr>
        <w:trPr>
          <w:trHeight w:val="28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0"/>
              <w:jc w:val="right"/>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61,604,901.25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440,194,181.62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445,591,280.57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56,207,802.30</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存计划</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3,440,069.95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53,679,037.08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53,259,021.00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3,860,086.03</w:t>
            </w:r>
          </w:p>
        </w:tc>
      </w:tr>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292,781.83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292,781.83</w:t>
            </w: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0"/>
              <w:jc w:val="righ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65,044,971.20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494,166,000.53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499,143,083.40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60,067,888.33</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before="26"/>
        <w:ind w:right="-17"/>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1911" w:space="4717"/>
            <w:col w:w="266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6"/>
        <w:gridCol w:w="1582"/>
        <w:gridCol w:w="1685"/>
        <w:gridCol w:w="1688"/>
        <w:gridCol w:w="1579"/>
      </w:tblGrid>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55,841,610.03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367,900,617.45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371,759,001.10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51,983,226.38</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70,341.70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2,167,047.12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2,160,386.14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77,002.68</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2,053,992.39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30,208,457.66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30,036,762.21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2,225,687.84</w:t>
            </w:r>
          </w:p>
        </w:tc>
      </w:tr>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1,850,865.59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27,248,686.54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27,105,745.59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1,993,806.54</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6"/>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63,313.26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864,823.26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847,886.33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80,250.19</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6"/>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139,813.54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2,094,947.86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2,083,130.29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151,631.11</w:t>
            </w:r>
          </w:p>
        </w:tc>
      </w:tr>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387,595.97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31,780,415.83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31,597,946.36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570,065.44</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3,251,361.16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8,137,643.56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10,037,184.76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1,351,819.96</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61,604,901.25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440,194,181.62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445,591,280.57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56,207,802.30</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before="26"/>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9"/>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3,273,394.59</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51,661,180.10</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51,255,982.65</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3,678,592.04</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166,675.36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2,017,856.98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2,003,038.35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181,493.99</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3,440,069.95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53,679,037.08</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53,259,021.00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3,860,086.03</w:t>
            </w:r>
          </w:p>
        </w:tc>
      </w:tr>
    </w:tbl>
    <w:p>
      <w:pPr>
        <w:pStyle w:val="BodyText"/>
        <w:spacing w:line="239" w:lineRule="exact"/>
        <w:ind w:right="0"/>
        <w:jc w:val="both"/>
      </w:pPr>
      <w:r>
        <w:rPr/>
        <w:t>其他说明：</w:t>
      </w:r>
    </w:p>
    <w:p>
      <w:pPr>
        <w:pStyle w:val="BodyText"/>
        <w:spacing w:line="240" w:lineRule="auto"/>
        <w:ind w:left="638" w:right="227" w:hanging="420"/>
        <w:jc w:val="left"/>
      </w:pPr>
      <w:r>
        <w:rPr/>
        <w:t>√适用</w:t>
      </w:r>
      <w:r>
        <w:rPr>
          <w:spacing w:val="-2"/>
        </w:rPr>
        <w:t> </w:t>
      </w:r>
      <w:r>
        <w:rPr/>
        <w:t>□不适用</w:t>
      </w:r>
      <w:r>
        <w:rPr>
          <w:w w:val="100"/>
        </w:rPr>
        <w:t> </w:t>
      </w:r>
      <w:r>
        <w:rPr>
          <w:spacing w:val="-2"/>
        </w:rPr>
        <w:t>本公司按规定参加由政府机构设立的养老保险、失业保险计划，根据该等计划，本公司分别</w:t>
      </w:r>
    </w:p>
    <w:p>
      <w:pPr>
        <w:pStyle w:val="BodyText"/>
        <w:spacing w:line="357" w:lineRule="auto" w:before="133"/>
        <w:ind w:right="227"/>
        <w:jc w:val="both"/>
      </w:pPr>
      <w:r>
        <w:rPr>
          <w:spacing w:val="-4"/>
        </w:rPr>
        <w:t>按全部薪酬所得所确定的基数（如达到当地规定的基数上限则按照上限）的</w:t>
      </w:r>
      <w:r>
        <w:rPr>
          <w:rFonts w:ascii="宋体" w:hAnsi="宋体" w:cs="宋体" w:eastAsia="宋体" w:hint="default"/>
          <w:spacing w:val="-4"/>
        </w:rPr>
        <w:t>20%</w:t>
      </w:r>
      <w:r>
        <w:rPr>
          <w:spacing w:val="-4"/>
        </w:rPr>
        <w:t>、</w:t>
      </w:r>
      <w:r>
        <w:rPr>
          <w:rFonts w:ascii="宋体" w:hAnsi="宋体" w:cs="宋体" w:eastAsia="宋体" w:hint="default"/>
          <w:spacing w:val="-4"/>
        </w:rPr>
        <w:t>1%</w:t>
      </w:r>
      <w:r>
        <w:rPr>
          <w:spacing w:val="-4"/>
        </w:rPr>
        <w:t>每月向该等计</w:t>
      </w:r>
      <w:r>
        <w:rPr>
          <w:spacing w:val="-28"/>
        </w:rPr>
        <w:t> </w:t>
      </w:r>
      <w:r>
        <w:rPr>
          <w:spacing w:val="-28"/>
        </w:rPr>
      </w:r>
      <w:r>
        <w:rPr>
          <w:spacing w:val="-2"/>
        </w:rPr>
        <w:t>划缴存费用。除上述每月缴存费用外，本公司不再承担进一步支付义务。相应的支出于发生时计</w:t>
      </w:r>
      <w:r>
        <w:rPr>
          <w:spacing w:val="-25"/>
        </w:rPr>
        <w:t> </w:t>
      </w:r>
      <w:r>
        <w:rPr>
          <w:spacing w:val="-25"/>
        </w:rPr>
      </w:r>
      <w:r>
        <w:rPr/>
        <w:t>入当期损益或相关资产的成本。</w:t>
      </w:r>
    </w:p>
    <w:p>
      <w:pPr>
        <w:spacing w:after="0" w:line="357" w:lineRule="auto"/>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40" w:lineRule="auto"/>
        <w:ind w:right="0"/>
        <w:jc w:val="left"/>
        <w:rPr>
          <w:b w:val="0"/>
          <w:bCs w:val="0"/>
        </w:rPr>
      </w:pPr>
      <w:r>
        <w:rPr>
          <w:rFonts w:ascii="宋体" w:hAnsi="宋体" w:cs="宋体" w:eastAsia="宋体" w:hint="default"/>
        </w:rPr>
        <w:t>32</w:t>
      </w:r>
      <w:r>
        <w:rPr/>
        <w:t>、</w:t>
      </w:r>
      <w:r>
        <w:rPr>
          <w:spacing w:val="-25"/>
        </w:rPr>
        <w:t> </w:t>
      </w:r>
      <w:r>
        <w:rPr/>
        <w:t>应交税费</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12,413,233.47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10,687,028.94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3,347,195.12</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1,400,039.41</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5,712,517.26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8,290,859.56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773,501.16</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697,336.47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706,404.87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654,075.16</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6,391,731.40</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6,856,663.16</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259,904.11</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421,460.30</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29,604,487.39</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29,007,463.00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pPr>
      <w:r>
        <w:rPr/>
        <w:t>其他说明：</w:t>
      </w:r>
    </w:p>
    <w:p>
      <w:pPr>
        <w:pStyle w:val="BodyText"/>
        <w:spacing w:line="273" w:lineRule="exact"/>
        <w:ind w:right="0"/>
        <w:jc w:val="left"/>
      </w:pPr>
      <w:r>
        <w:rPr>
          <w:w w:val="100"/>
        </w:rPr>
        <w:t>无</w:t>
      </w:r>
    </w:p>
    <w:p>
      <w:pPr>
        <w:pStyle w:val="Heading2"/>
        <w:spacing w:line="290" w:lineRule="auto" w:before="58"/>
        <w:ind w:right="-1"/>
        <w:jc w:val="left"/>
        <w:rPr>
          <w:b w:val="0"/>
          <w:bCs w:val="0"/>
        </w:rPr>
      </w:pPr>
      <w:r>
        <w:rPr>
          <w:rFonts w:ascii="宋体" w:hAnsi="宋体" w:cs="宋体" w:eastAsia="宋体" w:hint="default"/>
        </w:rPr>
        <w:t>33</w:t>
      </w:r>
      <w:r>
        <w:rPr/>
        <w:t>、</w:t>
      </w:r>
      <w:r>
        <w:rPr>
          <w:spacing w:val="-25"/>
        </w:rPr>
        <w:t> </w:t>
      </w:r>
      <w:r>
        <w:rPr/>
        <w:t>其他应付款</w:t>
      </w:r>
      <w:r>
        <w:rPr>
          <w:w w:val="100"/>
        </w:rPr>
        <w:t> </w:t>
      </w:r>
      <w:r>
        <w:rPr/>
        <w:t>总表情况</w:t>
      </w:r>
      <w:r>
        <w:rPr>
          <w:w w:val="100"/>
        </w:rPr>
        <w:t> </w:t>
      </w:r>
      <w:r>
        <w:rPr>
          <w:rFonts w:ascii="宋体" w:hAnsi="宋体" w:cs="宋体" w:eastAsia="宋体" w:hint="default"/>
        </w:rPr>
        <w:t>(1).</w:t>
      </w:r>
      <w:r>
        <w:rPr/>
        <w:t>分类列示</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20,914,405.38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15,378,562.28</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20,914,405.38</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15,378,562.28</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1463"/>
        <w:jc w:val="left"/>
      </w:pPr>
      <w:r>
        <w:rPr/>
        <w:t>其他说明：</w:t>
      </w:r>
    </w:p>
    <w:p>
      <w:pPr>
        <w:spacing w:line="290" w:lineRule="auto" w:before="0"/>
        <w:ind w:left="218" w:right="146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应付利息</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sz w:val="21"/>
          <w:szCs w:val="21"/>
        </w:rPr>
      </w:r>
    </w:p>
    <w:p>
      <w:pPr>
        <w:spacing w:line="290" w:lineRule="auto" w:before="12"/>
        <w:ind w:left="218" w:right="146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应付股利</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sz w:val="21"/>
          <w:szCs w:val="21"/>
        </w:rPr>
      </w:r>
    </w:p>
    <w:p>
      <w:pPr>
        <w:spacing w:line="290" w:lineRule="auto" w:before="14"/>
        <w:ind w:left="218" w:right="146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其他应付款</w:t>
      </w:r>
      <w:r>
        <w:rPr>
          <w:rFonts w:ascii="宋体" w:hAnsi="宋体" w:cs="宋体" w:eastAsia="宋体" w:hint="default"/>
          <w:sz w:val="21"/>
          <w:szCs w:val="21"/>
        </w:rPr>
      </w:r>
    </w:p>
    <w:p>
      <w:pPr>
        <w:pStyle w:val="Heading2"/>
        <w:spacing w:line="240" w:lineRule="auto" w:before="14"/>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12,151,987.64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10,505,937.98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专项经费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3,062,255.04</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1,208,633.45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535,017.28</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社保公积金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404,098.98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252,121.83</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代扣房租</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1,284,629.13</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996,291.59</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2,167,337.80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1,842,494.78</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635,463.34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1,246,698.82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20,914,405.38</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15,378,562.28</w:t>
            </w:r>
          </w:p>
        </w:tc>
      </w:tr>
    </w:tbl>
    <w:p>
      <w:pPr>
        <w:pStyle w:val="Heading2"/>
        <w:spacing w:line="240" w:lineRule="auto" w:before="26"/>
        <w:ind w:right="3319"/>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line="290" w:lineRule="auto" w:before="36"/>
        <w:ind w:left="218" w:right="7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持有待售负债</w:t>
      </w:r>
      <w:r>
        <w:rPr>
          <w:rFonts w:ascii="宋体" w:hAnsi="宋体" w:cs="宋体" w:eastAsia="宋体" w:hint="default"/>
          <w:sz w:val="21"/>
          <w:szCs w:val="21"/>
        </w:rPr>
      </w:r>
    </w:p>
    <w:p>
      <w:pPr>
        <w:pStyle w:val="BodyText"/>
        <w:spacing w:line="240" w:lineRule="auto" w:before="12"/>
        <w:ind w:right="3319"/>
        <w:jc w:val="left"/>
      </w:pPr>
      <w:r>
        <w:rPr/>
        <w:t>□适用</w:t>
      </w:r>
      <w:r>
        <w:rPr>
          <w:spacing w:val="-1"/>
        </w:rPr>
        <w:t> </w:t>
      </w:r>
      <w:r>
        <w:rPr/>
        <w:t>√不适用</w:t>
      </w:r>
    </w:p>
    <w:p>
      <w:pPr>
        <w:pStyle w:val="Heading2"/>
        <w:spacing w:line="240" w:lineRule="auto" w:before="58"/>
        <w:ind w:right="3319"/>
        <w:jc w:val="left"/>
        <w:rPr>
          <w:b w:val="0"/>
          <w:bCs w:val="0"/>
        </w:rPr>
      </w:pPr>
      <w:r>
        <w:rPr>
          <w:rFonts w:ascii="宋体" w:hAnsi="宋体" w:cs="宋体" w:eastAsia="宋体" w:hint="default"/>
        </w:rPr>
        <w:t>35</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spacing w:line="290" w:lineRule="auto" w:before="56"/>
        <w:ind w:left="218" w:right="72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其他流动负债</w:t>
      </w:r>
      <w:r>
        <w:rPr>
          <w:rFonts w:ascii="宋体" w:hAnsi="宋体" w:cs="宋体" w:eastAsia="宋体" w:hint="default"/>
          <w:b/>
          <w:bCs/>
          <w:w w:val="100"/>
          <w:sz w:val="21"/>
          <w:szCs w:val="21"/>
        </w:rPr>
        <w:t> </w:t>
      </w:r>
      <w:r>
        <w:rPr>
          <w:rFonts w:ascii="宋体" w:hAnsi="宋体" w:cs="宋体" w:eastAsia="宋体" w:hint="default"/>
          <w:sz w:val="21"/>
          <w:szCs w:val="21"/>
        </w:rPr>
        <w:t>其他流动负债情况</w:t>
      </w:r>
    </w:p>
    <w:p>
      <w:pPr>
        <w:pStyle w:val="BodyText"/>
        <w:tabs>
          <w:tab w:pos="1060" w:val="left" w:leader="none"/>
        </w:tabs>
        <w:spacing w:line="228" w:lineRule="exact"/>
        <w:ind w:right="3319"/>
        <w:jc w:val="left"/>
      </w:pPr>
      <w:r>
        <w:rPr>
          <w:spacing w:val="-1"/>
        </w:rPr>
        <w:t>□适用</w:t>
        <w:tab/>
      </w:r>
      <w:r>
        <w:rPr>
          <w:spacing w:val="-2"/>
        </w:rPr>
        <w:t>√不适用</w:t>
      </w:r>
    </w:p>
    <w:p>
      <w:pPr>
        <w:pStyle w:val="BodyText"/>
        <w:spacing w:line="272" w:lineRule="exact"/>
        <w:ind w:right="3319"/>
        <w:jc w:val="left"/>
      </w:pPr>
      <w:r>
        <w:rPr/>
        <w:t>短期应付债券的增减变动：</w:t>
      </w:r>
    </w:p>
    <w:p>
      <w:pPr>
        <w:pStyle w:val="BodyText"/>
        <w:spacing w:line="290" w:lineRule="auto"/>
        <w:ind w:right="7474"/>
        <w:jc w:val="left"/>
      </w:pPr>
      <w:r>
        <w:rPr/>
        <w:t>□适用</w:t>
      </w:r>
      <w:r>
        <w:rPr>
          <w:spacing w:val="-1"/>
        </w:rPr>
        <w:t> </w:t>
      </w:r>
      <w:r>
        <w:rPr/>
        <w:t>√不适用</w:t>
      </w:r>
      <w:r>
        <w:rPr>
          <w:w w:val="100"/>
        </w:rPr>
        <w:t> </w:t>
      </w:r>
      <w:r>
        <w:rPr/>
        <w:t>其他说明：</w:t>
      </w:r>
    </w:p>
    <w:p>
      <w:pPr>
        <w:spacing w:line="290" w:lineRule="auto" w:before="15"/>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长期借款</w:t>
      </w:r>
      <w:r>
        <w:rPr>
          <w:rFonts w:ascii="宋体" w:hAnsi="宋体" w:cs="宋体" w:eastAsia="宋体" w:hint="default"/>
          <w:sz w:val="21"/>
          <w:szCs w:val="21"/>
        </w:rPr>
      </w:r>
    </w:p>
    <w:p>
      <w:pPr>
        <w:pStyle w:val="Heading2"/>
        <w:spacing w:line="240" w:lineRule="auto" w:before="14"/>
        <w:ind w:right="3319"/>
        <w:jc w:val="left"/>
        <w:rPr>
          <w:b w:val="0"/>
          <w:bCs w:val="0"/>
        </w:rPr>
      </w:pPr>
      <w:r>
        <w:rPr>
          <w:rFonts w:ascii="宋体" w:hAnsi="宋体" w:cs="宋体" w:eastAsia="宋体" w:hint="default"/>
        </w:rPr>
        <w:t>(1). </w:t>
      </w:r>
      <w:r>
        <w:rPr/>
        <w:t>长期借款分类</w:t>
      </w:r>
      <w:r>
        <w:rPr>
          <w:b w:val="0"/>
          <w:bCs w:val="0"/>
        </w:rPr>
      </w:r>
    </w:p>
    <w:p>
      <w:pPr>
        <w:pStyle w:val="BodyText"/>
        <w:spacing w:line="240" w:lineRule="auto" w:before="56"/>
        <w:ind w:right="6323"/>
        <w:jc w:val="left"/>
      </w:pPr>
      <w:r>
        <w:rPr/>
        <w:t>□适用</w:t>
      </w:r>
      <w:r>
        <w:rPr>
          <w:spacing w:val="-2"/>
        </w:rPr>
        <w:t> </w:t>
      </w:r>
      <w:r>
        <w:rPr/>
        <w:t>√不适用</w:t>
      </w:r>
      <w:r>
        <w:rPr>
          <w:w w:val="100"/>
        </w:rPr>
        <w:t> </w:t>
      </w:r>
      <w:r>
        <w:rPr>
          <w:spacing w:val="-2"/>
        </w:rPr>
        <w:t>其他说明，包括利率区间：</w:t>
      </w:r>
    </w:p>
    <w:p>
      <w:pPr>
        <w:spacing w:line="290" w:lineRule="auto" w:before="0"/>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38</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应付债券</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pStyle w:val="Heading2"/>
        <w:spacing w:line="290" w:lineRule="auto" w:before="12"/>
        <w:ind w:right="936"/>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b w:val="0"/>
          <w:bCs w:val="0"/>
          <w:spacing w:val="-3"/>
          <w:w w:val="100"/>
        </w:rPr>
      </w:r>
    </w:p>
    <w:p>
      <w:pPr>
        <w:spacing w:line="290" w:lineRule="auto" w:before="12"/>
        <w:ind w:left="218" w:right="46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tabs>
          <w:tab w:pos="1060" w:val="left" w:leader="none"/>
        </w:tabs>
        <w:spacing w:line="290" w:lineRule="auto" w:before="12"/>
        <w:ind w:left="218" w:right="3809"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期末发行在外的优先股、永续债等其他金融工具基本情况</w:t>
      </w:r>
    </w:p>
    <w:p>
      <w:pPr>
        <w:pStyle w:val="BodyText"/>
        <w:spacing w:line="228" w:lineRule="exact"/>
        <w:ind w:right="3319"/>
        <w:jc w:val="left"/>
      </w:pPr>
      <w:r>
        <w:rPr/>
        <w:t>□适用</w:t>
      </w:r>
      <w:r>
        <w:rPr>
          <w:spacing w:val="-1"/>
        </w:rPr>
        <w:t> </w:t>
      </w:r>
      <w:r>
        <w:rPr/>
        <w:t>√不适用</w:t>
      </w:r>
    </w:p>
    <w:p>
      <w:pPr>
        <w:pStyle w:val="BodyText"/>
        <w:spacing w:line="272" w:lineRule="exact"/>
        <w:ind w:right="3319"/>
        <w:jc w:val="left"/>
      </w:pPr>
      <w:r>
        <w:rPr/>
        <w:t>期末发行在外的优先股、永续债等金融工具变动情况表</w:t>
      </w:r>
    </w:p>
    <w:p>
      <w:pPr>
        <w:pStyle w:val="BodyText"/>
        <w:spacing w:line="290" w:lineRule="auto"/>
        <w:ind w:right="4688"/>
        <w:jc w:val="left"/>
      </w:pPr>
      <w:r>
        <w:rPr/>
        <w:t>□适用</w:t>
      </w:r>
      <w:r>
        <w:rPr>
          <w:spacing w:val="-2"/>
        </w:rPr>
        <w:t> </w:t>
      </w:r>
      <w:r>
        <w:rPr/>
        <w:t>√不适用</w:t>
      </w:r>
      <w:r>
        <w:rPr>
          <w:w w:val="100"/>
        </w:rPr>
        <w:t> </w:t>
      </w:r>
      <w:r>
        <w:rPr>
          <w:spacing w:val="-2"/>
        </w:rPr>
        <w:t>其他金融工具划分为金融负债的依据说明：</w:t>
      </w:r>
    </w:p>
    <w:p>
      <w:pPr>
        <w:pStyle w:val="BodyText"/>
        <w:spacing w:line="290" w:lineRule="auto" w:before="14"/>
        <w:ind w:right="7474"/>
        <w:jc w:val="left"/>
      </w:pPr>
      <w:r>
        <w:rPr/>
        <w:t>□适用</w:t>
      </w:r>
      <w:r>
        <w:rPr>
          <w:spacing w:val="-1"/>
        </w:rPr>
        <w:t> </w:t>
      </w:r>
      <w:r>
        <w:rPr/>
        <w:t>√不适用</w:t>
      </w:r>
      <w:r>
        <w:rPr>
          <w:w w:val="100"/>
        </w:rPr>
        <w:t> </w:t>
      </w:r>
      <w:r>
        <w:rPr/>
        <w:t>其他说明：</w:t>
      </w:r>
    </w:p>
    <w:p>
      <w:pPr>
        <w:spacing w:line="290" w:lineRule="auto" w:before="14"/>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长期应付款</w:t>
      </w:r>
      <w:r>
        <w:rPr>
          <w:rFonts w:ascii="宋体" w:hAnsi="宋体" w:cs="宋体" w:eastAsia="宋体" w:hint="default"/>
          <w:b/>
          <w:bCs/>
          <w:w w:val="100"/>
          <w:sz w:val="21"/>
          <w:szCs w:val="21"/>
        </w:rPr>
        <w:t> </w:t>
      </w:r>
      <w:r>
        <w:rPr>
          <w:rFonts w:ascii="宋体" w:hAnsi="宋体" w:cs="宋体" w:eastAsia="宋体" w:hint="default"/>
          <w:b/>
          <w:bCs/>
          <w:sz w:val="21"/>
          <w:szCs w:val="21"/>
        </w:rPr>
        <w:t>总表情况</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sz w:val="21"/>
          <w:szCs w:val="21"/>
        </w:rPr>
      </w:r>
    </w:p>
    <w:p>
      <w:pPr>
        <w:pStyle w:val="BodyText"/>
        <w:spacing w:line="240" w:lineRule="auto" w:before="14"/>
        <w:ind w:right="3319"/>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309,371,381.14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381,285,581.14</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36"/>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309,371,381.14</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381,285,581.14</w:t>
            </w:r>
          </w:p>
        </w:tc>
      </w:tr>
    </w:tbl>
    <w:p>
      <w:pPr>
        <w:pStyle w:val="BodyText"/>
        <w:spacing w:line="239" w:lineRule="exact"/>
        <w:ind w:right="3319"/>
        <w:jc w:val="left"/>
      </w:pPr>
      <w:r>
        <w:rPr/>
        <w:t>其他说明：</w:t>
      </w:r>
    </w:p>
    <w:p>
      <w:pPr>
        <w:pStyle w:val="BodyText"/>
        <w:spacing w:line="240" w:lineRule="auto"/>
        <w:ind w:right="7474"/>
        <w:jc w:val="left"/>
      </w:pPr>
      <w:r>
        <w:rPr/>
        <w:t>√适用</w:t>
      </w:r>
      <w:r>
        <w:rPr>
          <w:spacing w:val="-1"/>
        </w:rPr>
        <w:t> </w:t>
      </w:r>
      <w:r>
        <w:rPr/>
        <w:t>□不适用</w:t>
      </w:r>
      <w:r>
        <w:rPr>
          <w:w w:val="100"/>
        </w:rPr>
        <w:t> </w:t>
      </w:r>
      <w:r>
        <w:rPr/>
        <w:t>无</w:t>
      </w:r>
    </w:p>
    <w:p>
      <w:pPr>
        <w:spacing w:after="0" w:line="240" w:lineRule="auto"/>
        <w:jc w:val="left"/>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120" w:right="620"/>
        </w:sectPr>
      </w:pPr>
    </w:p>
    <w:p>
      <w:pPr>
        <w:pStyle w:val="Heading2"/>
        <w:spacing w:line="290" w:lineRule="auto"/>
        <w:ind w:left="678" w:right="-17"/>
        <w:jc w:val="left"/>
        <w:rPr>
          <w:b w:val="0"/>
          <w:bCs w:val="0"/>
        </w:rPr>
      </w:pPr>
      <w:r>
        <w:rPr/>
        <w:t>长期应付款</w:t>
      </w:r>
      <w:r>
        <w:rPr>
          <w:w w:val="100"/>
        </w:rPr>
        <w:t> </w:t>
      </w:r>
      <w:r>
        <w:rPr>
          <w:rFonts w:ascii="宋体" w:hAnsi="宋体" w:cs="宋体" w:eastAsia="宋体" w:hint="default"/>
        </w:rPr>
        <w:t>(1).</w:t>
      </w:r>
      <w:r>
        <w:rPr/>
        <w:t>按款项性质列示长期应付款</w:t>
      </w:r>
      <w:r>
        <w:rPr>
          <w:b w:val="0"/>
          <w:bCs w:val="0"/>
        </w:rPr>
      </w:r>
    </w:p>
    <w:p>
      <w:pPr>
        <w:spacing w:line="290" w:lineRule="auto" w:before="12"/>
        <w:ind w:left="678" w:right="13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专项应付款</w:t>
      </w:r>
      <w:r>
        <w:rPr>
          <w:rFonts w:ascii="宋体" w:hAnsi="宋体" w:cs="宋体" w:eastAsia="宋体" w:hint="default"/>
          <w:sz w:val="21"/>
          <w:szCs w:val="21"/>
        </w:rPr>
      </w:r>
    </w:p>
    <w:p>
      <w:pPr>
        <w:pStyle w:val="Heading2"/>
        <w:spacing w:line="240" w:lineRule="auto" w:before="12"/>
        <w:ind w:left="678" w:right="-17"/>
        <w:jc w:val="left"/>
        <w:rPr>
          <w:b w:val="0"/>
          <w:bCs w:val="0"/>
        </w:rPr>
      </w:pPr>
      <w:r>
        <w:rPr>
          <w:rFonts w:ascii="宋体" w:hAnsi="宋体" w:cs="宋体" w:eastAsia="宋体" w:hint="default"/>
        </w:rPr>
        <w:t>(1).</w:t>
      </w:r>
      <w:r>
        <w:rPr/>
        <w:t>按款项性质列示专项应付款</w:t>
      </w:r>
      <w:r>
        <w:rPr>
          <w:b w:val="0"/>
          <w:bCs w:val="0"/>
        </w:rPr>
      </w:r>
    </w:p>
    <w:p>
      <w:pPr>
        <w:pStyle w:val="BodyText"/>
        <w:spacing w:line="240" w:lineRule="auto" w:before="58"/>
        <w:ind w:left="67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729" w:val="left" w:leader="none"/>
        </w:tabs>
        <w:spacing w:line="240" w:lineRule="auto" w:before="138"/>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620"/>
          <w:cols w:num="2" w:equalWidth="0">
            <w:col w:w="3635" w:space="2886"/>
            <w:col w:w="3649"/>
          </w:cols>
        </w:sectPr>
      </w:pPr>
    </w:p>
    <w:p>
      <w:pPr>
        <w:spacing w:line="240" w:lineRule="auto" w:before="7"/>
        <w:rPr>
          <w:rFonts w:ascii="宋体" w:hAnsi="宋体" w:cs="宋体" w:eastAsia="宋体" w:hint="default"/>
          <w:sz w:val="2"/>
          <w:szCs w:val="2"/>
        </w:rPr>
      </w:pPr>
    </w:p>
    <w:tbl>
      <w:tblPr>
        <w:tblW w:w="0" w:type="auto"/>
        <w:jc w:val="left"/>
        <w:tblInd w:w="277" w:type="dxa"/>
        <w:tblLayout w:type="fixed"/>
        <w:tblCellMar>
          <w:top w:w="0" w:type="dxa"/>
          <w:left w:w="0" w:type="dxa"/>
          <w:bottom w:w="0" w:type="dxa"/>
          <w:right w:w="0" w:type="dxa"/>
        </w:tblCellMar>
        <w:tblLook w:val="01E0"/>
      </w:tblPr>
      <w:tblGrid>
        <w:gridCol w:w="1896"/>
        <w:gridCol w:w="1769"/>
        <w:gridCol w:w="1592"/>
        <w:gridCol w:w="1697"/>
        <w:gridCol w:w="1769"/>
        <w:gridCol w:w="902"/>
      </w:tblGrid>
      <w:tr>
        <w:trPr>
          <w:trHeight w:val="554"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82"/>
              <w:jc w:val="right"/>
              <w:rPr>
                <w:rFonts w:ascii="宋体" w:hAnsi="宋体" w:cs="宋体" w:eastAsia="宋体" w:hint="default"/>
                <w:sz w:val="21"/>
                <w:szCs w:val="21"/>
              </w:rPr>
            </w:pPr>
            <w:r>
              <w:rPr>
                <w:rFonts w:ascii="宋体" w:hAnsi="宋体" w:cs="宋体" w:eastAsia="宋体" w:hint="default"/>
                <w:sz w:val="21"/>
                <w:szCs w:val="21"/>
              </w:rPr>
              <w:t>项目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5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形成原</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因</w:t>
            </w:r>
          </w:p>
        </w:tc>
      </w:tr>
      <w:tr>
        <w:trPr>
          <w:trHeight w:val="826"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多语种网站建设</w:t>
            </w:r>
          </w:p>
          <w:p>
            <w:pPr>
              <w:pStyle w:val="TableParagraph"/>
              <w:spacing w:line="272" w:lineRule="exact" w:before="27"/>
              <w:ind w:left="107" w:right="302"/>
              <w:jc w:val="left"/>
              <w:rPr>
                <w:rFonts w:ascii="宋体" w:hAnsi="宋体" w:cs="宋体" w:eastAsia="宋体" w:hint="default"/>
                <w:sz w:val="21"/>
                <w:szCs w:val="21"/>
              </w:rPr>
            </w:pPr>
            <w:r>
              <w:rPr>
                <w:rFonts w:ascii="宋体" w:hAnsi="宋体" w:cs="宋体" w:eastAsia="宋体" w:hint="default"/>
                <w:sz w:val="21"/>
                <w:szCs w:val="21"/>
              </w:rPr>
              <w:t>和海外访问提速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等项目</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6"/>
              <w:jc w:val="right"/>
              <w:rPr>
                <w:rFonts w:ascii="宋体" w:hAnsi="宋体" w:cs="宋体" w:eastAsia="宋体" w:hint="default"/>
                <w:sz w:val="21"/>
                <w:szCs w:val="21"/>
              </w:rPr>
            </w:pPr>
            <w:r>
              <w:rPr>
                <w:rFonts w:ascii="宋体"/>
                <w:spacing w:val="-1"/>
                <w:sz w:val="21"/>
              </w:rPr>
              <w:t>339,420,100.00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41,530,000.00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129,107,200.00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6"/>
              <w:jc w:val="right"/>
              <w:rPr>
                <w:rFonts w:ascii="宋体" w:hAnsi="宋体" w:cs="宋体" w:eastAsia="宋体" w:hint="default"/>
                <w:sz w:val="21"/>
                <w:szCs w:val="21"/>
              </w:rPr>
            </w:pPr>
            <w:r>
              <w:rPr>
                <w:rFonts w:ascii="宋体"/>
                <w:spacing w:val="-1"/>
                <w:sz w:val="21"/>
              </w:rPr>
              <w:t>251,842,900.00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tc>
      </w:tr>
      <w:tr>
        <w:trPr>
          <w:trHeight w:val="557"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全媒体产品数字</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加工云平台</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6"/>
              <w:jc w:val="right"/>
              <w:rPr>
                <w:rFonts w:ascii="宋体" w:hAnsi="宋体" w:cs="宋体" w:eastAsia="宋体" w:hint="default"/>
                <w:sz w:val="21"/>
                <w:szCs w:val="21"/>
              </w:rPr>
            </w:pPr>
            <w:r>
              <w:rPr>
                <w:rFonts w:ascii="宋体"/>
                <w:spacing w:val="-1"/>
                <w:sz w:val="21"/>
              </w:rPr>
              <w:t>38,260,000.00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13,463,000.00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6"/>
              <w:jc w:val="right"/>
              <w:rPr>
                <w:rFonts w:ascii="宋体" w:hAnsi="宋体" w:cs="宋体" w:eastAsia="宋体" w:hint="default"/>
                <w:sz w:val="21"/>
                <w:szCs w:val="21"/>
              </w:rPr>
            </w:pPr>
            <w:r>
              <w:rPr>
                <w:rFonts w:ascii="宋体"/>
                <w:spacing w:val="-1"/>
                <w:sz w:val="21"/>
              </w:rPr>
              <w:t>51,723,000.00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p>
        </w:tc>
      </w:tr>
      <w:tr>
        <w:trPr>
          <w:trHeight w:val="293"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76"/>
              <w:jc w:val="right"/>
              <w:rPr>
                <w:rFonts w:ascii="宋体" w:hAnsi="宋体" w:cs="宋体" w:eastAsia="宋体" w:hint="default"/>
                <w:sz w:val="21"/>
                <w:szCs w:val="21"/>
              </w:rPr>
            </w:pPr>
            <w:r>
              <w:rPr>
                <w:rFonts w:ascii="宋体"/>
                <w:spacing w:val="-1"/>
                <w:sz w:val="21"/>
              </w:rPr>
              <w:t>3,605,481.14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2,200,000.00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76"/>
              <w:jc w:val="right"/>
              <w:rPr>
                <w:rFonts w:ascii="宋体" w:hAnsi="宋体" w:cs="宋体" w:eastAsia="宋体" w:hint="default"/>
                <w:sz w:val="21"/>
                <w:szCs w:val="21"/>
              </w:rPr>
            </w:pPr>
            <w:r>
              <w:rPr>
                <w:rFonts w:ascii="宋体"/>
                <w:spacing w:val="-1"/>
                <w:sz w:val="21"/>
              </w:rPr>
              <w:t>5,805,481.14</w:t>
            </w:r>
          </w:p>
        </w:tc>
        <w:tc>
          <w:tcPr>
            <w:tcW w:w="902"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82"/>
              <w:jc w:val="right"/>
              <w:rPr>
                <w:rFonts w:ascii="宋体" w:hAnsi="宋体" w:cs="宋体" w:eastAsia="宋体" w:hint="default"/>
                <w:sz w:val="21"/>
                <w:szCs w:val="21"/>
              </w:rPr>
            </w:pPr>
            <w:r>
              <w:rPr>
                <w:rFonts w:ascii="宋体" w:hAnsi="宋体" w:cs="宋体" w:eastAsia="宋体" w:hint="default"/>
                <w:sz w:val="21"/>
                <w:szCs w:val="21"/>
              </w:rPr>
              <w:t>合计</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6"/>
              <w:jc w:val="right"/>
              <w:rPr>
                <w:rFonts w:ascii="宋体" w:hAnsi="宋体" w:cs="宋体" w:eastAsia="宋体" w:hint="default"/>
                <w:sz w:val="21"/>
                <w:szCs w:val="21"/>
              </w:rPr>
            </w:pPr>
            <w:r>
              <w:rPr>
                <w:rFonts w:ascii="宋体"/>
                <w:spacing w:val="-1"/>
                <w:sz w:val="21"/>
              </w:rPr>
              <w:t>381,285,581.14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57,193,000.00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sz w:val="21"/>
              </w:rPr>
              <w:t>129,107,200.00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76"/>
              <w:jc w:val="right"/>
              <w:rPr>
                <w:rFonts w:ascii="宋体" w:hAnsi="宋体" w:cs="宋体" w:eastAsia="宋体" w:hint="default"/>
                <w:sz w:val="21"/>
                <w:szCs w:val="21"/>
              </w:rPr>
            </w:pPr>
            <w:r>
              <w:rPr>
                <w:rFonts w:ascii="宋体"/>
                <w:spacing w:val="-1"/>
                <w:sz w:val="21"/>
              </w:rPr>
              <w:t>309,371,381.14</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0" w:lineRule="auto" w:before="26"/>
        <w:ind w:left="678" w:right="0"/>
        <w:jc w:val="left"/>
      </w:pPr>
      <w:r>
        <w:rPr/>
        <w:t>其他说明：</w:t>
      </w:r>
    </w:p>
    <w:p>
      <w:pPr>
        <w:pStyle w:val="BodyText"/>
        <w:spacing w:line="355" w:lineRule="auto" w:before="56"/>
        <w:ind w:left="678" w:right="0" w:firstLine="419"/>
        <w:jc w:val="left"/>
      </w:pPr>
      <w:r>
        <w:rPr>
          <w:spacing w:val="-2"/>
        </w:rPr>
        <w:t>（</w:t>
      </w:r>
      <w:r>
        <w:rPr>
          <w:rFonts w:ascii="宋体" w:hAnsi="宋体" w:cs="宋体" w:eastAsia="宋体" w:hint="default"/>
          <w:spacing w:val="-2"/>
        </w:rPr>
        <w:t>1</w:t>
      </w:r>
      <w:r>
        <w:rPr>
          <w:spacing w:val="-2"/>
        </w:rPr>
        <w:t>）根据财政部下发的财文</w:t>
      </w:r>
      <w:r>
        <w:rPr>
          <w:rFonts w:ascii="宋体" w:hAnsi="宋体" w:cs="宋体" w:eastAsia="宋体" w:hint="default"/>
          <w:spacing w:val="-2"/>
        </w:rPr>
        <w:t>[2018]14</w:t>
      </w:r>
      <w:r>
        <w:rPr>
          <w:rFonts w:ascii="宋体" w:hAnsi="宋体" w:cs="宋体" w:eastAsia="宋体" w:hint="default"/>
        </w:rPr>
        <w:t> </w:t>
      </w:r>
      <w:r>
        <w:rPr>
          <w:spacing w:val="-2"/>
        </w:rPr>
        <w:t>号等文件，本公司承担“多语种网站建设和海外访问</w:t>
      </w:r>
      <w:r>
        <w:rPr>
          <w:w w:val="100"/>
        </w:rPr>
        <w:t> </w:t>
      </w:r>
      <w:r>
        <w:rPr/>
        <w:t>提速等”项目。该项目于本年部分完成并结项，结转递延收益</w:t>
      </w:r>
      <w:r>
        <w:rPr>
          <w:spacing w:val="-55"/>
        </w:rPr>
        <w:t> </w:t>
      </w:r>
      <w:r>
        <w:rPr>
          <w:rFonts w:ascii="宋体" w:hAnsi="宋体" w:cs="宋体" w:eastAsia="宋体" w:hint="default"/>
        </w:rPr>
        <w:t>12,910.72</w:t>
      </w:r>
      <w:r>
        <w:rPr>
          <w:rFonts w:ascii="宋体" w:hAnsi="宋体" w:cs="宋体" w:eastAsia="宋体" w:hint="default"/>
          <w:spacing w:val="-55"/>
        </w:rPr>
        <w:t> </w:t>
      </w:r>
      <w:r>
        <w:rPr/>
        <w:t>万元。</w:t>
      </w:r>
    </w:p>
    <w:p>
      <w:pPr>
        <w:pStyle w:val="BodyText"/>
        <w:spacing w:line="240" w:lineRule="auto" w:before="34"/>
        <w:ind w:left="1098" w:right="0"/>
        <w:jc w:val="left"/>
      </w:pPr>
      <w:r>
        <w:rPr/>
        <w:t>（</w:t>
      </w:r>
      <w:r>
        <w:rPr>
          <w:rFonts w:ascii="宋体" w:hAnsi="宋体" w:cs="宋体" w:eastAsia="宋体" w:hint="default"/>
        </w:rPr>
        <w:t>2</w:t>
      </w:r>
      <w:r>
        <w:rPr/>
        <w:t>）根据中宣部及新华社的有关批复，本公司承担“全媒体产品数字加工云平台”项目。</w:t>
      </w:r>
    </w:p>
    <w:p>
      <w:pPr>
        <w:spacing w:line="240" w:lineRule="auto" w:before="0"/>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20" w:bottom="1380" w:left="1120" w:right="620"/>
        </w:sectPr>
      </w:pPr>
    </w:p>
    <w:p>
      <w:pPr>
        <w:pStyle w:val="Heading2"/>
        <w:spacing w:line="240" w:lineRule="auto"/>
        <w:ind w:left="678" w:right="-18"/>
        <w:jc w:val="left"/>
        <w:rPr>
          <w:b w:val="0"/>
          <w:bCs w:val="0"/>
        </w:rPr>
      </w:pPr>
      <w:r>
        <w:rPr>
          <w:rFonts w:ascii="宋体" w:hAnsi="宋体" w:cs="宋体" w:eastAsia="宋体" w:hint="default"/>
        </w:rPr>
        <w:t>40</w:t>
      </w:r>
      <w:r>
        <w:rPr/>
        <w:t>、</w:t>
      </w:r>
      <w:r>
        <w:rPr>
          <w:spacing w:val="-24"/>
        </w:rPr>
        <w:t> </w:t>
      </w:r>
      <w:r>
        <w:rPr/>
        <w:t>长期应付职工薪酬</w:t>
      </w:r>
      <w:r>
        <w:rPr>
          <w:b w:val="0"/>
          <w:bCs w:val="0"/>
        </w:rPr>
      </w:r>
    </w:p>
    <w:p>
      <w:pPr>
        <w:spacing w:line="290" w:lineRule="auto" w:before="56"/>
        <w:ind w:left="678" w:right="5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41</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90" w:lineRule="auto" w:before="12"/>
        <w:ind w:left="678" w:right="5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递延收益</w:t>
      </w:r>
      <w:r>
        <w:rPr>
          <w:rFonts w:ascii="宋体" w:hAnsi="宋体" w:cs="宋体" w:eastAsia="宋体" w:hint="default"/>
          <w:b/>
          <w:bCs/>
          <w:w w:val="100"/>
          <w:sz w:val="21"/>
          <w:szCs w:val="21"/>
        </w:rPr>
        <w:t> </w:t>
      </w:r>
      <w:r>
        <w:rPr>
          <w:rFonts w:ascii="宋体" w:hAnsi="宋体" w:cs="宋体" w:eastAsia="宋体" w:hint="default"/>
          <w:sz w:val="21"/>
          <w:szCs w:val="21"/>
        </w:rPr>
        <w:t>递延收益情况</w:t>
      </w:r>
    </w:p>
    <w:p>
      <w:pPr>
        <w:pStyle w:val="BodyText"/>
        <w:tabs>
          <w:tab w:pos="1520" w:val="left" w:leader="none"/>
        </w:tabs>
        <w:spacing w:line="229" w:lineRule="exact"/>
        <w:ind w:left="67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729" w:val="left" w:leader="none"/>
        </w:tabs>
        <w:spacing w:line="240" w:lineRule="auto" w:before="148"/>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620"/>
          <w:cols w:num="2" w:equalWidth="0">
            <w:col w:w="2872" w:space="3650"/>
            <w:col w:w="364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19"/>
        <w:gridCol w:w="1695"/>
        <w:gridCol w:w="1697"/>
        <w:gridCol w:w="1591"/>
        <w:gridCol w:w="1697"/>
        <w:gridCol w:w="1524"/>
      </w:tblGrid>
      <w:tr>
        <w:trPr>
          <w:trHeight w:val="34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641"/>
              <w:jc w:val="right"/>
              <w:rPr>
                <w:rFonts w:ascii="宋体" w:hAnsi="宋体" w:cs="宋体" w:eastAsia="宋体" w:hint="default"/>
                <w:sz w:val="21"/>
                <w:szCs w:val="21"/>
              </w:rPr>
            </w:pPr>
            <w:r>
              <w:rPr>
                <w:rFonts w:ascii="宋体" w:hAnsi="宋体" w:cs="宋体" w:eastAsia="宋体" w:hint="default"/>
                <w:sz w:val="21"/>
                <w:szCs w:val="21"/>
              </w:rPr>
              <w:t>项目</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35"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147,093,824.18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133,247,200.00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43,814,628.19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236,526,395.99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41"/>
              <w:jc w:val="right"/>
              <w:rPr>
                <w:rFonts w:ascii="宋体" w:hAnsi="宋体" w:cs="宋体" w:eastAsia="宋体" w:hint="default"/>
                <w:sz w:val="21"/>
                <w:szCs w:val="21"/>
              </w:rPr>
            </w:pPr>
            <w:r>
              <w:rPr>
                <w:rFonts w:ascii="宋体" w:hAnsi="宋体" w:cs="宋体" w:eastAsia="宋体" w:hint="default"/>
                <w:sz w:val="21"/>
                <w:szCs w:val="21"/>
              </w:rPr>
              <w:t>合计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147,093,824.18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133,247,200.00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43,814,628.19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236,526,395.99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1120" w:right="620"/>
        </w:sectPr>
      </w:pPr>
    </w:p>
    <w:p>
      <w:pPr>
        <w:pStyle w:val="BodyText"/>
        <w:spacing w:line="240" w:lineRule="auto" w:before="26"/>
        <w:ind w:left="678" w:right="0"/>
        <w:jc w:val="left"/>
      </w:pPr>
      <w:r>
        <w:rPr>
          <w:spacing w:val="-2"/>
        </w:rPr>
        <w:t>涉及政府补助的项目：</w:t>
      </w:r>
    </w:p>
    <w:p>
      <w:pPr>
        <w:pStyle w:val="BodyText"/>
        <w:spacing w:line="240" w:lineRule="auto" w:before="56"/>
        <w:ind w:left="67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729" w:val="left" w:leader="none"/>
        </w:tabs>
        <w:spacing w:line="240" w:lineRule="auto" w:before="168"/>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620"/>
          <w:cols w:num="2" w:equalWidth="0">
            <w:col w:w="2781" w:space="3740"/>
            <w:col w:w="3649"/>
          </w:cols>
        </w:sectPr>
      </w:pP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2331"/>
        <w:gridCol w:w="1640"/>
        <w:gridCol w:w="1697"/>
        <w:gridCol w:w="1591"/>
        <w:gridCol w:w="1695"/>
        <w:gridCol w:w="955"/>
      </w:tblGrid>
      <w:tr>
        <w:trPr>
          <w:trHeight w:val="1099"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9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736" w:right="103" w:hanging="629"/>
              <w:jc w:val="left"/>
              <w:rPr>
                <w:rFonts w:ascii="宋体" w:hAnsi="宋体" w:cs="宋体" w:eastAsia="宋体" w:hint="default"/>
                <w:sz w:val="21"/>
                <w:szCs w:val="21"/>
              </w:rPr>
            </w:pPr>
            <w:r>
              <w:rPr>
                <w:rFonts w:ascii="宋体" w:hAnsi="宋体" w:cs="宋体" w:eastAsia="宋体" w:hint="default"/>
                <w:sz w:val="21"/>
                <w:szCs w:val="21"/>
              </w:rPr>
              <w:t>本期新增补助金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67" w:right="158" w:hanging="209"/>
              <w:jc w:val="left"/>
              <w:rPr>
                <w:rFonts w:ascii="宋体" w:hAnsi="宋体" w:cs="宋体" w:eastAsia="宋体" w:hint="default"/>
                <w:sz w:val="21"/>
                <w:szCs w:val="21"/>
              </w:rPr>
            </w:pPr>
            <w:r>
              <w:rPr>
                <w:rFonts w:ascii="宋体" w:hAnsi="宋体" w:cs="宋体" w:eastAsia="宋体" w:hint="default"/>
                <w:sz w:val="21"/>
                <w:szCs w:val="21"/>
              </w:rPr>
              <w:t>本期计入其他</w:t>
            </w:r>
            <w:r>
              <w:rPr>
                <w:rFonts w:ascii="宋体" w:hAnsi="宋体" w:cs="宋体" w:eastAsia="宋体" w:hint="default"/>
                <w:w w:val="100"/>
                <w:sz w:val="21"/>
                <w:szCs w:val="21"/>
              </w:rPr>
              <w:t> </w:t>
            </w:r>
            <w:r>
              <w:rPr>
                <w:rFonts w:ascii="宋体" w:hAnsi="宋体" w:cs="宋体" w:eastAsia="宋体" w:hint="default"/>
                <w:sz w:val="21"/>
                <w:szCs w:val="21"/>
              </w:rPr>
              <w:t>收益金额</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hanging="53"/>
              <w:jc w:val="both"/>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37" w:lineRule="auto" w:before="2"/>
              <w:ind w:left="155" w:right="155" w:firstLine="52"/>
              <w:jc w:val="both"/>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557"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多语种网站建设和海外</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访问提速等</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68,880,000.00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129,107,200.00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29,925,958.23</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168,061,241.77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文化产业发展专项资金</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宋体" w:hAnsi="宋体" w:cs="宋体" w:eastAsia="宋体" w:hint="default"/>
                <w:sz w:val="21"/>
                <w:szCs w:val="21"/>
              </w:rPr>
            </w:pPr>
            <w:r>
              <w:rPr>
                <w:rFonts w:ascii="宋体"/>
                <w:spacing w:val="-1"/>
                <w:sz w:val="21"/>
              </w:rPr>
              <w:t>46,556,060.42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pacing w:val="-1"/>
                <w:sz w:val="21"/>
              </w:rPr>
              <w:t>3,000,000.00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sz w:val="21"/>
              </w:rPr>
              <w:t>5,606,529.16</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宋体" w:hAnsi="宋体" w:cs="宋体" w:eastAsia="宋体" w:hint="default"/>
                <w:sz w:val="21"/>
                <w:szCs w:val="21"/>
              </w:rPr>
            </w:pPr>
            <w:r>
              <w:rPr>
                <w:rFonts w:ascii="宋体"/>
                <w:spacing w:val="-1"/>
                <w:sz w:val="21"/>
              </w:rPr>
              <w:t>43,949,531.26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555"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信息发布平台和内容管</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理平台系统项目</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7,866,400.00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sz w:val="21"/>
              </w:rPr>
              <w:t>1,966,600.00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宋体" w:hAnsi="宋体" w:cs="宋体" w:eastAsia="宋体" w:hint="default"/>
                <w:sz w:val="21"/>
                <w:szCs w:val="21"/>
              </w:rPr>
            </w:pPr>
            <w:r>
              <w:rPr>
                <w:rFonts w:ascii="宋体"/>
                <w:spacing w:val="-1"/>
                <w:sz w:val="21"/>
              </w:rPr>
              <w:t>5,899,800.00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bl>
    <w:p>
      <w:pPr>
        <w:spacing w:after="0" w:line="273" w:lineRule="exact"/>
        <w:jc w:val="center"/>
        <w:rPr>
          <w:rFonts w:ascii="宋体" w:hAnsi="宋体" w:cs="宋体" w:eastAsia="宋体" w:hint="default"/>
          <w:sz w:val="21"/>
          <w:szCs w:val="21"/>
        </w:rPr>
        <w:sectPr>
          <w:type w:val="continuous"/>
          <w:pgSz w:w="11910" w:h="16840"/>
          <w:pgMar w:top="1120" w:bottom="1380" w:left="1120" w:right="6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2331"/>
        <w:gridCol w:w="1640"/>
        <w:gridCol w:w="1697"/>
        <w:gridCol w:w="1591"/>
        <w:gridCol w:w="1695"/>
        <w:gridCol w:w="955"/>
      </w:tblGrid>
      <w:tr>
        <w:trPr>
          <w:trHeight w:val="557"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sz w:val="21"/>
                <w:szCs w:val="21"/>
              </w:rPr>
              <w:t>园区搬迁</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9,255,000.00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5"/>
              <w:jc w:val="right"/>
              <w:rPr>
                <w:rFonts w:ascii="宋体" w:hAnsi="宋体" w:cs="宋体" w:eastAsia="宋体" w:hint="default"/>
                <w:sz w:val="21"/>
                <w:szCs w:val="21"/>
              </w:rPr>
            </w:pPr>
            <w:r>
              <w:rPr>
                <w:rFonts w:ascii="宋体"/>
                <w:spacing w:val="-1"/>
                <w:sz w:val="21"/>
              </w:rPr>
              <w:t>3,702,000.00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4"/>
              <w:jc w:val="right"/>
              <w:rPr>
                <w:rFonts w:ascii="宋体" w:hAnsi="宋体" w:cs="宋体" w:eastAsia="宋体" w:hint="default"/>
                <w:sz w:val="21"/>
                <w:szCs w:val="21"/>
              </w:rPr>
            </w:pPr>
            <w:r>
              <w:rPr>
                <w:rFonts w:ascii="宋体"/>
                <w:spacing w:val="-1"/>
                <w:sz w:val="21"/>
              </w:rPr>
              <w:t>5,553,000.00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0"/>
              <w:jc w:val="left"/>
              <w:rPr>
                <w:rFonts w:ascii="宋体" w:hAnsi="宋体" w:cs="宋体" w:eastAsia="宋体" w:hint="default"/>
                <w:sz w:val="21"/>
                <w:szCs w:val="21"/>
              </w:rPr>
            </w:pPr>
            <w:r>
              <w:rPr>
                <w:rFonts w:ascii="宋体" w:hAnsi="宋体" w:cs="宋体" w:eastAsia="宋体" w:hint="default"/>
                <w:sz w:val="21"/>
                <w:szCs w:val="21"/>
              </w:rPr>
              <w:t>北京市文创资金</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pacing w:val="-1"/>
                <w:sz w:val="21"/>
              </w:rPr>
              <w:t>5,600,000.00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5"/>
              <w:jc w:val="right"/>
              <w:rPr>
                <w:rFonts w:ascii="宋体" w:hAnsi="宋体" w:cs="宋体" w:eastAsia="宋体" w:hint="default"/>
                <w:sz w:val="21"/>
                <w:szCs w:val="21"/>
              </w:rPr>
            </w:pPr>
            <w:r>
              <w:rPr>
                <w:rFonts w:ascii="宋体"/>
                <w:spacing w:val="-1"/>
                <w:sz w:val="21"/>
              </w:rPr>
              <w:t>1,400,000.00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宋体" w:hAnsi="宋体" w:cs="宋体" w:eastAsia="宋体" w:hint="default"/>
                <w:sz w:val="21"/>
                <w:szCs w:val="21"/>
              </w:rPr>
            </w:pPr>
            <w:r>
              <w:rPr>
                <w:rFonts w:ascii="宋体"/>
                <w:spacing w:val="-1"/>
                <w:sz w:val="21"/>
              </w:rPr>
              <w:t>4,200,000.00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国家科技支撑计划项目</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3,736,363.76</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934,090.96</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2,802,272.80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“熊猫社区”项目</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3,600,000.00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3,600,000.00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科技创新中心建设宣传</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1,600,000.00</w:t>
            </w:r>
          </w:p>
        </w:tc>
        <w:tc>
          <w:tcPr>
            <w:tcW w:w="16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1,600,000.00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江苏省艺术基金专项经</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6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840,000.00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279,449.84</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560,550.16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555"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建邺区文化产业发展专</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项资金</w:t>
            </w:r>
          </w:p>
        </w:tc>
        <w:tc>
          <w:tcPr>
            <w:tcW w:w="1640"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300,000.00</w:t>
            </w:r>
          </w:p>
        </w:tc>
        <w:tc>
          <w:tcPr>
            <w:tcW w:w="1591"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300,000.00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与收益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相关</w:t>
            </w:r>
          </w:p>
        </w:tc>
      </w:tr>
      <w:tr>
        <w:trPr>
          <w:trHeight w:val="557" w:hRule="exact"/>
        </w:trPr>
        <w:tc>
          <w:tcPr>
            <w:tcW w:w="2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147,093,824.1</w:t>
            </w:r>
          </w:p>
          <w:p>
            <w:pPr>
              <w:pStyle w:val="TableParagraph"/>
              <w:spacing w:line="274" w:lineRule="exact"/>
              <w:ind w:right="107"/>
              <w:jc w:val="right"/>
              <w:rPr>
                <w:rFonts w:ascii="宋体" w:hAnsi="宋体" w:cs="宋体" w:eastAsia="宋体" w:hint="default"/>
                <w:sz w:val="21"/>
                <w:szCs w:val="21"/>
              </w:rPr>
            </w:pPr>
            <w:r>
              <w:rPr>
                <w:rFonts w:ascii="宋体"/>
                <w:w w:val="100"/>
                <w:sz w:val="21"/>
              </w:rPr>
              <w:t>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133,247,200.00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43,814,628.19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spacing w:val="-1"/>
                <w:sz w:val="21"/>
              </w:rPr>
              <w:t>236,526,395.99</w:t>
            </w:r>
          </w:p>
        </w:tc>
        <w:tc>
          <w:tcPr>
            <w:tcW w:w="9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658" w:right="0"/>
        <w:jc w:val="left"/>
      </w:pPr>
      <w:r>
        <w:rPr/>
        <w:t>其他说明：</w:t>
      </w:r>
    </w:p>
    <w:p>
      <w:pPr>
        <w:pStyle w:val="BodyText"/>
        <w:spacing w:line="240" w:lineRule="auto" w:before="56"/>
        <w:ind w:left="658" w:right="0"/>
        <w:jc w:val="left"/>
      </w:pPr>
      <w:r>
        <w:rPr/>
        <w:t>√适用</w:t>
      </w:r>
      <w:r>
        <w:rPr>
          <w:spacing w:val="-1"/>
        </w:rPr>
        <w:t> </w:t>
      </w:r>
      <w:r>
        <w:rPr/>
        <w:t>□不适用</w:t>
      </w:r>
    </w:p>
    <w:p>
      <w:pPr>
        <w:pStyle w:val="BodyText"/>
        <w:spacing w:line="357" w:lineRule="auto" w:before="56"/>
        <w:ind w:left="658" w:right="648" w:firstLine="419"/>
        <w:jc w:val="both"/>
      </w:pPr>
      <w:r>
        <w:rPr>
          <w:spacing w:val="-4"/>
          <w:w w:val="100"/>
        </w:rPr>
        <w:t>（</w:t>
      </w:r>
      <w:r>
        <w:rPr>
          <w:rFonts w:ascii="宋体" w:hAnsi="宋体" w:cs="宋体" w:eastAsia="宋体" w:hint="default"/>
          <w:spacing w:val="-4"/>
          <w:w w:val="100"/>
        </w:rPr>
        <w:t>1</w:t>
      </w:r>
      <w:r>
        <w:rPr>
          <w:spacing w:val="-4"/>
          <w:w w:val="100"/>
        </w:rPr>
        <w:t>）“多语种网站建设和海外访问提速等”及“园区搬迁”为财政部按照有关文件拨付的专</w:t>
      </w:r>
      <w:r>
        <w:rPr>
          <w:w w:val="100"/>
        </w:rPr>
        <w:t> </w:t>
      </w:r>
      <w:r>
        <w:rPr/>
        <w:t>项资金。于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日，其中部分项目已结项，相关项目资金归本公司所有。</w:t>
      </w:r>
    </w:p>
    <w:p>
      <w:pPr>
        <w:pStyle w:val="BodyText"/>
        <w:spacing w:line="240" w:lineRule="auto" w:before="30"/>
        <w:ind w:left="1078" w:right="0"/>
        <w:jc w:val="left"/>
      </w:pPr>
      <w:r>
        <w:rPr/>
        <w:t>（</w:t>
      </w:r>
      <w:r>
        <w:rPr>
          <w:rFonts w:ascii="宋体" w:hAnsi="宋体" w:cs="宋体" w:eastAsia="宋体" w:hint="default"/>
        </w:rPr>
        <w:t>2</w:t>
      </w:r>
      <w:r>
        <w:rPr/>
        <w:t>）“文化产业发展专项资金”为财政部及新华社按照有关文件批复拨付的项目补助。</w:t>
      </w:r>
    </w:p>
    <w:p>
      <w:pPr>
        <w:pStyle w:val="BodyText"/>
        <w:spacing w:line="357" w:lineRule="auto" w:before="133"/>
        <w:ind w:left="658" w:right="648" w:firstLine="419"/>
        <w:jc w:val="both"/>
      </w:pPr>
      <w:r>
        <w:rPr>
          <w:spacing w:val="-4"/>
        </w:rPr>
        <w:t>（</w:t>
      </w:r>
      <w:r>
        <w:rPr>
          <w:rFonts w:ascii="宋体" w:hAnsi="宋体" w:cs="宋体" w:eastAsia="宋体" w:hint="default"/>
          <w:spacing w:val="-4"/>
        </w:rPr>
        <w:t>3</w:t>
      </w:r>
      <w:r>
        <w:rPr>
          <w:spacing w:val="-4"/>
        </w:rPr>
        <w:t>）“江苏省艺术基金专项经费”为江苏省财政厅、文化厅按照《江苏省艺术基金使用和管</w:t>
      </w:r>
      <w:r>
        <w:rPr>
          <w:w w:val="100"/>
        </w:rPr>
        <w:t> </w:t>
      </w:r>
      <w:r>
        <w:rPr/>
        <w:t>理办法》（苏财规</w:t>
      </w:r>
      <w:r>
        <w:rPr>
          <w:rFonts w:ascii="宋体" w:hAnsi="宋体" w:cs="宋体" w:eastAsia="宋体" w:hint="default"/>
        </w:rPr>
        <w:t>[2016]32</w:t>
      </w:r>
      <w:r>
        <w:rPr>
          <w:rFonts w:ascii="宋体" w:hAnsi="宋体" w:cs="宋体" w:eastAsia="宋体" w:hint="default"/>
          <w:spacing w:val="-57"/>
        </w:rPr>
        <w:t> </w:t>
      </w:r>
      <w:r>
        <w:rPr/>
        <w:t>号）规定拨付的“‘飞阅’江苏</w:t>
      </w:r>
      <w:r>
        <w:rPr>
          <w:rFonts w:ascii="宋体" w:hAnsi="宋体" w:cs="宋体" w:eastAsia="宋体" w:hint="default"/>
        </w:rPr>
        <w:t>-</w:t>
      </w:r>
      <w:r>
        <w:rPr/>
        <w:t>新华网无人机航拍文化作品国际巡</w:t>
      </w:r>
      <w:r>
        <w:rPr>
          <w:w w:val="100"/>
        </w:rPr>
        <w:t> </w:t>
      </w:r>
      <w:r>
        <w:rPr/>
        <w:t>展”专项扶持资金。</w:t>
      </w:r>
    </w:p>
    <w:p>
      <w:pPr>
        <w:pStyle w:val="BodyText"/>
        <w:spacing w:line="355" w:lineRule="auto" w:before="30"/>
        <w:ind w:left="658" w:right="662" w:firstLine="419"/>
        <w:jc w:val="both"/>
      </w:pPr>
      <w:r>
        <w:rPr/>
        <w:t>（</w:t>
      </w:r>
      <w:r>
        <w:rPr>
          <w:rFonts w:ascii="宋体" w:hAnsi="宋体" w:cs="宋体" w:eastAsia="宋体" w:hint="default"/>
        </w:rPr>
        <w:t>4</w:t>
      </w:r>
      <w:r>
        <w:rPr/>
        <w:t>）“建邺区文化产业发展专项资金”</w:t>
      </w:r>
      <w:r>
        <w:rPr>
          <w:spacing w:val="-7"/>
        </w:rPr>
        <w:t> </w:t>
      </w:r>
      <w:r>
        <w:rPr/>
        <w:t>为中共建邺区委宣传部按照《建邺区关于扶持文化</w:t>
      </w:r>
      <w:r>
        <w:rPr>
          <w:w w:val="100"/>
        </w:rPr>
        <w:t> </w:t>
      </w:r>
      <w:r>
        <w:rPr/>
        <w:t>产业发展的暂行办法》（建政办发</w:t>
      </w:r>
      <w:r>
        <w:rPr>
          <w:rFonts w:ascii="宋体" w:hAnsi="宋体" w:cs="宋体" w:eastAsia="宋体" w:hint="default"/>
        </w:rPr>
        <w:t>[2016]41</w:t>
      </w:r>
      <w:r>
        <w:rPr>
          <w:rFonts w:ascii="宋体" w:hAnsi="宋体" w:cs="宋体" w:eastAsia="宋体" w:hint="default"/>
          <w:spacing w:val="-59"/>
        </w:rPr>
        <w:t> </w:t>
      </w:r>
      <w:r>
        <w:rPr/>
        <w:t>号）规定拨付的“互联网</w:t>
      </w:r>
      <w:r>
        <w:rPr>
          <w:rFonts w:ascii="宋体" w:hAnsi="宋体" w:cs="宋体" w:eastAsia="宋体" w:hint="default"/>
        </w:rPr>
        <w:t>+</w:t>
      </w:r>
      <w:r>
        <w:rPr/>
        <w:t>江苏特色小镇展会建设项</w:t>
      </w:r>
      <w:r>
        <w:rPr>
          <w:w w:val="100"/>
        </w:rPr>
        <w:t> </w:t>
      </w:r>
      <w:r>
        <w:rPr/>
        <w:t>目”专项扶持资金。</w:t>
      </w:r>
    </w:p>
    <w:p>
      <w:pPr>
        <w:spacing w:after="0" w:line="355" w:lineRule="auto"/>
        <w:jc w:val="both"/>
        <w:sectPr>
          <w:pgSz w:w="11910" w:h="16840"/>
          <w:pgMar w:header="0" w:footer="1195" w:top="1120" w:bottom="1380" w:left="1140" w:right="620"/>
        </w:sectPr>
      </w:pPr>
    </w:p>
    <w:p>
      <w:pPr>
        <w:pStyle w:val="Heading2"/>
        <w:spacing w:line="240" w:lineRule="auto" w:before="92"/>
        <w:ind w:left="658" w:right="-18"/>
        <w:jc w:val="left"/>
        <w:rPr>
          <w:b w:val="0"/>
          <w:bCs w:val="0"/>
        </w:rPr>
      </w:pPr>
      <w:r>
        <w:rPr>
          <w:rFonts w:ascii="宋体" w:hAnsi="宋体" w:cs="宋体" w:eastAsia="宋体" w:hint="default"/>
        </w:rPr>
        <w:t>43</w:t>
      </w:r>
      <w:r>
        <w:rPr/>
        <w:t>、</w:t>
      </w:r>
      <w:r>
        <w:rPr>
          <w:spacing w:val="-24"/>
        </w:rPr>
        <w:t> </w:t>
      </w:r>
      <w:r>
        <w:rPr/>
        <w:t>其他非流动负债</w:t>
      </w:r>
      <w:r>
        <w:rPr>
          <w:b w:val="0"/>
          <w:bCs w:val="0"/>
        </w:rPr>
      </w:r>
    </w:p>
    <w:p>
      <w:pPr>
        <w:pStyle w:val="BodyText"/>
        <w:spacing w:line="240" w:lineRule="auto" w:before="58"/>
        <w:ind w:left="6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709" w:val="left" w:leader="none"/>
        </w:tabs>
        <w:spacing w:line="240" w:lineRule="auto" w:before="173"/>
        <w:ind w:left="658" w:right="0"/>
        <w:jc w:val="left"/>
      </w:pPr>
      <w:r>
        <w:rPr>
          <w:spacing w:val="-1"/>
        </w:rPr>
        <w:t>单位：元</w:t>
        <w:tab/>
      </w:r>
      <w:r>
        <w:rPr>
          <w:spacing w:val="-2"/>
        </w:rPr>
        <w:t>币种：人民币</w:t>
      </w:r>
    </w:p>
    <w:p>
      <w:pPr>
        <w:spacing w:after="0" w:line="240" w:lineRule="auto"/>
        <w:jc w:val="left"/>
        <w:sectPr>
          <w:type w:val="continuous"/>
          <w:pgSz w:w="11910" w:h="16840"/>
          <w:pgMar w:top="1120" w:bottom="1380" w:left="1140" w:right="620"/>
          <w:cols w:num="2" w:equalWidth="0">
            <w:col w:w="2641" w:space="3881"/>
            <w:col w:w="3628"/>
          </w:cols>
        </w:sectPr>
      </w:pPr>
    </w:p>
    <w:p>
      <w:pPr>
        <w:spacing w:line="240" w:lineRule="auto" w:before="7"/>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3257"/>
        <w:gridCol w:w="2897"/>
        <w:gridCol w:w="2895"/>
      </w:tblGrid>
      <w:tr>
        <w:trPr>
          <w:trHeight w:val="284"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投资保证金</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
              <w:jc w:val="right"/>
              <w:rPr>
                <w:rFonts w:ascii="宋体" w:hAnsi="宋体" w:cs="宋体" w:eastAsia="宋体" w:hint="default"/>
                <w:sz w:val="21"/>
                <w:szCs w:val="21"/>
              </w:rPr>
            </w:pPr>
            <w:r>
              <w:rPr>
                <w:rFonts w:ascii="宋体"/>
                <w:spacing w:val="-1"/>
                <w:sz w:val="21"/>
              </w:rPr>
              <w:t>20,000,000.00</w:t>
            </w: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9"/>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20,000,000.00</w:t>
            </w:r>
          </w:p>
        </w:tc>
        <w:tc>
          <w:tcPr>
            <w:tcW w:w="28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left="658" w:right="0"/>
        <w:jc w:val="left"/>
      </w:pPr>
      <w:r>
        <w:rPr/>
        <w:t>其他说明：</w:t>
      </w:r>
    </w:p>
    <w:p>
      <w:pPr>
        <w:pStyle w:val="BodyText"/>
        <w:spacing w:line="240" w:lineRule="auto" w:before="116"/>
        <w:ind w:left="1078" w:right="0"/>
        <w:jc w:val="left"/>
      </w:pPr>
      <w:r>
        <w:rPr/>
        <w:t>该投资保证金为本公司子公司新华炫闻（北京）移动传媒科技有限公司收到的投资保证金。</w:t>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20" w:bottom="1380" w:left="1140" w:right="620"/>
        </w:sectPr>
      </w:pPr>
    </w:p>
    <w:p>
      <w:pPr>
        <w:pStyle w:val="Heading2"/>
        <w:spacing w:line="240" w:lineRule="auto"/>
        <w:ind w:left="658" w:right="-18"/>
        <w:jc w:val="left"/>
        <w:rPr>
          <w:b w:val="0"/>
          <w:bCs w:val="0"/>
        </w:rPr>
      </w:pPr>
      <w:r>
        <w:rPr>
          <w:rFonts w:ascii="宋体" w:hAnsi="宋体" w:cs="宋体" w:eastAsia="宋体" w:hint="default"/>
        </w:rPr>
        <w:t>44</w:t>
      </w:r>
      <w:r>
        <w:rPr/>
        <w:t>、</w:t>
      </w:r>
      <w:r>
        <w:rPr>
          <w:spacing w:val="-26"/>
        </w:rPr>
        <w:t> </w:t>
      </w:r>
      <w:r>
        <w:rPr/>
        <w:t>股本</w:t>
      </w:r>
      <w:r>
        <w:rPr>
          <w:b w:val="0"/>
          <w:bCs w:val="0"/>
        </w:rPr>
      </w:r>
    </w:p>
    <w:p>
      <w:pPr>
        <w:pStyle w:val="BodyText"/>
        <w:spacing w:line="240" w:lineRule="auto" w:before="56"/>
        <w:ind w:left="6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09" w:val="left" w:leader="none"/>
        </w:tabs>
        <w:spacing w:line="240" w:lineRule="auto"/>
        <w:ind w:left="658" w:right="0"/>
        <w:jc w:val="left"/>
      </w:pPr>
      <w:r>
        <w:rPr>
          <w:spacing w:val="-1"/>
        </w:rPr>
        <w:t>单位：元</w:t>
        <w:tab/>
      </w:r>
      <w:r>
        <w:rPr>
          <w:spacing w:val="-2"/>
        </w:rPr>
        <w:t>币种：人民币</w:t>
      </w:r>
    </w:p>
    <w:p>
      <w:pPr>
        <w:spacing w:after="0" w:line="240" w:lineRule="auto"/>
        <w:jc w:val="left"/>
        <w:sectPr>
          <w:type w:val="continuous"/>
          <w:pgSz w:w="11910" w:h="16840"/>
          <w:pgMar w:top="1120" w:bottom="1380" w:left="1140" w:right="620"/>
          <w:cols w:num="2" w:equalWidth="0">
            <w:col w:w="2235" w:space="4286"/>
            <w:col w:w="3629"/>
          </w:cols>
        </w:sectPr>
      </w:pPr>
    </w:p>
    <w:p>
      <w:pPr>
        <w:spacing w:line="240" w:lineRule="auto" w:before="4"/>
        <w:rPr>
          <w:rFonts w:ascii="宋体" w:hAnsi="宋体" w:cs="宋体" w:eastAsia="宋体" w:hint="default"/>
          <w:sz w:val="2"/>
          <w:szCs w:val="2"/>
        </w:rPr>
      </w:pPr>
    </w:p>
    <w:tbl>
      <w:tblPr>
        <w:tblW w:w="0" w:type="auto"/>
        <w:jc w:val="left"/>
        <w:tblInd w:w="545" w:type="dxa"/>
        <w:tblLayout w:type="fixed"/>
        <w:tblCellMar>
          <w:top w:w="0" w:type="dxa"/>
          <w:left w:w="0" w:type="dxa"/>
          <w:bottom w:w="0" w:type="dxa"/>
          <w:right w:w="0" w:type="dxa"/>
        </w:tblCellMar>
        <w:tblLook w:val="01E0"/>
      </w:tblPr>
      <w:tblGrid>
        <w:gridCol w:w="1222"/>
        <w:gridCol w:w="1949"/>
        <w:gridCol w:w="737"/>
        <w:gridCol w:w="737"/>
        <w:gridCol w:w="980"/>
        <w:gridCol w:w="737"/>
        <w:gridCol w:w="739"/>
        <w:gridCol w:w="1949"/>
      </w:tblGrid>
      <w:tr>
        <w:trPr>
          <w:trHeight w:val="283" w:hRule="exact"/>
        </w:trPr>
        <w:tc>
          <w:tcPr>
            <w:tcW w:w="1222" w:type="dxa"/>
            <w:vMerge w:val="restart"/>
            <w:tcBorders>
              <w:top w:val="single" w:sz="4" w:space="0" w:color="000000"/>
              <w:left w:val="single" w:sz="4" w:space="0" w:color="000000"/>
              <w:right w:val="single" w:sz="4" w:space="0" w:color="000000"/>
            </w:tcBorders>
          </w:tcPr>
          <w:p>
            <w:pPr/>
          </w:p>
        </w:tc>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9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222" w:type="dxa"/>
            <w:vMerge/>
            <w:tcBorders>
              <w:left w:val="single" w:sz="4" w:space="0" w:color="000000"/>
              <w:bottom w:val="single" w:sz="4" w:space="0" w:color="000000"/>
              <w:right w:val="single" w:sz="4" w:space="0" w:color="000000"/>
            </w:tcBorders>
          </w:tcPr>
          <w:p>
            <w:pPr/>
          </w:p>
        </w:tc>
        <w:tc>
          <w:tcPr>
            <w:tcW w:w="1949" w:type="dxa"/>
            <w:vMerge/>
            <w:tcBorders>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15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49" w:type="dxa"/>
            <w:vMerge/>
            <w:tcBorders>
              <w:left w:val="single" w:sz="4" w:space="0" w:color="000000"/>
              <w:bottom w:val="single" w:sz="4" w:space="0" w:color="000000"/>
              <w:right w:val="single" w:sz="4" w:space="0" w:color="000000"/>
            </w:tcBorders>
          </w:tcPr>
          <w:p>
            <w:pPr/>
          </w:p>
        </w:tc>
      </w:tr>
      <w:tr>
        <w:trPr>
          <w:trHeight w:val="283" w:hRule="exact"/>
        </w:trPr>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sz w:val="21"/>
              </w:rPr>
              <w:t>519,029,360.00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5" w:right="0"/>
              <w:jc w:val="left"/>
              <w:rPr>
                <w:rFonts w:ascii="宋体" w:hAnsi="宋体" w:cs="宋体" w:eastAsia="宋体" w:hint="default"/>
                <w:sz w:val="21"/>
                <w:szCs w:val="21"/>
              </w:rPr>
            </w:pPr>
            <w:r>
              <w:rPr>
                <w:rFonts w:ascii="宋体"/>
                <w:sz w:val="21"/>
              </w:rPr>
              <w:t>519,029,360.00</w:t>
            </w:r>
          </w:p>
        </w:tc>
      </w:tr>
    </w:tbl>
    <w:p>
      <w:pPr>
        <w:spacing w:after="0" w:line="241" w:lineRule="exact"/>
        <w:jc w:val="left"/>
        <w:rPr>
          <w:rFonts w:ascii="宋体" w:hAnsi="宋体" w:cs="宋体" w:eastAsia="宋体" w:hint="default"/>
          <w:sz w:val="21"/>
          <w:szCs w:val="21"/>
        </w:rPr>
        <w:sectPr>
          <w:type w:val="continuous"/>
          <w:pgSz w:w="11910" w:h="16840"/>
          <w:pgMar w:top="1120" w:bottom="1380" w:left="1140" w:right="620"/>
        </w:sectPr>
      </w:pPr>
    </w:p>
    <w:p>
      <w:pPr>
        <w:spacing w:line="240" w:lineRule="auto" w:before="1"/>
        <w:rPr>
          <w:rFonts w:ascii="宋体" w:hAnsi="宋体" w:cs="宋体" w:eastAsia="宋体" w:hint="default"/>
          <w:sz w:val="25"/>
          <w:szCs w:val="25"/>
        </w:rPr>
      </w:pPr>
    </w:p>
    <w:p>
      <w:pPr>
        <w:pStyle w:val="BodyText"/>
        <w:spacing w:line="290" w:lineRule="auto" w:before="36"/>
        <w:ind w:right="7998"/>
        <w:jc w:val="left"/>
      </w:pPr>
      <w:r>
        <w:rPr/>
        <w:t>其他说明：</w:t>
      </w:r>
      <w:r>
        <w:rPr>
          <w:spacing w:val="-102"/>
        </w:rPr>
        <w:t> </w:t>
      </w:r>
      <w:r>
        <w:rPr>
          <w:spacing w:val="-102"/>
        </w:rPr>
      </w:r>
      <w:r>
        <w:rPr/>
        <w:t>无</w:t>
      </w:r>
    </w:p>
    <w:p>
      <w:pPr>
        <w:pStyle w:val="Heading2"/>
        <w:spacing w:line="290" w:lineRule="auto" w:before="12"/>
        <w:ind w:right="3319"/>
        <w:jc w:val="left"/>
        <w:rPr>
          <w:b w:val="0"/>
          <w:bCs w:val="0"/>
        </w:rPr>
      </w:pPr>
      <w:r>
        <w:rPr>
          <w:rFonts w:ascii="宋体" w:hAnsi="宋体" w:cs="宋体" w:eastAsia="宋体" w:hint="default"/>
        </w:rPr>
        <w:t>45</w:t>
      </w:r>
      <w:r>
        <w:rPr/>
        <w:t>、</w:t>
      </w:r>
      <w:r>
        <w:rPr>
          <w:spacing w:val="-25"/>
        </w:rPr>
        <w:t> </w:t>
      </w:r>
      <w:r>
        <w:rPr/>
        <w:t>其他权益工具</w:t>
      </w:r>
      <w:r>
        <w:rPr>
          <w:w w:val="100"/>
        </w:rPr>
        <w:t> </w:t>
      </w:r>
      <w:r>
        <w:rPr>
          <w:rFonts w:ascii="宋体" w:hAnsi="宋体" w:cs="宋体" w:eastAsia="宋体" w:hint="default"/>
          <w:spacing w:val="-1"/>
        </w:rPr>
        <w:t>(1).</w:t>
      </w:r>
      <w:r>
        <w:rPr>
          <w:spacing w:val="-1"/>
        </w:rPr>
        <w:t>期末发行在外的优先股、永续债等其他金融工具基本情况</w:t>
      </w:r>
      <w:r>
        <w:rPr>
          <w:b w:val="0"/>
          <w:bCs w:val="0"/>
          <w:spacing w:val="-1"/>
        </w:rPr>
      </w:r>
    </w:p>
    <w:p>
      <w:pPr>
        <w:spacing w:line="290" w:lineRule="auto" w:before="12"/>
        <w:ind w:left="218" w:right="33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期末发行在外的优先股、永续债等金融工具变动情况表</w:t>
      </w:r>
      <w:r>
        <w:rPr>
          <w:rFonts w:ascii="宋体" w:hAnsi="宋体" w:cs="宋体" w:eastAsia="宋体" w:hint="default"/>
          <w:spacing w:val="-1"/>
          <w:sz w:val="21"/>
          <w:szCs w:val="21"/>
        </w:rPr>
      </w:r>
    </w:p>
    <w:p>
      <w:pPr>
        <w:pStyle w:val="BodyText"/>
        <w:spacing w:line="240" w:lineRule="auto" w:before="12"/>
        <w:ind w:right="3319"/>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right="227"/>
        <w:jc w:val="left"/>
      </w:pPr>
      <w:r>
        <w:rPr/>
        <w:t>其他权益工具本期增减变动情况、变动原因说明，以及相关会计处理的依据：</w:t>
      </w:r>
    </w:p>
    <w:p>
      <w:pPr>
        <w:pStyle w:val="BodyText"/>
        <w:spacing w:line="274" w:lineRule="exact"/>
        <w:ind w:right="3319"/>
        <w:jc w:val="left"/>
      </w:pPr>
      <w:r>
        <w:rPr/>
        <w:t>□适用</w:t>
      </w:r>
      <w:r>
        <w:rPr>
          <w:spacing w:val="-1"/>
        </w:rPr>
        <w:t> </w:t>
      </w:r>
      <w:r>
        <w:rPr/>
        <w:t>√不适用</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040"/>
        </w:sectPr>
      </w:pPr>
    </w:p>
    <w:p>
      <w:pPr>
        <w:pStyle w:val="BodyText"/>
        <w:spacing w:line="273" w:lineRule="exact" w:before="36"/>
        <w:ind w:right="0"/>
        <w:jc w:val="left"/>
        <w:rPr>
          <w:rFonts w:ascii="宋体" w:hAnsi="宋体" w:cs="宋体" w:eastAsia="宋体" w:hint="default"/>
        </w:rPr>
      </w:pPr>
      <w:r>
        <w:rPr/>
        <w:t>其他说明</w:t>
      </w:r>
      <w:r>
        <w:rPr>
          <w:rFonts w:ascii="宋体" w:hAnsi="宋体" w:cs="宋体" w:eastAsia="宋体" w:hint="default"/>
        </w:rPr>
        <w:t>:</w:t>
      </w:r>
    </w:p>
    <w:p>
      <w:pPr>
        <w:spacing w:line="290" w:lineRule="auto" w:before="0"/>
        <w:ind w:left="218" w:right="-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资本公积</w:t>
      </w:r>
      <w:r>
        <w:rPr>
          <w:rFonts w:ascii="宋体" w:hAnsi="宋体" w:cs="宋体" w:eastAsia="宋体" w:hint="default"/>
          <w:sz w:val="21"/>
          <w:szCs w:val="21"/>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40"/>
        <w:gridCol w:w="1985"/>
        <w:gridCol w:w="1140"/>
        <w:gridCol w:w="1788"/>
        <w:gridCol w:w="1909"/>
      </w:tblGrid>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center"/>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 w:right="0"/>
              <w:jc w:val="center"/>
              <w:rPr>
                <w:rFonts w:ascii="宋体" w:hAnsi="宋体" w:cs="宋体" w:eastAsia="宋体" w:hint="default"/>
                <w:sz w:val="21"/>
                <w:szCs w:val="21"/>
              </w:rPr>
            </w:pPr>
            <w:r>
              <w:rPr>
                <w:rFonts w:ascii="宋体"/>
                <w:sz w:val="21"/>
              </w:rPr>
              <w:t>1,582,609,263.57</w:t>
            </w:r>
          </w:p>
        </w:tc>
        <w:tc>
          <w:tcPr>
            <w:tcW w:w="1140"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47,708,281.04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1,534,900,982.53</w:t>
            </w:r>
          </w:p>
        </w:tc>
      </w:tr>
      <w:tr>
        <w:trPr>
          <w:trHeight w:val="28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 w:right="0"/>
              <w:jc w:val="center"/>
              <w:rPr>
                <w:rFonts w:ascii="宋体" w:hAnsi="宋体" w:cs="宋体" w:eastAsia="宋体" w:hint="default"/>
                <w:sz w:val="21"/>
                <w:szCs w:val="21"/>
              </w:rPr>
            </w:pPr>
            <w:r>
              <w:rPr>
                <w:rFonts w:ascii="宋体"/>
                <w:sz w:val="21"/>
              </w:rPr>
              <w:t>1,582,609,263.57</w:t>
            </w:r>
          </w:p>
        </w:tc>
        <w:tc>
          <w:tcPr>
            <w:tcW w:w="1140"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47,708,281.04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1,534,900,982.53</w:t>
            </w:r>
          </w:p>
        </w:tc>
      </w:tr>
    </w:tbl>
    <w:p>
      <w:pPr>
        <w:spacing w:line="240" w:lineRule="auto" w:before="7"/>
        <w:rPr>
          <w:rFonts w:ascii="宋体" w:hAnsi="宋体" w:cs="宋体" w:eastAsia="宋体" w:hint="default"/>
          <w:sz w:val="15"/>
          <w:szCs w:val="15"/>
        </w:rPr>
      </w:pPr>
    </w:p>
    <w:p>
      <w:pPr>
        <w:pStyle w:val="BodyText"/>
        <w:spacing w:line="340" w:lineRule="auto" w:before="36"/>
        <w:ind w:left="638" w:right="227" w:hanging="420"/>
        <w:jc w:val="left"/>
      </w:pPr>
      <w:r>
        <w:rPr/>
        <w:t>其他说明，包括本期增减变动情况、变动原因说明：</w:t>
      </w:r>
      <w:r>
        <w:rPr>
          <w:w w:val="100"/>
        </w:rPr>
        <w:t> </w:t>
      </w:r>
      <w:r>
        <w:rPr>
          <w:spacing w:val="-2"/>
        </w:rPr>
        <w:t>本年减少系收购亿连科技少数股权所致，详见本报告第十一节、九、</w:t>
      </w:r>
      <w:r>
        <w:rPr>
          <w:rFonts w:ascii="宋体" w:hAnsi="宋体" w:cs="宋体" w:eastAsia="宋体" w:hint="default"/>
          <w:spacing w:val="-2"/>
        </w:rPr>
        <w:t>2</w:t>
      </w:r>
      <w:r>
        <w:rPr>
          <w:spacing w:val="-2"/>
        </w:rPr>
        <w:t>。</w:t>
      </w:r>
    </w:p>
    <w:p>
      <w:pPr>
        <w:pStyle w:val="Heading2"/>
        <w:spacing w:line="240" w:lineRule="auto" w:before="105"/>
        <w:ind w:right="3319"/>
        <w:jc w:val="left"/>
        <w:rPr>
          <w:b w:val="0"/>
          <w:bCs w:val="0"/>
        </w:rPr>
      </w:pPr>
      <w:r>
        <w:rPr>
          <w:rFonts w:ascii="宋体" w:hAnsi="宋体" w:cs="宋体" w:eastAsia="宋体" w:hint="default"/>
        </w:rPr>
        <w:t>47</w:t>
      </w:r>
      <w:r>
        <w:rPr/>
        <w:t>、</w:t>
      </w:r>
      <w:r>
        <w:rPr>
          <w:spacing w:val="-25"/>
        </w:rPr>
        <w:t> </w:t>
      </w:r>
      <w:r>
        <w:rPr/>
        <w:t>库存股</w:t>
      </w:r>
      <w:r>
        <w:rPr>
          <w:b w:val="0"/>
          <w:bCs w:val="0"/>
        </w:rPr>
      </w:r>
    </w:p>
    <w:p>
      <w:pPr>
        <w:pStyle w:val="BodyText"/>
        <w:spacing w:line="240" w:lineRule="auto" w:before="58"/>
        <w:ind w:right="3319"/>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before="20"/>
        <w:ind w:left="6475" w:right="649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4"/>
          <w:footerReference w:type="default" r:id="rId75"/>
          <w:pgSz w:w="16840" w:h="11910" w:orient="landscape"/>
          <w:pgMar w:header="0" w:footer="0" w:top="800" w:bottom="280" w:left="1220" w:right="1300"/>
        </w:sectPr>
      </w:pPr>
    </w:p>
    <w:p>
      <w:pPr>
        <w:pStyle w:val="Heading2"/>
        <w:spacing w:line="240" w:lineRule="auto"/>
        <w:ind w:left="220" w:right="-19"/>
        <w:jc w:val="left"/>
        <w:rPr>
          <w:b w:val="0"/>
          <w:bCs w:val="0"/>
        </w:rPr>
      </w:pPr>
      <w:r>
        <w:rPr>
          <w:rFonts w:ascii="宋体" w:hAnsi="宋体" w:cs="宋体" w:eastAsia="宋体" w:hint="default"/>
        </w:rPr>
        <w:t>48</w:t>
      </w:r>
      <w:r>
        <w:rPr/>
        <w:t>、</w:t>
      </w:r>
      <w:r>
        <w:rPr>
          <w:spacing w:val="-23"/>
        </w:rPr>
        <w:t> </w:t>
      </w:r>
      <w:r>
        <w:rPr/>
        <w:t>其他综合收益</w:t>
      </w:r>
      <w:r>
        <w:rPr>
          <w:b w:val="0"/>
          <w:bCs w:val="0"/>
        </w:rPr>
      </w:r>
    </w:p>
    <w:p>
      <w:pPr>
        <w:pStyle w:val="BodyText"/>
        <w:spacing w:line="240" w:lineRule="auto" w:before="56"/>
        <w:ind w:left="2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71" w:val="left" w:leader="none"/>
        </w:tabs>
        <w:spacing w:line="240" w:lineRule="auto"/>
        <w:ind w:left="220" w:right="0"/>
        <w:jc w:val="left"/>
      </w:pPr>
      <w:r>
        <w:rPr>
          <w:spacing w:val="-1"/>
        </w:rPr>
        <w:t>单位：元</w:t>
        <w:tab/>
        <w:t>币种：人民币</w:t>
      </w:r>
    </w:p>
    <w:p>
      <w:pPr>
        <w:spacing w:after="0" w:line="240" w:lineRule="auto"/>
        <w:jc w:val="left"/>
        <w:sectPr>
          <w:type w:val="continuous"/>
          <w:pgSz w:w="16840" w:h="11910" w:orient="landscape"/>
          <w:pgMar w:top="1120" w:bottom="1380" w:left="1220" w:right="1300"/>
          <w:cols w:num="2" w:equalWidth="0">
            <w:col w:w="1992" w:space="9571"/>
            <w:col w:w="27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660"/>
        <w:gridCol w:w="1561"/>
        <w:gridCol w:w="2126"/>
        <w:gridCol w:w="1932"/>
        <w:gridCol w:w="1128"/>
        <w:gridCol w:w="1784"/>
        <w:gridCol w:w="1214"/>
        <w:gridCol w:w="1685"/>
      </w:tblGrid>
      <w:tr>
        <w:trPr>
          <w:trHeight w:val="283" w:hRule="exact"/>
        </w:trPr>
        <w:tc>
          <w:tcPr>
            <w:tcW w:w="266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563" w:right="562"/>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1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628" w:right="622"/>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r>
      <w:tr>
        <w:trPr>
          <w:trHeight w:val="826" w:hRule="exact"/>
        </w:trPr>
        <w:tc>
          <w:tcPr>
            <w:tcW w:w="2660"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spacing w:val="-1"/>
                <w:sz w:val="21"/>
                <w:szCs w:val="21"/>
              </w:rPr>
              <w:t>本期所得税前发生额</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hAnsi="宋体" w:cs="宋体" w:eastAsia="宋体" w:hint="default"/>
                <w:sz w:val="21"/>
                <w:szCs w:val="21"/>
              </w:rPr>
              <w:t>减：前期计入其他</w:t>
            </w:r>
          </w:p>
          <w:p>
            <w:pPr>
              <w:pStyle w:val="TableParagraph"/>
              <w:spacing w:line="240" w:lineRule="auto"/>
              <w:ind w:left="751" w:right="118" w:hanging="632"/>
              <w:jc w:val="left"/>
              <w:rPr>
                <w:rFonts w:ascii="宋体" w:hAnsi="宋体" w:cs="宋体" w:eastAsia="宋体" w:hint="default"/>
                <w:sz w:val="21"/>
                <w:szCs w:val="21"/>
              </w:rPr>
            </w:pPr>
            <w:r>
              <w:rPr>
                <w:rFonts w:ascii="宋体" w:hAnsi="宋体" w:cs="宋体" w:eastAsia="宋体" w:hint="default"/>
                <w:sz w:val="21"/>
                <w:szCs w:val="21"/>
              </w:rPr>
              <w:t>综合收益当期转入</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2" w:right="134" w:hanging="104"/>
              <w:jc w:val="left"/>
              <w:rPr>
                <w:rFonts w:ascii="宋体" w:hAnsi="宋体" w:cs="宋体" w:eastAsia="宋体" w:hint="default"/>
                <w:sz w:val="21"/>
                <w:szCs w:val="21"/>
              </w:rPr>
            </w:pPr>
            <w:r>
              <w:rPr>
                <w:rFonts w:ascii="宋体" w:hAnsi="宋体" w:cs="宋体" w:eastAsia="宋体" w:hint="default"/>
                <w:sz w:val="21"/>
                <w:szCs w:val="21"/>
              </w:rPr>
              <w:t>减：所得</w:t>
            </w:r>
            <w:r>
              <w:rPr>
                <w:rFonts w:ascii="宋体" w:hAnsi="宋体" w:cs="宋体" w:eastAsia="宋体" w:hint="default"/>
                <w:w w:val="100"/>
                <w:sz w:val="21"/>
                <w:szCs w:val="21"/>
              </w:rPr>
              <w:t> </w:t>
            </w:r>
            <w:r>
              <w:rPr>
                <w:rFonts w:ascii="宋体" w:hAnsi="宋体" w:cs="宋体" w:eastAsia="宋体" w:hint="default"/>
                <w:sz w:val="21"/>
                <w:szCs w:val="21"/>
              </w:rPr>
              <w:t>税费用</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780" w:right="147" w:hanging="630"/>
              <w:jc w:val="left"/>
              <w:rPr>
                <w:rFonts w:ascii="宋体" w:hAnsi="宋体" w:cs="宋体" w:eastAsia="宋体" w:hint="default"/>
                <w:sz w:val="21"/>
                <w:szCs w:val="21"/>
              </w:rPr>
            </w:pPr>
            <w:r>
              <w:rPr>
                <w:rFonts w:ascii="宋体" w:hAnsi="宋体" w:cs="宋体" w:eastAsia="宋体" w:hint="default"/>
                <w:sz w:val="21"/>
                <w:szCs w:val="21"/>
              </w:rPr>
              <w:t>税后归属于母公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hAnsi="宋体" w:cs="宋体" w:eastAsia="宋体" w:hint="default"/>
                <w:sz w:val="21"/>
                <w:szCs w:val="21"/>
              </w:rPr>
              <w:t>税后归属</w:t>
            </w:r>
          </w:p>
          <w:p>
            <w:pPr>
              <w:pStyle w:val="TableParagraph"/>
              <w:spacing w:line="240" w:lineRule="auto"/>
              <w:ind w:left="496" w:right="177" w:hanging="315"/>
              <w:jc w:val="left"/>
              <w:rPr>
                <w:rFonts w:ascii="宋体" w:hAnsi="宋体" w:cs="宋体" w:eastAsia="宋体" w:hint="default"/>
                <w:sz w:val="21"/>
                <w:szCs w:val="21"/>
              </w:rPr>
            </w:pPr>
            <w:r>
              <w:rPr>
                <w:rFonts w:ascii="宋体" w:hAnsi="宋体" w:cs="宋体" w:eastAsia="宋体" w:hint="default"/>
                <w:sz w:val="21"/>
                <w:szCs w:val="21"/>
              </w:rPr>
              <w:t>于少数股</w:t>
            </w:r>
            <w:r>
              <w:rPr>
                <w:rFonts w:ascii="宋体" w:hAnsi="宋体" w:cs="宋体" w:eastAsia="宋体" w:hint="default"/>
                <w:w w:val="100"/>
                <w:sz w:val="21"/>
                <w:szCs w:val="21"/>
              </w:rPr>
              <w:t> </w:t>
            </w:r>
            <w:r>
              <w:rPr>
                <w:rFonts w:ascii="宋体" w:hAnsi="宋体" w:cs="宋体" w:eastAsia="宋体" w:hint="default"/>
                <w:sz w:val="21"/>
                <w:szCs w:val="21"/>
              </w:rPr>
              <w:t>东</w:t>
            </w:r>
          </w:p>
        </w:tc>
        <w:tc>
          <w:tcPr>
            <w:tcW w:w="1685" w:type="dxa"/>
            <w:vMerge/>
            <w:tcBorders>
              <w:left w:val="single" w:sz="4" w:space="0" w:color="000000"/>
              <w:bottom w:val="single" w:sz="4" w:space="0" w:color="000000"/>
              <w:right w:val="single" w:sz="4" w:space="0" w:color="000000"/>
            </w:tcBorders>
          </w:tcPr>
          <w:p>
            <w:pPr/>
          </w:p>
        </w:tc>
      </w:tr>
      <w:tr>
        <w:trPr>
          <w:trHeight w:val="55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一、不能重分类进损益的其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他综合收益</w:t>
            </w:r>
          </w:p>
        </w:tc>
        <w:tc>
          <w:tcPr>
            <w:tcW w:w="1561"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二、将重分类进损益的其他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-316,542.40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-32,108,816.62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-2,933,348.00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-29,175,468.62</w:t>
            </w:r>
          </w:p>
        </w:tc>
        <w:tc>
          <w:tcPr>
            <w:tcW w:w="121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宋体" w:hAnsi="宋体" w:cs="宋体" w:eastAsia="宋体" w:hint="default"/>
                <w:sz w:val="21"/>
                <w:szCs w:val="21"/>
              </w:rPr>
            </w:pPr>
            <w:r>
              <w:rPr>
                <w:rFonts w:ascii="宋体"/>
                <w:spacing w:val="-1"/>
                <w:sz w:val="21"/>
              </w:rPr>
              <w:t>-29,492,011.02</w:t>
            </w:r>
          </w:p>
        </w:tc>
      </w:tr>
      <w:tr>
        <w:trPr>
          <w:trHeight w:val="5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其中：可供出售金融资产公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允价值变动损益</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-286,301.66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-33,181,072.90</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-2,933,348.00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-30,247,724.90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-30,534,026.56</w:t>
            </w:r>
          </w:p>
        </w:tc>
      </w:tr>
      <w:tr>
        <w:trPr>
          <w:trHeight w:val="28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-30,240.74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1,072,256.28</w:t>
            </w:r>
          </w:p>
        </w:tc>
        <w:tc>
          <w:tcPr>
            <w:tcW w:w="193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1,072,256.28</w:t>
            </w:r>
          </w:p>
        </w:tc>
        <w:tc>
          <w:tcPr>
            <w:tcW w:w="121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1,042,015.54</w:t>
            </w:r>
          </w:p>
        </w:tc>
      </w:tr>
      <w:tr>
        <w:trPr>
          <w:trHeight w:val="28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-316,542.40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-32,108,816.62</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-2,933,348.00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-29,175,468.62</w:t>
            </w:r>
          </w:p>
        </w:tc>
        <w:tc>
          <w:tcPr>
            <w:tcW w:w="121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-29,492,011.02</w:t>
            </w:r>
          </w:p>
        </w:tc>
      </w:tr>
    </w:tbl>
    <w:p>
      <w:pPr>
        <w:spacing w:line="240" w:lineRule="auto" w:before="2"/>
        <w:rPr>
          <w:rFonts w:ascii="宋体" w:hAnsi="宋体" w:cs="宋体" w:eastAsia="宋体" w:hint="default"/>
          <w:sz w:val="20"/>
          <w:szCs w:val="20"/>
        </w:rPr>
      </w:pPr>
    </w:p>
    <w:p>
      <w:pPr>
        <w:pStyle w:val="BodyText"/>
        <w:spacing w:line="290" w:lineRule="auto" w:before="36"/>
        <w:ind w:left="220" w:right="13028"/>
        <w:jc w:val="left"/>
      </w:pPr>
      <w:r>
        <w:rPr/>
        <w:t>其他说明：</w:t>
      </w:r>
      <w:r>
        <w:rPr>
          <w:spacing w:val="-102"/>
        </w:rPr>
        <w:t> </w:t>
      </w:r>
      <w:r>
        <w:rPr>
          <w:spacing w:val="-102"/>
        </w:rPr>
      </w: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63"/>
        <w:ind w:left="6475" w:right="6479" w:firstLine="0"/>
        <w:jc w:val="center"/>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220" w:right="130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76"/>
          <w:pgSz w:w="11910" w:h="16840"/>
          <w:pgMar w:footer="1195" w:header="0" w:top="1120" w:bottom="1380" w:left="1520" w:right="1000"/>
          <w:pgNumType w:start="141"/>
        </w:sectPr>
      </w:pPr>
    </w:p>
    <w:p>
      <w:pPr>
        <w:spacing w:line="240" w:lineRule="auto" w:before="10"/>
        <w:rPr>
          <w:rFonts w:ascii="Calibri" w:hAnsi="Calibri" w:cs="Calibri" w:eastAsia="Calibri" w:hint="default"/>
          <w:b/>
          <w:bCs/>
          <w:sz w:val="14"/>
          <w:szCs w:val="14"/>
        </w:rPr>
      </w:pPr>
    </w:p>
    <w:p>
      <w:pPr>
        <w:pStyle w:val="Heading2"/>
        <w:spacing w:line="240" w:lineRule="auto" w:before="0"/>
        <w:ind w:left="278" w:right="-18"/>
        <w:jc w:val="left"/>
        <w:rPr>
          <w:b w:val="0"/>
          <w:bCs w:val="0"/>
        </w:rPr>
      </w:pPr>
      <w:r>
        <w:rPr>
          <w:rFonts w:ascii="宋体" w:hAnsi="宋体" w:cs="宋体" w:eastAsia="宋体" w:hint="default"/>
        </w:rPr>
        <w:t>49</w:t>
      </w:r>
      <w:r>
        <w:rPr/>
        <w:t>、</w:t>
      </w:r>
      <w:r>
        <w:rPr>
          <w:spacing w:val="-25"/>
        </w:rPr>
        <w:t> </w:t>
      </w:r>
      <w:r>
        <w:rPr/>
        <w:t>专项储备</w:t>
      </w:r>
      <w:r>
        <w:rPr>
          <w:b w:val="0"/>
          <w:bCs w:val="0"/>
        </w:rPr>
      </w:r>
    </w:p>
    <w:p>
      <w:pPr>
        <w:spacing w:line="290" w:lineRule="auto" w:before="58"/>
        <w:ind w:left="278" w:right="-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盈余公积</w:t>
      </w:r>
      <w:r>
        <w:rPr>
          <w:rFonts w:ascii="宋体" w:hAnsi="宋体" w:cs="宋体" w:eastAsia="宋体" w:hint="default"/>
          <w:sz w:val="21"/>
          <w:szCs w:val="21"/>
        </w:rPr>
      </w:r>
    </w:p>
    <w:p>
      <w:pPr>
        <w:pStyle w:val="BodyText"/>
        <w:spacing w:line="240" w:lineRule="auto" w:before="14"/>
        <w:ind w:left="2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329" w:val="left" w:leader="none"/>
        </w:tabs>
        <w:spacing w:line="240" w:lineRule="auto" w:before="141"/>
        <w:ind w:left="278" w:right="0"/>
        <w:jc w:val="left"/>
      </w:pPr>
      <w:r>
        <w:rPr>
          <w:spacing w:val="-1"/>
        </w:rPr>
        <w:t>单位：元</w:t>
        <w:tab/>
      </w:r>
      <w:r>
        <w:rPr>
          <w:spacing w:val="-2"/>
        </w:rPr>
        <w:t>币种：人民币</w:t>
      </w:r>
    </w:p>
    <w:p>
      <w:pPr>
        <w:spacing w:after="0" w:line="240" w:lineRule="auto"/>
        <w:jc w:val="left"/>
        <w:sectPr>
          <w:type w:val="continuous"/>
          <w:pgSz w:w="11910" w:h="16840"/>
          <w:pgMar w:top="1120" w:bottom="1380" w:left="1520" w:right="1000"/>
          <w:cols w:num="2" w:equalWidth="0">
            <w:col w:w="1855" w:space="4666"/>
            <w:col w:w="2869"/>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922"/>
        <w:gridCol w:w="1798"/>
        <w:gridCol w:w="1805"/>
        <w:gridCol w:w="1815"/>
        <w:gridCol w:w="1807"/>
      </w:tblGrid>
      <w:tr>
        <w:trPr>
          <w:trHeight w:val="281"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2"/>
              <w:jc w:val="center"/>
              <w:rPr>
                <w:rFonts w:ascii="宋体" w:hAnsi="宋体" w:cs="宋体" w:eastAsia="宋体" w:hint="default"/>
                <w:sz w:val="21"/>
                <w:szCs w:val="21"/>
              </w:rPr>
            </w:pPr>
            <w:r>
              <w:rPr>
                <w:rFonts w:ascii="宋体"/>
                <w:sz w:val="21"/>
              </w:rPr>
              <w:t>132,471,330.62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center"/>
              <w:rPr>
                <w:rFonts w:ascii="宋体" w:hAnsi="宋体" w:cs="宋体" w:eastAsia="宋体" w:hint="default"/>
                <w:sz w:val="21"/>
                <w:szCs w:val="21"/>
              </w:rPr>
            </w:pPr>
            <w:r>
              <w:rPr>
                <w:rFonts w:ascii="宋体"/>
                <w:sz w:val="21"/>
              </w:rPr>
              <w:t>27,419,679.34</w:t>
            </w:r>
          </w:p>
        </w:tc>
        <w:tc>
          <w:tcPr>
            <w:tcW w:w="1815"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7"/>
              <w:jc w:val="center"/>
              <w:rPr>
                <w:rFonts w:ascii="宋体" w:hAnsi="宋体" w:cs="宋体" w:eastAsia="宋体" w:hint="default"/>
                <w:sz w:val="21"/>
                <w:szCs w:val="21"/>
              </w:rPr>
            </w:pPr>
            <w:r>
              <w:rPr>
                <w:rFonts w:ascii="宋体"/>
                <w:sz w:val="21"/>
              </w:rPr>
              <w:t>159,891,009.96</w:t>
            </w:r>
          </w:p>
        </w:tc>
      </w:tr>
      <w:tr>
        <w:trPr>
          <w:trHeight w:val="283"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
              <w:jc w:val="center"/>
              <w:rPr>
                <w:rFonts w:ascii="宋体" w:hAnsi="宋体" w:cs="宋体" w:eastAsia="宋体" w:hint="default"/>
                <w:sz w:val="21"/>
                <w:szCs w:val="21"/>
              </w:rPr>
            </w:pPr>
            <w:r>
              <w:rPr>
                <w:rFonts w:ascii="宋体"/>
                <w:sz w:val="21"/>
              </w:rPr>
              <w:t>132,471,330.62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center"/>
              <w:rPr>
                <w:rFonts w:ascii="宋体" w:hAnsi="宋体" w:cs="宋体" w:eastAsia="宋体" w:hint="default"/>
                <w:sz w:val="21"/>
                <w:szCs w:val="21"/>
              </w:rPr>
            </w:pPr>
            <w:r>
              <w:rPr>
                <w:rFonts w:ascii="宋体"/>
                <w:sz w:val="21"/>
              </w:rPr>
              <w:t>27,419,679.34</w:t>
            </w:r>
          </w:p>
        </w:tc>
        <w:tc>
          <w:tcPr>
            <w:tcW w:w="1815"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sz w:val="21"/>
              </w:rPr>
              <w:t>159,891,009.96</w:t>
            </w:r>
          </w:p>
        </w:tc>
      </w:tr>
    </w:tbl>
    <w:p>
      <w:pPr>
        <w:pStyle w:val="BodyText"/>
        <w:spacing w:line="290" w:lineRule="auto" w:before="26"/>
        <w:ind w:left="698" w:right="0" w:hanging="420"/>
        <w:jc w:val="left"/>
      </w:pPr>
      <w:r>
        <w:rPr/>
        <w:t>盈余公积说明：</w:t>
      </w:r>
      <w:r>
        <w:rPr>
          <w:spacing w:val="-103"/>
        </w:rPr>
        <w:t> </w:t>
      </w:r>
      <w:r>
        <w:rPr>
          <w:spacing w:val="-103"/>
        </w:rPr>
      </w:r>
      <w:r>
        <w:rPr>
          <w:spacing w:val="-4"/>
        </w:rPr>
        <w:t>根据《公司法》、公司章程的规定，本公司按净利润的</w:t>
      </w:r>
      <w:r>
        <w:rPr>
          <w:rFonts w:ascii="宋体" w:hAnsi="宋体" w:cs="宋体" w:eastAsia="宋体" w:hint="default"/>
          <w:spacing w:val="-4"/>
        </w:rPr>
        <w:t>10%</w:t>
      </w:r>
      <w:r>
        <w:rPr>
          <w:spacing w:val="-4"/>
        </w:rPr>
        <w:t>提取法定盈余公积。法定盈余公积</w:t>
      </w:r>
    </w:p>
    <w:p>
      <w:pPr>
        <w:pStyle w:val="BodyText"/>
        <w:spacing w:line="229" w:lineRule="exact"/>
        <w:ind w:left="278" w:right="0"/>
        <w:jc w:val="left"/>
      </w:pPr>
      <w:r>
        <w:rPr/>
        <w:t>累计额达到本公司注册资本</w:t>
      </w:r>
      <w:r>
        <w:rPr>
          <w:rFonts w:ascii="宋体" w:hAnsi="宋体" w:cs="宋体" w:eastAsia="宋体" w:hint="default"/>
        </w:rPr>
        <w:t>50%</w:t>
      </w:r>
      <w:r>
        <w:rPr/>
        <w:t>以上的，不再提取。</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20" w:right="1000"/>
        </w:sectPr>
      </w:pPr>
    </w:p>
    <w:p>
      <w:pPr>
        <w:pStyle w:val="Heading2"/>
        <w:spacing w:line="240" w:lineRule="auto"/>
        <w:ind w:left="278" w:right="-1"/>
        <w:jc w:val="left"/>
        <w:rPr>
          <w:b w:val="0"/>
          <w:bCs w:val="0"/>
        </w:rPr>
      </w:pPr>
      <w:r>
        <w:rPr>
          <w:rFonts w:ascii="宋体" w:hAnsi="宋体" w:cs="宋体" w:eastAsia="宋体" w:hint="default"/>
        </w:rPr>
        <w:t>51</w:t>
      </w:r>
      <w:r>
        <w:rPr/>
        <w:t>、</w:t>
      </w:r>
      <w:r>
        <w:rPr>
          <w:spacing w:val="-25"/>
        </w:rPr>
        <w:t> </w:t>
      </w:r>
      <w:r>
        <w:rPr/>
        <w:t>未分配利润</w:t>
      </w:r>
      <w:r>
        <w:rPr>
          <w:b w:val="0"/>
          <w:bCs w:val="0"/>
        </w:rPr>
      </w:r>
    </w:p>
    <w:p>
      <w:pPr>
        <w:pStyle w:val="BodyText"/>
        <w:spacing w:line="240" w:lineRule="auto" w:before="56"/>
        <w:ind w:left="2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329" w:val="left" w:leader="none"/>
        </w:tabs>
        <w:spacing w:line="240" w:lineRule="auto"/>
        <w:ind w:left="278" w:right="0"/>
        <w:jc w:val="left"/>
      </w:pPr>
      <w:r>
        <w:rPr>
          <w:spacing w:val="-1"/>
        </w:rPr>
        <w:t>单位：元</w:t>
        <w:tab/>
      </w:r>
      <w:r>
        <w:rPr>
          <w:spacing w:val="-2"/>
        </w:rPr>
        <w:t>币种：人民币</w:t>
      </w:r>
    </w:p>
    <w:p>
      <w:pPr>
        <w:spacing w:after="0" w:line="240" w:lineRule="auto"/>
        <w:jc w:val="left"/>
        <w:sectPr>
          <w:type w:val="continuous"/>
          <w:pgSz w:w="11910" w:h="16840"/>
          <w:pgMar w:top="1120" w:bottom="1380" w:left="1520" w:right="1000"/>
          <w:cols w:num="2" w:equalWidth="0">
            <w:col w:w="1855" w:space="4666"/>
            <w:col w:w="2869"/>
          </w:cols>
        </w:sectPr>
      </w:pPr>
    </w:p>
    <w:p>
      <w:pPr>
        <w:spacing w:line="240" w:lineRule="auto" w:before="4"/>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4366"/>
        <w:gridCol w:w="2410"/>
        <w:gridCol w:w="2285"/>
      </w:tblGrid>
      <w:tr>
        <w:trPr>
          <w:trHeight w:val="295"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93"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10"/>
              <w:jc w:val="right"/>
              <w:rPr>
                <w:rFonts w:ascii="宋体" w:hAnsi="宋体" w:cs="宋体" w:eastAsia="宋体" w:hint="default"/>
                <w:sz w:val="21"/>
                <w:szCs w:val="21"/>
              </w:rPr>
            </w:pPr>
            <w:r>
              <w:rPr>
                <w:rFonts w:ascii="宋体"/>
                <w:spacing w:val="-1"/>
                <w:sz w:val="21"/>
              </w:rPr>
              <w:t>495,397,118.80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447,713,040.49</w:t>
            </w:r>
          </w:p>
        </w:tc>
      </w:tr>
      <w:tr>
        <w:trPr>
          <w:trHeight w:val="295"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1"/>
              <w:jc w:val="left"/>
              <w:rPr>
                <w:rFonts w:ascii="宋体" w:hAnsi="宋体" w:cs="宋体" w:eastAsia="宋体" w:hint="default"/>
                <w:sz w:val="21"/>
                <w:szCs w:val="21"/>
              </w:rPr>
            </w:pPr>
            <w:r>
              <w:rPr>
                <w:rFonts w:ascii="宋体" w:hAnsi="宋体" w:cs="宋体" w:eastAsia="宋体" w:hint="default"/>
                <w:spacing w:val="-5"/>
                <w:sz w:val="21"/>
                <w:szCs w:val="21"/>
              </w:rPr>
              <w:t>调整期初未分配利润合计数（调增</w:t>
            </w:r>
            <w:r>
              <w:rPr>
                <w:rFonts w:ascii="宋体" w:hAnsi="宋体" w:cs="宋体" w:eastAsia="宋体" w:hint="default"/>
                <w:spacing w:val="-5"/>
                <w:sz w:val="21"/>
                <w:szCs w:val="21"/>
              </w:rPr>
              <w:t>+</w:t>
            </w:r>
            <w:r>
              <w:rPr>
                <w:rFonts w:ascii="宋体" w:hAnsi="宋体" w:cs="宋体" w:eastAsia="宋体" w:hint="default"/>
                <w:spacing w:val="-5"/>
                <w:sz w:val="21"/>
                <w:szCs w:val="21"/>
              </w:rPr>
              <w:t>，调减－）</w:t>
            </w:r>
          </w:p>
        </w:tc>
        <w:tc>
          <w:tcPr>
            <w:tcW w:w="2410" w:type="dxa"/>
            <w:tcBorders>
              <w:top w:val="single" w:sz="4" w:space="0" w:color="000000"/>
              <w:left w:val="single" w:sz="4" w:space="0" w:color="000000"/>
              <w:bottom w:val="single" w:sz="4" w:space="0" w:color="000000"/>
              <w:right w:val="single" w:sz="4" w:space="0" w:color="000000"/>
            </w:tcBorders>
          </w:tcPr>
          <w:p>
            <w:pPr/>
          </w:p>
        </w:tc>
        <w:tc>
          <w:tcPr>
            <w:tcW w:w="228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10"/>
              <w:jc w:val="right"/>
              <w:rPr>
                <w:rFonts w:ascii="宋体" w:hAnsi="宋体" w:cs="宋体" w:eastAsia="宋体" w:hint="default"/>
                <w:sz w:val="21"/>
                <w:szCs w:val="21"/>
              </w:rPr>
            </w:pPr>
            <w:r>
              <w:rPr>
                <w:rFonts w:ascii="宋体"/>
                <w:spacing w:val="-1"/>
                <w:sz w:val="21"/>
              </w:rPr>
              <w:t>495,397,118.80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10"/>
              <w:jc w:val="right"/>
              <w:rPr>
                <w:rFonts w:ascii="宋体" w:hAnsi="宋体" w:cs="宋体" w:eastAsia="宋体" w:hint="default"/>
                <w:sz w:val="21"/>
                <w:szCs w:val="21"/>
              </w:rPr>
            </w:pPr>
            <w:r>
              <w:rPr>
                <w:rFonts w:ascii="宋体"/>
                <w:spacing w:val="-1"/>
                <w:sz w:val="21"/>
              </w:rPr>
              <w:t>447,713,040.49</w:t>
            </w:r>
          </w:p>
        </w:tc>
      </w:tr>
      <w:tr>
        <w:trPr>
          <w:trHeight w:val="295"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10"/>
              <w:jc w:val="right"/>
              <w:rPr>
                <w:rFonts w:ascii="宋体" w:hAnsi="宋体" w:cs="宋体" w:eastAsia="宋体" w:hint="default"/>
                <w:sz w:val="21"/>
                <w:szCs w:val="21"/>
              </w:rPr>
            </w:pPr>
            <w:r>
              <w:rPr>
                <w:rFonts w:ascii="宋体"/>
                <w:spacing w:val="-1"/>
                <w:sz w:val="21"/>
              </w:rPr>
              <w:t>285,096,549.33</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10"/>
              <w:jc w:val="right"/>
              <w:rPr>
                <w:rFonts w:ascii="宋体" w:hAnsi="宋体" w:cs="宋体" w:eastAsia="宋体" w:hint="default"/>
                <w:sz w:val="21"/>
                <w:szCs w:val="21"/>
              </w:rPr>
            </w:pPr>
            <w:r>
              <w:rPr>
                <w:rFonts w:ascii="宋体"/>
                <w:spacing w:val="-1"/>
                <w:sz w:val="21"/>
              </w:rPr>
              <w:t>283,961,280.93</w:t>
            </w:r>
          </w:p>
        </w:tc>
      </w:tr>
      <w:tr>
        <w:trPr>
          <w:trHeight w:val="293"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27,419,679.34</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10"/>
              <w:jc w:val="right"/>
              <w:rPr>
                <w:rFonts w:ascii="宋体" w:hAnsi="宋体" w:cs="宋体" w:eastAsia="宋体" w:hint="default"/>
                <w:sz w:val="21"/>
                <w:szCs w:val="21"/>
              </w:rPr>
            </w:pPr>
            <w:r>
              <w:rPr>
                <w:rFonts w:ascii="宋体"/>
                <w:spacing w:val="-1"/>
                <w:sz w:val="21"/>
              </w:rPr>
              <w:t>28,665,458.62</w:t>
            </w:r>
          </w:p>
        </w:tc>
      </w:tr>
      <w:tr>
        <w:trPr>
          <w:trHeight w:val="296"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103,805,872.00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10"/>
              <w:jc w:val="right"/>
              <w:rPr>
                <w:rFonts w:ascii="宋体" w:hAnsi="宋体" w:cs="宋体" w:eastAsia="宋体" w:hint="default"/>
                <w:sz w:val="21"/>
                <w:szCs w:val="21"/>
              </w:rPr>
            </w:pPr>
            <w:r>
              <w:rPr>
                <w:rFonts w:ascii="宋体"/>
                <w:spacing w:val="-1"/>
                <w:sz w:val="21"/>
              </w:rPr>
              <w:t>207,611,744.00</w:t>
            </w:r>
          </w:p>
        </w:tc>
      </w:tr>
      <w:tr>
        <w:trPr>
          <w:trHeight w:val="293" w:hRule="exact"/>
        </w:trPr>
        <w:tc>
          <w:tcPr>
            <w:tcW w:w="43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649,268,116.79</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10"/>
              <w:jc w:val="right"/>
              <w:rPr>
                <w:rFonts w:ascii="宋体" w:hAnsi="宋体" w:cs="宋体" w:eastAsia="宋体" w:hint="default"/>
                <w:sz w:val="21"/>
                <w:szCs w:val="21"/>
              </w:rPr>
            </w:pPr>
            <w:r>
              <w:rPr>
                <w:rFonts w:ascii="宋体"/>
                <w:spacing w:val="-1"/>
                <w:sz w:val="21"/>
              </w:rPr>
              <w:t>495,397,118.80</w:t>
            </w:r>
          </w:p>
        </w:tc>
      </w:tr>
    </w:tbl>
    <w:p>
      <w:pPr>
        <w:pStyle w:val="BodyText"/>
        <w:spacing w:line="241" w:lineRule="exact"/>
        <w:ind w:left="278" w:right="0"/>
        <w:jc w:val="left"/>
      </w:pPr>
      <w:r>
        <w:rPr/>
        <w:t>调整期初未分配利润明细：</w:t>
      </w:r>
    </w:p>
    <w:p>
      <w:pPr>
        <w:pStyle w:val="BodyText"/>
        <w:spacing w:line="240" w:lineRule="auto" w:before="164"/>
        <w:ind w:left="278" w:right="0"/>
        <w:jc w:val="left"/>
      </w:pP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0.00</w:t>
      </w:r>
      <w:r>
        <w:rPr>
          <w:rFonts w:ascii="宋体" w:hAnsi="宋体" w:cs="宋体" w:eastAsia="宋体" w:hint="default"/>
          <w:spacing w:val="-57"/>
        </w:rPr>
        <w:t> </w:t>
      </w:r>
      <w:r>
        <w:rPr>
          <w:spacing w:val="-3"/>
        </w:rPr>
        <w:t>元。</w:t>
      </w:r>
      <w:r>
        <w:rPr/>
      </w:r>
    </w:p>
    <w:p>
      <w:pPr>
        <w:pStyle w:val="BodyText"/>
        <w:spacing w:line="240" w:lineRule="auto" w:before="25"/>
        <w:ind w:left="278" w:right="0"/>
        <w:jc w:val="left"/>
      </w:pPr>
      <w:r>
        <w:rPr>
          <w:rFonts w:ascii="宋体" w:hAnsi="宋体" w:cs="宋体" w:eastAsia="宋体" w:hint="default"/>
        </w:rPr>
        <w:t>2</w:t>
      </w:r>
      <w:r>
        <w:rPr/>
        <w:t>、由于会计政策变更，影响期初未分配利润 </w:t>
      </w:r>
      <w:r>
        <w:rPr>
          <w:rFonts w:ascii="宋体" w:hAnsi="宋体" w:cs="宋体" w:eastAsia="宋体" w:hint="default"/>
        </w:rPr>
        <w:t>0.00</w:t>
      </w:r>
      <w:r>
        <w:rPr>
          <w:rFonts w:ascii="宋体" w:hAnsi="宋体" w:cs="宋体" w:eastAsia="宋体" w:hint="default"/>
          <w:spacing w:val="-57"/>
        </w:rPr>
        <w:t> </w:t>
      </w:r>
      <w:r>
        <w:rPr/>
        <w:t>元。</w:t>
      </w:r>
    </w:p>
    <w:p>
      <w:pPr>
        <w:pStyle w:val="BodyText"/>
        <w:spacing w:line="240" w:lineRule="auto" w:before="25"/>
        <w:ind w:left="278" w:right="0"/>
        <w:jc w:val="left"/>
      </w:pPr>
      <w:r>
        <w:rPr>
          <w:rFonts w:ascii="宋体" w:hAnsi="宋体" w:cs="宋体" w:eastAsia="宋体" w:hint="default"/>
        </w:rPr>
        <w:t>3</w:t>
      </w:r>
      <w:r>
        <w:rPr/>
        <w:t>、由于重大会计差错更正，影响期初未分配利润 </w:t>
      </w:r>
      <w:r>
        <w:rPr>
          <w:rFonts w:ascii="宋体" w:hAnsi="宋体" w:cs="宋体" w:eastAsia="宋体" w:hint="default"/>
        </w:rPr>
        <w:t>0.00</w:t>
      </w:r>
      <w:r>
        <w:rPr>
          <w:rFonts w:ascii="宋体" w:hAnsi="宋体" w:cs="宋体" w:eastAsia="宋体" w:hint="default"/>
          <w:spacing w:val="-59"/>
        </w:rPr>
        <w:t> </w:t>
      </w:r>
      <w:r>
        <w:rPr>
          <w:spacing w:val="-3"/>
        </w:rPr>
        <w:t>元。</w:t>
      </w:r>
      <w:r>
        <w:rPr/>
      </w:r>
    </w:p>
    <w:p>
      <w:pPr>
        <w:pStyle w:val="BodyText"/>
        <w:spacing w:line="240" w:lineRule="auto" w:before="25"/>
        <w:ind w:left="278" w:right="0"/>
        <w:jc w:val="left"/>
      </w:pPr>
      <w:r>
        <w:rPr>
          <w:rFonts w:ascii="宋体" w:hAnsi="宋体" w:cs="宋体" w:eastAsia="宋体" w:hint="default"/>
        </w:rPr>
        <w:t>4</w:t>
      </w:r>
      <w:r>
        <w:rPr/>
        <w:t>、由于同一控制导致的合并范围变更，影响期初未分配利润 </w:t>
      </w:r>
      <w:r>
        <w:rPr>
          <w:rFonts w:ascii="宋体" w:hAnsi="宋体" w:cs="宋体" w:eastAsia="宋体" w:hint="default"/>
        </w:rPr>
        <w:t>0.00</w:t>
      </w:r>
      <w:r>
        <w:rPr>
          <w:rFonts w:ascii="宋体" w:hAnsi="宋体" w:cs="宋体" w:eastAsia="宋体" w:hint="default"/>
          <w:spacing w:val="-58"/>
        </w:rPr>
        <w:t> </w:t>
      </w:r>
      <w:r>
        <w:rPr/>
        <w:t>元。</w:t>
      </w:r>
    </w:p>
    <w:p>
      <w:pPr>
        <w:pStyle w:val="BodyText"/>
        <w:spacing w:line="240" w:lineRule="auto" w:before="25"/>
        <w:ind w:left="278" w:right="0"/>
        <w:jc w:val="left"/>
      </w:pPr>
      <w:r>
        <w:rPr>
          <w:rFonts w:ascii="宋体" w:hAnsi="宋体" w:cs="宋体" w:eastAsia="宋体" w:hint="default"/>
        </w:rPr>
        <w:t>5</w:t>
      </w:r>
      <w:r>
        <w:rPr/>
        <w:t>、其他调整合计影响期初未分配利润 </w:t>
      </w:r>
      <w:r>
        <w:rPr>
          <w:rFonts w:ascii="宋体" w:hAnsi="宋体" w:cs="宋体" w:eastAsia="宋体" w:hint="default"/>
        </w:rPr>
        <w:t>0.00</w:t>
      </w:r>
      <w:r>
        <w:rPr>
          <w:rFonts w:ascii="宋体" w:hAnsi="宋体" w:cs="宋体" w:eastAsia="宋体" w:hint="default"/>
          <w:spacing w:val="-56"/>
        </w:rPr>
        <w:t> </w:t>
      </w:r>
      <w:r>
        <w:rPr>
          <w:spacing w:val="-3"/>
        </w:rPr>
        <w:t>元。</w:t>
      </w:r>
      <w:r>
        <w:rPr/>
      </w:r>
    </w:p>
    <w:p>
      <w:pPr>
        <w:pStyle w:val="Heading2"/>
        <w:spacing w:line="290" w:lineRule="auto" w:before="116"/>
        <w:ind w:left="278" w:right="6346"/>
        <w:jc w:val="left"/>
        <w:rPr>
          <w:b w:val="0"/>
          <w:bCs w:val="0"/>
        </w:rPr>
      </w:pPr>
      <w:r>
        <w:rPr>
          <w:rFonts w:ascii="宋体" w:hAnsi="宋体" w:cs="宋体" w:eastAsia="宋体" w:hint="default"/>
        </w:rPr>
        <w:t>52</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b w:val="0"/>
          <w:bCs w:val="0"/>
        </w:rPr>
      </w:r>
    </w:p>
    <w:p>
      <w:pPr>
        <w:pStyle w:val="BodyText"/>
        <w:spacing w:line="240" w:lineRule="auto" w:before="15"/>
        <w:ind w:left="278" w:right="0"/>
        <w:jc w:val="left"/>
      </w:pPr>
      <w:r>
        <w:rPr/>
        <w:t>√适用</w:t>
      </w:r>
      <w:r>
        <w:rPr>
          <w:spacing w:val="-1"/>
        </w:rPr>
        <w:t> </w:t>
      </w:r>
      <w:r>
        <w:rPr/>
        <w:t>□不适用</w:t>
      </w:r>
    </w:p>
    <w:p>
      <w:pPr>
        <w:pStyle w:val="BodyText"/>
        <w:tabs>
          <w:tab w:pos="1051" w:val="left" w:leader="none"/>
        </w:tabs>
        <w:spacing w:line="271" w:lineRule="exact"/>
        <w:ind w:left="0" w:right="27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574"/>
        <w:gridCol w:w="1897"/>
        <w:gridCol w:w="1860"/>
        <w:gridCol w:w="1896"/>
        <w:gridCol w:w="1858"/>
      </w:tblGrid>
      <w:tr>
        <w:trPr>
          <w:trHeight w:val="348" w:hRule="exact"/>
        </w:trPr>
        <w:tc>
          <w:tcPr>
            <w:tcW w:w="1574" w:type="dxa"/>
            <w:vMerge w:val="restart"/>
            <w:tcBorders>
              <w:top w:val="single" w:sz="4" w:space="0" w:color="000000"/>
              <w:left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0" w:hRule="exact"/>
        </w:trPr>
        <w:tc>
          <w:tcPr>
            <w:tcW w:w="157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50"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17"/>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1,569,315,656.18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860,761,091.34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1,501,729,289.87</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821,938,241.05</w:t>
            </w:r>
          </w:p>
        </w:tc>
      </w:tr>
      <w:tr>
        <w:trPr>
          <w:trHeight w:val="350"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17"/>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69"/>
              <w:jc w:val="right"/>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1,569,315,656.18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860,761,091.34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1,501,729,289.87</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821,938,241.05</w:t>
            </w:r>
          </w:p>
        </w:tc>
      </w:tr>
    </w:tbl>
    <w:p>
      <w:pPr>
        <w:spacing w:after="0" w:line="274" w:lineRule="exact"/>
        <w:jc w:val="right"/>
        <w:rPr>
          <w:rFonts w:ascii="宋体" w:hAnsi="宋体" w:cs="宋体" w:eastAsia="宋体" w:hint="default"/>
          <w:sz w:val="21"/>
          <w:szCs w:val="21"/>
        </w:rPr>
        <w:sectPr>
          <w:type w:val="continuous"/>
          <w:pgSz w:w="11910" w:h="16840"/>
          <w:pgMar w:top="1120" w:bottom="1380" w:left="1520" w:right="1000"/>
        </w:sectPr>
      </w:pPr>
    </w:p>
    <w:p>
      <w:pPr>
        <w:pStyle w:val="Heading2"/>
        <w:spacing w:line="240" w:lineRule="auto" w:before="26"/>
        <w:ind w:left="278" w:right="-1"/>
        <w:jc w:val="left"/>
        <w:rPr>
          <w:b w:val="0"/>
          <w:bCs w:val="0"/>
        </w:rPr>
      </w:pPr>
      <w:r>
        <w:rPr>
          <w:rFonts w:ascii="宋体" w:hAnsi="宋体" w:cs="宋体" w:eastAsia="宋体" w:hint="default"/>
        </w:rPr>
        <w:t>53</w:t>
      </w:r>
      <w:r>
        <w:rPr/>
        <w:t>、</w:t>
      </w:r>
      <w:r>
        <w:rPr>
          <w:spacing w:val="-25"/>
        </w:rPr>
        <w:t> </w:t>
      </w:r>
      <w:r>
        <w:rPr/>
        <w:t>税金及附加</w:t>
      </w:r>
      <w:r>
        <w:rPr>
          <w:b w:val="0"/>
          <w:bCs w:val="0"/>
        </w:rPr>
      </w:r>
    </w:p>
    <w:p>
      <w:pPr>
        <w:pStyle w:val="BodyText"/>
        <w:spacing w:line="240" w:lineRule="auto" w:before="56"/>
        <w:ind w:left="2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329" w:val="left" w:leader="none"/>
        </w:tabs>
        <w:spacing w:line="240" w:lineRule="auto"/>
        <w:ind w:left="278" w:right="0"/>
        <w:jc w:val="left"/>
      </w:pPr>
      <w:r>
        <w:rPr>
          <w:spacing w:val="-1"/>
        </w:rPr>
        <w:t>单位：元</w:t>
        <w:tab/>
      </w:r>
      <w:r>
        <w:rPr>
          <w:spacing w:val="-2"/>
        </w:rPr>
        <w:t>币种：人民币</w:t>
      </w:r>
    </w:p>
    <w:p>
      <w:pPr>
        <w:spacing w:after="0" w:line="240" w:lineRule="auto"/>
        <w:jc w:val="left"/>
        <w:sectPr>
          <w:type w:val="continuous"/>
          <w:pgSz w:w="11910" w:h="16840"/>
          <w:pgMar w:top="1120" w:bottom="1380" w:left="1520" w:right="1000"/>
          <w:cols w:num="2" w:equalWidth="0">
            <w:col w:w="1855" w:space="4666"/>
            <w:col w:w="2869"/>
          </w:cols>
        </w:sectPr>
      </w:pPr>
    </w:p>
    <w:p>
      <w:pPr>
        <w:spacing w:line="240" w:lineRule="auto" w:before="4"/>
        <w:rPr>
          <w:rFonts w:ascii="宋体" w:hAnsi="宋体" w:cs="宋体" w:eastAsia="宋体" w:hint="default"/>
          <w:sz w:val="2"/>
          <w:szCs w:val="2"/>
        </w:rPr>
      </w:pPr>
    </w:p>
    <w:tbl>
      <w:tblPr>
        <w:tblW w:w="0" w:type="auto"/>
        <w:jc w:val="left"/>
        <w:tblInd w:w="158" w:type="dxa"/>
        <w:tblLayout w:type="fixed"/>
        <w:tblCellMar>
          <w:top w:w="0" w:type="dxa"/>
          <w:left w:w="0" w:type="dxa"/>
          <w:bottom w:w="0" w:type="dxa"/>
          <w:right w:w="0" w:type="dxa"/>
        </w:tblCellMar>
        <w:tblLook w:val="01E0"/>
      </w:tblPr>
      <w:tblGrid>
        <w:gridCol w:w="2909"/>
        <w:gridCol w:w="3075"/>
        <w:gridCol w:w="3077"/>
      </w:tblGrid>
      <w:tr>
        <w:trPr>
          <w:trHeight w:val="30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9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2,603,279.38</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2,924,627.97</w:t>
            </w:r>
          </w:p>
        </w:tc>
      </w:tr>
      <w:tr>
        <w:trPr>
          <w:trHeight w:val="30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2,451,041.93</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2,823,329.58</w:t>
            </w:r>
          </w:p>
        </w:tc>
      </w:tr>
    </w:tbl>
    <w:p>
      <w:pPr>
        <w:spacing w:after="0" w:line="248" w:lineRule="exact"/>
        <w:jc w:val="right"/>
        <w:rPr>
          <w:rFonts w:ascii="宋体" w:hAnsi="宋体" w:cs="宋体" w:eastAsia="宋体" w:hint="default"/>
          <w:sz w:val="21"/>
          <w:szCs w:val="21"/>
        </w:rPr>
        <w:sectPr>
          <w:type w:val="continuous"/>
          <w:pgSz w:w="11910" w:h="16840"/>
          <w:pgMar w:top="1120" w:bottom="1380" w:left="152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2909"/>
        <w:gridCol w:w="3075"/>
        <w:gridCol w:w="3077"/>
      </w:tblGrid>
      <w:tr>
        <w:trPr>
          <w:trHeight w:val="30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文化事业建设费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22,203,154.84</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23,383,432.18</w:t>
            </w:r>
          </w:p>
        </w:tc>
      </w:tr>
      <w:tr>
        <w:trPr>
          <w:trHeight w:val="300"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5,688,027.51</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977,292.68</w:t>
            </w:r>
          </w:p>
        </w:tc>
      </w:tr>
      <w:tr>
        <w:trPr>
          <w:trHeight w:val="298" w:hRule="exact"/>
        </w:trPr>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32,945,503.66</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30,108,682.41</w:t>
            </w:r>
          </w:p>
        </w:tc>
      </w:tr>
    </w:tbl>
    <w:p>
      <w:pPr>
        <w:spacing w:after="0" w:line="246" w:lineRule="exact"/>
        <w:jc w:val="right"/>
        <w:rPr>
          <w:rFonts w:ascii="宋体" w:hAnsi="宋体" w:cs="宋体" w:eastAsia="宋体" w:hint="default"/>
          <w:sz w:val="21"/>
          <w:szCs w:val="21"/>
        </w:rPr>
        <w:sectPr>
          <w:pgSz w:w="11910" w:h="16840"/>
          <w:pgMar w:header="0" w:footer="1195" w:top="1120" w:bottom="1380" w:left="1560" w:right="1040"/>
        </w:sectPr>
      </w:pPr>
    </w:p>
    <w:p>
      <w:pPr>
        <w:pStyle w:val="BodyText"/>
        <w:spacing w:line="290" w:lineRule="auto" w:before="26"/>
        <w:ind w:left="238" w:right="511"/>
        <w:jc w:val="left"/>
      </w:pPr>
      <w:r>
        <w:rPr>
          <w:spacing w:val="-1"/>
        </w:rPr>
        <w:t>其他说明：</w:t>
      </w:r>
      <w:r>
        <w:rPr>
          <w:spacing w:val="-97"/>
        </w:rPr>
        <w:t> </w:t>
      </w:r>
      <w:r>
        <w:rPr>
          <w:spacing w:val="-97"/>
        </w:rPr>
      </w:r>
      <w:r>
        <w:rPr/>
        <w:t>无</w:t>
      </w:r>
    </w:p>
    <w:p>
      <w:pPr>
        <w:pStyle w:val="Heading2"/>
        <w:spacing w:line="240" w:lineRule="auto" w:before="12"/>
        <w:ind w:left="238" w:right="-18"/>
        <w:jc w:val="left"/>
        <w:rPr>
          <w:b w:val="0"/>
          <w:bCs w:val="0"/>
        </w:rPr>
      </w:pPr>
      <w:r>
        <w:rPr>
          <w:rFonts w:ascii="宋体" w:hAnsi="宋体" w:cs="宋体" w:eastAsia="宋体" w:hint="default"/>
        </w:rPr>
        <w:t>54</w:t>
      </w:r>
      <w:r>
        <w:rPr/>
        <w:t>、</w:t>
      </w:r>
      <w:r>
        <w:rPr>
          <w:spacing w:val="-25"/>
        </w:rPr>
        <w:t> </w:t>
      </w:r>
      <w:r>
        <w:rPr/>
        <w:t>销售费用</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53"/>
        <w:gridCol w:w="2693"/>
        <w:gridCol w:w="2703"/>
      </w:tblGrid>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10"/>
              <w:jc w:val="right"/>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151,869,563.29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149,705,632.23</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pacing w:val="-1"/>
                <w:sz w:val="21"/>
              </w:rPr>
              <w:t>31,379,968.65</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6"/>
              <w:jc w:val="right"/>
              <w:rPr>
                <w:rFonts w:ascii="宋体" w:hAnsi="宋体" w:cs="宋体" w:eastAsia="宋体" w:hint="default"/>
                <w:sz w:val="21"/>
                <w:szCs w:val="21"/>
              </w:rPr>
            </w:pPr>
            <w:r>
              <w:rPr>
                <w:rFonts w:ascii="宋体"/>
                <w:spacing w:val="-1"/>
                <w:sz w:val="21"/>
              </w:rPr>
              <w:t>30,858,158.45</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代理费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19,504,988.19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53,987,712.58</w:t>
            </w:r>
          </w:p>
        </w:tc>
      </w:tr>
      <w:tr>
        <w:trPr>
          <w:trHeight w:val="32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制作费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18,333,033.39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12,973,941.64</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11,531,050.56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9,722,623.56</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市场推广及宣传费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10,306,919.30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5,916,590.78</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5,792,988.89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3,399,702.08</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5,456,624.09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7,629,205.38</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4,708,009.72</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3,781,186.17</w:t>
            </w:r>
          </w:p>
        </w:tc>
      </w:tr>
      <w:tr>
        <w:trPr>
          <w:trHeight w:val="32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4,658,561.49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4,185,369.54</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13,917,679.01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17,186,817.92</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10"/>
              <w:jc w:val="right"/>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277,459,386.58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299,346,940.33</w:t>
            </w:r>
          </w:p>
        </w:tc>
      </w:tr>
    </w:tbl>
    <w:p>
      <w:pPr>
        <w:spacing w:after="0" w:line="260" w:lineRule="exact"/>
        <w:jc w:val="right"/>
        <w:rPr>
          <w:rFonts w:ascii="宋体" w:hAnsi="宋体" w:cs="宋体" w:eastAsia="宋体" w:hint="default"/>
          <w:sz w:val="21"/>
          <w:szCs w:val="21"/>
        </w:rPr>
        <w:sectPr>
          <w:type w:val="continuous"/>
          <w:pgSz w:w="11910" w:h="16840"/>
          <w:pgMar w:top="1120" w:bottom="1380" w:left="1560" w:right="1040"/>
        </w:sectPr>
      </w:pPr>
    </w:p>
    <w:p>
      <w:pPr>
        <w:pStyle w:val="BodyText"/>
        <w:spacing w:line="290" w:lineRule="auto" w:before="26"/>
        <w:ind w:left="238" w:right="511"/>
        <w:jc w:val="left"/>
      </w:pPr>
      <w:r>
        <w:rPr>
          <w:spacing w:val="-1"/>
        </w:rPr>
        <w:t>其他说明：</w:t>
      </w:r>
      <w:r>
        <w:rPr>
          <w:spacing w:val="-97"/>
        </w:rPr>
        <w:t> </w:t>
      </w:r>
      <w:r>
        <w:rPr>
          <w:spacing w:val="-97"/>
        </w:rPr>
      </w:r>
      <w:r>
        <w:rPr/>
        <w:t>无</w:t>
      </w:r>
    </w:p>
    <w:p>
      <w:pPr>
        <w:pStyle w:val="Heading2"/>
        <w:spacing w:line="240" w:lineRule="auto" w:before="12"/>
        <w:ind w:left="238" w:right="-18"/>
        <w:jc w:val="left"/>
        <w:rPr>
          <w:b w:val="0"/>
          <w:bCs w:val="0"/>
        </w:rPr>
      </w:pPr>
      <w:r>
        <w:rPr>
          <w:rFonts w:ascii="宋体" w:hAnsi="宋体" w:cs="宋体" w:eastAsia="宋体" w:hint="default"/>
        </w:rPr>
        <w:t>55</w:t>
      </w:r>
      <w:r>
        <w:rPr/>
        <w:t>、</w:t>
      </w:r>
      <w:r>
        <w:rPr>
          <w:spacing w:val="-25"/>
        </w:rPr>
        <w:t> </w:t>
      </w:r>
      <w:r>
        <w:rPr/>
        <w:t>管理费用</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53"/>
        <w:gridCol w:w="2693"/>
        <w:gridCol w:w="2703"/>
      </w:tblGrid>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0"/>
              <w:jc w:val="right"/>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53,424,657.32</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53,045,758.08</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9,754,652.00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6,197,437.34</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中介机构服务费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4,419,709.93</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3,305,919.21</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专项经费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3,062,255.04</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2,979,399.66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1,115,811.16</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2,049,671.63</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1,496,684.65</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1,750,145.82</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582,372.91</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981,464.50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615,936.02</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设施费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958,216.04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1,513,983.93</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912,809.74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1,397,858.61</w:t>
            </w:r>
          </w:p>
        </w:tc>
      </w:tr>
      <w:tr>
        <w:trPr>
          <w:trHeight w:val="32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7,245,863.87</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7,470,342.16</w:t>
            </w:r>
          </w:p>
        </w:tc>
      </w:tr>
      <w:tr>
        <w:trPr>
          <w:trHeight w:val="32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10"/>
              <w:jc w:val="right"/>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87,538,845.55</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6"/>
              <w:jc w:val="right"/>
              <w:rPr>
                <w:rFonts w:ascii="宋体" w:hAnsi="宋体" w:cs="宋体" w:eastAsia="宋体" w:hint="default"/>
                <w:sz w:val="21"/>
                <w:szCs w:val="21"/>
              </w:rPr>
            </w:pPr>
            <w:r>
              <w:rPr>
                <w:rFonts w:ascii="宋体"/>
                <w:spacing w:val="-1"/>
                <w:sz w:val="21"/>
              </w:rPr>
              <w:t>76,742,104.07</w:t>
            </w:r>
          </w:p>
        </w:tc>
      </w:tr>
    </w:tbl>
    <w:p>
      <w:pPr>
        <w:pStyle w:val="BodyText"/>
        <w:spacing w:line="239" w:lineRule="exact"/>
        <w:ind w:left="238" w:right="0"/>
        <w:jc w:val="left"/>
      </w:pPr>
      <w:r>
        <w:rPr/>
        <w:t>其他说明：</w:t>
      </w:r>
    </w:p>
    <w:p>
      <w:pPr>
        <w:pStyle w:val="BodyText"/>
        <w:spacing w:line="273" w:lineRule="exact"/>
        <w:ind w:left="238" w:right="0"/>
        <w:jc w:val="left"/>
      </w:pPr>
      <w:r>
        <w:rPr>
          <w:w w:val="100"/>
        </w:rPr>
        <w:t>无</w:t>
      </w:r>
    </w:p>
    <w:p>
      <w:pPr>
        <w:pStyle w:val="Heading2"/>
        <w:spacing w:line="240" w:lineRule="auto" w:before="59"/>
        <w:ind w:left="238" w:right="0"/>
        <w:jc w:val="left"/>
        <w:rPr>
          <w:b w:val="0"/>
          <w:bCs w:val="0"/>
        </w:rPr>
      </w:pPr>
      <w:r>
        <w:rPr>
          <w:rFonts w:ascii="宋体" w:hAnsi="宋体" w:cs="宋体" w:eastAsia="宋体" w:hint="default"/>
        </w:rPr>
        <w:t>56</w:t>
      </w:r>
      <w:r>
        <w:rPr/>
        <w:t>、</w:t>
      </w:r>
      <w:r>
        <w:rPr>
          <w:spacing w:val="-25"/>
        </w:rPr>
        <w:t> </w:t>
      </w:r>
      <w:r>
        <w:rPr/>
        <w:t>研发费用</w:t>
      </w:r>
      <w:r>
        <w:rPr>
          <w:b w:val="0"/>
          <w:bCs w:val="0"/>
        </w:rPr>
      </w:r>
    </w:p>
    <w:p>
      <w:pPr>
        <w:pStyle w:val="BodyText"/>
        <w:spacing w:line="240" w:lineRule="auto" w:before="56"/>
        <w:ind w:left="238" w:right="0"/>
        <w:jc w:val="left"/>
      </w:pPr>
      <w:r>
        <w:rPr/>
        <w:t>√适用</w:t>
      </w:r>
      <w:r>
        <w:rPr>
          <w:spacing w:val="-1"/>
        </w:rPr>
        <w:t> </w:t>
      </w:r>
      <w:r>
        <w:rPr/>
        <w:t>□不适用</w:t>
      </w:r>
    </w:p>
    <w:p>
      <w:pPr>
        <w:spacing w:after="0" w:line="240" w:lineRule="auto"/>
        <w:jc w:val="left"/>
        <w:sectPr>
          <w:type w:val="continuous"/>
          <w:pgSz w:w="11910" w:h="16840"/>
          <w:pgMar w:top="1120" w:bottom="1380" w:left="156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35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10"/>
              <w:jc w:val="right"/>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29,406,846.84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31,876,189.31</w:t>
            </w:r>
          </w:p>
        </w:tc>
      </w:tr>
      <w:tr>
        <w:trPr>
          <w:trHeight w:val="348"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9,181,918.62</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1,433,015.77</w:t>
            </w:r>
          </w:p>
        </w:tc>
      </w:tr>
      <w:tr>
        <w:trPr>
          <w:trHeight w:val="35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房租费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6,652,399.40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5,417,080.93</w:t>
            </w:r>
          </w:p>
        </w:tc>
      </w:tr>
      <w:tr>
        <w:trPr>
          <w:trHeight w:val="35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8,107,051.56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7,034,209.94</w:t>
            </w:r>
          </w:p>
        </w:tc>
      </w:tr>
      <w:tr>
        <w:trPr>
          <w:trHeight w:val="35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物业管理费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772,444.93</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594,583.60</w:t>
            </w:r>
          </w:p>
        </w:tc>
      </w:tr>
      <w:tr>
        <w:trPr>
          <w:trHeight w:val="35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561,829.31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931,425.02</w:t>
            </w:r>
          </w:p>
        </w:tc>
      </w:tr>
      <w:tr>
        <w:trPr>
          <w:trHeight w:val="35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422,213.18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726,766.83</w:t>
            </w:r>
          </w:p>
        </w:tc>
      </w:tr>
      <w:tr>
        <w:trPr>
          <w:trHeight w:val="349"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中介机构服务费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350,027.58</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36,728.04</w:t>
            </w:r>
          </w:p>
        </w:tc>
      </w:tr>
      <w:tr>
        <w:trPr>
          <w:trHeight w:val="35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制作费</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242,598.56</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1,346,095.20</w:t>
            </w:r>
          </w:p>
        </w:tc>
      </w:tr>
      <w:tr>
        <w:trPr>
          <w:trHeight w:val="35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890,518.51</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2,472,642.21</w:t>
            </w:r>
          </w:p>
        </w:tc>
      </w:tr>
      <w:tr>
        <w:trPr>
          <w:trHeight w:val="350"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10"/>
              <w:jc w:val="right"/>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56,587,848.49</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51,868,736.85</w:t>
            </w:r>
          </w:p>
        </w:tc>
      </w:tr>
    </w:tbl>
    <w:p>
      <w:pPr>
        <w:spacing w:after="0" w:line="274" w:lineRule="exact"/>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40" w:lineRule="exact"/>
        <w:ind w:right="0"/>
        <w:jc w:val="left"/>
      </w:pPr>
      <w:r>
        <w:rPr/>
        <w:t>其他说明：</w:t>
      </w:r>
    </w:p>
    <w:p>
      <w:pPr>
        <w:pStyle w:val="BodyText"/>
        <w:spacing w:line="274" w:lineRule="exact"/>
        <w:ind w:right="0"/>
        <w:jc w:val="left"/>
      </w:pPr>
      <w:r>
        <w:rPr>
          <w:w w:val="100"/>
        </w:rPr>
        <w:t>无</w:t>
      </w:r>
    </w:p>
    <w:p>
      <w:pPr>
        <w:pStyle w:val="Heading2"/>
        <w:spacing w:line="240" w:lineRule="auto" w:before="56"/>
        <w:ind w:right="0"/>
        <w:jc w:val="left"/>
        <w:rPr>
          <w:b w:val="0"/>
          <w:bCs w:val="0"/>
        </w:rPr>
      </w:pPr>
      <w:r>
        <w:rPr>
          <w:rFonts w:ascii="宋体" w:hAnsi="宋体" w:cs="宋体" w:eastAsia="宋体" w:hint="default"/>
        </w:rPr>
        <w:t>57</w:t>
      </w:r>
      <w:r>
        <w:rPr/>
        <w:t>、</w:t>
      </w:r>
      <w:r>
        <w:rPr>
          <w:spacing w:val="-25"/>
        </w:rPr>
        <w:t> </w:t>
      </w:r>
      <w:r>
        <w:rPr/>
        <w:t>财务费用</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84"/>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-25,188,350.62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-16,424,591.41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-63,485.40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19,828.31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275,341.03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439,549.99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84"/>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-24,976,494.99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-15,965,213.11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18"/>
        <w:jc w:val="left"/>
      </w:pPr>
      <w:r>
        <w:rPr/>
        <w:t>其他说明：</w:t>
      </w:r>
    </w:p>
    <w:p>
      <w:pPr>
        <w:pStyle w:val="BodyText"/>
        <w:spacing w:line="274" w:lineRule="exact"/>
        <w:ind w:right="-18"/>
        <w:jc w:val="left"/>
      </w:pPr>
      <w:r>
        <w:rPr>
          <w:w w:val="100"/>
        </w:rPr>
        <w:t>无</w:t>
      </w:r>
    </w:p>
    <w:p>
      <w:pPr>
        <w:pStyle w:val="Heading2"/>
        <w:spacing w:line="240" w:lineRule="auto" w:before="56"/>
        <w:ind w:right="-18"/>
        <w:jc w:val="left"/>
        <w:rPr>
          <w:b w:val="0"/>
          <w:bCs w:val="0"/>
        </w:rPr>
      </w:pPr>
      <w:r>
        <w:rPr>
          <w:rFonts w:ascii="宋体" w:hAnsi="宋体" w:cs="宋体" w:eastAsia="宋体" w:hint="default"/>
        </w:rPr>
        <w:t>58</w:t>
      </w:r>
      <w:r>
        <w:rPr/>
        <w:t>、</w:t>
      </w:r>
      <w:r>
        <w:rPr>
          <w:spacing w:val="-24"/>
        </w:rPr>
        <w:t> </w:t>
      </w:r>
      <w:r>
        <w:rPr/>
        <w:t>资产减值损失</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664"/>
        <w:gridCol w:w="2986"/>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57,131,753.71</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41,816,428.43</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66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19,343,900.00</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45,305,002.81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66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66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66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66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66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66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66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66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66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66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664"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76,475,653.71</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87,121,431.24</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90" w:lineRule="auto" w:before="36"/>
        <w:ind w:left="258" w:right="1219"/>
        <w:jc w:val="left"/>
        <w:rPr>
          <w:rFonts w:ascii="宋体" w:hAnsi="宋体" w:cs="宋体" w:eastAsia="宋体" w:hint="default"/>
        </w:rPr>
      </w:pPr>
      <w:r>
        <w:rPr/>
        <w:t>其他说明：</w:t>
      </w:r>
      <w:r>
        <w:rPr>
          <w:spacing w:val="-102"/>
        </w:rPr>
        <w:t> </w:t>
      </w:r>
      <w:r>
        <w:rPr>
          <w:spacing w:val="-102"/>
        </w:rPr>
      </w:r>
      <w:r>
        <w:rPr>
          <w:spacing w:val="-2"/>
        </w:rPr>
        <w:t>可供出售金融资产减值损失，详见本报告第十一节、七、</w:t>
      </w:r>
      <w:r>
        <w:rPr>
          <w:rFonts w:ascii="宋体" w:hAnsi="宋体" w:cs="宋体" w:eastAsia="宋体" w:hint="default"/>
          <w:spacing w:val="-2"/>
        </w:rPr>
        <w:t>11</w:t>
      </w:r>
      <w:r>
        <w:rPr>
          <w:spacing w:val="-2"/>
        </w:rPr>
        <w:t>、可供出售金融资产。</w:t>
      </w:r>
      <w:r>
        <w:rPr>
          <w:spacing w:val="-33"/>
        </w:rPr>
        <w:t> </w:t>
      </w:r>
      <w:r>
        <w:rPr>
          <w:spacing w:val="-33"/>
        </w:rPr>
      </w:r>
      <w:r>
        <w:rPr>
          <w:rFonts w:ascii="宋体" w:hAnsi="宋体" w:cs="宋体" w:eastAsia="宋体" w:hint="default"/>
          <w:b/>
          <w:bCs/>
        </w:rPr>
        <w:t>59</w:t>
      </w:r>
      <w:r>
        <w:rPr>
          <w:rFonts w:ascii="宋体" w:hAnsi="宋体" w:cs="宋体" w:eastAsia="宋体" w:hint="default"/>
          <w:b/>
          <w:bCs/>
        </w:rPr>
        <w:t>、</w:t>
      </w:r>
      <w:r>
        <w:rPr>
          <w:rFonts w:ascii="宋体" w:hAnsi="宋体" w:cs="宋体" w:eastAsia="宋体" w:hint="default"/>
          <w:b/>
          <w:bCs/>
          <w:spacing w:val="-25"/>
        </w:rPr>
        <w:t> </w:t>
      </w:r>
      <w:r>
        <w:rPr>
          <w:rFonts w:ascii="宋体" w:hAnsi="宋体" w:cs="宋体" w:eastAsia="宋体" w:hint="default"/>
          <w:b/>
          <w:bCs/>
        </w:rPr>
        <w:t>其他收益</w:t>
      </w:r>
      <w:r>
        <w:rPr>
          <w:rFonts w:ascii="宋体" w:hAnsi="宋体" w:cs="宋体" w:eastAsia="宋体" w:hint="default"/>
        </w:rPr>
      </w:r>
    </w:p>
    <w:p>
      <w:pPr>
        <w:pStyle w:val="BodyText"/>
        <w:spacing w:line="240" w:lineRule="auto" w:before="14"/>
        <w:ind w:left="258" w:right="1219"/>
        <w:jc w:val="left"/>
      </w:pPr>
      <w:r>
        <w:rPr/>
        <w:t>√适用</w:t>
      </w:r>
      <w:r>
        <w:rPr>
          <w:spacing w:val="-1"/>
        </w:rPr>
        <w:t> </w:t>
      </w:r>
      <w:r>
        <w:rPr/>
        <w:t>□不适用</w:t>
      </w:r>
    </w:p>
    <w:p>
      <w:pPr>
        <w:pStyle w:val="BodyText"/>
        <w:tabs>
          <w:tab w:pos="1051" w:val="left" w:leader="none"/>
        </w:tabs>
        <w:spacing w:line="271" w:lineRule="exact"/>
        <w:ind w:left="0" w:right="27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437"/>
        <w:gridCol w:w="2693"/>
        <w:gridCol w:w="2977"/>
      </w:tblGrid>
      <w:tr>
        <w:trPr>
          <w:trHeight w:val="350"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48"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与企业日常活动相关的政府补助</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46,689,933.54</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11,546,605.67</w:t>
            </w:r>
          </w:p>
        </w:tc>
      </w:tr>
      <w:tr>
        <w:trPr>
          <w:trHeight w:val="350"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46,689,933.54</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11,546,605.67</w:t>
            </w:r>
          </w:p>
        </w:tc>
      </w:tr>
    </w:tbl>
    <w:p>
      <w:pPr>
        <w:spacing w:after="0" w:line="240" w:lineRule="auto"/>
        <w:jc w:val="right"/>
        <w:rPr>
          <w:rFonts w:ascii="宋体" w:hAnsi="宋体" w:cs="宋体" w:eastAsia="宋体" w:hint="default"/>
          <w:sz w:val="21"/>
          <w:szCs w:val="21"/>
        </w:rPr>
        <w:sectPr>
          <w:pgSz w:w="11910" w:h="16840"/>
          <w:pgMar w:header="0" w:footer="1195" w:top="1120" w:bottom="1380" w:left="1540" w:right="1000"/>
        </w:sectPr>
      </w:pPr>
    </w:p>
    <w:p>
      <w:pPr>
        <w:pStyle w:val="BodyText"/>
        <w:spacing w:line="240" w:lineRule="exact"/>
        <w:ind w:left="258" w:right="-18"/>
        <w:jc w:val="left"/>
      </w:pPr>
      <w:r>
        <w:rPr/>
        <w:t>其他说明：</w:t>
      </w:r>
    </w:p>
    <w:p>
      <w:pPr>
        <w:pStyle w:val="BodyText"/>
        <w:spacing w:line="274" w:lineRule="exact"/>
        <w:ind w:left="258" w:right="-18"/>
        <w:jc w:val="left"/>
      </w:pPr>
      <w:r>
        <w:rPr>
          <w:w w:val="100"/>
        </w:rPr>
        <w:t>无</w:t>
      </w:r>
    </w:p>
    <w:p>
      <w:pPr>
        <w:pStyle w:val="Heading2"/>
        <w:spacing w:line="240" w:lineRule="auto" w:before="57"/>
        <w:ind w:left="258" w:right="-18"/>
        <w:jc w:val="left"/>
        <w:rPr>
          <w:b w:val="0"/>
          <w:bCs w:val="0"/>
        </w:rPr>
      </w:pPr>
      <w:r>
        <w:rPr>
          <w:rFonts w:ascii="宋体" w:hAnsi="宋体" w:cs="宋体" w:eastAsia="宋体" w:hint="default"/>
        </w:rPr>
        <w:t>60</w:t>
      </w:r>
      <w:r>
        <w:rPr/>
        <w:t>、</w:t>
      </w:r>
      <w:r>
        <w:rPr>
          <w:spacing w:val="-25"/>
        </w:rPr>
        <w:t> </w:t>
      </w:r>
      <w:r>
        <w:rPr/>
        <w:t>投资收益</w:t>
      </w:r>
      <w:r>
        <w:rPr>
          <w:b w:val="0"/>
          <w:bCs w:val="0"/>
        </w:rPr>
      </w:r>
    </w:p>
    <w:p>
      <w:pPr>
        <w:pStyle w:val="BodyText"/>
        <w:spacing w:line="240" w:lineRule="auto" w:before="58"/>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309" w:val="left" w:leader="none"/>
        </w:tabs>
        <w:spacing w:line="240" w:lineRule="auto"/>
        <w:ind w:left="258" w:right="0"/>
        <w:jc w:val="left"/>
      </w:pPr>
      <w:r>
        <w:rPr>
          <w:spacing w:val="-1"/>
        </w:rPr>
        <w:t>单位：元</w:t>
        <w:tab/>
        <w:t>币种：人民币</w:t>
      </w:r>
    </w:p>
    <w:p>
      <w:pPr>
        <w:spacing w:after="0" w:line="240" w:lineRule="auto"/>
        <w:jc w:val="left"/>
        <w:sectPr>
          <w:type w:val="continuous"/>
          <w:pgSz w:w="11910" w:h="16840"/>
          <w:pgMar w:top="1120" w:bottom="1380" w:left="1540" w:right="1000"/>
          <w:cols w:num="2" w:equalWidth="0">
            <w:col w:w="1835" w:space="4686"/>
            <w:col w:w="2849"/>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258"/>
        <w:gridCol w:w="2410"/>
        <w:gridCol w:w="2461"/>
      </w:tblGrid>
      <w:tr>
        <w:trPr>
          <w:trHeight w:val="350"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0"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-16,194,507.39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-13,654,315.95</w:t>
            </w:r>
          </w:p>
        </w:tc>
      </w:tr>
      <w:tr>
        <w:trPr>
          <w:trHeight w:val="348"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42,177,325.52</w:t>
            </w:r>
          </w:p>
        </w:tc>
      </w:tr>
      <w:tr>
        <w:trPr>
          <w:trHeight w:val="350"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1,245,720.40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3,502,733.91</w:t>
            </w:r>
          </w:p>
        </w:tc>
      </w:tr>
      <w:tr>
        <w:trPr>
          <w:trHeight w:val="350"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27,657,639.29</w:t>
            </w:r>
          </w:p>
        </w:tc>
      </w:tr>
      <w:tr>
        <w:trPr>
          <w:trHeight w:val="554"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量产生的利得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2,352,198.77</w:t>
            </w:r>
          </w:p>
        </w:tc>
      </w:tr>
      <w:tr>
        <w:trPr>
          <w:trHeight w:val="351"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银行理财投资收益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14,582,413.46</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23,312,562.02</w:t>
            </w:r>
          </w:p>
        </w:tc>
      </w:tr>
      <w:tr>
        <w:trPr>
          <w:trHeight w:val="350" w:hRule="exact"/>
        </w:trPr>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-366,373.53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85,348,143.56</w:t>
            </w:r>
          </w:p>
        </w:tc>
      </w:tr>
    </w:tbl>
    <w:p>
      <w:pPr>
        <w:pStyle w:val="BodyText"/>
        <w:spacing w:line="273" w:lineRule="exact" w:before="86"/>
        <w:ind w:left="258" w:right="1219"/>
        <w:jc w:val="left"/>
      </w:pPr>
      <w:r>
        <w:rPr/>
        <w:t>其他说明：</w:t>
      </w:r>
    </w:p>
    <w:p>
      <w:pPr>
        <w:pStyle w:val="BodyText"/>
        <w:spacing w:line="273" w:lineRule="exact"/>
        <w:ind w:left="678" w:right="0"/>
        <w:jc w:val="left"/>
      </w:pPr>
      <w:r>
        <w:rPr/>
        <w:t>（</w:t>
      </w:r>
      <w:r>
        <w:rPr>
          <w:rFonts w:ascii="宋体" w:hAnsi="宋体" w:cs="宋体" w:eastAsia="宋体" w:hint="default"/>
        </w:rPr>
        <w:t>1</w:t>
      </w:r>
      <w:r>
        <w:rPr/>
        <w:t>）权益法核算的长期股权投资收益，详见本报告第十一节、七、</w:t>
      </w:r>
      <w:r>
        <w:rPr>
          <w:rFonts w:ascii="宋体" w:hAnsi="宋体" w:cs="宋体" w:eastAsia="宋体" w:hint="default"/>
        </w:rPr>
        <w:t>14</w:t>
      </w:r>
      <w:r>
        <w:rPr/>
        <w:t>、长期股权投资；</w:t>
      </w:r>
    </w:p>
    <w:p>
      <w:pPr>
        <w:pStyle w:val="BodyText"/>
        <w:spacing w:line="240" w:lineRule="auto" w:before="135"/>
        <w:ind w:left="678" w:right="0"/>
        <w:jc w:val="left"/>
      </w:pPr>
      <w:r>
        <w:rPr/>
        <w:t>（</w:t>
      </w:r>
      <w:r>
        <w:rPr>
          <w:rFonts w:ascii="宋体" w:hAnsi="宋体" w:cs="宋体" w:eastAsia="宋体" w:hint="default"/>
        </w:rPr>
        <w:t>2</w:t>
      </w:r>
      <w:r>
        <w:rPr/>
        <w:t>）可供出售金融资产在持有期间的投资收益为华强方特以</w:t>
      </w:r>
      <w:r>
        <w:rPr>
          <w:spacing w:val="-58"/>
        </w:rPr>
        <w:t> </w:t>
      </w:r>
      <w:r>
        <w:rPr>
          <w:rFonts w:ascii="宋体" w:hAnsi="宋体" w:cs="宋体" w:eastAsia="宋体" w:hint="default"/>
        </w:rPr>
        <w:t>520.00</w:t>
      </w:r>
      <w:r>
        <w:rPr>
          <w:rFonts w:ascii="宋体" w:hAnsi="宋体" w:cs="宋体" w:eastAsia="宋体" w:hint="default"/>
          <w:spacing w:val="-58"/>
        </w:rPr>
        <w:t> </w:t>
      </w:r>
      <w:r>
        <w:rPr/>
        <w:t>万股分得现金红利</w:t>
      </w:r>
    </w:p>
    <w:p>
      <w:pPr>
        <w:pStyle w:val="BodyText"/>
        <w:spacing w:line="240" w:lineRule="auto" w:before="133"/>
        <w:ind w:left="258" w:right="1219"/>
        <w:jc w:val="left"/>
      </w:pPr>
      <w:r>
        <w:rPr>
          <w:rFonts w:ascii="宋体" w:hAnsi="宋体" w:cs="宋体" w:eastAsia="宋体" w:hint="default"/>
        </w:rPr>
        <w:t>104.00</w:t>
      </w:r>
      <w:r>
        <w:rPr>
          <w:rFonts w:ascii="宋体" w:hAnsi="宋体" w:cs="宋体" w:eastAsia="宋体" w:hint="default"/>
          <w:spacing w:val="-53"/>
        </w:rPr>
        <w:t> </w:t>
      </w:r>
      <w:r>
        <w:rPr/>
        <w:t>万元，号百控股以</w:t>
      </w:r>
      <w:r>
        <w:rPr>
          <w:spacing w:val="-55"/>
        </w:rPr>
        <w:t> </w:t>
      </w:r>
      <w:r>
        <w:rPr>
          <w:rFonts w:ascii="宋体" w:hAnsi="宋体" w:cs="宋体" w:eastAsia="宋体" w:hint="default"/>
        </w:rPr>
        <w:t>205.7204</w:t>
      </w:r>
      <w:r>
        <w:rPr>
          <w:rFonts w:ascii="宋体" w:hAnsi="宋体" w:cs="宋体" w:eastAsia="宋体" w:hint="default"/>
          <w:spacing w:val="-55"/>
        </w:rPr>
        <w:t> </w:t>
      </w:r>
      <w:r>
        <w:rPr/>
        <w:t>万股分得现金红利</w:t>
      </w:r>
      <w:r>
        <w:rPr>
          <w:spacing w:val="-53"/>
        </w:rPr>
        <w:t> </w:t>
      </w:r>
      <w:r>
        <w:rPr>
          <w:rFonts w:ascii="宋体" w:hAnsi="宋体" w:cs="宋体" w:eastAsia="宋体" w:hint="default"/>
        </w:rPr>
        <w:t>205,720.40</w:t>
      </w:r>
      <w:r>
        <w:rPr>
          <w:rFonts w:ascii="宋体" w:hAnsi="宋体" w:cs="宋体" w:eastAsia="宋体" w:hint="default"/>
          <w:spacing w:val="-55"/>
        </w:rPr>
        <w:t> </w:t>
      </w:r>
      <w:r>
        <w:rPr/>
        <w:t>元。</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120" w:bottom="1380" w:left="1540" w:right="1000"/>
        </w:sectPr>
      </w:pPr>
    </w:p>
    <w:p>
      <w:pPr>
        <w:pStyle w:val="Heading2"/>
        <w:spacing w:line="240" w:lineRule="auto"/>
        <w:ind w:left="258" w:right="-18"/>
        <w:jc w:val="left"/>
        <w:rPr>
          <w:b w:val="0"/>
          <w:bCs w:val="0"/>
        </w:rPr>
      </w:pPr>
      <w:r>
        <w:rPr>
          <w:rFonts w:ascii="宋体" w:hAnsi="宋体" w:cs="宋体" w:eastAsia="宋体" w:hint="default"/>
        </w:rPr>
        <w:t>61</w:t>
      </w:r>
      <w:r>
        <w:rPr/>
        <w:t>、</w:t>
      </w:r>
      <w:r>
        <w:rPr>
          <w:spacing w:val="-24"/>
        </w:rPr>
        <w:t> </w:t>
      </w:r>
      <w:r>
        <w:rPr/>
        <w:t>公允价值变动收益</w:t>
      </w:r>
      <w:r>
        <w:rPr>
          <w:b w:val="0"/>
          <w:bCs w:val="0"/>
        </w:rPr>
      </w:r>
    </w:p>
    <w:p>
      <w:pPr>
        <w:spacing w:line="290" w:lineRule="auto" w:before="58"/>
        <w:ind w:left="258" w:right="40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资产处置收益</w:t>
      </w:r>
      <w:r>
        <w:rPr>
          <w:rFonts w:ascii="宋体" w:hAnsi="宋体" w:cs="宋体" w:eastAsia="宋体" w:hint="default"/>
          <w:sz w:val="21"/>
          <w:szCs w:val="21"/>
        </w:rPr>
      </w:r>
    </w:p>
    <w:p>
      <w:pPr>
        <w:pStyle w:val="BodyText"/>
        <w:spacing w:line="240" w:lineRule="auto" w:before="15"/>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00"/>
          <w:cols w:num="2" w:equalWidth="0">
            <w:col w:w="2452" w:space="4070"/>
            <w:col w:w="2848"/>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12,397.95</w:t>
            </w: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12,397.95</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40" w:right="1000"/>
        </w:sectPr>
      </w:pPr>
    </w:p>
    <w:p>
      <w:pPr>
        <w:pStyle w:val="BodyText"/>
        <w:spacing w:line="239" w:lineRule="exact"/>
        <w:ind w:left="258" w:right="105"/>
        <w:jc w:val="left"/>
      </w:pPr>
      <w:r>
        <w:rPr/>
        <w:t>其他说明：</w:t>
      </w:r>
    </w:p>
    <w:p>
      <w:pPr>
        <w:pStyle w:val="BodyText"/>
        <w:spacing w:line="273" w:lineRule="exact"/>
        <w:ind w:left="258" w:right="105"/>
        <w:jc w:val="left"/>
      </w:pPr>
      <w:r>
        <w:rPr>
          <w:w w:val="100"/>
        </w:rPr>
        <w:t>无</w:t>
      </w:r>
    </w:p>
    <w:p>
      <w:pPr>
        <w:spacing w:line="290" w:lineRule="auto" w:before="58"/>
        <w:ind w:left="258" w:right="105" w:firstLine="0"/>
        <w:jc w:val="left"/>
        <w:rPr>
          <w:rFonts w:ascii="宋体" w:hAnsi="宋体" w:cs="宋体" w:eastAsia="宋体" w:hint="default"/>
          <w:sz w:val="21"/>
          <w:szCs w:val="21"/>
        </w:rPr>
      </w:pPr>
      <w:r>
        <w:rPr>
          <w:rFonts w:ascii="宋体" w:hAnsi="宋体" w:cs="宋体" w:eastAsia="宋体" w:hint="default"/>
          <w:b/>
          <w:bCs/>
          <w:sz w:val="21"/>
          <w:szCs w:val="21"/>
        </w:rPr>
        <w:t>63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营业外收入</w:t>
      </w:r>
      <w:r>
        <w:rPr>
          <w:rFonts w:ascii="宋体" w:hAnsi="宋体" w:cs="宋体" w:eastAsia="宋体" w:hint="default"/>
          <w:b/>
          <w:bCs/>
          <w:w w:val="100"/>
          <w:sz w:val="21"/>
          <w:szCs w:val="21"/>
        </w:rPr>
        <w:t> </w:t>
      </w:r>
      <w:r>
        <w:rPr>
          <w:rFonts w:ascii="宋体" w:hAnsi="宋体" w:cs="宋体" w:eastAsia="宋体" w:hint="default"/>
          <w:sz w:val="21"/>
          <w:szCs w:val="21"/>
        </w:rPr>
        <w:t>营业外收入情况</w:t>
      </w:r>
    </w:p>
    <w:p>
      <w:pPr>
        <w:pStyle w:val="BodyText"/>
        <w:tabs>
          <w:tab w:pos="1100" w:val="left" w:leader="none"/>
        </w:tabs>
        <w:spacing w:line="227" w:lineRule="exact"/>
        <w:ind w:left="25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309" w:val="left" w:leader="none"/>
        </w:tabs>
        <w:spacing w:line="240" w:lineRule="auto" w:before="138"/>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00"/>
          <w:cols w:num="2" w:equalWidth="0">
            <w:col w:w="1941" w:space="4581"/>
            <w:col w:w="2848"/>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512"/>
        <w:gridCol w:w="1844"/>
        <w:gridCol w:w="1702"/>
        <w:gridCol w:w="1993"/>
      </w:tblGrid>
      <w:tr>
        <w:trPr>
          <w:trHeight w:val="557"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sz w:val="21"/>
              </w:rPr>
              <w:t>300,000.00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8" w:right="0"/>
              <w:jc w:val="left"/>
              <w:rPr>
                <w:rFonts w:ascii="宋体" w:hAnsi="宋体" w:cs="宋体" w:eastAsia="宋体" w:hint="default"/>
                <w:sz w:val="21"/>
                <w:szCs w:val="21"/>
              </w:rPr>
            </w:pPr>
            <w:r>
              <w:rPr>
                <w:rFonts w:ascii="宋体"/>
                <w:sz w:val="21"/>
              </w:rPr>
              <w:t>300,000.00</w:t>
            </w:r>
          </w:p>
        </w:tc>
      </w:tr>
    </w:tbl>
    <w:p>
      <w:pPr>
        <w:spacing w:after="0" w:line="241" w:lineRule="exact"/>
        <w:jc w:val="left"/>
        <w:rPr>
          <w:rFonts w:ascii="宋体" w:hAnsi="宋体" w:cs="宋体" w:eastAsia="宋体" w:hint="default"/>
          <w:sz w:val="21"/>
          <w:szCs w:val="21"/>
        </w:rPr>
        <w:sectPr>
          <w:type w:val="continuous"/>
          <w:pgSz w:w="11910" w:h="16840"/>
          <w:pgMar w:top="1120" w:bottom="1380" w:left="154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12"/>
        <w:gridCol w:w="1844"/>
        <w:gridCol w:w="1702"/>
        <w:gridCol w:w="1993"/>
      </w:tblGrid>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103,845.24</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103,845.24</w:t>
            </w:r>
          </w:p>
        </w:tc>
      </w:tr>
      <w:tr>
        <w:trPr>
          <w:trHeight w:val="826"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取得合营企业的投资成本小于取得</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pacing w:val="-2"/>
                <w:sz w:val="21"/>
                <w:szCs w:val="21"/>
              </w:rPr>
              <w:t>投资时应享有被投资单位可辨认净</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资产公允价值产生的收益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18,058,797.20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37,118,039.94</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18,058,797.20</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20,857,506.30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193,326.51</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20,857,506.30</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39,320,148.74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37,311,366.45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39,320,148.74</w:t>
            </w:r>
          </w:p>
        </w:tc>
      </w:tr>
    </w:tbl>
    <w:p>
      <w:pPr>
        <w:pStyle w:val="BodyText"/>
        <w:spacing w:line="272" w:lineRule="exact" w:before="113"/>
        <w:ind w:right="227" w:firstLine="419"/>
        <w:jc w:val="left"/>
      </w:pPr>
      <w:r>
        <w:rPr>
          <w:spacing w:val="-5"/>
        </w:rPr>
        <w:t>注：其他主要为道有道股权转让产生收益 </w:t>
      </w:r>
      <w:r>
        <w:rPr>
          <w:rFonts w:ascii="宋体" w:hAnsi="宋体" w:cs="宋体" w:eastAsia="宋体" w:hint="default"/>
        </w:rPr>
        <w:t>19,391,122.00</w:t>
      </w:r>
      <w:r>
        <w:rPr>
          <w:rFonts w:ascii="宋体" w:hAnsi="宋体" w:cs="宋体" w:eastAsia="宋体" w:hint="default"/>
          <w:spacing w:val="-56"/>
        </w:rPr>
        <w:t> </w:t>
      </w:r>
      <w:r>
        <w:rPr>
          <w:spacing w:val="-10"/>
        </w:rPr>
        <w:t>元，详见本报告第十一节、七、</w:t>
      </w:r>
      <w:r>
        <w:rPr>
          <w:rFonts w:ascii="宋体" w:hAnsi="宋体" w:cs="宋体" w:eastAsia="宋体" w:hint="default"/>
          <w:spacing w:val="-10"/>
        </w:rPr>
        <w:t>11</w:t>
      </w:r>
      <w:r>
        <w:rPr>
          <w:spacing w:val="-10"/>
        </w:rPr>
        <w:t>、</w:t>
      </w:r>
      <w:r>
        <w:rPr>
          <w:w w:val="100"/>
        </w:rPr>
        <w:t> </w:t>
      </w:r>
      <w:r>
        <w:rPr/>
        <w:t>可供出售金融资产。</w:t>
      </w:r>
    </w:p>
    <w:p>
      <w:pPr>
        <w:pStyle w:val="BodyText"/>
        <w:spacing w:line="273" w:lineRule="exact" w:before="94"/>
        <w:ind w:right="3319"/>
        <w:jc w:val="left"/>
      </w:pPr>
      <w:r>
        <w:rPr/>
        <w:t>计入当期损益的政府补助</w:t>
      </w:r>
    </w:p>
    <w:p>
      <w:pPr>
        <w:pStyle w:val="BodyText"/>
        <w:spacing w:line="273" w:lineRule="exact"/>
        <w:ind w:right="3319"/>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098"/>
        <w:gridCol w:w="2319"/>
        <w:gridCol w:w="2076"/>
        <w:gridCol w:w="2569"/>
      </w:tblGrid>
      <w:tr>
        <w:trPr>
          <w:trHeight w:val="40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23"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01"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40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地方产业支持资金</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0" w:right="0"/>
              <w:jc w:val="left"/>
              <w:rPr>
                <w:rFonts w:ascii="宋体" w:hAnsi="宋体" w:cs="宋体" w:eastAsia="宋体" w:hint="default"/>
                <w:sz w:val="21"/>
                <w:szCs w:val="21"/>
              </w:rPr>
            </w:pPr>
            <w:r>
              <w:rPr>
                <w:rFonts w:ascii="宋体"/>
                <w:sz w:val="21"/>
              </w:rPr>
              <w:t>103,845.24</w:t>
            </w:r>
          </w:p>
        </w:tc>
        <w:tc>
          <w:tcPr>
            <w:tcW w:w="2076" w:type="dxa"/>
            <w:tcBorders>
              <w:top w:val="single" w:sz="4" w:space="0" w:color="000000"/>
              <w:left w:val="single" w:sz="4" w:space="0" w:color="000000"/>
              <w:bottom w:val="single" w:sz="4" w:space="0" w:color="000000"/>
              <w:right w:val="single" w:sz="4" w:space="0" w:color="000000"/>
            </w:tcBorders>
          </w:tcPr>
          <w:p>
            <w:pPr/>
          </w:p>
        </w:tc>
        <w:tc>
          <w:tcPr>
            <w:tcW w:w="2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line="240" w:lineRule="auto" w:before="1"/>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0" w:footer="1195" w:top="1120" w:bottom="1380" w:left="1580" w:right="1040"/>
        </w:sectPr>
      </w:pPr>
    </w:p>
    <w:p>
      <w:pPr>
        <w:pStyle w:val="BodyText"/>
        <w:spacing w:line="240" w:lineRule="auto" w:before="36"/>
        <w:ind w:right="202"/>
        <w:jc w:val="left"/>
      </w:pPr>
      <w:r>
        <w:rPr/>
        <w:t>其他说明：</w:t>
      </w:r>
    </w:p>
    <w:p>
      <w:pPr>
        <w:spacing w:line="300" w:lineRule="auto" w:before="145"/>
        <w:ind w:left="218" w:right="8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营业外支出</w:t>
      </w:r>
      <w:r>
        <w:rPr>
          <w:rFonts w:ascii="宋体" w:hAnsi="宋体" w:cs="宋体" w:eastAsia="宋体" w:hint="default"/>
          <w:sz w:val="21"/>
          <w:szCs w:val="21"/>
        </w:rPr>
      </w:r>
    </w:p>
    <w:p>
      <w:pPr>
        <w:pStyle w:val="BodyText"/>
        <w:tabs>
          <w:tab w:pos="1060" w:val="left" w:leader="none"/>
        </w:tabs>
        <w:spacing w:line="240" w:lineRule="auto" w:before="6"/>
        <w:ind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0"/>
        <w:gridCol w:w="2127"/>
        <w:gridCol w:w="2126"/>
        <w:gridCol w:w="2137"/>
      </w:tblGrid>
      <w:tr>
        <w:trPr>
          <w:trHeight w:val="55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益的金额</w:t>
            </w:r>
          </w:p>
        </w:tc>
      </w:tr>
      <w:tr>
        <w:trPr>
          <w:trHeight w:val="35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265,479.05</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265,479.05</w:t>
            </w:r>
          </w:p>
        </w:tc>
      </w:tr>
      <w:tr>
        <w:trPr>
          <w:trHeight w:val="35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520,000.00</w:t>
            </w:r>
          </w:p>
        </w:tc>
        <w:tc>
          <w:tcPr>
            <w:tcW w:w="2126"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520,000.00</w:t>
            </w:r>
          </w:p>
        </w:tc>
      </w:tr>
      <w:tr>
        <w:trPr>
          <w:trHeight w:val="35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46,000.00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z w:val="21"/>
              </w:rPr>
              <w:t>60,000</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46,000.00</w:t>
            </w:r>
          </w:p>
        </w:tc>
      </w:tr>
      <w:tr>
        <w:trPr>
          <w:trHeight w:val="34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391,591.76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276,525.93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391,591.76</w:t>
            </w:r>
          </w:p>
        </w:tc>
      </w:tr>
      <w:tr>
        <w:trPr>
          <w:trHeight w:val="35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1,223,070.81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336,525.93</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1,223,070.81</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90" w:lineRule="auto" w:before="26"/>
        <w:ind w:right="629"/>
        <w:jc w:val="left"/>
      </w:pPr>
      <w:r>
        <w:rPr>
          <w:spacing w:val="-1"/>
        </w:rPr>
        <w:t>其他说明：</w:t>
      </w:r>
      <w:r>
        <w:rPr>
          <w:spacing w:val="-97"/>
        </w:rPr>
        <w:t> </w:t>
      </w:r>
      <w:r>
        <w:rPr>
          <w:spacing w:val="-97"/>
        </w:rPr>
      </w:r>
      <w:r>
        <w:rPr/>
        <w:t>无</w:t>
      </w:r>
    </w:p>
    <w:p>
      <w:pPr>
        <w:pStyle w:val="Heading2"/>
        <w:spacing w:line="290" w:lineRule="auto" w:before="12"/>
        <w:ind w:right="-14"/>
        <w:jc w:val="left"/>
        <w:rPr>
          <w:b w:val="0"/>
          <w:bCs w:val="0"/>
        </w:rPr>
      </w:pPr>
      <w:r>
        <w:rPr>
          <w:rFonts w:ascii="宋体" w:hAnsi="宋体" w:cs="宋体" w:eastAsia="宋体" w:hint="default"/>
        </w:rPr>
        <w:t>65</w:t>
      </w:r>
      <w:r>
        <w:rPr/>
        <w:t>、</w:t>
      </w:r>
      <w:r>
        <w:rPr>
          <w:spacing w:val="-25"/>
        </w:rPr>
        <w:t> </w:t>
      </w:r>
      <w:r>
        <w:rPr/>
        <w:t>所得税费用</w:t>
      </w:r>
      <w:r>
        <w:rPr>
          <w:w w:val="100"/>
        </w:rPr>
        <w:t> </w:t>
      </w:r>
      <w:r>
        <w:rPr>
          <w:rFonts w:ascii="宋体" w:hAnsi="宋体" w:cs="宋体" w:eastAsia="宋体" w:hint="default"/>
        </w:rPr>
        <w:t>(1).</w:t>
      </w:r>
      <w:r>
        <w:rPr/>
        <w:t>所得税费用表</w:t>
      </w:r>
      <w:r>
        <w:rPr>
          <w:b w:val="0"/>
          <w:bCs w:val="0"/>
        </w:rPr>
      </w:r>
    </w:p>
    <w:p>
      <w:pPr>
        <w:pStyle w:val="BodyText"/>
        <w:spacing w:line="240" w:lineRule="auto" w:before="13"/>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3" w:space="460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4,558,989.89</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1,700,029.62</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-467,703.14</w:t>
            </w:r>
          </w:p>
        </w:tc>
        <w:tc>
          <w:tcPr>
            <w:tcW w:w="29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4,091,286.75</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1,700,029.62</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before="26"/>
        <w:ind w:right="-16"/>
        <w:jc w:val="left"/>
        <w:rPr>
          <w:b w:val="0"/>
          <w:bCs w:val="0"/>
        </w:rPr>
      </w:pPr>
      <w:r>
        <w:rPr>
          <w:rFonts w:ascii="宋体" w:hAnsi="宋体" w:cs="宋体" w:eastAsia="宋体" w:hint="default"/>
        </w:rPr>
        <w:t>(2).</w:t>
      </w:r>
      <w:r>
        <w:rPr/>
        <w:t>会计利润与所得税费用调整过程</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98" w:space="2924"/>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502"/>
        <w:gridCol w:w="3555"/>
      </w:tblGrid>
      <w:tr>
        <w:trPr>
          <w:trHeight w:val="295"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55" w:type="dxa"/>
            <w:tcBorders>
              <w:top w:val="single" w:sz="4" w:space="0" w:color="000000"/>
              <w:left w:val="single" w:sz="4" w:space="0" w:color="000000"/>
              <w:bottom w:val="single" w:sz="4" w:space="0" w:color="000000"/>
              <w:right w:val="single" w:sz="5" w:space="0" w:color="000000"/>
            </w:tcBorders>
          </w:tcPr>
          <w:p>
            <w:pPr>
              <w:pStyle w:val="TableParagraph"/>
              <w:spacing w:line="248" w:lineRule="exact"/>
              <w:ind w:right="2"/>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95"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555" w:type="dxa"/>
            <w:tcBorders>
              <w:top w:val="single" w:sz="4" w:space="0" w:color="000000"/>
              <w:left w:val="single" w:sz="4" w:space="0" w:color="000000"/>
              <w:bottom w:val="single" w:sz="6" w:space="0" w:color="000000"/>
              <w:right w:val="single" w:sz="6"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286,956,857.73</w:t>
            </w:r>
          </w:p>
        </w:tc>
      </w:tr>
      <w:tr>
        <w:trPr>
          <w:trHeight w:val="300"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7"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3555" w:type="dxa"/>
            <w:tcBorders>
              <w:top w:val="single" w:sz="6" w:space="0" w:color="000000"/>
              <w:left w:val="single" w:sz="4" w:space="0" w:color="000000"/>
              <w:bottom w:val="single" w:sz="6" w:space="0" w:color="000000"/>
              <w:right w:val="single" w:sz="6" w:space="0" w:color="000000"/>
            </w:tcBorders>
          </w:tcPr>
          <w:p>
            <w:pPr/>
          </w:p>
        </w:tc>
      </w:tr>
      <w:tr>
        <w:trPr>
          <w:trHeight w:val="300"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355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209"/>
              <w:jc w:val="right"/>
              <w:rPr>
                <w:rFonts w:ascii="宋体" w:hAnsi="宋体" w:cs="宋体" w:eastAsia="宋体" w:hint="default"/>
                <w:sz w:val="21"/>
                <w:szCs w:val="21"/>
              </w:rPr>
            </w:pPr>
            <w:r>
              <w:rPr>
                <w:rFonts w:ascii="宋体"/>
                <w:spacing w:val="-1"/>
                <w:sz w:val="21"/>
              </w:rPr>
              <w:t>4,423,595.39</w:t>
            </w:r>
          </w:p>
        </w:tc>
      </w:tr>
    </w:tbl>
    <w:p>
      <w:pPr>
        <w:spacing w:after="0" w:line="246"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5502"/>
        <w:gridCol w:w="3555"/>
      </w:tblGrid>
      <w:tr>
        <w:trPr>
          <w:trHeight w:val="300"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3555"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-646,176.28</w:t>
            </w:r>
          </w:p>
        </w:tc>
      </w:tr>
      <w:tr>
        <w:trPr>
          <w:trHeight w:val="300"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3555"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66,221.06</w:t>
            </w:r>
          </w:p>
        </w:tc>
      </w:tr>
      <w:tr>
        <w:trPr>
          <w:trHeight w:val="298"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3555" w:type="dxa"/>
            <w:tcBorders>
              <w:top w:val="single" w:sz="6" w:space="0" w:color="000000"/>
              <w:left w:val="single" w:sz="4" w:space="0" w:color="000000"/>
              <w:bottom w:val="single" w:sz="6" w:space="0" w:color="000000"/>
              <w:right w:val="single" w:sz="6" w:space="0" w:color="000000"/>
            </w:tcBorders>
          </w:tcPr>
          <w:p>
            <w:pPr>
              <w:pStyle w:val="TableParagraph"/>
              <w:spacing w:line="246" w:lineRule="exact"/>
              <w:ind w:right="103"/>
              <w:jc w:val="right"/>
              <w:rPr>
                <w:rFonts w:ascii="宋体" w:hAnsi="宋体" w:cs="宋体" w:eastAsia="宋体" w:hint="default"/>
                <w:sz w:val="21"/>
                <w:szCs w:val="21"/>
              </w:rPr>
            </w:pPr>
            <w:r>
              <w:rPr>
                <w:rFonts w:ascii="宋体"/>
                <w:spacing w:val="-1"/>
                <w:sz w:val="21"/>
              </w:rPr>
              <w:t>-122,102.75</w:t>
            </w:r>
          </w:p>
        </w:tc>
      </w:tr>
      <w:tr>
        <w:trPr>
          <w:trHeight w:val="559"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亏损的影响</w:t>
            </w:r>
          </w:p>
        </w:tc>
        <w:tc>
          <w:tcPr>
            <w:tcW w:w="355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369,749.33</w:t>
            </w:r>
          </w:p>
        </w:tc>
      </w:tr>
      <w:tr>
        <w:trPr>
          <w:trHeight w:val="300" w:hRule="exact"/>
        </w:trPr>
        <w:tc>
          <w:tcPr>
            <w:tcW w:w="55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3555" w:type="dxa"/>
            <w:tcBorders>
              <w:top w:val="single" w:sz="6" w:space="0" w:color="000000"/>
              <w:left w:val="single" w:sz="4" w:space="0" w:color="000000"/>
              <w:bottom w:val="single" w:sz="6" w:space="0" w:color="000000"/>
              <w:right w:val="single" w:sz="6" w:space="0" w:color="000000"/>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4,091,286.75</w:t>
            </w:r>
          </w:p>
        </w:tc>
      </w:tr>
    </w:tbl>
    <w:p>
      <w:pPr>
        <w:spacing w:after="0" w:line="248" w:lineRule="exact"/>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40" w:lineRule="auto" w:before="26"/>
        <w:ind w:right="2625"/>
        <w:jc w:val="left"/>
      </w:pPr>
      <w:r>
        <w:rPr/>
        <w:t>其他说明：</w:t>
      </w:r>
    </w:p>
    <w:p>
      <w:pPr>
        <w:spacing w:line="290" w:lineRule="auto" w:before="58"/>
        <w:ind w:left="218" w:right="262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66</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sz w:val="21"/>
          <w:szCs w:val="21"/>
        </w:rPr>
      </w:r>
    </w:p>
    <w:p>
      <w:pPr>
        <w:pStyle w:val="BodyText"/>
        <w:spacing w:line="272" w:lineRule="exact" w:before="42"/>
        <w:ind w:right="0"/>
        <w:jc w:val="left"/>
      </w:pPr>
      <w:r>
        <w:rPr/>
        <w:t>√适用</w:t>
      </w:r>
      <w:r>
        <w:rPr>
          <w:spacing w:val="-2"/>
        </w:rPr>
        <w:t> </w:t>
      </w:r>
      <w:r>
        <w:rPr/>
        <w:t>□不适用</w:t>
      </w:r>
      <w:r>
        <w:rPr>
          <w:w w:val="100"/>
        </w:rPr>
        <w:t> </w:t>
      </w:r>
      <w:r>
        <w:rPr>
          <w:spacing w:val="-2"/>
        </w:rPr>
        <w:t>详见本报告第十一节、七、</w:t>
      </w:r>
      <w:r>
        <w:rPr>
          <w:rFonts w:ascii="宋体" w:hAnsi="宋体" w:cs="宋体" w:eastAsia="宋体" w:hint="default"/>
          <w:spacing w:val="-2"/>
        </w:rPr>
        <w:t>48</w:t>
      </w:r>
      <w:r>
        <w:rPr>
          <w:spacing w:val="-2"/>
        </w:rPr>
        <w:t>、其他综合收益。</w:t>
      </w:r>
    </w:p>
    <w:p>
      <w:pPr>
        <w:pStyle w:val="Heading2"/>
        <w:spacing w:line="290" w:lineRule="auto" w:before="34"/>
        <w:ind w:right="808"/>
        <w:jc w:val="left"/>
        <w:rPr>
          <w:b w:val="0"/>
          <w:bCs w:val="0"/>
        </w:rPr>
      </w:pPr>
      <w:r>
        <w:rPr>
          <w:rFonts w:ascii="宋体" w:hAnsi="宋体" w:cs="宋体" w:eastAsia="宋体" w:hint="default"/>
        </w:rPr>
        <w:t>67</w:t>
      </w:r>
      <w:r>
        <w:rPr/>
        <w:t>、</w:t>
      </w:r>
      <w:r>
        <w:rPr>
          <w:spacing w:val="-25"/>
        </w:rPr>
        <w:t> </w:t>
      </w:r>
      <w:r>
        <w:rPr/>
        <w:t>现金流量表项目</w:t>
      </w:r>
      <w:r>
        <w:rPr>
          <w:w w:val="100"/>
        </w:rPr>
        <w:t> </w:t>
      </w:r>
      <w:r>
        <w:rPr>
          <w:rFonts w:ascii="宋体" w:hAnsi="宋体" w:cs="宋体" w:eastAsia="宋体" w:hint="default"/>
        </w:rPr>
        <w:t>(1).</w:t>
      </w:r>
      <w:r>
        <w:rPr/>
        <w:t>收到的其他与经营活动有关的现金</w:t>
      </w:r>
      <w:r>
        <w:rPr>
          <w:b w:val="0"/>
          <w:bCs w:val="0"/>
        </w:rPr>
      </w:r>
    </w:p>
    <w:p>
      <w:pPr>
        <w:pStyle w:val="BodyText"/>
        <w:spacing w:line="240" w:lineRule="auto" w:before="14"/>
        <w:ind w:right="262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33" w:space="188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30"/>
        <w:gridCol w:w="2821"/>
      </w:tblGrid>
      <w:tr>
        <w:trPr>
          <w:trHeight w:val="35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5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3"/>
              <w:jc w:val="right"/>
              <w:rPr>
                <w:rFonts w:ascii="宋体" w:hAnsi="宋体" w:cs="宋体" w:eastAsia="宋体" w:hint="default"/>
                <w:sz w:val="21"/>
                <w:szCs w:val="21"/>
              </w:rPr>
            </w:pPr>
            <w:r>
              <w:rPr>
                <w:rFonts w:ascii="宋体"/>
                <w:spacing w:val="-1"/>
                <w:sz w:val="21"/>
              </w:rPr>
              <w:t>7,119,150.59</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5"/>
              <w:jc w:val="right"/>
              <w:rPr>
                <w:rFonts w:ascii="宋体" w:hAnsi="宋体" w:cs="宋体" w:eastAsia="宋体" w:hint="default"/>
                <w:sz w:val="21"/>
                <w:szCs w:val="21"/>
              </w:rPr>
            </w:pPr>
            <w:r>
              <w:rPr>
                <w:rFonts w:ascii="宋体"/>
                <w:spacing w:val="-1"/>
                <w:sz w:val="21"/>
              </w:rPr>
              <w:t>3,600,000.00</w:t>
            </w:r>
          </w:p>
        </w:tc>
      </w:tr>
      <w:tr>
        <w:trPr>
          <w:trHeight w:val="35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9,747,348.91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1"/>
                <w:szCs w:val="21"/>
              </w:rPr>
            </w:pPr>
            <w:r>
              <w:rPr>
                <w:rFonts w:ascii="宋体"/>
                <w:spacing w:val="-1"/>
                <w:sz w:val="21"/>
              </w:rPr>
              <w:t>3,014,827.53</w:t>
            </w:r>
          </w:p>
        </w:tc>
      </w:tr>
      <w:tr>
        <w:trPr>
          <w:trHeight w:val="35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1,856,876.71</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1"/>
                <w:szCs w:val="21"/>
              </w:rPr>
            </w:pPr>
            <w:r>
              <w:rPr>
                <w:rFonts w:ascii="宋体"/>
                <w:spacing w:val="-1"/>
                <w:sz w:val="21"/>
              </w:rPr>
              <w:t>860,000.00</w:t>
            </w:r>
          </w:p>
        </w:tc>
      </w:tr>
      <w:tr>
        <w:trPr>
          <w:trHeight w:val="350"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
              <w:jc w:val="right"/>
              <w:rPr>
                <w:rFonts w:ascii="宋体" w:hAnsi="宋体" w:cs="宋体" w:eastAsia="宋体" w:hint="default"/>
                <w:sz w:val="21"/>
                <w:szCs w:val="21"/>
              </w:rPr>
            </w:pPr>
            <w:r>
              <w:rPr>
                <w:rFonts w:ascii="宋体"/>
                <w:spacing w:val="-1"/>
                <w:sz w:val="21"/>
              </w:rPr>
              <w:t>2,388,256.48</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1"/>
                <w:szCs w:val="21"/>
              </w:rPr>
            </w:pPr>
            <w:r>
              <w:rPr>
                <w:rFonts w:ascii="宋体"/>
                <w:spacing w:val="-1"/>
                <w:sz w:val="21"/>
              </w:rPr>
              <w:t>1,629,275.76</w:t>
            </w:r>
          </w:p>
        </w:tc>
      </w:tr>
      <w:tr>
        <w:trPr>
          <w:trHeight w:val="35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3"/>
              <w:jc w:val="right"/>
              <w:rPr>
                <w:rFonts w:ascii="宋体" w:hAnsi="宋体" w:cs="宋体" w:eastAsia="宋体" w:hint="default"/>
                <w:sz w:val="21"/>
                <w:szCs w:val="21"/>
              </w:rPr>
            </w:pPr>
            <w:r>
              <w:rPr>
                <w:rFonts w:ascii="宋体"/>
                <w:spacing w:val="-1"/>
                <w:sz w:val="21"/>
              </w:rPr>
              <w:t>21,111,632.69</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5"/>
              <w:jc w:val="right"/>
              <w:rPr>
                <w:rFonts w:ascii="宋体" w:hAnsi="宋体" w:cs="宋体" w:eastAsia="宋体" w:hint="default"/>
                <w:sz w:val="21"/>
                <w:szCs w:val="21"/>
              </w:rPr>
            </w:pPr>
            <w:r>
              <w:rPr>
                <w:rFonts w:ascii="宋体"/>
                <w:spacing w:val="-1"/>
                <w:sz w:val="21"/>
              </w:rPr>
              <w:t>9,104,103.29</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90" w:lineRule="auto" w:before="26"/>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收到的其他与经营活动有关的现金说明：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04" w:space="2518"/>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广告发布及代理费用支出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14,426,858.18</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17,655,846.12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租赁费费用支出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21,615,175.70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16,168,842.92</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制作及服务费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51,408,425.89</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13,355,754.14</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市场推广及宣传费</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10,550,861.14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5,916,590.78</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其他费用支出</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55,339,227.40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115,501,432.91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153,340,548.31</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168,598,466.87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90" w:lineRule="auto" w:before="26"/>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支付的其他与经营活动有关的现金说明：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4004" w:space="2623"/>
            <w:col w:w="2663"/>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定期存款到期</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859,219,996.21</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394,000,000.00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理财产品到期</w:t>
            </w:r>
          </w:p>
        </w:tc>
        <w:tc>
          <w:tcPr>
            <w:tcW w:w="2914" w:type="dxa"/>
            <w:tcBorders>
              <w:top w:val="single" w:sz="4" w:space="0" w:color="000000"/>
              <w:left w:val="single" w:sz="4" w:space="0" w:color="000000"/>
              <w:bottom w:val="single" w:sz="4" w:space="0" w:color="000000"/>
              <w:right w:val="single" w:sz="4" w:space="0" w:color="000000"/>
            </w:tcBorders>
          </w:tcPr>
          <w:p>
            <w:pP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725,000,000.00</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859,219,996.21</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1,119,000,000.00</w:t>
            </w:r>
          </w:p>
        </w:tc>
      </w:tr>
    </w:tbl>
    <w:p>
      <w:pPr>
        <w:pStyle w:val="BodyText"/>
        <w:spacing w:line="290" w:lineRule="auto" w:before="26"/>
        <w:ind w:right="5269"/>
        <w:jc w:val="left"/>
      </w:pPr>
      <w:r>
        <w:rPr>
          <w:spacing w:val="-2"/>
        </w:rPr>
        <w:t>收到的其他与投资活动有关的现金说明：</w:t>
      </w:r>
      <w:r>
        <w:rPr>
          <w:spacing w:val="-69"/>
        </w:rPr>
        <w:t> </w:t>
      </w:r>
      <w:r>
        <w:rPr>
          <w:spacing w:val="-69"/>
        </w:rPr>
      </w:r>
      <w:r>
        <w:rPr/>
        <w:t>无</w:t>
      </w:r>
    </w:p>
    <w:p>
      <w:pPr>
        <w:spacing w:after="0" w:line="29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40" w:lineRule="auto"/>
        <w:ind w:right="-16"/>
        <w:jc w:val="left"/>
        <w:rPr>
          <w:b w:val="0"/>
          <w:bCs w:val="0"/>
        </w:rPr>
      </w:pPr>
      <w:r>
        <w:rPr>
          <w:rFonts w:ascii="宋体" w:hAnsi="宋体" w:cs="宋体" w:eastAsia="宋体" w:hint="default"/>
        </w:rPr>
        <w:t>(4).</w:t>
      </w:r>
      <w:r>
        <w:rPr/>
        <w:t>支付的其他与投资活动有关的现金</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290,154,000.00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859,219,996.21</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98,500,000.00</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6"/>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388,654,000.00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859,219,996.21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90" w:lineRule="auto" w:before="26"/>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支付的其他与投资活动有关的现金说明：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pStyle w:val="BodyText"/>
        <w:spacing w:line="240" w:lineRule="auto" w:before="1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04" w:space="251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800"/>
        <w:gridCol w:w="2528"/>
        <w:gridCol w:w="2734"/>
      </w:tblGrid>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多语种网站建设及海外访问提速等项目</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41,530,000.00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41,530,000.00</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全媒体产品数字加工云平台</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13,463,000.00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8,500,000.00</w:t>
            </w:r>
          </w:p>
        </w:tc>
      </w:tr>
      <w:tr>
        <w:trPr>
          <w:trHeight w:val="283"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其他专项资金</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2,200,000.00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1,976,500.00</w:t>
            </w:r>
          </w:p>
        </w:tc>
      </w:tr>
      <w:tr>
        <w:trPr>
          <w:trHeight w:val="281" w:hRule="exact"/>
        </w:trPr>
        <w:tc>
          <w:tcPr>
            <w:tcW w:w="3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57,193,000.00</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52,006,500.00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90" w:lineRule="auto" w:before="26"/>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收到的其他与筹资活动有关的现金说明：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pStyle w:val="BodyText"/>
        <w:spacing w:line="240" w:lineRule="auto" w:before="14"/>
        <w:ind w:right="0"/>
        <w:jc w:val="left"/>
      </w:pPr>
      <w:r>
        <w:rPr/>
        <w:t>□适用</w:t>
      </w:r>
      <w:r>
        <w:rPr>
          <w:spacing w:val="-1"/>
        </w:rPr>
        <w:t> </w:t>
      </w:r>
      <w:r>
        <w:rPr/>
        <w:t>√不适用</w:t>
      </w:r>
    </w:p>
    <w:p>
      <w:pPr>
        <w:pStyle w:val="Heading2"/>
        <w:spacing w:line="290" w:lineRule="auto" w:before="56"/>
        <w:ind w:right="1362"/>
        <w:jc w:val="left"/>
        <w:rPr>
          <w:b w:val="0"/>
          <w:bCs w:val="0"/>
        </w:rPr>
      </w:pPr>
      <w:r>
        <w:rPr>
          <w:rFonts w:ascii="宋体" w:hAnsi="宋体" w:cs="宋体" w:eastAsia="宋体" w:hint="default"/>
        </w:rPr>
        <w:t>68</w:t>
      </w:r>
      <w:r>
        <w:rPr/>
        <w:t>、</w:t>
      </w:r>
      <w:r>
        <w:rPr>
          <w:spacing w:val="-23"/>
        </w:rPr>
        <w:t> </w:t>
      </w:r>
      <w:r>
        <w:rPr/>
        <w:t>现金流量表补充资料</w:t>
      </w:r>
      <w:r>
        <w:rPr>
          <w:w w:val="100"/>
        </w:rPr>
        <w:t> </w:t>
      </w:r>
      <w:r>
        <w:rPr>
          <w:rFonts w:ascii="宋体" w:hAnsi="宋体" w:cs="宋体" w:eastAsia="宋体" w:hint="default"/>
        </w:rPr>
        <w:t>(1).</w:t>
      </w:r>
      <w:r>
        <w:rPr/>
        <w:t>现金流量表补充资料</w:t>
      </w:r>
      <w:r>
        <w:rPr>
          <w:b w:val="0"/>
          <w:bCs w:val="0"/>
        </w:rPr>
      </w:r>
    </w:p>
    <w:p>
      <w:pPr>
        <w:pStyle w:val="BodyText"/>
        <w:tabs>
          <w:tab w:pos="1060" w:val="left" w:leader="none"/>
        </w:tabs>
        <w:spacing w:line="240" w:lineRule="auto" w:before="12"/>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004" w:space="2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20"/>
        <w:gridCol w:w="2554"/>
        <w:gridCol w:w="2276"/>
      </w:tblGrid>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1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554"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282,865,570.98</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282,737,927.16</w:t>
            </w:r>
          </w:p>
        </w:tc>
      </w:tr>
      <w:tr>
        <w:trPr>
          <w:trHeight w:val="34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76,475,653.71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87,121,431.24</w:t>
            </w:r>
          </w:p>
        </w:tc>
      </w:tr>
      <w:tr>
        <w:trPr>
          <w:trHeight w:val="557"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资产折旧</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41,140,705.31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21,666,371.08</w:t>
            </w:r>
          </w:p>
        </w:tc>
      </w:tr>
      <w:tr>
        <w:trPr>
          <w:trHeight w:val="349"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1,491,360.94</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753,705.87</w:t>
            </w: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23,038,916.87</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24,308,112.63</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损失（收益以“－”号填列）</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-12,397.95</w:t>
            </w: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265,479.05</w:t>
            </w: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554"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-15,441,001.31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-12,101,875.12</w:t>
            </w: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366,373.53</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-85,348,143.56</w:t>
            </w: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-467,703.14</w:t>
            </w: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w w:val="100"/>
                <w:sz w:val="21"/>
                <w:szCs w:val="21"/>
              </w:rPr>
              <w:t>（</w:t>
            </w:r>
            <w:r>
              <w:rPr>
                <w:rFonts w:ascii="宋体" w:hAnsi="宋体" w:cs="宋体" w:eastAsia="宋体" w:hint="default"/>
                <w:spacing w:val="-3"/>
                <w:w w:val="100"/>
                <w:sz w:val="21"/>
                <w:szCs w:val="21"/>
              </w:rPr>
              <w:t>减少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w w:val="100"/>
                <w:sz w:val="21"/>
                <w:szCs w:val="21"/>
              </w:rPr>
              <w:t>）</w:t>
            </w:r>
          </w:p>
        </w:tc>
        <w:tc>
          <w:tcPr>
            <w:tcW w:w="2554"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-427,087.49</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-791,128.50</w:t>
            </w:r>
          </w:p>
        </w:tc>
      </w:tr>
      <w:tr>
        <w:trPr>
          <w:trHeight w:val="557"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-176,401,246.01</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-151,543,559.35</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220"/>
        <w:gridCol w:w="2554"/>
        <w:gridCol w:w="2276"/>
      </w:tblGrid>
      <w:tr>
        <w:trPr>
          <w:trHeight w:val="557"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30,796,156.33</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83,453,749.95</w:t>
            </w:r>
          </w:p>
        </w:tc>
      </w:tr>
      <w:tr>
        <w:trPr>
          <w:trHeight w:val="34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-37,449,919.20</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-37,118,039.94</w:t>
            </w: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226,240,861.62</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213,138,551.46</w:t>
            </w: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5"/>
              <w:jc w:val="left"/>
              <w:rPr>
                <w:rFonts w:ascii="宋体" w:hAnsi="宋体" w:cs="宋体" w:eastAsia="宋体" w:hint="default"/>
                <w:sz w:val="21"/>
                <w:szCs w:val="21"/>
              </w:rPr>
            </w:pPr>
            <w:r>
              <w:rPr>
                <w:rFonts w:ascii="宋体" w:hAnsi="宋体" w:cs="宋体" w:eastAsia="宋体" w:hint="default"/>
                <w:b/>
                <w:bCs/>
                <w:spacing w:val="-1"/>
                <w:sz w:val="21"/>
                <w:szCs w:val="21"/>
              </w:rPr>
              <w:t>2</w:t>
            </w:r>
            <w:r>
              <w:rPr>
                <w:rFonts w:ascii="宋体" w:hAnsi="宋体" w:cs="宋体" w:eastAsia="宋体" w:hint="default"/>
                <w:b/>
                <w:bCs/>
                <w:spacing w:val="-1"/>
                <w:sz w:val="21"/>
                <w:szCs w:val="21"/>
              </w:rPr>
              <w:t>．不涉及现金收支的重大投资和筹资活动：</w:t>
            </w:r>
            <w:r>
              <w:rPr>
                <w:rFonts w:ascii="宋体" w:hAnsi="宋体" w:cs="宋体" w:eastAsia="宋体" w:hint="default"/>
                <w:spacing w:val="-1"/>
                <w:sz w:val="21"/>
                <w:szCs w:val="21"/>
              </w:rPr>
            </w:r>
          </w:p>
        </w:tc>
        <w:tc>
          <w:tcPr>
            <w:tcW w:w="2554"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554"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554"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554"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554"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0"/>
              <w:jc w:val="right"/>
              <w:rPr>
                <w:rFonts w:ascii="宋体" w:hAnsi="宋体" w:cs="宋体" w:eastAsia="宋体" w:hint="default"/>
                <w:sz w:val="21"/>
                <w:szCs w:val="21"/>
              </w:rPr>
            </w:pPr>
            <w:r>
              <w:rPr>
                <w:rFonts w:ascii="宋体"/>
                <w:spacing w:val="-1"/>
                <w:sz w:val="21"/>
              </w:rPr>
              <w:t>1,861,272,281.39</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1,327,625,613.04</w:t>
            </w:r>
          </w:p>
        </w:tc>
      </w:tr>
      <w:tr>
        <w:trPr>
          <w:trHeight w:val="35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0"/>
              <w:jc w:val="right"/>
              <w:rPr>
                <w:rFonts w:ascii="宋体" w:hAnsi="宋体" w:cs="宋体" w:eastAsia="宋体" w:hint="default"/>
                <w:sz w:val="21"/>
                <w:szCs w:val="21"/>
              </w:rPr>
            </w:pPr>
            <w:r>
              <w:rPr>
                <w:rFonts w:ascii="宋体"/>
                <w:spacing w:val="-1"/>
                <w:sz w:val="21"/>
              </w:rPr>
              <w:t>1,327,625,613.04</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840,169,647.81</w:t>
            </w: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554"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554" w:type="dxa"/>
            <w:tcBorders>
              <w:top w:val="single" w:sz="4" w:space="0" w:color="000000"/>
              <w:left w:val="single" w:sz="4" w:space="0" w:color="000000"/>
              <w:bottom w:val="single" w:sz="4" w:space="0" w:color="000000"/>
              <w:right w:val="single" w:sz="4" w:space="0" w:color="000000"/>
            </w:tcBorders>
          </w:tcPr>
          <w:p>
            <w:pPr/>
          </w:p>
        </w:tc>
        <w:tc>
          <w:tcPr>
            <w:tcW w:w="22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533,646,668.35</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487,455,965.23</w:t>
            </w:r>
          </w:p>
        </w:tc>
      </w:tr>
    </w:tbl>
    <w:p>
      <w:pPr>
        <w:spacing w:after="0" w:line="274" w:lineRule="exact"/>
        <w:jc w:val="right"/>
        <w:rPr>
          <w:rFonts w:ascii="宋体" w:hAnsi="宋体" w:cs="宋体" w:eastAsia="宋体" w:hint="default"/>
          <w:sz w:val="21"/>
          <w:szCs w:val="21"/>
        </w:rPr>
        <w:sectPr>
          <w:pgSz w:w="11910" w:h="16840"/>
          <w:pgMar w:header="0" w:footer="1195" w:top="1120" w:bottom="1380" w:left="1580" w:right="1040"/>
        </w:sectPr>
      </w:pPr>
    </w:p>
    <w:p>
      <w:pPr>
        <w:pStyle w:val="Heading2"/>
        <w:spacing w:line="240" w:lineRule="auto" w:before="26"/>
        <w:ind w:right="-16"/>
        <w:jc w:val="left"/>
        <w:rPr>
          <w:b w:val="0"/>
          <w:bCs w:val="0"/>
        </w:rPr>
      </w:pPr>
      <w:r>
        <w:rPr>
          <w:rFonts w:ascii="宋体" w:hAnsi="宋体" w:cs="宋体" w:eastAsia="宋体" w:hint="default"/>
        </w:rPr>
        <w:t>(2).</w:t>
      </w:r>
      <w:r>
        <w:rPr/>
        <w:t>本期支付的取得子公司的现金净额</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09" w:space="271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17"/>
        <w:gridCol w:w="3133"/>
      </w:tblGrid>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2,497.00</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其中：新华网（北京）科技有限公司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2,497.00</w:t>
            </w:r>
          </w:p>
        </w:tc>
      </w:tr>
      <w:tr>
        <w:trPr>
          <w:trHeight w:val="28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400.31</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其中：新华网（北京）科技有限公司</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400.31</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2,096.69</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t>其他说明</w:t>
      </w:r>
      <w:r>
        <w:rPr>
          <w:rFonts w:ascii="宋体" w:hAnsi="宋体" w:cs="宋体" w:eastAsia="宋体" w:hint="default"/>
        </w:rPr>
        <w:t>:</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详见本报告第十一节、八、</w:t>
      </w:r>
      <w:r>
        <w:rPr>
          <w:rFonts w:ascii="宋体" w:hAnsi="宋体" w:cs="宋体" w:eastAsia="宋体" w:hint="default"/>
          <w:spacing w:val="-2"/>
          <w:sz w:val="21"/>
          <w:szCs w:val="21"/>
        </w:rPr>
        <w:t>1</w:t>
      </w:r>
      <w:r>
        <w:rPr>
          <w:rFonts w:ascii="宋体" w:hAnsi="宋体" w:cs="宋体" w:eastAsia="宋体" w:hint="default"/>
          <w:spacing w:val="-2"/>
          <w:sz w:val="21"/>
          <w:szCs w:val="21"/>
        </w:rPr>
        <w:t>、非同一控制下企业合并。</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90" w:lineRule="auto" w:before="14"/>
        <w:ind w:left="218" w:right="238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368" w:space="115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8"/>
              <w:jc w:val="right"/>
              <w:rPr>
                <w:rFonts w:ascii="宋体" w:hAnsi="宋体" w:cs="宋体" w:eastAsia="宋体" w:hint="default"/>
                <w:sz w:val="21"/>
                <w:szCs w:val="21"/>
              </w:rPr>
            </w:pPr>
            <w:r>
              <w:rPr>
                <w:rFonts w:ascii="宋体"/>
                <w:spacing w:val="-1"/>
                <w:sz w:val="21"/>
              </w:rPr>
              <w:t>1,861,272,281.39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96"/>
              <w:jc w:val="right"/>
              <w:rPr>
                <w:rFonts w:ascii="宋体" w:hAnsi="宋体" w:cs="宋体" w:eastAsia="宋体" w:hint="default"/>
                <w:sz w:val="21"/>
                <w:szCs w:val="21"/>
              </w:rPr>
            </w:pPr>
            <w:r>
              <w:rPr>
                <w:rFonts w:ascii="宋体"/>
                <w:spacing w:val="-1"/>
                <w:sz w:val="21"/>
              </w:rPr>
              <w:t>1,327,625,613.04</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11,965.29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16,704.92</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1,860,382,579.34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1,327,608,908.12</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877,736.76</w:t>
            </w: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1,861,272,281.39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1,327,625,613.04</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3319"/>
        <w:jc w:val="left"/>
      </w:pPr>
      <w:r>
        <w:rPr/>
        <w:t>其他说明：</w:t>
      </w:r>
    </w:p>
    <w:p>
      <w:pPr>
        <w:pStyle w:val="BodyText"/>
        <w:spacing w:line="240" w:lineRule="auto" w:before="58"/>
        <w:ind w:right="3319"/>
        <w:jc w:val="left"/>
      </w:pPr>
      <w:r>
        <w:rPr/>
        <w:t>□适用</w:t>
      </w:r>
      <w:r>
        <w:rPr>
          <w:spacing w:val="-1"/>
        </w:rPr>
        <w:t> </w:t>
      </w:r>
      <w:r>
        <w:rPr/>
        <w:t>√不适用</w:t>
      </w:r>
    </w:p>
    <w:p>
      <w:pPr>
        <w:spacing w:line="292" w:lineRule="auto" w:before="56"/>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69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5" w:lineRule="exact"/>
        <w:ind w:right="3319"/>
        <w:jc w:val="left"/>
      </w:pPr>
      <w:r>
        <w:rPr/>
        <w:t>□适用</w:t>
      </w:r>
      <w:r>
        <w:rPr>
          <w:spacing w:val="-1"/>
        </w:rPr>
        <w:t> </w:t>
      </w:r>
      <w:r>
        <w:rPr/>
        <w:t>√不适用</w:t>
      </w:r>
    </w:p>
    <w:p>
      <w:pPr>
        <w:spacing w:after="0" w:line="225"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40" w:lineRule="auto"/>
        <w:ind w:right="-17"/>
        <w:jc w:val="left"/>
        <w:rPr>
          <w:b w:val="0"/>
          <w:bCs w:val="0"/>
        </w:rPr>
      </w:pPr>
      <w:r>
        <w:rPr>
          <w:rFonts w:ascii="宋体" w:hAnsi="宋体" w:cs="宋体" w:eastAsia="宋体" w:hint="default"/>
        </w:rPr>
        <w:t>70</w:t>
      </w:r>
      <w:r>
        <w:rPr/>
        <w:t>、</w:t>
      </w:r>
      <w:r>
        <w:rPr>
          <w:spacing w:val="-27"/>
        </w:rPr>
        <w:t> </w:t>
      </w:r>
      <w:r>
        <w:rPr/>
        <w:t>所有权或使用权受到限制的资产</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4"/>
        <w:gridCol w:w="3104"/>
        <w:gridCol w:w="2744"/>
      </w:tblGrid>
      <w:tr>
        <w:trPr>
          <w:trHeight w:val="281"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8"/>
              <w:jc w:val="right"/>
              <w:rPr>
                <w:rFonts w:ascii="宋体" w:hAnsi="宋体" w:cs="宋体" w:eastAsia="宋体" w:hint="default"/>
                <w:sz w:val="21"/>
                <w:szCs w:val="21"/>
              </w:rPr>
            </w:pPr>
            <w:r>
              <w:rPr>
                <w:rFonts w:ascii="宋体" w:hAnsi="宋体" w:cs="宋体" w:eastAsia="宋体" w:hint="default"/>
                <w:sz w:val="21"/>
                <w:szCs w:val="21"/>
              </w:rPr>
              <w:t>项目</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6"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38,062,710.00</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保证金存款</w:t>
            </w:r>
          </w:p>
        </w:tc>
      </w:tr>
      <w:tr>
        <w:trPr>
          <w:trHeight w:val="28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8"/>
              <w:jc w:val="right"/>
              <w:rPr>
                <w:rFonts w:ascii="宋体" w:hAnsi="宋体" w:cs="宋体" w:eastAsia="宋体" w:hint="default"/>
                <w:sz w:val="21"/>
                <w:szCs w:val="21"/>
              </w:rPr>
            </w:pPr>
            <w:r>
              <w:rPr>
                <w:rFonts w:ascii="宋体" w:hAnsi="宋体" w:cs="宋体" w:eastAsia="宋体" w:hint="default"/>
                <w:sz w:val="21"/>
                <w:szCs w:val="21"/>
              </w:rPr>
              <w:t>合计</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38,062,710.00</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pStyle w:val="BodyText"/>
        <w:spacing w:line="290" w:lineRule="auto" w:before="26"/>
        <w:ind w:right="917"/>
        <w:jc w:val="left"/>
      </w:pPr>
      <w:r>
        <w:rPr>
          <w:spacing w:val="-1"/>
        </w:rPr>
        <w:t>其他说明：</w:t>
      </w:r>
      <w:r>
        <w:rPr>
          <w:spacing w:val="-97"/>
        </w:rPr>
        <w:t> </w:t>
      </w:r>
      <w:r>
        <w:rPr>
          <w:spacing w:val="-97"/>
        </w:rPr>
      </w:r>
      <w:r>
        <w:rPr/>
        <w:t>无</w:t>
      </w:r>
    </w:p>
    <w:p>
      <w:pPr>
        <w:pStyle w:val="Heading2"/>
        <w:spacing w:line="290" w:lineRule="auto" w:before="12"/>
        <w:ind w:right="-18"/>
        <w:jc w:val="left"/>
        <w:rPr>
          <w:b w:val="0"/>
          <w:bCs w:val="0"/>
        </w:rPr>
      </w:pPr>
      <w:r>
        <w:rPr>
          <w:rFonts w:ascii="宋体" w:hAnsi="宋体" w:cs="宋体" w:eastAsia="宋体" w:hint="default"/>
        </w:rPr>
        <w:t>71</w:t>
      </w:r>
      <w:r>
        <w:rPr/>
        <w:t>、</w:t>
      </w:r>
      <w:r>
        <w:rPr>
          <w:spacing w:val="-24"/>
        </w:rPr>
        <w:t> </w:t>
      </w:r>
      <w:r>
        <w:rPr/>
        <w:t>外币货币性项目</w:t>
      </w:r>
      <w:r>
        <w:rPr>
          <w:w w:val="100"/>
        </w:rPr>
        <w:t> </w:t>
      </w:r>
      <w:r>
        <w:rPr>
          <w:rFonts w:ascii="宋体" w:hAnsi="宋体" w:cs="宋体" w:eastAsia="宋体" w:hint="default"/>
        </w:rPr>
        <w:t>(1).</w:t>
      </w:r>
      <w:r>
        <w:rPr/>
        <w:t>外币货币性项目</w:t>
      </w:r>
      <w:r>
        <w:rPr>
          <w:b w:val="0"/>
          <w:bCs w:val="0"/>
        </w:rPr>
      </w:r>
    </w:p>
    <w:p>
      <w:pPr>
        <w:pStyle w:val="BodyText"/>
        <w:spacing w:line="240" w:lineRule="auto" w:before="12"/>
        <w:ind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201" w:space="5793"/>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2,446,088.12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16,787,991.98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1,432,102.93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11,238,141.32</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9,163,941.94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0.8762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8,029,445.93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1,199,999.98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6.8632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8,235,839.86</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919.43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7.8473</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7,215.04</w:t>
            </w:r>
          </w:p>
        </w:tc>
      </w:tr>
    </w:tbl>
    <w:p>
      <w:pPr>
        <w:pStyle w:val="BodyText"/>
        <w:spacing w:line="290" w:lineRule="auto" w:before="26"/>
        <w:ind w:right="7998"/>
        <w:jc w:val="left"/>
      </w:pPr>
      <w:r>
        <w:rPr/>
        <w:t>其他说明：</w:t>
      </w:r>
      <w:r>
        <w:rPr>
          <w:spacing w:val="-102"/>
        </w:rPr>
        <w:t> </w:t>
      </w:r>
      <w:r>
        <w:rPr>
          <w:spacing w:val="-102"/>
        </w:rPr>
      </w:r>
      <w:r>
        <w:rPr/>
        <w:t>无</w:t>
      </w:r>
    </w:p>
    <w:p>
      <w:pPr>
        <w:pStyle w:val="Heading2"/>
        <w:spacing w:line="272" w:lineRule="exact" w:before="42"/>
        <w:ind w:left="645" w:right="227" w:hanging="428"/>
        <w:jc w:val="left"/>
        <w:rPr>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b w:val="0"/>
          <w:bCs w:val="0"/>
        </w:rPr>
      </w:r>
    </w:p>
    <w:p>
      <w:pPr>
        <w:pStyle w:val="BodyText"/>
        <w:spacing w:line="240" w:lineRule="auto" w:before="34"/>
        <w:ind w:right="3319"/>
        <w:jc w:val="left"/>
      </w:pPr>
      <w:r>
        <w:rPr/>
        <w:t>√适用</w:t>
      </w:r>
      <w:r>
        <w:rPr>
          <w:spacing w:val="-1"/>
        </w:rPr>
        <w:t> </w:t>
      </w:r>
      <w:r>
        <w:rPr/>
        <w:t>□不适用</w:t>
      </w:r>
    </w:p>
    <w:p>
      <w:pPr>
        <w:spacing w:line="240" w:lineRule="auto" w:before="3"/>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469"/>
        <w:gridCol w:w="1971"/>
        <w:gridCol w:w="1971"/>
        <w:gridCol w:w="1639"/>
      </w:tblGrid>
      <w:tr>
        <w:trPr>
          <w:trHeight w:val="28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境外经营实体</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记账本位币</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选择依据</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新华网股份有限公司欧洲公司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荷兰</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新华网欧洲传播与运营中心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比利时</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1"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新华网北美公司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美国</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当地货币</w:t>
            </w:r>
          </w:p>
        </w:tc>
      </w:tr>
      <w:tr>
        <w:trPr>
          <w:trHeight w:val="283" w:hRule="exact"/>
        </w:trPr>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新华网亚太有限公司</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当地货币</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2"/>
        <w:spacing w:line="240" w:lineRule="auto"/>
        <w:ind w:right="522"/>
        <w:jc w:val="left"/>
        <w:rPr>
          <w:b w:val="0"/>
          <w:bCs w:val="0"/>
        </w:rPr>
      </w:pPr>
      <w:r>
        <w:rPr>
          <w:rFonts w:ascii="宋体" w:hAnsi="宋体" w:cs="宋体" w:eastAsia="宋体" w:hint="default"/>
        </w:rPr>
        <w:t>72</w:t>
      </w:r>
      <w:r>
        <w:rPr/>
        <w:t>、</w:t>
      </w:r>
      <w:r>
        <w:rPr>
          <w:spacing w:val="-26"/>
        </w:rPr>
        <w:t> </w:t>
      </w:r>
      <w:r>
        <w:rPr/>
        <w:t>套期</w:t>
      </w:r>
      <w:r>
        <w:rPr>
          <w:b w:val="0"/>
          <w:bCs w:val="0"/>
        </w:rPr>
      </w:r>
    </w:p>
    <w:p>
      <w:pPr>
        <w:spacing w:line="290" w:lineRule="auto" w:before="58"/>
        <w:ind w:left="218" w:right="52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73</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Heading2"/>
        <w:spacing w:line="240" w:lineRule="auto" w:before="14"/>
        <w:ind w:right="-14"/>
        <w:jc w:val="left"/>
        <w:rPr>
          <w:b w:val="0"/>
          <w:bCs w:val="0"/>
        </w:rPr>
      </w:pPr>
      <w:r>
        <w:rPr>
          <w:rFonts w:ascii="宋体" w:hAnsi="宋体" w:cs="宋体" w:eastAsia="宋体" w:hint="default"/>
        </w:rPr>
        <w:t>(1).</w:t>
      </w:r>
      <w:r>
        <w:rPr/>
        <w:t>政府补助基本情况</w:t>
      </w:r>
      <w:r>
        <w:rPr>
          <w:b w:val="0"/>
          <w:bCs w:val="0"/>
        </w:rPr>
      </w:r>
    </w:p>
    <w:p>
      <w:pPr>
        <w:pStyle w:val="BodyText"/>
        <w:tabs>
          <w:tab w:pos="1060" w:val="left" w:leader="none"/>
        </w:tabs>
        <w:spacing w:line="240" w:lineRule="auto" w:before="56"/>
        <w:ind w:right="-14"/>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5" w:space="418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523"/>
        <w:gridCol w:w="2002"/>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6"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205,593,454.72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43,535,178.35</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279,449.84</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2,200,000.00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2,200,000.00</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675,305.35</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675,305.35</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103,845.24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103,845.24</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7"/>
          <w:pgSz w:w="11910" w:h="16840"/>
          <w:pgMar w:footer="1195" w:header="0" w:top="1120" w:bottom="1380" w:left="1320" w:right="800"/>
        </w:sectPr>
      </w:pPr>
    </w:p>
    <w:p>
      <w:pPr>
        <w:pStyle w:val="Heading2"/>
        <w:spacing w:line="240" w:lineRule="auto"/>
        <w:ind w:left="478" w:right="-16"/>
        <w:jc w:val="left"/>
        <w:rPr>
          <w:b w:val="0"/>
          <w:bCs w:val="0"/>
        </w:rPr>
      </w:pPr>
      <w:r>
        <w:rPr>
          <w:rFonts w:ascii="宋体" w:hAnsi="宋体" w:cs="宋体" w:eastAsia="宋体" w:hint="default"/>
        </w:rPr>
        <w:t>(2).</w:t>
      </w:r>
      <w:r>
        <w:rPr/>
        <w:t>政府补助退回情况</w:t>
      </w:r>
      <w:r>
        <w:rPr>
          <w:b w:val="0"/>
          <w:bCs w:val="0"/>
        </w:rPr>
      </w:r>
    </w:p>
    <w:p>
      <w:pPr>
        <w:pStyle w:val="BodyText"/>
        <w:spacing w:line="272" w:lineRule="exact" w:before="86"/>
        <w:ind w:left="478" w:right="1996"/>
        <w:jc w:val="left"/>
      </w:pPr>
      <w:r>
        <w:rPr/>
        <w:t>□适用</w:t>
      </w:r>
      <w:r>
        <w:rPr>
          <w:spacing w:val="-1"/>
        </w:rPr>
        <w:t> </w:t>
      </w:r>
      <w:r>
        <w:rPr/>
        <w:t>√不适用</w:t>
      </w:r>
      <w:r>
        <w:rPr>
          <w:w w:val="100"/>
        </w:rPr>
        <w:t> </w:t>
      </w:r>
      <w:r>
        <w:rPr/>
        <w:t>其他说明：</w:t>
      </w:r>
    </w:p>
    <w:p>
      <w:pPr>
        <w:pStyle w:val="BodyText"/>
        <w:spacing w:line="249" w:lineRule="exact"/>
        <w:ind w:left="478" w:right="-16"/>
        <w:jc w:val="left"/>
      </w:pPr>
      <w:r>
        <w:rPr>
          <w:w w:val="100"/>
        </w:rPr>
        <w:t>无</w:t>
      </w:r>
    </w:p>
    <w:p>
      <w:pPr>
        <w:pStyle w:val="Heading2"/>
        <w:spacing w:line="240" w:lineRule="auto" w:before="56"/>
        <w:ind w:left="478" w:right="-16"/>
        <w:jc w:val="left"/>
        <w:rPr>
          <w:b w:val="0"/>
          <w:bCs w:val="0"/>
        </w:rPr>
      </w:pPr>
      <w:r>
        <w:rPr>
          <w:rFonts w:ascii="宋体" w:hAnsi="宋体" w:cs="宋体" w:eastAsia="宋体" w:hint="default"/>
        </w:rPr>
        <w:t>74</w:t>
      </w:r>
      <w:r>
        <w:rPr/>
        <w:t>、</w:t>
      </w:r>
      <w:r>
        <w:rPr>
          <w:spacing w:val="-26"/>
        </w:rPr>
        <w:t> </w:t>
      </w:r>
      <w:r>
        <w:rPr/>
        <w:t>其他</w:t>
      </w:r>
      <w:r>
        <w:rPr>
          <w:b w:val="0"/>
          <w:bCs w:val="0"/>
        </w:rPr>
      </w:r>
    </w:p>
    <w:p>
      <w:pPr>
        <w:spacing w:line="290" w:lineRule="auto" w:before="58"/>
        <w:ind w:left="478" w:right="167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八、合并范围的变更</w:t>
      </w:r>
      <w:r>
        <w:rPr>
          <w:rFonts w:ascii="宋体" w:hAnsi="宋体" w:cs="宋体" w:eastAsia="宋体" w:hint="default"/>
          <w:sz w:val="21"/>
          <w:szCs w:val="21"/>
        </w:rPr>
      </w:r>
    </w:p>
    <w:p>
      <w:pPr>
        <w:pStyle w:val="Heading2"/>
        <w:spacing w:line="240" w:lineRule="auto" w:before="14"/>
        <w:ind w:left="478" w:right="-16"/>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spacing w:line="290" w:lineRule="auto" w:before="56"/>
        <w:ind w:left="478" w:right="-1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pStyle w:val="BodyText"/>
        <w:spacing w:line="240" w:lineRule="auto" w:before="13"/>
        <w:ind w:left="47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tabs>
          <w:tab w:pos="1529" w:val="left" w:leader="none"/>
        </w:tabs>
        <w:spacing w:line="240" w:lineRule="auto"/>
        <w:ind w:left="478" w:right="0"/>
        <w:jc w:val="left"/>
      </w:pPr>
      <w:r>
        <w:rPr>
          <w:spacing w:val="-1"/>
        </w:rPr>
        <w:t>单位：元</w:t>
        <w:tab/>
      </w:r>
      <w:r>
        <w:rPr>
          <w:spacing w:val="-2"/>
        </w:rPr>
        <w:t>币种：人民币</w:t>
      </w:r>
    </w:p>
    <w:p>
      <w:pPr>
        <w:spacing w:after="0" w:line="240" w:lineRule="auto"/>
        <w:jc w:val="left"/>
        <w:sectPr>
          <w:type w:val="continuous"/>
          <w:pgSz w:w="11910" w:h="16840"/>
          <w:pgMar w:top="1120" w:bottom="1380" w:left="1320" w:right="800"/>
          <w:cols w:num="2" w:equalWidth="0">
            <w:col w:w="4069" w:space="2453"/>
            <w:col w:w="326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92"/>
        <w:gridCol w:w="1159"/>
        <w:gridCol w:w="1057"/>
        <w:gridCol w:w="845"/>
        <w:gridCol w:w="809"/>
        <w:gridCol w:w="977"/>
        <w:gridCol w:w="972"/>
        <w:gridCol w:w="1477"/>
        <w:gridCol w:w="1476"/>
      </w:tblGrid>
      <w:tr>
        <w:trPr>
          <w:trHeight w:val="96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179" w:right="177"/>
              <w:jc w:val="both"/>
              <w:rPr>
                <w:rFonts w:ascii="宋体" w:hAnsi="宋体" w:cs="宋体" w:eastAsia="宋体" w:hint="default"/>
                <w:sz w:val="21"/>
                <w:szCs w:val="21"/>
              </w:rPr>
            </w:pPr>
            <w:r>
              <w:rPr>
                <w:rFonts w:ascii="宋体" w:hAnsi="宋体" w:cs="宋体" w:eastAsia="宋体" w:hint="default"/>
                <w:sz w:val="21"/>
                <w:szCs w:val="21"/>
              </w:rPr>
              <w:t>被购</w:t>
            </w:r>
            <w:r>
              <w:rPr>
                <w:rFonts w:ascii="宋体" w:hAnsi="宋体" w:cs="宋体" w:eastAsia="宋体" w:hint="default"/>
                <w:spacing w:val="-103"/>
                <w:sz w:val="21"/>
                <w:szCs w:val="21"/>
              </w:rPr>
              <w:t> </w:t>
            </w:r>
            <w:r>
              <w:rPr>
                <w:rFonts w:ascii="宋体" w:hAnsi="宋体" w:cs="宋体" w:eastAsia="宋体" w:hint="default"/>
                <w:sz w:val="21"/>
                <w:szCs w:val="21"/>
              </w:rPr>
              <w:t>买方</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72" w:lineRule="exact"/>
              <w:ind w:left="362" w:right="153" w:hanging="212"/>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时点</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72" w:lineRule="exact"/>
              <w:ind w:left="312" w:right="99" w:hanging="209"/>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63"/>
              <w:ind w:left="103" w:right="96"/>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得比例</w:t>
            </w:r>
          </w:p>
          <w:p>
            <w:pPr>
              <w:pStyle w:val="TableParagraph"/>
              <w:spacing w:line="249" w:lineRule="exact"/>
              <w:ind w:left="1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187" w:right="187"/>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163" w:right="163"/>
              <w:jc w:val="both"/>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pacing w:val="-102"/>
                <w:sz w:val="21"/>
                <w:szCs w:val="21"/>
              </w:rPr>
              <w:t> </w:t>
            </w:r>
            <w:r>
              <w:rPr>
                <w:rFonts w:ascii="宋体" w:hAnsi="宋体" w:cs="宋体" w:eastAsia="宋体" w:hint="default"/>
                <w:sz w:val="21"/>
                <w:szCs w:val="21"/>
              </w:rPr>
              <w:t>的确定</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103" w:right="99"/>
              <w:jc w:val="center"/>
              <w:rPr>
                <w:rFonts w:ascii="宋体" w:hAnsi="宋体" w:cs="宋体" w:eastAsia="宋体" w:hint="default"/>
                <w:sz w:val="21"/>
                <w:szCs w:val="21"/>
              </w:rPr>
            </w:pPr>
            <w:r>
              <w:rPr>
                <w:rFonts w:ascii="宋体" w:hAnsi="宋体" w:cs="宋体" w:eastAsia="宋体" w:hint="default"/>
                <w:spacing w:val="-1"/>
                <w:sz w:val="21"/>
                <w:szCs w:val="21"/>
              </w:rPr>
              <w:t>购买日至期末</w:t>
            </w:r>
            <w:r>
              <w:rPr>
                <w:rFonts w:ascii="宋体" w:hAnsi="宋体" w:cs="宋体" w:eastAsia="宋体" w:hint="default"/>
                <w:w w:val="100"/>
                <w:sz w:val="21"/>
                <w:szCs w:val="21"/>
              </w:rPr>
              <w:t> </w:t>
            </w:r>
            <w:r>
              <w:rPr>
                <w:rFonts w:ascii="宋体" w:hAnsi="宋体" w:cs="宋体" w:eastAsia="宋体" w:hint="default"/>
                <w:spacing w:val="-1"/>
                <w:sz w:val="21"/>
                <w:szCs w:val="21"/>
              </w:rPr>
              <w:t>被购买方的收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103" w:right="98"/>
              <w:jc w:val="center"/>
              <w:rPr>
                <w:rFonts w:ascii="宋体" w:hAnsi="宋体" w:cs="宋体" w:eastAsia="宋体" w:hint="default"/>
                <w:sz w:val="21"/>
                <w:szCs w:val="21"/>
              </w:rPr>
            </w:pPr>
            <w:r>
              <w:rPr>
                <w:rFonts w:ascii="宋体" w:hAnsi="宋体" w:cs="宋体" w:eastAsia="宋体" w:hint="default"/>
                <w:spacing w:val="-1"/>
                <w:sz w:val="21"/>
                <w:szCs w:val="21"/>
              </w:rPr>
              <w:t>购买日至期末</w:t>
            </w:r>
            <w:r>
              <w:rPr>
                <w:rFonts w:ascii="宋体" w:hAnsi="宋体" w:cs="宋体" w:eastAsia="宋体" w:hint="default"/>
                <w:w w:val="100"/>
                <w:sz w:val="21"/>
                <w:szCs w:val="21"/>
              </w:rPr>
              <w:t> </w:t>
            </w:r>
            <w:r>
              <w:rPr>
                <w:rFonts w:ascii="宋体" w:hAnsi="宋体" w:cs="宋体" w:eastAsia="宋体" w:hint="default"/>
                <w:spacing w:val="-1"/>
                <w:sz w:val="21"/>
                <w:szCs w:val="21"/>
              </w:rPr>
              <w:t>被购买方的净</w:t>
            </w:r>
            <w:r>
              <w:rPr>
                <w:rFonts w:ascii="宋体" w:hAnsi="宋体" w:cs="宋体" w:eastAsia="宋体" w:hint="default"/>
                <w:w w:val="100"/>
                <w:sz w:val="21"/>
                <w:szCs w:val="21"/>
              </w:rPr>
              <w:t> </w:t>
            </w:r>
            <w:r>
              <w:rPr>
                <w:rFonts w:ascii="宋体" w:hAnsi="宋体" w:cs="宋体" w:eastAsia="宋体" w:hint="default"/>
                <w:sz w:val="21"/>
                <w:szCs w:val="21"/>
              </w:rPr>
              <w:t>利润</w:t>
            </w:r>
          </w:p>
        </w:tc>
      </w:tr>
      <w:tr>
        <w:trPr>
          <w:trHeight w:val="1373"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9" w:right="177"/>
              <w:jc w:val="left"/>
              <w:rPr>
                <w:rFonts w:ascii="宋体" w:hAnsi="宋体" w:cs="宋体" w:eastAsia="宋体" w:hint="default"/>
                <w:sz w:val="21"/>
                <w:szCs w:val="21"/>
              </w:rPr>
            </w:pP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2,497.00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100.00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6</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协议约</w:t>
            </w:r>
          </w:p>
          <w:p>
            <w:pPr>
              <w:pStyle w:val="TableParagraph"/>
              <w:spacing w:line="237" w:lineRule="auto"/>
              <w:ind w:left="100" w:right="227"/>
              <w:jc w:val="both"/>
              <w:rPr>
                <w:rFonts w:ascii="宋体" w:hAnsi="宋体" w:cs="宋体" w:eastAsia="宋体" w:hint="default"/>
                <w:sz w:val="21"/>
                <w:szCs w:val="21"/>
              </w:rPr>
            </w:pPr>
            <w:r>
              <w:rPr>
                <w:rFonts w:ascii="宋体" w:hAnsi="宋体" w:cs="宋体" w:eastAsia="宋体" w:hint="default"/>
                <w:sz w:val="21"/>
                <w:szCs w:val="21"/>
              </w:rPr>
              <w:t>定以工</w:t>
            </w:r>
            <w:r>
              <w:rPr>
                <w:rFonts w:ascii="宋体" w:hAnsi="宋体" w:cs="宋体" w:eastAsia="宋体" w:hint="default"/>
                <w:spacing w:val="-102"/>
                <w:sz w:val="21"/>
                <w:szCs w:val="21"/>
              </w:rPr>
              <w:t> </w:t>
            </w:r>
            <w:r>
              <w:rPr>
                <w:rFonts w:ascii="宋体" w:hAnsi="宋体" w:cs="宋体" w:eastAsia="宋体" w:hint="default"/>
                <w:sz w:val="21"/>
                <w:szCs w:val="21"/>
              </w:rPr>
              <w:t>商变更</w:t>
            </w:r>
            <w:r>
              <w:rPr>
                <w:rFonts w:ascii="宋体" w:hAnsi="宋体" w:cs="宋体" w:eastAsia="宋体" w:hint="default"/>
                <w:spacing w:val="-102"/>
                <w:sz w:val="21"/>
                <w:szCs w:val="21"/>
              </w:rPr>
              <w:t> </w:t>
            </w:r>
            <w:r>
              <w:rPr>
                <w:rFonts w:ascii="宋体" w:hAnsi="宋体" w:cs="宋体" w:eastAsia="宋体" w:hint="default"/>
                <w:sz w:val="21"/>
                <w:szCs w:val="21"/>
              </w:rPr>
              <w:t>日作为</w:t>
            </w:r>
            <w:r>
              <w:rPr>
                <w:rFonts w:ascii="宋体" w:hAnsi="宋体" w:cs="宋体" w:eastAsia="宋体" w:hint="default"/>
                <w:spacing w:val="-102"/>
                <w:sz w:val="21"/>
                <w:szCs w:val="21"/>
              </w:rPr>
              <w:t> </w:t>
            </w:r>
            <w:r>
              <w:rPr>
                <w:rFonts w:ascii="宋体" w:hAnsi="宋体" w:cs="宋体" w:eastAsia="宋体" w:hint="default"/>
                <w:sz w:val="21"/>
                <w:szCs w:val="21"/>
              </w:rPr>
              <w:t>购买日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9,047,044.15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2,648,112.29</w:t>
            </w:r>
          </w:p>
        </w:tc>
      </w:tr>
    </w:tbl>
    <w:p>
      <w:pPr>
        <w:pStyle w:val="BodyText"/>
        <w:spacing w:line="240" w:lineRule="auto" w:before="26"/>
        <w:ind w:left="478" w:right="0"/>
        <w:jc w:val="left"/>
      </w:pPr>
      <w:r>
        <w:rPr/>
        <w:t>其他说明：</w:t>
      </w:r>
    </w:p>
    <w:p>
      <w:pPr>
        <w:pStyle w:val="BodyText"/>
        <w:spacing w:line="240" w:lineRule="auto" w:before="56"/>
        <w:ind w:left="898" w:right="0"/>
        <w:jc w:val="left"/>
      </w:pPr>
      <w:r>
        <w:rPr>
          <w:rFonts w:ascii="宋体" w:hAnsi="宋体" w:cs="宋体" w:eastAsia="宋体" w:hint="default"/>
        </w:rPr>
        <w:t>2018</w:t>
      </w:r>
      <w:r>
        <w:rPr>
          <w:rFonts w:ascii="宋体" w:hAnsi="宋体" w:cs="宋体" w:eastAsia="宋体" w:hint="default"/>
          <w:spacing w:val="-34"/>
        </w:rPr>
        <w:t> </w:t>
      </w:r>
      <w:r>
        <w:rPr/>
        <w:t>年</w:t>
      </w:r>
      <w:r>
        <w:rPr>
          <w:spacing w:val="-31"/>
        </w:rPr>
        <w:t> </w:t>
      </w:r>
      <w:r>
        <w:rPr>
          <w:rFonts w:ascii="宋体" w:hAnsi="宋体" w:cs="宋体" w:eastAsia="宋体" w:hint="default"/>
        </w:rPr>
        <w:t>1</w:t>
      </w:r>
      <w:r>
        <w:rPr>
          <w:rFonts w:ascii="宋体" w:hAnsi="宋体" w:cs="宋体" w:eastAsia="宋体" w:hint="default"/>
          <w:spacing w:val="-34"/>
        </w:rPr>
        <w:t> </w:t>
      </w:r>
      <w:r>
        <w:rPr>
          <w:spacing w:val="-3"/>
        </w:rPr>
        <w:t>月，本公司与刘冬、王春芳签署《支付现金购买股权协议》，协议收购北京点滴云</w:t>
      </w:r>
    </w:p>
    <w:p>
      <w:pPr>
        <w:pStyle w:val="BodyText"/>
        <w:spacing w:line="355" w:lineRule="auto" w:before="133"/>
        <w:ind w:left="478" w:right="0"/>
        <w:jc w:val="left"/>
      </w:pPr>
      <w:r>
        <w:rPr/>
        <w:t>教育科技有限公司</w:t>
      </w:r>
      <w:r>
        <w:rPr>
          <w:spacing w:val="-50"/>
        </w:rPr>
        <w:t> </w:t>
      </w:r>
      <w:r>
        <w:rPr>
          <w:rFonts w:ascii="宋体" w:hAnsi="宋体" w:cs="宋体" w:eastAsia="宋体" w:hint="default"/>
          <w:spacing w:val="-4"/>
        </w:rPr>
        <w:t>100%</w:t>
      </w:r>
      <w:r>
        <w:rPr>
          <w:spacing w:val="-4"/>
        </w:rPr>
        <w:t>的股权，股权转让于</w:t>
      </w:r>
      <w:r>
        <w:rPr>
          <w:spacing w:val="-50"/>
        </w:rPr>
        <w:t> </w:t>
      </w:r>
      <w:r>
        <w:rPr>
          <w:rFonts w:ascii="宋体" w:hAnsi="宋体" w:cs="宋体" w:eastAsia="宋体" w:hint="default"/>
        </w:rPr>
        <w:t>2018</w:t>
      </w:r>
      <w:r>
        <w:rPr>
          <w:rFonts w:ascii="宋体" w:hAnsi="宋体" w:cs="宋体" w:eastAsia="宋体" w:hint="default"/>
          <w:spacing w:val="-52"/>
        </w:rPr>
        <w:t> </w:t>
      </w:r>
      <w:r>
        <w:rPr/>
        <w:t>年</w:t>
      </w:r>
      <w:r>
        <w:rPr>
          <w:spacing w:val="-52"/>
        </w:rPr>
        <w:t> </w:t>
      </w:r>
      <w:r>
        <w:rPr>
          <w:rFonts w:ascii="宋体" w:hAnsi="宋体" w:cs="宋体" w:eastAsia="宋体" w:hint="default"/>
        </w:rPr>
        <w:t>2</w:t>
      </w:r>
      <w:r>
        <w:rPr>
          <w:rFonts w:ascii="宋体" w:hAnsi="宋体" w:cs="宋体" w:eastAsia="宋体" w:hint="default"/>
          <w:spacing w:val="-50"/>
        </w:rPr>
        <w:t> </w:t>
      </w:r>
      <w:r>
        <w:rPr/>
        <w:t>月</w:t>
      </w:r>
      <w:r>
        <w:rPr>
          <w:spacing w:val="-50"/>
        </w:rPr>
        <w:t> </w:t>
      </w:r>
      <w:r>
        <w:rPr>
          <w:rFonts w:ascii="宋体" w:hAnsi="宋体" w:cs="宋体" w:eastAsia="宋体" w:hint="default"/>
        </w:rPr>
        <w:t>6</w:t>
      </w:r>
      <w:r>
        <w:rPr>
          <w:rFonts w:ascii="宋体" w:hAnsi="宋体" w:cs="宋体" w:eastAsia="宋体" w:hint="default"/>
          <w:spacing w:val="-52"/>
        </w:rPr>
        <w:t> </w:t>
      </w:r>
      <w:r>
        <w:rPr>
          <w:spacing w:val="-5"/>
        </w:rPr>
        <w:t>日完成。</w:t>
      </w:r>
      <w:r>
        <w:rPr>
          <w:rFonts w:ascii="宋体" w:hAnsi="宋体" w:cs="宋体" w:eastAsia="宋体" w:hint="default"/>
          <w:spacing w:val="-5"/>
        </w:rPr>
        <w:t>2018</w:t>
      </w:r>
      <w:r>
        <w:rPr>
          <w:rFonts w:ascii="宋体" w:hAnsi="宋体" w:cs="宋体" w:eastAsia="宋体" w:hint="default"/>
          <w:spacing w:val="-52"/>
        </w:rPr>
        <w:t> </w:t>
      </w:r>
      <w:r>
        <w:rPr/>
        <w:t>年</w:t>
      </w:r>
      <w:r>
        <w:rPr>
          <w:spacing w:val="-50"/>
        </w:rPr>
        <w:t> </w:t>
      </w:r>
      <w:r>
        <w:rPr>
          <w:rFonts w:ascii="宋体" w:hAnsi="宋体" w:cs="宋体" w:eastAsia="宋体" w:hint="default"/>
        </w:rPr>
        <w:t>3</w:t>
      </w:r>
      <w:r>
        <w:rPr>
          <w:rFonts w:ascii="宋体" w:hAnsi="宋体" w:cs="宋体" w:eastAsia="宋体" w:hint="default"/>
          <w:spacing w:val="-52"/>
        </w:rPr>
        <w:t> </w:t>
      </w:r>
      <w:r>
        <w:rPr/>
        <w:t>月</w:t>
      </w:r>
      <w:r>
        <w:rPr>
          <w:spacing w:val="-49"/>
        </w:rPr>
        <w:t> </w:t>
      </w:r>
      <w:r>
        <w:rPr>
          <w:rFonts w:ascii="宋体" w:hAnsi="宋体" w:cs="宋体" w:eastAsia="宋体" w:hint="default"/>
        </w:rPr>
        <w:t>27</w:t>
      </w:r>
      <w:r>
        <w:rPr>
          <w:rFonts w:ascii="宋体" w:hAnsi="宋体" w:cs="宋体" w:eastAsia="宋体" w:hint="default"/>
          <w:spacing w:val="-52"/>
        </w:rPr>
        <w:t> </w:t>
      </w:r>
      <w:r>
        <w:rPr>
          <w:spacing w:val="-7"/>
        </w:rPr>
        <w:t>日，北京点滴</w:t>
      </w:r>
      <w:r>
        <w:rPr>
          <w:w w:val="100"/>
        </w:rPr>
        <w:t> </w:t>
      </w:r>
      <w:r>
        <w:rPr/>
        <w:t>云教育科技有限公司变更公司名称为新华网（北京）科技有限公司（简称“科技公司”）。</w:t>
      </w:r>
    </w:p>
    <w:p>
      <w:pPr>
        <w:spacing w:after="0" w:line="355" w:lineRule="auto"/>
        <w:jc w:val="left"/>
        <w:sectPr>
          <w:type w:val="continuous"/>
          <w:pgSz w:w="11910" w:h="16840"/>
          <w:pgMar w:top="1120" w:bottom="1380" w:left="1320" w:right="800"/>
        </w:sectPr>
      </w:pPr>
    </w:p>
    <w:p>
      <w:pPr>
        <w:pStyle w:val="Heading2"/>
        <w:spacing w:line="240" w:lineRule="auto" w:before="94"/>
        <w:ind w:left="478" w:right="-14"/>
        <w:jc w:val="left"/>
        <w:rPr>
          <w:b w:val="0"/>
          <w:bCs w:val="0"/>
        </w:rPr>
      </w:pPr>
      <w:r>
        <w:rPr>
          <w:rFonts w:ascii="宋体" w:hAnsi="宋体" w:cs="宋体" w:eastAsia="宋体" w:hint="default"/>
        </w:rPr>
        <w:t>(2).</w:t>
      </w:r>
      <w:r>
        <w:rPr/>
        <w:t>合并成本及商誉</w:t>
      </w:r>
      <w:r>
        <w:rPr>
          <w:b w:val="0"/>
          <w:bCs w:val="0"/>
        </w:rPr>
      </w:r>
    </w:p>
    <w:p>
      <w:pPr>
        <w:pStyle w:val="BodyText"/>
        <w:spacing w:line="240" w:lineRule="auto" w:before="56"/>
        <w:ind w:left="47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529" w:val="left" w:leader="none"/>
        </w:tabs>
        <w:spacing w:line="240" w:lineRule="auto" w:before="176"/>
        <w:ind w:left="478" w:right="0"/>
        <w:jc w:val="left"/>
      </w:pPr>
      <w:r>
        <w:rPr>
          <w:spacing w:val="-1"/>
        </w:rPr>
        <w:t>单位：元</w:t>
        <w:tab/>
      </w:r>
      <w:r>
        <w:rPr>
          <w:spacing w:val="-2"/>
        </w:rPr>
        <w:t>币种：人民币</w:t>
      </w:r>
    </w:p>
    <w:p>
      <w:pPr>
        <w:spacing w:after="0" w:line="240" w:lineRule="auto"/>
        <w:jc w:val="left"/>
        <w:sectPr>
          <w:type w:val="continuous"/>
          <w:pgSz w:w="11910" w:h="16840"/>
          <w:pgMar w:top="1120" w:bottom="1380" w:left="1320" w:right="800"/>
          <w:cols w:num="2" w:equalWidth="0">
            <w:col w:w="2384" w:space="4138"/>
            <w:col w:w="3268"/>
          </w:cols>
        </w:sectPr>
      </w:pPr>
    </w:p>
    <w:p>
      <w:pPr>
        <w:spacing w:line="240" w:lineRule="auto" w:before="4"/>
        <w:rPr>
          <w:rFonts w:ascii="宋体" w:hAnsi="宋体" w:cs="宋体" w:eastAsia="宋体" w:hint="default"/>
          <w:sz w:val="2"/>
          <w:szCs w:val="2"/>
        </w:rPr>
      </w:pPr>
    </w:p>
    <w:tbl>
      <w:tblPr>
        <w:tblW w:w="0" w:type="auto"/>
        <w:jc w:val="left"/>
        <w:tblInd w:w="204" w:type="dxa"/>
        <w:tblLayout w:type="fixed"/>
        <w:tblCellMar>
          <w:top w:w="0" w:type="dxa"/>
          <w:left w:w="0" w:type="dxa"/>
          <w:bottom w:w="0" w:type="dxa"/>
          <w:right w:w="0" w:type="dxa"/>
        </w:tblCellMar>
        <w:tblLook w:val="01E0"/>
      </w:tblPr>
      <w:tblGrid>
        <w:gridCol w:w="5799"/>
        <w:gridCol w:w="3572"/>
      </w:tblGrid>
      <w:tr>
        <w:trPr>
          <w:trHeight w:val="350" w:hRule="exact"/>
        </w:trPr>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合并成本</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科技公司</w:t>
            </w:r>
          </w:p>
        </w:tc>
      </w:tr>
      <w:tr>
        <w:trPr>
          <w:trHeight w:val="350" w:hRule="exact"/>
        </w:trPr>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2,497.00</w:t>
            </w:r>
          </w:p>
        </w:tc>
      </w:tr>
      <w:tr>
        <w:trPr>
          <w:trHeight w:val="350" w:hRule="exact"/>
        </w:trPr>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right"/>
              <w:rPr>
                <w:rFonts w:ascii="宋体" w:hAnsi="宋体" w:cs="宋体" w:eastAsia="宋体" w:hint="default"/>
                <w:sz w:val="21"/>
                <w:szCs w:val="21"/>
              </w:rPr>
            </w:pPr>
            <w:r>
              <w:rPr>
                <w:rFonts w:ascii="宋体"/>
                <w:spacing w:val="-1"/>
                <w:sz w:val="21"/>
              </w:rPr>
              <w:t>2,497.00</w:t>
            </w:r>
          </w:p>
        </w:tc>
      </w:tr>
      <w:tr>
        <w:trPr>
          <w:trHeight w:val="349" w:hRule="exact"/>
        </w:trPr>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1"/>
                <w:szCs w:val="21"/>
              </w:rPr>
            </w:pPr>
            <w:r>
              <w:rPr>
                <w:rFonts w:ascii="宋体"/>
                <w:spacing w:val="-1"/>
                <w:sz w:val="21"/>
              </w:rPr>
              <w:t>2,497.00</w:t>
            </w:r>
          </w:p>
        </w:tc>
      </w:tr>
      <w:tr>
        <w:trPr>
          <w:trHeight w:val="350" w:hRule="exact"/>
        </w:trPr>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合并成本小于取得的可辨认净资产公允价值份额的金额</w:t>
            </w:r>
          </w:p>
        </w:tc>
        <w:tc>
          <w:tcPr>
            <w:tcW w:w="35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478" w:right="0"/>
        <w:jc w:val="left"/>
      </w:pPr>
      <w:r>
        <w:rPr/>
        <w:t>合并成本公允价值的确定方法、或有对价及其变动的说明：</w:t>
      </w:r>
    </w:p>
    <w:p>
      <w:pPr>
        <w:spacing w:line="240" w:lineRule="auto" w:before="7"/>
        <w:rPr>
          <w:rFonts w:ascii="宋体" w:hAnsi="宋体" w:cs="宋体" w:eastAsia="宋体" w:hint="default"/>
          <w:sz w:val="19"/>
          <w:szCs w:val="19"/>
        </w:rPr>
      </w:pPr>
    </w:p>
    <w:p>
      <w:pPr>
        <w:pStyle w:val="BodyText"/>
        <w:spacing w:line="355" w:lineRule="auto"/>
        <w:ind w:left="478" w:right="0" w:firstLine="419"/>
        <w:jc w:val="left"/>
      </w:pPr>
      <w:r>
        <w:rPr>
          <w:spacing w:val="-2"/>
        </w:rPr>
        <w:t>被合并净资产公允价值以经北京经纬东元资产评估有限公司按资产基础法确定的评估结果确</w:t>
      </w:r>
      <w:r>
        <w:rPr>
          <w:w w:val="100"/>
        </w:rPr>
        <w:t> </w:t>
      </w:r>
      <w:r>
        <w:rPr/>
        <w:t>定（京经评报字</w:t>
      </w:r>
      <w:r>
        <w:rPr>
          <w:rFonts w:ascii="宋体" w:hAnsi="宋体" w:cs="宋体" w:eastAsia="宋体" w:hint="default"/>
        </w:rPr>
        <w:t>[2017]</w:t>
      </w:r>
      <w:r>
        <w:rPr/>
        <w:t>第</w:t>
      </w:r>
      <w:r>
        <w:rPr>
          <w:spacing w:val="-56"/>
        </w:rPr>
        <w:t> </w:t>
      </w:r>
      <w:r>
        <w:rPr>
          <w:rFonts w:ascii="宋体" w:hAnsi="宋体" w:cs="宋体" w:eastAsia="宋体" w:hint="default"/>
        </w:rPr>
        <w:t>092</w:t>
      </w:r>
      <w:r>
        <w:rPr>
          <w:rFonts w:ascii="宋体" w:hAnsi="宋体" w:cs="宋体" w:eastAsia="宋体" w:hint="default"/>
          <w:spacing w:val="-54"/>
        </w:rPr>
        <w:t> </w:t>
      </w:r>
      <w:r>
        <w:rPr/>
        <w:t>号资产评估报告）。</w:t>
      </w:r>
    </w:p>
    <w:p>
      <w:pPr>
        <w:pStyle w:val="BodyText"/>
        <w:spacing w:line="240" w:lineRule="auto" w:before="32"/>
        <w:ind w:left="478" w:right="6622"/>
        <w:jc w:val="left"/>
      </w:pPr>
      <w:r>
        <w:rPr>
          <w:spacing w:val="-2"/>
        </w:rPr>
        <w:t>大额商誉形成的主要原因：</w:t>
      </w:r>
      <w:r>
        <w:rPr>
          <w:spacing w:val="-82"/>
        </w:rPr>
        <w:t> </w:t>
      </w:r>
      <w:r>
        <w:rPr>
          <w:spacing w:val="-82"/>
        </w:rPr>
      </w:r>
      <w:r>
        <w:rPr/>
        <w:t>无</w:t>
      </w:r>
    </w:p>
    <w:p>
      <w:pPr>
        <w:pStyle w:val="BodyText"/>
        <w:spacing w:line="290" w:lineRule="auto" w:before="56"/>
        <w:ind w:left="478" w:right="8238"/>
        <w:jc w:val="left"/>
      </w:pPr>
      <w:r>
        <w:rPr/>
        <w:t>其他说明：</w:t>
      </w:r>
      <w:r>
        <w:rPr>
          <w:spacing w:val="-102"/>
        </w:rPr>
        <w:t> </w:t>
      </w:r>
      <w:r>
        <w:rPr>
          <w:spacing w:val="-102"/>
        </w:rPr>
      </w:r>
      <w:r>
        <w:rPr/>
        <w:t>无</w:t>
      </w:r>
    </w:p>
    <w:p>
      <w:pPr>
        <w:pStyle w:val="Heading2"/>
        <w:spacing w:line="240" w:lineRule="auto" w:before="15"/>
        <w:ind w:left="478" w:right="0"/>
        <w:jc w:val="left"/>
        <w:rPr>
          <w:b w:val="0"/>
          <w:bCs w:val="0"/>
        </w:rPr>
      </w:pPr>
      <w:r>
        <w:rPr>
          <w:rFonts w:ascii="宋体" w:hAnsi="宋体" w:cs="宋体" w:eastAsia="宋体" w:hint="default"/>
        </w:rPr>
        <w:t>(3).</w:t>
      </w:r>
      <w:r>
        <w:rPr/>
        <w:t>被购买方于购买日可辨认资产、负债</w:t>
      </w:r>
      <w:r>
        <w:rPr>
          <w:b w:val="0"/>
          <w:bCs w:val="0"/>
        </w:rPr>
      </w:r>
    </w:p>
    <w:p>
      <w:pPr>
        <w:pStyle w:val="BodyText"/>
        <w:tabs>
          <w:tab w:pos="1320" w:val="left" w:leader="none"/>
        </w:tabs>
        <w:spacing w:line="240" w:lineRule="auto" w:before="56"/>
        <w:ind w:left="478" w:right="0"/>
        <w:jc w:val="left"/>
      </w:pPr>
      <w:r>
        <w:rPr/>
        <w:t>√适用</w:t>
        <w:tab/>
        <w:t>□不适用</w:t>
      </w:r>
    </w:p>
    <w:p>
      <w:pPr>
        <w:spacing w:after="0" w:line="240" w:lineRule="auto"/>
        <w:jc w:val="left"/>
        <w:sectPr>
          <w:type w:val="continuous"/>
          <w:pgSz w:w="11910" w:h="16840"/>
          <w:pgMar w:top="1120" w:bottom="1380" w:left="1320" w:right="80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31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890"/>
        <w:gridCol w:w="3260"/>
        <w:gridCol w:w="3077"/>
      </w:tblGrid>
      <w:tr>
        <w:trPr>
          <w:trHeight w:val="283" w:hRule="exact"/>
        </w:trPr>
        <w:tc>
          <w:tcPr>
            <w:tcW w:w="2890" w:type="dxa"/>
            <w:vMerge w:val="restart"/>
            <w:tcBorders>
              <w:top w:val="single" w:sz="4" w:space="0" w:color="000000"/>
              <w:left w:val="single" w:sz="4" w:space="0" w:color="000000"/>
              <w:right w:val="single" w:sz="4" w:space="0" w:color="000000"/>
            </w:tcBorders>
          </w:tcPr>
          <w:p>
            <w:pPr/>
          </w:p>
        </w:tc>
        <w:tc>
          <w:tcPr>
            <w:tcW w:w="63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科技公司</w:t>
            </w:r>
          </w:p>
        </w:tc>
      </w:tr>
      <w:tr>
        <w:trPr>
          <w:trHeight w:val="290" w:hRule="exact"/>
        </w:trPr>
        <w:tc>
          <w:tcPr>
            <w:tcW w:w="2890" w:type="dxa"/>
            <w:vMerge/>
            <w:tcBorders>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87"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96"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1"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4,126.49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4,126.49</w:t>
            </w:r>
          </w:p>
        </w:tc>
      </w:tr>
      <w:tr>
        <w:trPr>
          <w:trHeight w:val="32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400.31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400.31</w:t>
            </w:r>
          </w:p>
        </w:tc>
      </w:tr>
      <w:tr>
        <w:trPr>
          <w:trHeight w:val="32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3,726.18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3,726.18</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260"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260"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260"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1,629.49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1,629.49</w:t>
            </w:r>
          </w:p>
        </w:tc>
      </w:tr>
      <w:tr>
        <w:trPr>
          <w:trHeight w:val="322"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260"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1,629.49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1,629.49</w:t>
            </w:r>
          </w:p>
        </w:tc>
      </w:tr>
      <w:tr>
        <w:trPr>
          <w:trHeight w:val="32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260"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260"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2,497.00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2,497.00</w:t>
            </w:r>
          </w:p>
        </w:tc>
      </w:tr>
      <w:tr>
        <w:trPr>
          <w:trHeight w:val="281"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3260"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2,497.00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2,497.00</w:t>
            </w:r>
          </w:p>
        </w:tc>
      </w:tr>
    </w:tbl>
    <w:p>
      <w:pPr>
        <w:pStyle w:val="BodyText"/>
        <w:spacing w:line="290" w:lineRule="auto" w:before="26"/>
        <w:ind w:left="738" w:right="0" w:hanging="420"/>
        <w:jc w:val="left"/>
      </w:pPr>
      <w:r>
        <w:rPr/>
        <w:t>可辨认资产、负债公允价值的确定方法：</w:t>
      </w:r>
      <w:r>
        <w:rPr>
          <w:w w:val="100"/>
        </w:rPr>
        <w:t> </w:t>
      </w:r>
      <w:r>
        <w:rPr>
          <w:spacing w:val="-2"/>
        </w:rPr>
        <w:t>被合并净资产公允价值以经北京经纬东元资产评估有限公司按资产基础法确定的评估结果确</w:t>
      </w:r>
    </w:p>
    <w:p>
      <w:pPr>
        <w:pStyle w:val="BodyText"/>
        <w:spacing w:line="240" w:lineRule="auto" w:before="89"/>
        <w:ind w:left="318" w:right="2951"/>
        <w:jc w:val="left"/>
      </w:pPr>
      <w:r>
        <w:rPr/>
        <w:t>定（京经评报字</w:t>
      </w:r>
      <w:r>
        <w:rPr>
          <w:rFonts w:ascii="宋体" w:hAnsi="宋体" w:cs="宋体" w:eastAsia="宋体" w:hint="default"/>
        </w:rPr>
        <w:t>[2017]</w:t>
      </w:r>
      <w:r>
        <w:rPr/>
        <w:t>第</w:t>
      </w:r>
      <w:r>
        <w:rPr>
          <w:spacing w:val="-56"/>
        </w:rPr>
        <w:t> </w:t>
      </w:r>
      <w:r>
        <w:rPr>
          <w:rFonts w:ascii="宋体" w:hAnsi="宋体" w:cs="宋体" w:eastAsia="宋体" w:hint="default"/>
        </w:rPr>
        <w:t>092</w:t>
      </w:r>
      <w:r>
        <w:rPr>
          <w:rFonts w:ascii="宋体" w:hAnsi="宋体" w:cs="宋体" w:eastAsia="宋体" w:hint="default"/>
          <w:spacing w:val="-54"/>
        </w:rPr>
        <w:t> </w:t>
      </w:r>
      <w:r>
        <w:rPr/>
        <w:t>号资产评估报告）。</w:t>
      </w:r>
    </w:p>
    <w:p>
      <w:pPr>
        <w:spacing w:line="240" w:lineRule="auto" w:before="10"/>
        <w:rPr>
          <w:rFonts w:ascii="宋体" w:hAnsi="宋体" w:cs="宋体" w:eastAsia="宋体" w:hint="default"/>
          <w:sz w:val="14"/>
          <w:szCs w:val="14"/>
        </w:rPr>
      </w:pPr>
    </w:p>
    <w:p>
      <w:pPr>
        <w:pStyle w:val="BodyText"/>
        <w:spacing w:line="290" w:lineRule="auto"/>
        <w:ind w:left="318" w:right="5214"/>
        <w:jc w:val="left"/>
      </w:pPr>
      <w:r>
        <w:rPr>
          <w:spacing w:val="-2"/>
        </w:rPr>
        <w:t>企业合并中承担的被购买方的或有负债：</w:t>
      </w:r>
      <w:r>
        <w:rPr>
          <w:spacing w:val="-69"/>
        </w:rPr>
        <w:t> </w:t>
      </w:r>
      <w:r>
        <w:rPr>
          <w:spacing w:val="-69"/>
        </w:rPr>
      </w:r>
      <w:r>
        <w:rPr/>
        <w:t>无</w:t>
      </w:r>
    </w:p>
    <w:p>
      <w:pPr>
        <w:pStyle w:val="BodyText"/>
        <w:spacing w:line="290" w:lineRule="auto" w:before="14"/>
        <w:ind w:left="318" w:right="8078"/>
        <w:jc w:val="left"/>
      </w:pPr>
      <w:r>
        <w:rPr/>
        <w:t>其他说明：</w:t>
      </w:r>
      <w:r>
        <w:rPr>
          <w:spacing w:val="-102"/>
        </w:rPr>
        <w:t> </w:t>
      </w:r>
      <w:r>
        <w:rPr>
          <w:spacing w:val="-102"/>
        </w:rPr>
      </w:r>
      <w:r>
        <w:rPr/>
        <w:t>无</w:t>
      </w:r>
    </w:p>
    <w:p>
      <w:pPr>
        <w:spacing w:line="290" w:lineRule="auto" w:before="14"/>
        <w:ind w:left="31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9" w:lineRule="exact"/>
        <w:ind w:left="318" w:right="2951"/>
        <w:jc w:val="left"/>
      </w:pPr>
      <w:r>
        <w:rPr/>
        <w:t>□适用</w:t>
      </w:r>
      <w:r>
        <w:rPr>
          <w:spacing w:val="-1"/>
        </w:rPr>
        <w:t> </w:t>
      </w:r>
      <w:r>
        <w:rPr/>
        <w:t>√不适用</w:t>
      </w:r>
    </w:p>
    <w:p>
      <w:pPr>
        <w:pStyle w:val="Heading2"/>
        <w:spacing w:line="240" w:lineRule="auto" w:before="56"/>
        <w:ind w:left="745" w:right="0" w:hanging="428"/>
        <w:jc w:val="left"/>
        <w:rPr>
          <w:b w:val="0"/>
          <w:bCs w:val="0"/>
        </w:rPr>
      </w:pPr>
      <w:r>
        <w:rPr>
          <w:rFonts w:ascii="宋体" w:hAnsi="宋体" w:cs="宋体" w:eastAsia="宋体" w:hint="default"/>
          <w:spacing w:val="-1"/>
        </w:rPr>
        <w:t>(5).</w:t>
      </w:r>
      <w:r>
        <w:rPr>
          <w:spacing w:val="-1"/>
        </w:rPr>
        <w:t>购买日或合并当期期末无法合理确定合并对价或被购买方可辨认资产、负债公允价值的相关</w:t>
      </w:r>
      <w:r>
        <w:rPr>
          <w:spacing w:val="-86"/>
        </w:rPr>
        <w:t> </w:t>
      </w:r>
      <w:r>
        <w:rPr>
          <w:spacing w:val="-86"/>
        </w:rPr>
      </w:r>
      <w:r>
        <w:rPr/>
        <w:t>说明</w:t>
      </w:r>
      <w:r>
        <w:rPr>
          <w:b w:val="0"/>
          <w:bCs w:val="0"/>
        </w:rPr>
      </w:r>
    </w:p>
    <w:p>
      <w:pPr>
        <w:tabs>
          <w:tab w:pos="1160" w:val="left" w:leader="none"/>
        </w:tabs>
        <w:spacing w:line="290" w:lineRule="auto" w:before="56"/>
        <w:ind w:left="318" w:right="74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tabs>
          <w:tab w:pos="1160" w:val="left" w:leader="none"/>
        </w:tabs>
        <w:spacing w:line="240" w:lineRule="auto" w:before="12"/>
        <w:ind w:left="318" w:right="2951"/>
        <w:jc w:val="left"/>
      </w:pPr>
      <w:r>
        <w:rPr>
          <w:spacing w:val="-1"/>
        </w:rPr>
        <w:t>□适用</w:t>
        <w:tab/>
      </w:r>
      <w:r>
        <w:rPr>
          <w:spacing w:val="-2"/>
        </w:rPr>
        <w:t>√不适用</w:t>
      </w:r>
    </w:p>
    <w:p>
      <w:pPr>
        <w:pStyle w:val="Heading2"/>
        <w:spacing w:line="240" w:lineRule="auto" w:before="58"/>
        <w:ind w:left="318" w:right="2951"/>
        <w:jc w:val="left"/>
        <w:rPr>
          <w:b w:val="0"/>
          <w:bCs w:val="0"/>
        </w:rPr>
      </w:pPr>
      <w:r>
        <w:rPr>
          <w:rFonts w:ascii="宋体" w:hAnsi="宋体" w:cs="宋体" w:eastAsia="宋体" w:hint="default"/>
        </w:rPr>
        <w:t>2</w:t>
      </w:r>
      <w:r>
        <w:rPr/>
        <w:t>、 同一控制下企业合并</w:t>
      </w:r>
      <w:r>
        <w:rPr>
          <w:b w:val="0"/>
          <w:bCs w:val="0"/>
        </w:rPr>
      </w:r>
    </w:p>
    <w:p>
      <w:pPr>
        <w:spacing w:line="290" w:lineRule="auto" w:before="56"/>
        <w:ind w:left="318" w:right="75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90" w:lineRule="auto" w:before="12"/>
        <w:ind w:left="318" w:right="75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处置子公司</w:t>
      </w:r>
      <w:r>
        <w:rPr>
          <w:rFonts w:ascii="宋体" w:hAnsi="宋体" w:cs="宋体" w:eastAsia="宋体" w:hint="default"/>
          <w:sz w:val="21"/>
          <w:szCs w:val="21"/>
        </w:rPr>
      </w:r>
    </w:p>
    <w:p>
      <w:pPr>
        <w:pStyle w:val="BodyText"/>
        <w:spacing w:line="274" w:lineRule="exact" w:before="12"/>
        <w:ind w:left="318" w:right="2951"/>
        <w:jc w:val="left"/>
      </w:pPr>
      <w:r>
        <w:rPr/>
        <w:t>是否存在单次处置对子公司投资即丧失控制权的情形</w:t>
      </w:r>
    </w:p>
    <w:p>
      <w:pPr>
        <w:pStyle w:val="BodyText"/>
        <w:spacing w:line="272" w:lineRule="exact" w:before="27"/>
        <w:ind w:left="318" w:right="7554"/>
        <w:jc w:val="left"/>
      </w:pPr>
      <w:r>
        <w:rPr/>
        <w:t>□适用</w:t>
      </w:r>
      <w:r>
        <w:rPr>
          <w:spacing w:val="-1"/>
        </w:rPr>
        <w:t> </w:t>
      </w:r>
      <w:r>
        <w:rPr/>
        <w:t>√不适用</w:t>
      </w:r>
      <w:r>
        <w:rPr>
          <w:w w:val="100"/>
        </w:rPr>
        <w:t> </w:t>
      </w:r>
      <w:r>
        <w:rPr/>
        <w:t>其他说明：</w:t>
      </w:r>
    </w:p>
    <w:p>
      <w:pPr>
        <w:pStyle w:val="BodyText"/>
        <w:spacing w:line="246" w:lineRule="exact"/>
        <w:ind w:left="318" w:right="2951"/>
        <w:jc w:val="left"/>
      </w:pPr>
      <w:r>
        <w:rPr/>
        <w:t>□适用</w:t>
      </w:r>
      <w:r>
        <w:rPr>
          <w:spacing w:val="-1"/>
        </w:rPr>
        <w:t> </w:t>
      </w:r>
      <w:r>
        <w:rPr/>
        <w:t>√不适用</w:t>
      </w:r>
    </w:p>
    <w:p>
      <w:pPr>
        <w:spacing w:after="0" w:line="246" w:lineRule="exact"/>
        <w:jc w:val="left"/>
        <w:sectPr>
          <w:footerReference w:type="default" r:id="rId78"/>
          <w:pgSz w:w="11910" w:h="16840"/>
          <w:pgMar w:footer="1195" w:header="0" w:top="1120" w:bottom="1380" w:left="1480" w:right="960"/>
          <w:pgNumType w:start="151"/>
        </w:sectPr>
      </w:pPr>
    </w:p>
    <w:p>
      <w:pPr>
        <w:spacing w:line="240" w:lineRule="auto" w:before="1"/>
        <w:rPr>
          <w:rFonts w:ascii="宋体" w:hAnsi="宋体" w:cs="宋体" w:eastAsia="宋体" w:hint="default"/>
          <w:sz w:val="25"/>
          <w:szCs w:val="25"/>
        </w:rPr>
      </w:pPr>
    </w:p>
    <w:p>
      <w:pPr>
        <w:pStyle w:val="BodyText"/>
        <w:spacing w:line="240" w:lineRule="auto" w:before="36"/>
        <w:ind w:right="227"/>
        <w:jc w:val="left"/>
      </w:pPr>
      <w:r>
        <w:rPr/>
        <w:t>是否存在通过多次交易分步处置对子公司投资且在本期丧失控制权的情形</w:t>
      </w:r>
    </w:p>
    <w:p>
      <w:pPr>
        <w:pStyle w:val="BodyText"/>
        <w:spacing w:line="240" w:lineRule="auto" w:before="135"/>
        <w:ind w:right="3319"/>
        <w:jc w:val="left"/>
      </w:pPr>
      <w:r>
        <w:rPr/>
        <w:t>□适用 √不适用</w:t>
      </w:r>
    </w:p>
    <w:p>
      <w:pPr>
        <w:spacing w:line="290" w:lineRule="auto" w:before="56"/>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72" w:lineRule="exact" w:before="116"/>
        <w:ind w:right="5269"/>
        <w:jc w:val="left"/>
      </w:pPr>
      <w:r>
        <w:rPr/>
        <w:t>√适用</w:t>
      </w:r>
      <w:r>
        <w:rPr>
          <w:spacing w:val="-2"/>
        </w:rPr>
        <w:t> </w:t>
      </w:r>
      <w:r>
        <w:rPr/>
        <w:t>□不适用</w:t>
      </w:r>
      <w:r>
        <w:rPr>
          <w:w w:val="100"/>
        </w:rPr>
        <w:t> </w:t>
      </w:r>
      <w:r>
        <w:rPr/>
        <w:t>与上年相比本年新设成立合并单位</w:t>
      </w:r>
      <w:r>
        <w:rPr>
          <w:spacing w:val="-52"/>
        </w:rPr>
        <w:t> </w:t>
      </w:r>
      <w:r>
        <w:rPr>
          <w:rFonts w:ascii="宋体" w:hAnsi="宋体" w:cs="宋体" w:eastAsia="宋体" w:hint="default"/>
        </w:rPr>
        <w:t>1</w:t>
      </w:r>
      <w:r>
        <w:rPr>
          <w:rFonts w:ascii="宋体" w:hAnsi="宋体" w:cs="宋体" w:eastAsia="宋体" w:hint="default"/>
          <w:spacing w:val="-54"/>
        </w:rPr>
        <w:t> </w:t>
      </w:r>
      <w:r>
        <w:rPr/>
        <w:t>家：</w:t>
      </w:r>
    </w:p>
    <w:tbl>
      <w:tblPr>
        <w:tblW w:w="0" w:type="auto"/>
        <w:jc w:val="left"/>
        <w:tblInd w:w="105" w:type="dxa"/>
        <w:tblLayout w:type="fixed"/>
        <w:tblCellMar>
          <w:top w:w="0" w:type="dxa"/>
          <w:left w:w="0" w:type="dxa"/>
          <w:bottom w:w="0" w:type="dxa"/>
          <w:right w:w="0" w:type="dxa"/>
        </w:tblCellMar>
        <w:tblLook w:val="01E0"/>
      </w:tblPr>
      <w:tblGrid>
        <w:gridCol w:w="3229"/>
        <w:gridCol w:w="2835"/>
        <w:gridCol w:w="2986"/>
      </w:tblGrid>
      <w:tr>
        <w:trPr>
          <w:trHeight w:val="406"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83"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62"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08"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新华炫闻</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59" w:right="0"/>
              <w:jc w:val="left"/>
              <w:rPr>
                <w:rFonts w:ascii="宋体" w:hAnsi="宋体" w:cs="宋体" w:eastAsia="宋体" w:hint="default"/>
                <w:sz w:val="21"/>
                <w:szCs w:val="21"/>
              </w:rPr>
            </w:pPr>
            <w:r>
              <w:rPr>
                <w:rFonts w:ascii="宋体"/>
                <w:sz w:val="21"/>
              </w:rPr>
              <w:t>8,617,413.39</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10" w:right="0"/>
              <w:jc w:val="left"/>
              <w:rPr>
                <w:rFonts w:ascii="宋体" w:hAnsi="宋体" w:cs="宋体" w:eastAsia="宋体" w:hint="default"/>
                <w:sz w:val="21"/>
                <w:szCs w:val="21"/>
              </w:rPr>
            </w:pPr>
            <w:r>
              <w:rPr>
                <w:rFonts w:ascii="宋体"/>
                <w:sz w:val="21"/>
              </w:rPr>
              <w:t>-1,382,586.61</w:t>
            </w:r>
          </w:p>
        </w:tc>
      </w:tr>
    </w:tbl>
    <w:p>
      <w:pPr>
        <w:pStyle w:val="BodyText"/>
        <w:spacing w:line="240" w:lineRule="auto" w:before="94"/>
        <w:ind w:left="638" w:right="0"/>
        <w:jc w:val="left"/>
      </w:pPr>
      <w:r>
        <w:rPr>
          <w:rFonts w:ascii="宋体" w:hAnsi="宋体" w:cs="宋体" w:eastAsia="宋体" w:hint="default"/>
        </w:rPr>
        <w:t>2018</w:t>
      </w:r>
      <w:r>
        <w:rPr>
          <w:rFonts w:ascii="宋体" w:hAnsi="宋体" w:cs="宋体" w:eastAsia="宋体" w:hint="default"/>
          <w:spacing w:val="-34"/>
        </w:rPr>
        <w:t> </w:t>
      </w:r>
      <w:r>
        <w:rPr/>
        <w:t>年</w:t>
      </w:r>
      <w:r>
        <w:rPr>
          <w:spacing w:val="-31"/>
        </w:rPr>
        <w:t> </w:t>
      </w:r>
      <w:r>
        <w:rPr>
          <w:rFonts w:ascii="宋体" w:hAnsi="宋体" w:cs="宋体" w:eastAsia="宋体" w:hint="default"/>
        </w:rPr>
        <w:t>8</w:t>
      </w:r>
      <w:r>
        <w:rPr>
          <w:rFonts w:ascii="宋体" w:hAnsi="宋体" w:cs="宋体" w:eastAsia="宋体" w:hint="default"/>
          <w:spacing w:val="-34"/>
        </w:rPr>
        <w:t> </w:t>
      </w:r>
      <w:r>
        <w:rPr/>
        <w:t>月，本公司设立新华炫闻（北京）移动传媒科技有限公司（简称“新华炫闻”），</w:t>
      </w:r>
    </w:p>
    <w:p>
      <w:pPr>
        <w:pStyle w:val="BodyText"/>
        <w:spacing w:line="357" w:lineRule="auto" w:before="133"/>
        <w:ind w:right="227"/>
        <w:jc w:val="left"/>
      </w:pPr>
      <w:r>
        <w:rPr/>
        <w:t>注册资本</w:t>
      </w:r>
      <w:r>
        <w:rPr>
          <w:spacing w:val="-55"/>
        </w:rPr>
        <w:t> </w:t>
      </w:r>
      <w:r>
        <w:rPr>
          <w:rFonts w:ascii="宋体" w:hAnsi="宋体" w:cs="宋体" w:eastAsia="宋体" w:hint="default"/>
        </w:rPr>
        <w:t>3,000.00</w:t>
      </w:r>
      <w:r>
        <w:rPr>
          <w:rFonts w:ascii="宋体" w:hAnsi="宋体" w:cs="宋体" w:eastAsia="宋体" w:hint="default"/>
          <w:spacing w:val="-57"/>
        </w:rPr>
        <w:t> </w:t>
      </w:r>
      <w:r>
        <w:rPr/>
        <w:t>万元，持股比例</w:t>
      </w:r>
      <w:r>
        <w:rPr>
          <w:spacing w:val="-54"/>
        </w:rPr>
        <w:t> </w:t>
      </w:r>
      <w:r>
        <w:rPr>
          <w:rFonts w:ascii="宋体" w:hAnsi="宋体" w:cs="宋体" w:eastAsia="宋体" w:hint="default"/>
        </w:rPr>
        <w:t>100.00%</w:t>
      </w:r>
      <w:r>
        <w:rPr/>
        <w:t>，截至本年末，实缴</w:t>
      </w:r>
      <w:r>
        <w:rPr>
          <w:spacing w:val="-55"/>
        </w:rPr>
        <w:t> </w:t>
      </w:r>
      <w:r>
        <w:rPr>
          <w:rFonts w:ascii="宋体" w:hAnsi="宋体" w:cs="宋体" w:eastAsia="宋体" w:hint="default"/>
        </w:rPr>
        <w:t>1,000.00</w:t>
      </w:r>
      <w:r>
        <w:rPr>
          <w:rFonts w:ascii="宋体" w:hAnsi="宋体" w:cs="宋体" w:eastAsia="宋体" w:hint="default"/>
          <w:spacing w:val="-57"/>
        </w:rPr>
        <w:t> </w:t>
      </w:r>
      <w:r>
        <w:rPr/>
        <w:t>万元。自设立之日起</w:t>
      </w:r>
      <w:r>
        <w:rPr>
          <w:w w:val="100"/>
        </w:rPr>
        <w:t> </w:t>
      </w:r>
      <w:r>
        <w:rPr/>
        <w:t>将其纳入合并财务报表范围。</w:t>
      </w:r>
    </w:p>
    <w:p>
      <w:pPr>
        <w:spacing w:line="240" w:lineRule="auto" w:before="7"/>
        <w:rPr>
          <w:rFonts w:ascii="宋体" w:hAnsi="宋体" w:cs="宋体" w:eastAsia="宋体" w:hint="default"/>
          <w:sz w:val="26"/>
          <w:szCs w:val="26"/>
        </w:rPr>
      </w:pPr>
    </w:p>
    <w:p>
      <w:pPr>
        <w:pStyle w:val="Heading2"/>
        <w:spacing w:line="240" w:lineRule="auto" w:before="0"/>
        <w:ind w:right="3319"/>
        <w:jc w:val="left"/>
        <w:rPr>
          <w:b w:val="0"/>
          <w:bCs w:val="0"/>
        </w:rPr>
      </w:pPr>
      <w:r>
        <w:rPr>
          <w:rFonts w:ascii="宋体" w:hAnsi="宋体" w:cs="宋体" w:eastAsia="宋体" w:hint="default"/>
        </w:rPr>
        <w:t>6</w:t>
      </w:r>
      <w:r>
        <w:rPr/>
        <w:t>、</w:t>
      </w:r>
      <w:r>
        <w:rPr>
          <w:spacing w:val="-3"/>
        </w:rPr>
        <w:t> </w:t>
      </w:r>
      <w:r>
        <w:rPr/>
        <w:t>其他</w:t>
      </w:r>
      <w:r>
        <w:rPr>
          <w:b w:val="0"/>
          <w:bCs w:val="0"/>
        </w:rPr>
      </w:r>
    </w:p>
    <w:p>
      <w:pPr>
        <w:pStyle w:val="BodyText"/>
        <w:tabs>
          <w:tab w:pos="1060" w:val="left" w:leader="none"/>
        </w:tabs>
        <w:spacing w:line="240" w:lineRule="auto" w:before="56"/>
        <w:ind w:right="3319"/>
        <w:jc w:val="left"/>
      </w:pPr>
      <w:r>
        <w:rPr>
          <w:spacing w:val="-1"/>
        </w:rPr>
        <w:t>□适用</w:t>
        <w:tab/>
      </w:r>
      <w:r>
        <w:rPr>
          <w:spacing w:val="-2"/>
        </w:rPr>
        <w:t>√不适用</w:t>
      </w:r>
    </w:p>
    <w:p>
      <w:pPr>
        <w:spacing w:after="0" w:line="240" w:lineRule="auto"/>
        <w:jc w:val="left"/>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90" w:lineRule="auto" w:before="175"/>
        <w:ind w:left="520" w:right="12059"/>
        <w:jc w:val="left"/>
        <w:rPr>
          <w:b w:val="0"/>
          <w:bCs w:val="0"/>
        </w:rPr>
      </w:pPr>
      <w:r>
        <w:rPr/>
        <w:t>九、在其他主体中的权益</w:t>
      </w:r>
      <w:r>
        <w:rPr>
          <w:spacing w:val="-101"/>
        </w:rPr>
        <w:t> </w:t>
      </w:r>
      <w:r>
        <w:rPr>
          <w:spacing w:val="-101"/>
        </w:rPr>
      </w:r>
      <w:r>
        <w:rPr>
          <w:rFonts w:ascii="宋体" w:hAnsi="宋体" w:cs="宋体" w:eastAsia="宋体" w:hint="default"/>
        </w:rPr>
        <w:t>1</w:t>
      </w:r>
      <w:r>
        <w:rPr/>
        <w:t>、</w:t>
      </w:r>
      <w:r>
        <w:rPr>
          <w:spacing w:val="-2"/>
        </w:rPr>
        <w:t> </w:t>
      </w:r>
      <w:r>
        <w:rPr/>
        <w:t>在子公司中的权益</w:t>
      </w:r>
      <w:r>
        <w:rPr>
          <w:spacing w:val="-104"/>
        </w:rPr>
        <w:t> </w:t>
      </w:r>
      <w:r>
        <w:rPr>
          <w:spacing w:val="-104"/>
        </w:rPr>
      </w:r>
      <w:r>
        <w:rPr>
          <w:rFonts w:ascii="宋体" w:hAnsi="宋体" w:cs="宋体" w:eastAsia="宋体" w:hint="default"/>
        </w:rPr>
        <w:t>(1).</w:t>
      </w:r>
      <w:r>
        <w:rPr/>
        <w:t>企业集团的构成</w:t>
      </w:r>
      <w:r>
        <w:rPr>
          <w:b w:val="0"/>
          <w:bCs w:val="0"/>
        </w:rPr>
      </w:r>
    </w:p>
    <w:p>
      <w:pPr>
        <w:pStyle w:val="BodyText"/>
        <w:spacing w:line="240" w:lineRule="auto" w:before="12"/>
        <w:ind w:left="520" w:right="12059"/>
        <w:jc w:val="left"/>
      </w:pPr>
      <w:r>
        <w:rPr/>
        <w:t>√适用 □不适用</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814"/>
        <w:gridCol w:w="1841"/>
        <w:gridCol w:w="1844"/>
        <w:gridCol w:w="3245"/>
        <w:gridCol w:w="1318"/>
        <w:gridCol w:w="1318"/>
        <w:gridCol w:w="1318"/>
      </w:tblGrid>
      <w:tr>
        <w:trPr>
          <w:trHeight w:val="406" w:hRule="exact"/>
        </w:trPr>
        <w:tc>
          <w:tcPr>
            <w:tcW w:w="381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324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2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34"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318" w:type="dxa"/>
            <w:vMerge w:val="restart"/>
            <w:tcBorders>
              <w:top w:val="single" w:sz="4" w:space="0" w:color="000000"/>
              <w:left w:val="single" w:sz="4" w:space="0" w:color="000000"/>
              <w:right w:val="single" w:sz="4" w:space="0" w:color="000000"/>
            </w:tcBorders>
          </w:tcPr>
          <w:p>
            <w:pPr>
              <w:pStyle w:val="TableParagraph"/>
              <w:spacing w:line="272" w:lineRule="exact" w:before="123"/>
              <w:ind w:left="444" w:right="439"/>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409" w:hRule="exact"/>
        </w:trPr>
        <w:tc>
          <w:tcPr>
            <w:tcW w:w="38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3245" w:type="dxa"/>
            <w:vMerge/>
            <w:tcBorders>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318" w:type="dxa"/>
            <w:vMerge/>
            <w:tcBorders>
              <w:left w:val="single" w:sz="4" w:space="0" w:color="000000"/>
              <w:bottom w:val="single" w:sz="4" w:space="0" w:color="000000"/>
              <w:right w:val="single" w:sz="4" w:space="0" w:color="000000"/>
            </w:tcBorders>
          </w:tcPr>
          <w:p>
            <w:pPr/>
          </w:p>
        </w:tc>
      </w:tr>
      <w:tr>
        <w:trPr>
          <w:trHeight w:val="406" w:hRule="exact"/>
        </w:trPr>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新华网欧洲公司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荷兰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荷兰</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5"/>
              <w:jc w:val="right"/>
              <w:rPr>
                <w:rFonts w:ascii="宋体" w:hAnsi="宋体" w:cs="宋体" w:eastAsia="宋体" w:hint="default"/>
                <w:sz w:val="21"/>
                <w:szCs w:val="21"/>
              </w:rPr>
            </w:pPr>
            <w:r>
              <w:rPr>
                <w:rFonts w:ascii="宋体"/>
                <w:sz w:val="21"/>
              </w:rPr>
              <w:t>100.00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8" w:hRule="exact"/>
        </w:trPr>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欧洲传播与运营中心</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比利时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比利时</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sz w:val="21"/>
              </w:rPr>
              <w:t>100.00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8" w:hRule="exact"/>
        </w:trPr>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亿连科技</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互联网信息服务等</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86"/>
              <w:jc w:val="right"/>
              <w:rPr>
                <w:rFonts w:ascii="宋体" w:hAnsi="宋体" w:cs="宋体" w:eastAsia="宋体" w:hint="default"/>
                <w:sz w:val="21"/>
                <w:szCs w:val="21"/>
              </w:rPr>
            </w:pPr>
            <w:r>
              <w:rPr>
                <w:rFonts w:ascii="宋体"/>
                <w:sz w:val="21"/>
              </w:rPr>
              <w:t>80.00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6" w:hRule="exact"/>
        </w:trPr>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四川子公司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四川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四川</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5"/>
              <w:jc w:val="right"/>
              <w:rPr>
                <w:rFonts w:ascii="宋体" w:hAnsi="宋体" w:cs="宋体" w:eastAsia="宋体" w:hint="default"/>
                <w:sz w:val="21"/>
                <w:szCs w:val="21"/>
              </w:rPr>
            </w:pPr>
            <w:r>
              <w:rPr>
                <w:rFonts w:ascii="宋体"/>
                <w:sz w:val="21"/>
              </w:rPr>
              <w:t>100.00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8" w:hRule="exact"/>
        </w:trPr>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江苏子公司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江苏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江苏</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5"/>
              <w:jc w:val="right"/>
              <w:rPr>
                <w:rFonts w:ascii="宋体" w:hAnsi="宋体" w:cs="宋体" w:eastAsia="宋体" w:hint="default"/>
                <w:sz w:val="21"/>
                <w:szCs w:val="21"/>
              </w:rPr>
            </w:pPr>
            <w:r>
              <w:rPr>
                <w:rFonts w:ascii="宋体"/>
                <w:sz w:val="21"/>
              </w:rPr>
              <w:t>100.00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6" w:hRule="exact"/>
        </w:trPr>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广东子公司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广东</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广东</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5"/>
              <w:jc w:val="right"/>
              <w:rPr>
                <w:rFonts w:ascii="宋体" w:hAnsi="宋体" w:cs="宋体" w:eastAsia="宋体" w:hint="default"/>
                <w:sz w:val="21"/>
                <w:szCs w:val="21"/>
              </w:rPr>
            </w:pPr>
            <w:r>
              <w:rPr>
                <w:rFonts w:ascii="宋体"/>
                <w:sz w:val="21"/>
              </w:rPr>
              <w:t>100.00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8" w:hRule="exact"/>
        </w:trPr>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北美子公司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纽约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纽约</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5"/>
              <w:jc w:val="right"/>
              <w:rPr>
                <w:rFonts w:ascii="宋体" w:hAnsi="宋体" w:cs="宋体" w:eastAsia="宋体" w:hint="default"/>
                <w:sz w:val="21"/>
                <w:szCs w:val="21"/>
              </w:rPr>
            </w:pPr>
            <w:r>
              <w:rPr>
                <w:rFonts w:ascii="宋体"/>
                <w:sz w:val="21"/>
              </w:rPr>
              <w:t>100.00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6" w:hRule="exact"/>
        </w:trPr>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亚太子公司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5"/>
              <w:jc w:val="right"/>
              <w:rPr>
                <w:rFonts w:ascii="宋体" w:hAnsi="宋体" w:cs="宋体" w:eastAsia="宋体" w:hint="default"/>
                <w:sz w:val="21"/>
                <w:szCs w:val="21"/>
              </w:rPr>
            </w:pPr>
            <w:r>
              <w:rPr>
                <w:rFonts w:ascii="宋体"/>
                <w:sz w:val="21"/>
              </w:rPr>
              <w:t>100.00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8" w:hRule="exact"/>
        </w:trPr>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创业投资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投资管理</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35"/>
              <w:jc w:val="right"/>
              <w:rPr>
                <w:rFonts w:ascii="宋体" w:hAnsi="宋体" w:cs="宋体" w:eastAsia="宋体" w:hint="default"/>
                <w:sz w:val="21"/>
                <w:szCs w:val="21"/>
              </w:rPr>
            </w:pPr>
            <w:r>
              <w:rPr>
                <w:rFonts w:ascii="宋体"/>
                <w:sz w:val="21"/>
              </w:rPr>
              <w:t>100.00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8" w:hRule="exact"/>
        </w:trPr>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亿连投资</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天津</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投资管理</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sz w:val="21"/>
              </w:rPr>
              <w:t>100.00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06" w:hRule="exact"/>
        </w:trPr>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科技公司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技术服务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5"/>
              <w:jc w:val="right"/>
              <w:rPr>
                <w:rFonts w:ascii="宋体" w:hAnsi="宋体" w:cs="宋体" w:eastAsia="宋体" w:hint="default"/>
                <w:sz w:val="21"/>
                <w:szCs w:val="21"/>
              </w:rPr>
            </w:pPr>
            <w:r>
              <w:rPr>
                <w:rFonts w:ascii="宋体"/>
                <w:sz w:val="21"/>
              </w:rPr>
              <w:t>100.00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收购</w:t>
            </w:r>
          </w:p>
        </w:tc>
      </w:tr>
      <w:tr>
        <w:trPr>
          <w:trHeight w:val="408" w:hRule="exact"/>
        </w:trPr>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新华炫闻</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新闻信息服务等</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35"/>
              <w:jc w:val="right"/>
              <w:rPr>
                <w:rFonts w:ascii="宋体" w:hAnsi="宋体" w:cs="宋体" w:eastAsia="宋体" w:hint="default"/>
                <w:sz w:val="21"/>
                <w:szCs w:val="21"/>
              </w:rPr>
            </w:pPr>
            <w:r>
              <w:rPr>
                <w:rFonts w:ascii="宋体"/>
                <w:sz w:val="21"/>
              </w:rPr>
              <w:t>100.00</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设立</w:t>
            </w:r>
          </w:p>
        </w:tc>
      </w:tr>
    </w:tbl>
    <w:p>
      <w:pPr>
        <w:spacing w:line="240" w:lineRule="auto" w:before="5"/>
        <w:rPr>
          <w:rFonts w:ascii="宋体" w:hAnsi="宋体" w:cs="宋体" w:eastAsia="宋体" w:hint="default"/>
          <w:sz w:val="15"/>
          <w:szCs w:val="15"/>
        </w:rPr>
      </w:pPr>
    </w:p>
    <w:p>
      <w:pPr>
        <w:pStyle w:val="BodyText"/>
        <w:spacing w:line="240" w:lineRule="auto" w:before="36"/>
        <w:ind w:left="520" w:right="9420"/>
        <w:jc w:val="left"/>
      </w:pPr>
      <w:r>
        <w:rPr>
          <w:spacing w:val="-2"/>
        </w:rPr>
        <w:t>在子公司的持股比例不同于表决权比例的说明：</w:t>
      </w:r>
      <w:r>
        <w:rPr>
          <w:spacing w:val="-65"/>
        </w:rPr>
        <w:t> </w:t>
      </w:r>
      <w:r>
        <w:rPr>
          <w:spacing w:val="-65"/>
        </w:rPr>
      </w:r>
      <w:r>
        <w:rPr/>
        <w:t>不适用</w:t>
      </w:r>
    </w:p>
    <w:p>
      <w:pPr>
        <w:spacing w:line="240" w:lineRule="auto" w:before="10"/>
        <w:rPr>
          <w:rFonts w:ascii="宋体" w:hAnsi="宋体" w:cs="宋体" w:eastAsia="宋体" w:hint="default"/>
          <w:sz w:val="22"/>
          <w:szCs w:val="22"/>
        </w:rPr>
      </w:pPr>
    </w:p>
    <w:p>
      <w:pPr>
        <w:pStyle w:val="BodyText"/>
        <w:spacing w:line="272" w:lineRule="exact"/>
        <w:ind w:left="520" w:right="4636"/>
        <w:jc w:val="left"/>
      </w:pPr>
      <w:r>
        <w:rPr>
          <w:spacing w:val="-2"/>
        </w:rPr>
        <w:t>持有半数或以下表决权但仍控制被投资单位、以及持有半数以上表决权但不控制被投资单位的依据：</w:t>
      </w:r>
      <w:r>
        <w:rPr>
          <w:spacing w:val="-21"/>
        </w:rPr>
        <w:t> </w:t>
      </w:r>
      <w:r>
        <w:rPr>
          <w:spacing w:val="-21"/>
        </w:rPr>
      </w:r>
      <w:r>
        <w:rPr/>
        <w:t>不适用</w:t>
      </w:r>
    </w:p>
    <w:p>
      <w:pPr>
        <w:spacing w:after="0" w:line="272" w:lineRule="exact"/>
        <w:jc w:val="left"/>
        <w:sectPr>
          <w:headerReference w:type="default" r:id="rId79"/>
          <w:footerReference w:type="default" r:id="rId80"/>
          <w:pgSz w:w="16840" w:h="11910" w:orient="landscape"/>
          <w:pgMar w:header="882" w:footer="1195" w:top="1120" w:bottom="1380" w:left="920" w:right="1000"/>
          <w:pgNumType w:start="15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36"/>
        <w:ind w:left="140" w:right="8396"/>
        <w:jc w:val="left"/>
      </w:pPr>
      <w:r>
        <w:rPr>
          <w:spacing w:val="-2"/>
        </w:rPr>
        <w:t>对于纳入合并范围的重要的结构化主体，控制的依据：</w:t>
      </w:r>
      <w:r>
        <w:rPr>
          <w:spacing w:val="-59"/>
        </w:rPr>
        <w:t> </w:t>
      </w:r>
      <w:r>
        <w:rPr>
          <w:spacing w:val="-59"/>
        </w:rPr>
      </w:r>
      <w:r>
        <w:rPr/>
        <w:t>不适用</w:t>
      </w:r>
    </w:p>
    <w:p>
      <w:pPr>
        <w:spacing w:line="240" w:lineRule="auto" w:before="10"/>
        <w:rPr>
          <w:rFonts w:ascii="宋体" w:hAnsi="宋体" w:cs="宋体" w:eastAsia="宋体" w:hint="default"/>
          <w:sz w:val="22"/>
          <w:szCs w:val="22"/>
        </w:rPr>
      </w:pPr>
    </w:p>
    <w:p>
      <w:pPr>
        <w:pStyle w:val="BodyText"/>
        <w:spacing w:line="272" w:lineRule="exact"/>
        <w:ind w:left="140" w:right="9852"/>
        <w:jc w:val="left"/>
      </w:pPr>
      <w:r>
        <w:rPr>
          <w:spacing w:val="-2"/>
        </w:rPr>
        <w:t>确定公司是代理人还是委托人的依据：</w:t>
      </w:r>
      <w:r>
        <w:rPr>
          <w:spacing w:val="-72"/>
        </w:rPr>
        <w:t> </w:t>
      </w:r>
      <w:r>
        <w:rPr>
          <w:spacing w:val="-72"/>
        </w:rPr>
      </w:r>
      <w:r>
        <w:rPr/>
        <w:t>不适用</w:t>
      </w:r>
    </w:p>
    <w:p>
      <w:pPr>
        <w:spacing w:line="240" w:lineRule="auto" w:before="10"/>
        <w:rPr>
          <w:rFonts w:ascii="宋体" w:hAnsi="宋体" w:cs="宋体" w:eastAsia="宋体" w:hint="default"/>
          <w:sz w:val="18"/>
          <w:szCs w:val="18"/>
        </w:rPr>
      </w:pPr>
    </w:p>
    <w:p>
      <w:pPr>
        <w:pStyle w:val="BodyText"/>
        <w:spacing w:line="240" w:lineRule="auto"/>
        <w:ind w:left="140" w:right="12928"/>
        <w:jc w:val="left"/>
      </w:pPr>
      <w:r>
        <w:rPr/>
        <w:t>其他说明：</w:t>
      </w:r>
      <w:r>
        <w:rPr>
          <w:spacing w:val="-102"/>
        </w:rPr>
        <w:t> </w:t>
      </w:r>
      <w:r>
        <w:rPr>
          <w:spacing w:val="-102"/>
        </w:rPr>
      </w:r>
      <w:r>
        <w:rPr/>
        <w:t>无</w:t>
      </w:r>
    </w:p>
    <w:p>
      <w:pPr>
        <w:spacing w:line="240" w:lineRule="auto" w:before="3"/>
        <w:rPr>
          <w:rFonts w:ascii="宋体" w:hAnsi="宋体" w:cs="宋体" w:eastAsia="宋体" w:hint="default"/>
          <w:sz w:val="25"/>
          <w:szCs w:val="25"/>
        </w:rPr>
      </w:pPr>
    </w:p>
    <w:p>
      <w:pPr>
        <w:pStyle w:val="Heading2"/>
        <w:spacing w:line="240" w:lineRule="auto" w:before="0"/>
        <w:ind w:left="140" w:right="8396"/>
        <w:jc w:val="left"/>
        <w:rPr>
          <w:b w:val="0"/>
          <w:bCs w:val="0"/>
        </w:rPr>
      </w:pPr>
      <w:r>
        <w:rPr>
          <w:rFonts w:ascii="宋体" w:hAnsi="宋体" w:cs="宋体" w:eastAsia="宋体" w:hint="default"/>
        </w:rPr>
        <w:t>(2).</w:t>
      </w:r>
      <w:r>
        <w:rPr/>
        <w:t>重要的非全资子公司</w:t>
      </w:r>
      <w:r>
        <w:rPr>
          <w:b w:val="0"/>
          <w:bCs w:val="0"/>
        </w:rPr>
      </w:r>
    </w:p>
    <w:p>
      <w:pPr>
        <w:pStyle w:val="BodyText"/>
        <w:spacing w:line="240" w:lineRule="auto" w:before="56"/>
        <w:ind w:left="140" w:right="8396"/>
        <w:jc w:val="left"/>
      </w:pPr>
      <w:r>
        <w:rPr/>
        <w:t>□适用 √不适用</w:t>
      </w:r>
    </w:p>
    <w:p>
      <w:pPr>
        <w:spacing w:line="240" w:lineRule="auto" w:before="3"/>
        <w:rPr>
          <w:rFonts w:ascii="宋体" w:hAnsi="宋体" w:cs="宋体" w:eastAsia="宋体" w:hint="default"/>
          <w:sz w:val="25"/>
          <w:szCs w:val="25"/>
        </w:rPr>
      </w:pPr>
    </w:p>
    <w:p>
      <w:pPr>
        <w:pStyle w:val="Heading2"/>
        <w:spacing w:line="240" w:lineRule="auto" w:before="0"/>
        <w:ind w:left="140" w:right="8396"/>
        <w:jc w:val="left"/>
        <w:rPr>
          <w:b w:val="0"/>
          <w:bCs w:val="0"/>
        </w:rPr>
      </w:pPr>
      <w:r>
        <w:rPr>
          <w:rFonts w:ascii="宋体" w:hAnsi="宋体" w:cs="宋体" w:eastAsia="宋体" w:hint="default"/>
        </w:rPr>
        <w:t>(3).</w:t>
      </w:r>
      <w:r>
        <w:rPr/>
        <w:t>重要非全资子公司的主要财务信息</w:t>
      </w:r>
      <w:r>
        <w:rPr>
          <w:b w:val="0"/>
          <w:bCs w:val="0"/>
        </w:rPr>
      </w:r>
    </w:p>
    <w:p>
      <w:pPr>
        <w:pStyle w:val="BodyText"/>
        <w:tabs>
          <w:tab w:pos="982" w:val="left" w:leader="none"/>
        </w:tabs>
        <w:spacing w:line="240" w:lineRule="auto" w:before="56"/>
        <w:ind w:left="140" w:right="8396"/>
        <w:jc w:val="left"/>
      </w:pPr>
      <w:r>
        <w:rPr/>
        <w:t>□适用</w:t>
        <w:tab/>
        <w:t>√不适用</w:t>
      </w:r>
    </w:p>
    <w:p>
      <w:pPr>
        <w:spacing w:after="0" w:line="240" w:lineRule="auto"/>
        <w:jc w:val="left"/>
        <w:sectPr>
          <w:pgSz w:w="16840" w:h="11910" w:orient="landscape"/>
          <w:pgMar w:header="882" w:footer="1195" w:top="1120" w:bottom="1380" w:left="1300" w:right="1400"/>
        </w:sectPr>
      </w:pPr>
    </w:p>
    <w:p>
      <w:pPr>
        <w:spacing w:line="240" w:lineRule="auto" w:before="9"/>
        <w:rPr>
          <w:rFonts w:ascii="宋体" w:hAnsi="宋体" w:cs="宋体" w:eastAsia="宋体" w:hint="default"/>
          <w:sz w:val="29"/>
          <w:szCs w:val="29"/>
        </w:rPr>
      </w:pPr>
    </w:p>
    <w:p>
      <w:pPr>
        <w:pStyle w:val="Heading2"/>
        <w:spacing w:line="240" w:lineRule="auto"/>
        <w:ind w:right="3319"/>
        <w:jc w:val="left"/>
        <w:rPr>
          <w:b w:val="0"/>
          <w:bCs w:val="0"/>
        </w:rPr>
      </w:pPr>
      <w:r>
        <w:rPr>
          <w:rFonts w:ascii="宋体" w:hAnsi="宋体" w:cs="宋体" w:eastAsia="宋体" w:hint="default"/>
        </w:rPr>
        <w:t>(4).</w:t>
      </w:r>
      <w:r>
        <w:rPr/>
        <w:t>使用企业集团资产和清偿企业集团债务的重大限制</w:t>
      </w:r>
      <w:r>
        <w:rPr>
          <w:b w:val="0"/>
          <w:bCs w:val="0"/>
        </w:rPr>
      </w:r>
    </w:p>
    <w:p>
      <w:pPr>
        <w:spacing w:line="290" w:lineRule="auto" w:before="58"/>
        <w:ind w:left="218" w:right="160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向纳入合并财务报表范围的结构化主体提供的财务支持或其他支持</w:t>
      </w:r>
      <w:r>
        <w:rPr>
          <w:rFonts w:ascii="宋体" w:hAnsi="宋体" w:cs="宋体" w:eastAsia="宋体" w:hint="default"/>
          <w:spacing w:val="-1"/>
          <w:sz w:val="21"/>
          <w:szCs w:val="21"/>
        </w:rPr>
      </w:r>
    </w:p>
    <w:p>
      <w:pPr>
        <w:pStyle w:val="BodyText"/>
        <w:tabs>
          <w:tab w:pos="1060" w:val="left" w:leader="none"/>
        </w:tabs>
        <w:spacing w:line="272" w:lineRule="exact" w:before="42"/>
        <w:ind w:right="7383"/>
        <w:jc w:val="left"/>
      </w:pPr>
      <w:r>
        <w:rPr>
          <w:spacing w:val="-1"/>
        </w:rPr>
        <w:t>□适用</w:t>
        <w:tab/>
      </w:r>
      <w:r>
        <w:rPr>
          <w:spacing w:val="-2"/>
        </w:rPr>
        <w:t>√不适用</w:t>
      </w:r>
      <w:r>
        <w:rPr>
          <w:spacing w:val="-99"/>
        </w:rPr>
        <w:t> </w:t>
      </w:r>
      <w:r>
        <w:rPr>
          <w:spacing w:val="-99"/>
        </w:rPr>
      </w:r>
      <w:r>
        <w:rPr/>
        <w:t>其他说明：</w:t>
      </w:r>
    </w:p>
    <w:p>
      <w:pPr>
        <w:pStyle w:val="BodyText"/>
        <w:spacing w:line="249" w:lineRule="exact"/>
        <w:ind w:right="3319"/>
        <w:jc w:val="left"/>
      </w:pPr>
      <w:r>
        <w:rPr/>
        <w:t>□适用</w:t>
      </w:r>
      <w:r>
        <w:rPr>
          <w:spacing w:val="-1"/>
        </w:rPr>
        <w:t> </w:t>
      </w:r>
      <w:r>
        <w:rPr/>
        <w:t>√不适用</w:t>
      </w:r>
    </w:p>
    <w:p>
      <w:pPr>
        <w:pStyle w:val="Heading2"/>
        <w:spacing w:line="240" w:lineRule="auto" w:before="56"/>
        <w:ind w:right="227"/>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spacing w:line="290" w:lineRule="auto" w:before="58"/>
        <w:ind w:left="218" w:right="46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sz w:val="21"/>
          <w:szCs w:val="21"/>
        </w:rPr>
      </w:r>
    </w:p>
    <w:p>
      <w:pPr>
        <w:pStyle w:val="BodyText"/>
        <w:tabs>
          <w:tab w:pos="1060" w:val="left" w:leader="none"/>
        </w:tabs>
        <w:spacing w:line="240" w:lineRule="auto" w:before="14"/>
        <w:ind w:right="3319"/>
        <w:jc w:val="left"/>
      </w:pPr>
      <w:r>
        <w:rPr>
          <w:spacing w:val="-1"/>
        </w:rPr>
        <w:t>√适用</w:t>
        <w:tab/>
      </w:r>
      <w:r>
        <w:rPr>
          <w:spacing w:val="-2"/>
        </w:rPr>
        <w:t>□不适用</w:t>
      </w:r>
    </w:p>
    <w:p>
      <w:pPr>
        <w:pStyle w:val="BodyText"/>
        <w:spacing w:line="240" w:lineRule="auto" w:before="117"/>
        <w:ind w:left="638" w:right="124"/>
        <w:jc w:val="left"/>
      </w:pPr>
      <w:r>
        <w:rPr>
          <w:w w:val="100"/>
        </w:rPr>
        <w:t>本公</w:t>
      </w:r>
      <w:r>
        <w:rPr>
          <w:spacing w:val="-3"/>
          <w:w w:val="100"/>
        </w:rPr>
        <w:t>司</w:t>
      </w:r>
      <w:r>
        <w:rPr>
          <w:w w:val="100"/>
        </w:rPr>
        <w:t>与</w:t>
      </w:r>
      <w:r>
        <w:rPr>
          <w:spacing w:val="-3"/>
          <w:w w:val="100"/>
        </w:rPr>
        <w:t>北</w:t>
      </w:r>
      <w:r>
        <w:rPr>
          <w:w w:val="100"/>
        </w:rPr>
        <w:t>京</w:t>
      </w:r>
      <w:r>
        <w:rPr>
          <w:spacing w:val="-3"/>
          <w:w w:val="100"/>
        </w:rPr>
        <w:t>丝</w:t>
      </w:r>
      <w:r>
        <w:rPr>
          <w:w w:val="100"/>
        </w:rPr>
        <w:t>路</w:t>
      </w:r>
      <w:r>
        <w:rPr>
          <w:spacing w:val="-3"/>
          <w:w w:val="100"/>
        </w:rPr>
        <w:t>惠</w:t>
      </w:r>
      <w:r>
        <w:rPr>
          <w:w w:val="100"/>
        </w:rPr>
        <w:t>科</w:t>
      </w:r>
      <w:r>
        <w:rPr>
          <w:spacing w:val="-3"/>
          <w:w w:val="100"/>
        </w:rPr>
        <w:t>技</w:t>
      </w:r>
      <w:r>
        <w:rPr>
          <w:w w:val="100"/>
        </w:rPr>
        <w:t>有限</w:t>
      </w:r>
      <w:r>
        <w:rPr>
          <w:spacing w:val="-3"/>
          <w:w w:val="100"/>
        </w:rPr>
        <w:t>公</w:t>
      </w:r>
      <w:r>
        <w:rPr>
          <w:w w:val="100"/>
        </w:rPr>
        <w:t>司</w:t>
      </w:r>
      <w:r>
        <w:rPr>
          <w:spacing w:val="-3"/>
          <w:w w:val="100"/>
        </w:rPr>
        <w:t>签</w:t>
      </w:r>
      <w:r>
        <w:rPr>
          <w:w w:val="100"/>
        </w:rPr>
        <w:t>订</w:t>
      </w:r>
      <w:r>
        <w:rPr>
          <w:spacing w:val="-3"/>
          <w:w w:val="100"/>
        </w:rPr>
        <w:t>股</w:t>
      </w:r>
      <w:r>
        <w:rPr>
          <w:w w:val="100"/>
        </w:rPr>
        <w:t>权</w:t>
      </w:r>
      <w:r>
        <w:rPr>
          <w:spacing w:val="-3"/>
          <w:w w:val="100"/>
        </w:rPr>
        <w:t>转</w:t>
      </w:r>
      <w:r>
        <w:rPr>
          <w:w w:val="100"/>
        </w:rPr>
        <w:t>让</w:t>
      </w:r>
      <w:r>
        <w:rPr>
          <w:spacing w:val="-3"/>
          <w:w w:val="100"/>
        </w:rPr>
        <w:t>协</w:t>
      </w:r>
      <w:r>
        <w:rPr>
          <w:w w:val="100"/>
        </w:rPr>
        <w:t>议</w:t>
      </w:r>
      <w:r>
        <w:rPr>
          <w:spacing w:val="-94"/>
          <w:w w:val="100"/>
        </w:rPr>
        <w:t>，</w:t>
      </w:r>
      <w:r>
        <w:rPr>
          <w:w w:val="100"/>
        </w:rPr>
        <w:t>本</w:t>
      </w:r>
      <w:r>
        <w:rPr>
          <w:spacing w:val="-3"/>
          <w:w w:val="100"/>
        </w:rPr>
        <w:t>公</w:t>
      </w:r>
      <w:r>
        <w:rPr>
          <w:w w:val="100"/>
        </w:rPr>
        <w:t>司</w:t>
      </w:r>
      <w:r>
        <w:rPr>
          <w:spacing w:val="-3"/>
          <w:w w:val="100"/>
        </w:rPr>
        <w:t>以</w:t>
      </w:r>
      <w:r>
        <w:rPr>
          <w:w w:val="100"/>
        </w:rPr>
        <w:t>人</w:t>
      </w:r>
      <w:r>
        <w:rPr>
          <w:spacing w:val="-3"/>
          <w:w w:val="100"/>
        </w:rPr>
        <w:t>民</w:t>
      </w:r>
      <w:r>
        <w:rPr>
          <w:w w:val="100"/>
        </w:rPr>
        <w:t>币</w:t>
      </w:r>
      <w:r>
        <w:rPr>
          <w:spacing w:val="-53"/>
        </w:rPr>
        <w:t> </w:t>
      </w:r>
      <w:r>
        <w:rPr>
          <w:rFonts w:ascii="宋体" w:hAnsi="宋体" w:cs="宋体" w:eastAsia="宋体" w:hint="default"/>
          <w:w w:val="100"/>
        </w:rPr>
        <w:t>6</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52"/>
        </w:rPr>
        <w:t> </w:t>
      </w:r>
      <w:r>
        <w:rPr>
          <w:spacing w:val="-3"/>
          <w:w w:val="100"/>
        </w:rPr>
        <w:t>万</w:t>
      </w:r>
      <w:r>
        <w:rPr>
          <w:w w:val="100"/>
        </w:rPr>
        <w:t>元</w:t>
      </w:r>
      <w:r>
        <w:rPr>
          <w:spacing w:val="-3"/>
          <w:w w:val="100"/>
        </w:rPr>
        <w:t>受让</w:t>
      </w:r>
      <w:r>
        <w:rPr>
          <w:w w:val="100"/>
        </w:rPr>
        <w:t>北</w:t>
      </w:r>
    </w:p>
    <w:p>
      <w:pPr>
        <w:pStyle w:val="BodyText"/>
        <w:spacing w:line="357" w:lineRule="auto" w:before="133"/>
        <w:ind w:right="227"/>
        <w:jc w:val="left"/>
      </w:pPr>
      <w:r>
        <w:rPr/>
        <w:t>京丝路惠科技有限公司持有的亿连科技</w:t>
      </w:r>
      <w:r>
        <w:rPr>
          <w:spacing w:val="-54"/>
        </w:rPr>
        <w:t> </w:t>
      </w:r>
      <w:r>
        <w:rPr>
          <w:rFonts w:ascii="宋体" w:hAnsi="宋体" w:cs="宋体" w:eastAsia="宋体" w:hint="default"/>
        </w:rPr>
        <w:t>10.00%</w:t>
      </w:r>
      <w:r>
        <w:rPr/>
        <w:t>股权。截至</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29</w:t>
      </w:r>
      <w:r>
        <w:rPr>
          <w:rFonts w:ascii="宋体" w:hAnsi="宋体" w:cs="宋体" w:eastAsia="宋体" w:hint="default"/>
          <w:spacing w:val="-56"/>
        </w:rPr>
        <w:t> </w:t>
      </w:r>
      <w:r>
        <w:rPr/>
        <w:t>日，股权转让已经完</w:t>
      </w:r>
      <w:r>
        <w:rPr>
          <w:w w:val="100"/>
        </w:rPr>
        <w:t> </w:t>
      </w:r>
      <w:r>
        <w:rPr/>
        <w:t>成。</w:t>
      </w:r>
    </w:p>
    <w:p>
      <w:pPr>
        <w:spacing w:after="0" w:line="357" w:lineRule="auto"/>
        <w:jc w:val="left"/>
        <w:sectPr>
          <w:headerReference w:type="default" r:id="rId81"/>
          <w:footerReference w:type="default" r:id="rId82"/>
          <w:pgSz w:w="11910" w:h="16840"/>
          <w:pgMar w:header="882" w:footer="1195" w:top="1120" w:bottom="1380" w:left="1580" w:right="1040"/>
          <w:pgNumType w:start="155"/>
        </w:sectPr>
      </w:pPr>
    </w:p>
    <w:p>
      <w:pPr>
        <w:pStyle w:val="Heading2"/>
        <w:spacing w:line="240" w:lineRule="auto" w:before="90"/>
        <w:ind w:right="0"/>
        <w:jc w:val="left"/>
        <w:rPr>
          <w:b w:val="0"/>
          <w:bCs w:val="0"/>
        </w:rPr>
      </w:pPr>
      <w:r>
        <w:rPr>
          <w:rFonts w:ascii="宋体" w:hAnsi="宋体" w:cs="宋体" w:eastAsia="宋体" w:hint="default"/>
          <w:spacing w:val="-1"/>
        </w:rPr>
        <w:t>(2).</w:t>
      </w:r>
      <w:r>
        <w:rPr>
          <w:spacing w:val="-1"/>
        </w:rPr>
        <w:t>交易对于少数股东权益及归属于母公司所有者权益的影响</w:t>
      </w:r>
      <w:r>
        <w:rPr>
          <w:b w:val="0"/>
          <w:bCs w:val="0"/>
          <w:spacing w:val="-1"/>
        </w:rPr>
      </w:r>
    </w:p>
    <w:p>
      <w:pPr>
        <w:pStyle w:val="BodyText"/>
        <w:tabs>
          <w:tab w:pos="1060" w:val="left" w:leader="none"/>
        </w:tabs>
        <w:spacing w:line="240" w:lineRule="auto" w:before="56"/>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71"/>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914" w:space="819"/>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205"/>
        <w:gridCol w:w="2845"/>
      </w:tblGrid>
      <w:tr>
        <w:trPr>
          <w:trHeight w:val="283" w:hRule="exact"/>
        </w:trPr>
        <w:tc>
          <w:tcPr>
            <w:tcW w:w="6205"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亿连科技</w:t>
            </w:r>
          </w:p>
        </w:tc>
      </w:tr>
      <w:tr>
        <w:trPr>
          <w:trHeight w:val="283"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60,000,000.00</w:t>
            </w:r>
          </w:p>
        </w:tc>
      </w:tr>
      <w:tr>
        <w:trPr>
          <w:trHeight w:val="284"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60,000,000.00</w:t>
            </w:r>
          </w:p>
        </w:tc>
      </w:tr>
      <w:tr>
        <w:trPr>
          <w:trHeight w:val="281"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处置的股权比例计算的子公司净资产份额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12,291,718.96</w:t>
            </w:r>
          </w:p>
        </w:tc>
      </w:tr>
      <w:tr>
        <w:trPr>
          <w:trHeight w:val="283"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47,708,281.04</w:t>
            </w:r>
          </w:p>
        </w:tc>
      </w:tr>
      <w:tr>
        <w:trPr>
          <w:trHeight w:val="283"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47,708,281.04</w:t>
            </w:r>
          </w:p>
        </w:tc>
      </w:tr>
      <w:tr>
        <w:trPr>
          <w:trHeight w:val="281"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6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28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pStyle w:val="BodyText"/>
        <w:spacing w:line="240" w:lineRule="exact"/>
        <w:ind w:right="-18"/>
        <w:jc w:val="left"/>
      </w:pPr>
      <w:r>
        <w:rPr/>
        <w:t>其他说明</w:t>
      </w:r>
    </w:p>
    <w:p>
      <w:pPr>
        <w:pStyle w:val="BodyText"/>
        <w:spacing w:line="274" w:lineRule="exact"/>
        <w:ind w:right="-18"/>
        <w:jc w:val="left"/>
      </w:pPr>
      <w:r>
        <w:rPr/>
        <w:t>□适用</w:t>
      </w:r>
      <w:r>
        <w:rPr>
          <w:spacing w:val="-1"/>
        </w:rPr>
        <w:t> </w:t>
      </w:r>
      <w:r>
        <w:rPr/>
        <w:t>√不适用</w:t>
      </w:r>
    </w:p>
    <w:p>
      <w:pPr>
        <w:pStyle w:val="Heading2"/>
        <w:spacing w:line="240" w:lineRule="auto" w:before="56"/>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spacing w:line="290" w:lineRule="auto" w:before="58"/>
        <w:ind w:left="218" w:right="3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pStyle w:val="BodyText"/>
        <w:tabs>
          <w:tab w:pos="1060" w:val="left" w:leader="none"/>
        </w:tabs>
        <w:spacing w:line="240" w:lineRule="auto" w:before="14"/>
        <w:ind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591" w:space="314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5"/>
        <w:gridCol w:w="886"/>
        <w:gridCol w:w="850"/>
        <w:gridCol w:w="2554"/>
        <w:gridCol w:w="994"/>
        <w:gridCol w:w="747"/>
        <w:gridCol w:w="1814"/>
      </w:tblGrid>
      <w:tr>
        <w:trPr>
          <w:trHeight w:val="461" w:hRule="exact"/>
        </w:trPr>
        <w:tc>
          <w:tcPr>
            <w:tcW w:w="1205" w:type="dxa"/>
            <w:vMerge w:val="restart"/>
            <w:tcBorders>
              <w:top w:val="single" w:sz="4" w:space="0" w:color="000000"/>
              <w:left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0" w:right="173" w:hanging="104"/>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left="227" w:right="119"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55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7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7"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814" w:type="dxa"/>
            <w:vMerge w:val="restart"/>
            <w:tcBorders>
              <w:top w:val="single" w:sz="4" w:space="0" w:color="000000"/>
              <w:left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6"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p>
        </w:tc>
      </w:tr>
      <w:tr>
        <w:trPr>
          <w:trHeight w:val="365" w:hRule="exact"/>
        </w:trPr>
        <w:tc>
          <w:tcPr>
            <w:tcW w:w="1205"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554"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80"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58"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14" w:type="dxa"/>
            <w:vMerge/>
            <w:tcBorders>
              <w:left w:val="single" w:sz="4" w:space="0" w:color="000000"/>
              <w:bottom w:val="single" w:sz="4" w:space="0" w:color="000000"/>
              <w:right w:val="single" w:sz="4" w:space="0" w:color="000000"/>
            </w:tcBorders>
          </w:tcPr>
          <w:p>
            <w:pPr/>
          </w:p>
        </w:tc>
      </w:tr>
      <w:tr>
        <w:trPr>
          <w:trHeight w:val="28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新华智云</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杭州</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大数据开发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40.80</w:t>
            </w:r>
          </w:p>
        </w:tc>
        <w:tc>
          <w:tcPr>
            <w:tcW w:w="74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权益法</w:t>
            </w:r>
          </w:p>
        </w:tc>
      </w:tr>
      <w:tr>
        <w:trPr>
          <w:trHeight w:val="82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新华康美</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深圳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深圳</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医疗搜索引擎、医疗健康</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z w:val="21"/>
                <w:szCs w:val="21"/>
              </w:rPr>
              <w:t>信息服务、医疗健康产品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研发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43.00</w:t>
            </w:r>
          </w:p>
        </w:tc>
        <w:tc>
          <w:tcPr>
            <w:tcW w:w="74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权益法</w:t>
            </w:r>
          </w:p>
        </w:tc>
      </w:tr>
      <w:tr>
        <w:trPr>
          <w:trHeight w:val="82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新彩华章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技术开发、技术推广、技</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术转让、技术咨询、技术</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服务等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40.00</w:t>
            </w:r>
          </w:p>
        </w:tc>
        <w:tc>
          <w:tcPr>
            <w:tcW w:w="74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权益法</w:t>
            </w:r>
          </w:p>
        </w:tc>
      </w:tr>
    </w:tbl>
    <w:p>
      <w:pPr>
        <w:pStyle w:val="BodyText"/>
        <w:spacing w:line="355" w:lineRule="auto" w:before="86"/>
        <w:ind w:right="3319"/>
        <w:jc w:val="left"/>
      </w:pPr>
      <w:r>
        <w:rPr>
          <w:spacing w:val="-2"/>
        </w:rPr>
        <w:t>在合营企业或联营企业的持股比例不同于表决权比例的说明：</w:t>
      </w:r>
      <w:r>
        <w:rPr>
          <w:spacing w:val="-52"/>
        </w:rPr>
        <w:t> </w:t>
      </w:r>
      <w:r>
        <w:rPr>
          <w:spacing w:val="-52"/>
        </w:rPr>
      </w:r>
      <w:r>
        <w:rPr/>
        <w:t>不适用</w:t>
      </w:r>
    </w:p>
    <w:p>
      <w:pPr>
        <w:spacing w:after="0" w:line="355"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right="554"/>
        <w:jc w:val="left"/>
      </w:pPr>
      <w:r>
        <w:rPr/>
        <w:t>持有</w:t>
      </w:r>
      <w:r>
        <w:rPr>
          <w:spacing w:val="-58"/>
        </w:rPr>
        <w:t> </w:t>
      </w:r>
      <w:r>
        <w:rPr>
          <w:rFonts w:ascii="宋体" w:hAnsi="宋体" w:cs="宋体" w:eastAsia="宋体" w:hint="default"/>
        </w:rPr>
        <w:t>20%</w:t>
      </w:r>
      <w:r>
        <w:rPr/>
        <w:t>以下表决权但具有重大影响，或者持有</w:t>
      </w:r>
      <w:r>
        <w:rPr>
          <w:spacing w:val="-58"/>
        </w:rPr>
        <w:t> </w:t>
      </w:r>
      <w:r>
        <w:rPr>
          <w:rFonts w:ascii="宋体" w:hAnsi="宋体" w:cs="宋体" w:eastAsia="宋体" w:hint="default"/>
        </w:rPr>
        <w:t>20%</w:t>
      </w:r>
      <w:r>
        <w:rPr/>
        <w:t>或以上表决权但不具有重大影响的依据：</w:t>
      </w:r>
      <w:r>
        <w:rPr>
          <w:w w:val="100"/>
        </w:rPr>
        <w:t> </w:t>
      </w:r>
      <w:r>
        <w:rPr/>
        <w:t>不适用</w:t>
      </w:r>
    </w:p>
    <w:p>
      <w:pPr>
        <w:pStyle w:val="Heading2"/>
        <w:spacing w:line="228" w:lineRule="exact" w:before="0"/>
        <w:ind w:right="3319"/>
        <w:jc w:val="left"/>
        <w:rPr>
          <w:b w:val="0"/>
          <w:bCs w:val="0"/>
        </w:rPr>
      </w:pPr>
      <w:r>
        <w:rPr>
          <w:rFonts w:ascii="宋体" w:hAnsi="宋体" w:cs="宋体" w:eastAsia="宋体" w:hint="default"/>
        </w:rPr>
        <w:t>(2).</w:t>
      </w:r>
      <w:r>
        <w:rPr/>
        <w:t>重要合营企业的主要财务信息</w:t>
      </w:r>
      <w:r>
        <w:rPr>
          <w:b w:val="0"/>
          <w:bCs w:val="0"/>
        </w:rPr>
      </w:r>
    </w:p>
    <w:p>
      <w:pPr>
        <w:pStyle w:val="BodyText"/>
        <w:tabs>
          <w:tab w:pos="1060" w:val="left" w:leader="none"/>
        </w:tabs>
        <w:spacing w:line="240" w:lineRule="auto" w:before="58"/>
        <w:ind w:right="3319"/>
        <w:jc w:val="left"/>
      </w:pPr>
      <w:r>
        <w:rPr>
          <w:spacing w:val="-1"/>
        </w:rPr>
        <w:t>√适用</w:t>
        <w:tab/>
      </w:r>
      <w:r>
        <w:rPr>
          <w:spacing w:val="-2"/>
        </w:rPr>
        <w:t>□不适用</w:t>
      </w:r>
    </w:p>
    <w:p>
      <w:pPr>
        <w:pStyle w:val="BodyText"/>
        <w:tabs>
          <w:tab w:pos="946" w:val="left" w:leader="none"/>
        </w:tabs>
        <w:spacing w:line="271"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73"/>
        <w:gridCol w:w="2564"/>
        <w:gridCol w:w="2513"/>
      </w:tblGrid>
      <w:tr>
        <w:trPr>
          <w:trHeight w:val="283" w:hRule="exact"/>
        </w:trPr>
        <w:tc>
          <w:tcPr>
            <w:tcW w:w="3973" w:type="dxa"/>
            <w:vMerge w:val="restart"/>
            <w:tcBorders>
              <w:top w:val="single" w:sz="4" w:space="0" w:color="000000"/>
              <w:left w:val="single" w:sz="4" w:space="0" w:color="000000"/>
              <w:right w:val="single" w:sz="6" w:space="0" w:color="000000"/>
            </w:tcBorders>
          </w:tcPr>
          <w:p>
            <w:pPr/>
          </w:p>
        </w:tc>
        <w:tc>
          <w:tcPr>
            <w:tcW w:w="2564"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513"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3973" w:type="dxa"/>
            <w:vMerge/>
            <w:tcBorders>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新华智云</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8" w:right="0"/>
              <w:jc w:val="left"/>
              <w:rPr>
                <w:rFonts w:ascii="宋体" w:hAnsi="宋体" w:cs="宋体" w:eastAsia="宋体" w:hint="default"/>
                <w:sz w:val="21"/>
                <w:szCs w:val="21"/>
              </w:rPr>
            </w:pPr>
            <w:r>
              <w:rPr>
                <w:rFonts w:ascii="宋体" w:hAnsi="宋体" w:cs="宋体" w:eastAsia="宋体" w:hint="default"/>
                <w:sz w:val="21"/>
                <w:szCs w:val="21"/>
              </w:rPr>
              <w:t>新华智云</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551,477,818.82</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463,296,943.63</w:t>
            </w:r>
          </w:p>
        </w:tc>
      </w:tr>
      <w:tr>
        <w:trPr>
          <w:trHeight w:val="286"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539,689,681.74</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158,560,218.73</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5,113,645.31</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4,696,637.42</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556,591,464.13</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467,993,581.05</w:t>
            </w:r>
          </w:p>
        </w:tc>
      </w:tr>
      <w:tr>
        <w:trPr>
          <w:trHeight w:val="289" w:hRule="exact"/>
        </w:trPr>
        <w:tc>
          <w:tcPr>
            <w:tcW w:w="3973"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14,392,006.16</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11,921,801.49</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7,988,000.00</w:t>
            </w: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22,380,006.16</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11,921,801.49</w:t>
            </w:r>
          </w:p>
        </w:tc>
      </w:tr>
      <w:tr>
        <w:trPr>
          <w:trHeight w:val="286" w:hRule="exact"/>
        </w:trPr>
        <w:tc>
          <w:tcPr>
            <w:tcW w:w="3973"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534,211,457.97</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456,071,779.56</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191,599,112.02</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156,947,326.00</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对合营企业权益投资的账面价值</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191,599,112.02</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156,947,326.00</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存在公开报价的合营企业权益投资的公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23,153,489.48</w:t>
            </w: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-18,437,779.67</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-6,202,385.23</w:t>
            </w: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-12,750.00</w:t>
            </w: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-32,860,321.53</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-24,928,220.44</w:t>
            </w:r>
          </w:p>
        </w:tc>
      </w:tr>
      <w:tr>
        <w:trPr>
          <w:trHeight w:val="286"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97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-32,860,321.53</w:t>
            </w:r>
          </w:p>
        </w:tc>
        <w:tc>
          <w:tcPr>
            <w:tcW w:w="25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-24,928,220.44</w:t>
            </w:r>
          </w:p>
        </w:tc>
      </w:tr>
      <w:tr>
        <w:trPr>
          <w:trHeight w:val="286" w:hRule="exact"/>
        </w:trPr>
        <w:tc>
          <w:tcPr>
            <w:tcW w:w="3973" w:type="dxa"/>
            <w:tcBorders>
              <w:top w:val="single" w:sz="6" w:space="0" w:color="000000"/>
              <w:left w:val="single" w:sz="4" w:space="0" w:color="000000"/>
              <w:bottom w:val="single" w:sz="6" w:space="0" w:color="000000"/>
              <w:right w:val="single" w:sz="6" w:space="0" w:color="000000"/>
            </w:tcBorders>
          </w:tcPr>
          <w:p>
            <w:pPr/>
          </w:p>
        </w:tc>
        <w:tc>
          <w:tcPr>
            <w:tcW w:w="2564" w:type="dxa"/>
            <w:tcBorders>
              <w:top w:val="single" w:sz="6" w:space="0" w:color="000000"/>
              <w:left w:val="single" w:sz="6" w:space="0" w:color="000000"/>
              <w:bottom w:val="single" w:sz="6" w:space="0" w:color="000000"/>
              <w:right w:val="single" w:sz="6" w:space="0" w:color="000000"/>
            </w:tcBorders>
          </w:tcPr>
          <w:p>
            <w:pPr/>
          </w:p>
        </w:tc>
        <w:tc>
          <w:tcPr>
            <w:tcW w:w="251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973"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本年度收到的来自合营企业的股利</w:t>
            </w:r>
          </w:p>
        </w:tc>
        <w:tc>
          <w:tcPr>
            <w:tcW w:w="2564" w:type="dxa"/>
            <w:tcBorders>
              <w:top w:val="single" w:sz="6" w:space="0" w:color="000000"/>
              <w:left w:val="single" w:sz="6" w:space="0" w:color="000000"/>
              <w:bottom w:val="single" w:sz="4" w:space="0" w:color="000000"/>
              <w:right w:val="single" w:sz="6" w:space="0" w:color="000000"/>
            </w:tcBorders>
          </w:tcPr>
          <w:p>
            <w:pPr/>
          </w:p>
        </w:tc>
        <w:tc>
          <w:tcPr>
            <w:tcW w:w="2513" w:type="dxa"/>
            <w:tcBorders>
              <w:top w:val="single" w:sz="6" w:space="0" w:color="000000"/>
              <w:left w:val="single" w:sz="6" w:space="0" w:color="000000"/>
              <w:bottom w:val="single" w:sz="4" w:space="0" w:color="000000"/>
              <w:right w:val="single" w:sz="6" w:space="0" w:color="000000"/>
            </w:tcBorders>
          </w:tcPr>
          <w:p>
            <w:pPr/>
          </w:p>
        </w:tc>
      </w:tr>
    </w:tbl>
    <w:p>
      <w:pPr>
        <w:spacing w:after="0"/>
        <w:sectPr>
          <w:pgSz w:w="11910" w:h="16840"/>
          <w:pgMar w:header="882" w:footer="1195" w:top="1120" w:bottom="1380" w:left="1580" w:right="1040"/>
        </w:sectPr>
      </w:pPr>
    </w:p>
    <w:p>
      <w:pPr>
        <w:pStyle w:val="BodyText"/>
        <w:spacing w:line="240" w:lineRule="auto" w:before="86"/>
        <w:ind w:right="2309"/>
        <w:jc w:val="left"/>
      </w:pPr>
      <w:r>
        <w:rPr>
          <w:spacing w:val="-1"/>
        </w:rPr>
        <w:t>其他说明</w:t>
      </w:r>
      <w:r>
        <w:rPr>
          <w:spacing w:val="-100"/>
        </w:rPr>
        <w:t> </w:t>
      </w:r>
      <w:r>
        <w:rPr>
          <w:spacing w:val="-100"/>
        </w:rPr>
      </w:r>
      <w:r>
        <w:rPr/>
        <w:t>无</w:t>
      </w:r>
    </w:p>
    <w:p>
      <w:pPr>
        <w:pStyle w:val="Heading2"/>
        <w:spacing w:line="240" w:lineRule="auto" w:before="56"/>
        <w:ind w:right="-2"/>
        <w:jc w:val="left"/>
        <w:rPr>
          <w:b w:val="0"/>
          <w:bCs w:val="0"/>
        </w:rPr>
      </w:pPr>
      <w:r>
        <w:rPr>
          <w:rFonts w:ascii="宋体" w:hAnsi="宋体" w:cs="宋体" w:eastAsia="宋体" w:hint="default"/>
          <w:spacing w:val="-1"/>
        </w:rPr>
        <w:t>(3).</w:t>
      </w:r>
      <w:r>
        <w:rPr>
          <w:spacing w:val="-1"/>
        </w:rPr>
        <w:t>重要联营企业的主要财务信息</w:t>
      </w:r>
      <w:r>
        <w:rPr>
          <w:b w:val="0"/>
          <w:bCs w:val="0"/>
          <w:spacing w:val="-1"/>
        </w:rPr>
      </w:r>
    </w:p>
    <w:p>
      <w:pPr>
        <w:pStyle w:val="BodyText"/>
        <w:tabs>
          <w:tab w:pos="1060" w:val="left" w:leader="none"/>
        </w:tabs>
        <w:spacing w:line="240" w:lineRule="auto" w:before="58"/>
        <w:ind w:right="-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84" w:space="3137"/>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6"/>
        <w:gridCol w:w="1685"/>
        <w:gridCol w:w="1582"/>
        <w:gridCol w:w="1688"/>
        <w:gridCol w:w="1579"/>
      </w:tblGrid>
      <w:tr>
        <w:trPr>
          <w:trHeight w:val="283" w:hRule="exact"/>
        </w:trPr>
        <w:tc>
          <w:tcPr>
            <w:tcW w:w="2516" w:type="dxa"/>
            <w:vMerge w:val="restart"/>
            <w:tcBorders>
              <w:top w:val="single" w:sz="4" w:space="0" w:color="000000"/>
              <w:left w:val="single" w:sz="4" w:space="0" w:color="000000"/>
              <w:right w:val="single" w:sz="6" w:space="0" w:color="000000"/>
            </w:tcBorders>
          </w:tcPr>
          <w:p>
            <w:pPr/>
          </w:p>
        </w:tc>
        <w:tc>
          <w:tcPr>
            <w:tcW w:w="326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26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516" w:type="dxa"/>
            <w:vMerge/>
            <w:tcBorders>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15" w:right="0"/>
              <w:jc w:val="left"/>
              <w:rPr>
                <w:rFonts w:ascii="宋体" w:hAnsi="宋体" w:cs="宋体" w:eastAsia="宋体" w:hint="default"/>
                <w:sz w:val="21"/>
                <w:szCs w:val="21"/>
              </w:rPr>
            </w:pPr>
            <w:r>
              <w:rPr>
                <w:rFonts w:ascii="宋体" w:hAnsi="宋体" w:cs="宋体" w:eastAsia="宋体" w:hint="default"/>
                <w:sz w:val="21"/>
                <w:szCs w:val="21"/>
              </w:rPr>
              <w:t>新华康美</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62" w:right="0"/>
              <w:jc w:val="left"/>
              <w:rPr>
                <w:rFonts w:ascii="宋体" w:hAnsi="宋体" w:cs="宋体" w:eastAsia="宋体" w:hint="default"/>
                <w:sz w:val="21"/>
                <w:szCs w:val="21"/>
              </w:rPr>
            </w:pPr>
            <w:r>
              <w:rPr>
                <w:rFonts w:ascii="宋体" w:hAnsi="宋体" w:cs="宋体" w:eastAsia="宋体" w:hint="default"/>
                <w:sz w:val="21"/>
                <w:szCs w:val="21"/>
              </w:rPr>
              <w:t>新彩华章</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15" w:right="0"/>
              <w:jc w:val="left"/>
              <w:rPr>
                <w:rFonts w:ascii="宋体" w:hAnsi="宋体" w:cs="宋体" w:eastAsia="宋体" w:hint="default"/>
                <w:sz w:val="21"/>
                <w:szCs w:val="21"/>
              </w:rPr>
            </w:pPr>
            <w:r>
              <w:rPr>
                <w:rFonts w:ascii="宋体" w:hAnsi="宋体" w:cs="宋体" w:eastAsia="宋体" w:hint="default"/>
                <w:sz w:val="21"/>
                <w:szCs w:val="21"/>
              </w:rPr>
              <w:t>新华康美</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59" w:right="0"/>
              <w:jc w:val="left"/>
              <w:rPr>
                <w:rFonts w:ascii="宋体" w:hAnsi="宋体" w:cs="宋体" w:eastAsia="宋体" w:hint="default"/>
                <w:sz w:val="21"/>
                <w:szCs w:val="21"/>
              </w:rPr>
            </w:pPr>
            <w:r>
              <w:rPr>
                <w:rFonts w:ascii="宋体" w:hAnsi="宋体" w:cs="宋体" w:eastAsia="宋体" w:hint="default"/>
                <w:sz w:val="21"/>
                <w:szCs w:val="21"/>
              </w:rPr>
              <w:t>新彩华章</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105,229,624.71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22,771,466.12</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106,427,151.32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15,551,414.63</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8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421,307.93</w:t>
            </w:r>
          </w:p>
        </w:tc>
        <w:tc>
          <w:tcPr>
            <w:tcW w:w="158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123,032.97</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7,492,635.68</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246,004.65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16"/>
        <w:gridCol w:w="1685"/>
        <w:gridCol w:w="1582"/>
        <w:gridCol w:w="1688"/>
        <w:gridCol w:w="1579"/>
      </w:tblGrid>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685"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right="93"/>
              <w:jc w:val="right"/>
              <w:rPr>
                <w:rFonts w:ascii="宋体" w:hAnsi="宋体" w:cs="宋体" w:eastAsia="宋体" w:hint="default"/>
                <w:sz w:val="21"/>
                <w:szCs w:val="21"/>
              </w:rPr>
            </w:pPr>
            <w:r>
              <w:rPr>
                <w:rFonts w:ascii="宋体"/>
                <w:spacing w:val="-1"/>
                <w:sz w:val="21"/>
              </w:rPr>
              <w:t>105,650,932.64</w:t>
            </w:r>
          </w:p>
        </w:tc>
        <w:tc>
          <w:tcPr>
            <w:tcW w:w="1582"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sz w:val="21"/>
              </w:rPr>
              <w:t>22,894,499.09</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113,919,787.00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15,797,419.28</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122,939.10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5,614,098.64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198,384.96</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975,368.62</w:t>
            </w: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122,939.10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5,614,098.64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198,384.96</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975,368.62</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105,527,993.54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17,280,400.45</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113,721,402.04</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14,822,050.66</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45,377,037.22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6,912,160.18</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48,900,202.87</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5,928,820.26</w:t>
            </w:r>
          </w:p>
        </w:tc>
      </w:tr>
      <w:tr>
        <w:trPr>
          <w:trHeight w:val="289"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3"/>
              <w:jc w:val="right"/>
              <w:rPr>
                <w:rFonts w:ascii="宋体" w:hAnsi="宋体" w:cs="宋体" w:eastAsia="宋体" w:hint="default"/>
                <w:sz w:val="21"/>
                <w:szCs w:val="21"/>
              </w:rPr>
            </w:pPr>
            <w:r>
              <w:rPr>
                <w:rFonts w:ascii="宋体"/>
                <w:spacing w:val="-1"/>
                <w:sz w:val="21"/>
              </w:rPr>
              <w:t>45,377,037.22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6,912,160.18</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48,900,202.87</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5,928,820.26</w:t>
            </w:r>
          </w:p>
        </w:tc>
      </w:tr>
      <w:tr>
        <w:trPr>
          <w:trHeight w:val="559"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业权益投资的公允价值</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604,558.07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14,254,096.48</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2,830,188.68</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7,879,949.48</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-8,193,408.50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2,458,349.79</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-1,142,964.99</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559,267.15</w:t>
            </w:r>
          </w:p>
        </w:tc>
      </w:tr>
      <w:tr>
        <w:trPr>
          <w:trHeight w:val="286"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-8,193,408.50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2,458,349.79</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-1,142,964.99</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559,267.15</w:t>
            </w:r>
          </w:p>
        </w:tc>
      </w:tr>
      <w:tr>
        <w:trPr>
          <w:trHeight w:val="288" w:hRule="exact"/>
        </w:trPr>
        <w:tc>
          <w:tcPr>
            <w:tcW w:w="2516" w:type="dxa"/>
            <w:tcBorders>
              <w:top w:val="single" w:sz="6" w:space="0" w:color="000000"/>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
        </w:tc>
        <w:tc>
          <w:tcPr>
            <w:tcW w:w="1688" w:type="dxa"/>
            <w:tcBorders>
              <w:top w:val="single" w:sz="6" w:space="0" w:color="000000"/>
              <w:left w:val="single" w:sz="6" w:space="0" w:color="000000"/>
              <w:bottom w:val="single" w:sz="6" w:space="0" w:color="000000"/>
              <w:right w:val="single" w:sz="6" w:space="0" w:color="000000"/>
            </w:tcBorders>
          </w:tcPr>
          <w:p>
            <w:pPr/>
          </w:p>
        </w:tc>
        <w:tc>
          <w:tcPr>
            <w:tcW w:w="1579"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516"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企业的股利</w:t>
            </w:r>
          </w:p>
        </w:tc>
        <w:tc>
          <w:tcPr>
            <w:tcW w:w="1685" w:type="dxa"/>
            <w:tcBorders>
              <w:top w:val="single" w:sz="6" w:space="0" w:color="000000"/>
              <w:left w:val="single" w:sz="6" w:space="0" w:color="000000"/>
              <w:bottom w:val="single" w:sz="4" w:space="0" w:color="000000"/>
              <w:right w:val="single" w:sz="6" w:space="0" w:color="000000"/>
            </w:tcBorders>
          </w:tcPr>
          <w:p>
            <w:pPr/>
          </w:p>
        </w:tc>
        <w:tc>
          <w:tcPr>
            <w:tcW w:w="1582" w:type="dxa"/>
            <w:tcBorders>
              <w:top w:val="single" w:sz="6" w:space="0" w:color="000000"/>
              <w:left w:val="single" w:sz="6" w:space="0" w:color="000000"/>
              <w:bottom w:val="single" w:sz="4" w:space="0" w:color="000000"/>
              <w:right w:val="single" w:sz="6" w:space="0" w:color="000000"/>
            </w:tcBorders>
          </w:tcPr>
          <w:p>
            <w:pPr/>
          </w:p>
        </w:tc>
        <w:tc>
          <w:tcPr>
            <w:tcW w:w="1688" w:type="dxa"/>
            <w:tcBorders>
              <w:top w:val="single" w:sz="6" w:space="0" w:color="000000"/>
              <w:left w:val="single" w:sz="6" w:space="0" w:color="000000"/>
              <w:bottom w:val="single" w:sz="4" w:space="0" w:color="000000"/>
              <w:right w:val="single" w:sz="6" w:space="0" w:color="000000"/>
            </w:tcBorders>
          </w:tcPr>
          <w:p>
            <w:pPr/>
          </w:p>
        </w:tc>
        <w:tc>
          <w:tcPr>
            <w:tcW w:w="1579" w:type="dxa"/>
            <w:tcBorders>
              <w:top w:val="single" w:sz="6" w:space="0" w:color="000000"/>
              <w:left w:val="single" w:sz="6" w:space="0" w:color="000000"/>
              <w:bottom w:val="single" w:sz="4" w:space="0" w:color="000000"/>
              <w:right w:val="single" w:sz="6" w:space="0" w:color="000000"/>
            </w:tcBorders>
          </w:tcPr>
          <w:p>
            <w:pPr/>
          </w:p>
        </w:tc>
      </w:tr>
    </w:tbl>
    <w:p>
      <w:pPr>
        <w:spacing w:after="0"/>
        <w:sectPr>
          <w:pgSz w:w="11910" w:h="16840"/>
          <w:pgMar w:header="882" w:footer="1195" w:top="1120" w:bottom="1380" w:left="1580" w:right="1040"/>
        </w:sectPr>
      </w:pPr>
    </w:p>
    <w:p>
      <w:pPr>
        <w:pStyle w:val="BodyText"/>
        <w:spacing w:line="239" w:lineRule="exact"/>
        <w:ind w:right="0"/>
        <w:jc w:val="left"/>
      </w:pPr>
      <w:r>
        <w:rPr/>
        <w:t>其他说明</w:t>
      </w:r>
    </w:p>
    <w:p>
      <w:pPr>
        <w:pStyle w:val="Heading2"/>
        <w:spacing w:line="290" w:lineRule="auto" w:before="0"/>
        <w:ind w:right="0"/>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spacing w:val="-1"/>
        </w:rPr>
        <w:t>(4).</w:t>
      </w:r>
      <w:r>
        <w:rPr>
          <w:spacing w:val="-1"/>
        </w:rPr>
        <w:t>不重要的合营企业和联营企业的汇总财务信息</w:t>
      </w:r>
      <w:r>
        <w:rPr>
          <w:b w:val="0"/>
          <w:bCs w:val="0"/>
          <w:spacing w:val="-1"/>
        </w:rPr>
      </w:r>
    </w:p>
    <w:p>
      <w:pPr>
        <w:pStyle w:val="BodyText"/>
        <w:tabs>
          <w:tab w:pos="1060" w:val="left" w:leader="none"/>
        </w:tabs>
        <w:spacing w:line="240" w:lineRule="auto" w:before="12"/>
        <w:ind w:right="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863" w:space="165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2693"/>
        <w:gridCol w:w="2986"/>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693"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11,819,846.26</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9,067,516.73</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693"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-247,670.47</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-660,715.92</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2693" w:type="dxa"/>
            <w:tcBorders>
              <w:top w:val="single" w:sz="4" w:space="0" w:color="000000"/>
              <w:left w:val="single" w:sz="4" w:space="0" w:color="000000"/>
              <w:bottom w:val="single" w:sz="4" w:space="0" w:color="000000"/>
              <w:right w:val="single" w:sz="4" w:space="0" w:color="000000"/>
            </w:tcBorders>
          </w:tcPr>
          <w:p>
            <w:pPr/>
          </w:p>
        </w:tc>
        <w:tc>
          <w:tcPr>
            <w:tcW w:w="29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-247,670.47</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-660,715.92</w:t>
            </w:r>
          </w:p>
        </w:tc>
      </w:tr>
    </w:tbl>
    <w:p>
      <w:pPr>
        <w:pStyle w:val="BodyText"/>
        <w:spacing w:line="239" w:lineRule="exact"/>
        <w:ind w:right="3319"/>
        <w:jc w:val="left"/>
      </w:pPr>
      <w:r>
        <w:rPr/>
        <w:t>其他说明</w:t>
      </w:r>
    </w:p>
    <w:p>
      <w:pPr>
        <w:pStyle w:val="Heading2"/>
        <w:spacing w:line="290" w:lineRule="auto" w:before="0"/>
        <w:ind w:right="2374"/>
        <w:jc w:val="left"/>
        <w:rPr>
          <w:b w:val="0"/>
          <w:bCs w:val="0"/>
        </w:rPr>
      </w:pP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spacing w:val="-1"/>
        </w:rPr>
        <w:t>(5).</w:t>
      </w:r>
      <w:r>
        <w:rPr>
          <w:spacing w:val="-1"/>
        </w:rPr>
        <w:t>合营企业或联营企业向本公司转移资金的能力存在重大限制的说明</w:t>
      </w:r>
      <w:r>
        <w:rPr>
          <w:b w:val="0"/>
          <w:bCs w:val="0"/>
          <w:spacing w:val="-1"/>
        </w:rPr>
      </w:r>
    </w:p>
    <w:p>
      <w:pPr>
        <w:tabs>
          <w:tab w:pos="1060" w:val="left" w:leader="none"/>
        </w:tabs>
        <w:spacing w:line="290" w:lineRule="auto" w:before="12"/>
        <w:ind w:left="218" w:right="5267"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pStyle w:val="BodyText"/>
        <w:tabs>
          <w:tab w:pos="1060" w:val="left" w:leader="none"/>
        </w:tabs>
        <w:spacing w:line="240" w:lineRule="auto" w:before="12"/>
        <w:ind w:right="3319"/>
        <w:jc w:val="left"/>
      </w:pPr>
      <w:r>
        <w:rPr>
          <w:spacing w:val="-1"/>
        </w:rPr>
        <w:t>□适用</w:t>
        <w:tab/>
      </w:r>
      <w:r>
        <w:rPr>
          <w:spacing w:val="-2"/>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ind w:left="138" w:right="125"/>
        <w:jc w:val="left"/>
        <w:rPr>
          <w:b w:val="0"/>
          <w:bCs w:val="0"/>
        </w:rPr>
      </w:pPr>
      <w:r>
        <w:rPr>
          <w:rFonts w:ascii="宋体" w:hAnsi="宋体" w:cs="宋体" w:eastAsia="宋体" w:hint="default"/>
        </w:rPr>
        <w:t>(7).</w:t>
      </w:r>
      <w:r>
        <w:rPr/>
        <w:t>与合营企业投资相关的未确认承诺</w:t>
      </w:r>
      <w:r>
        <w:rPr>
          <w:b w:val="0"/>
          <w:bCs w:val="0"/>
        </w:rPr>
      </w:r>
    </w:p>
    <w:p>
      <w:pPr>
        <w:pStyle w:val="BodyText"/>
        <w:tabs>
          <w:tab w:pos="980" w:val="left" w:leader="none"/>
        </w:tabs>
        <w:spacing w:line="273" w:lineRule="exact" w:before="58"/>
        <w:ind w:left="138" w:right="125"/>
        <w:jc w:val="left"/>
      </w:pPr>
      <w:r>
        <w:rPr>
          <w:spacing w:val="-1"/>
        </w:rPr>
        <w:t>√适用</w:t>
        <w:tab/>
      </w:r>
      <w:r>
        <w:rPr>
          <w:spacing w:val="-2"/>
        </w:rPr>
        <w:t>□不适用</w:t>
      </w:r>
    </w:p>
    <w:p>
      <w:pPr>
        <w:pStyle w:val="BodyText"/>
        <w:spacing w:line="273" w:lineRule="exact"/>
        <w:ind w:left="558" w:right="125"/>
        <w:jc w:val="left"/>
        <w:rPr>
          <w:rFonts w:ascii="宋体" w:hAnsi="宋体" w:cs="宋体" w:eastAsia="宋体" w:hint="default"/>
        </w:rPr>
      </w:pPr>
      <w:r>
        <w:rPr/>
        <w:t>本公司于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3"/>
        </w:rPr>
        <w:t> </w:t>
      </w:r>
      <w:r>
        <w:rPr>
          <w:rFonts w:ascii="宋体" w:hAnsi="宋体" w:cs="宋体" w:eastAsia="宋体" w:hint="default"/>
        </w:rPr>
        <w:t>6</w:t>
      </w:r>
      <w:r>
        <w:rPr>
          <w:rFonts w:ascii="宋体" w:hAnsi="宋体" w:cs="宋体" w:eastAsia="宋体" w:hint="default"/>
          <w:spacing w:val="-56"/>
        </w:rPr>
        <w:t> </w:t>
      </w:r>
      <w:r>
        <w:rPr/>
        <w:t>月与阿里投资合资成立新华智云，认缴投资总额</w:t>
      </w:r>
      <w:r>
        <w:rPr>
          <w:spacing w:val="-54"/>
        </w:rPr>
        <w:t> </w:t>
      </w:r>
      <w:r>
        <w:rPr>
          <w:rFonts w:ascii="宋体" w:hAnsi="宋体" w:cs="宋体" w:eastAsia="宋体" w:hint="default"/>
        </w:rPr>
        <w:t>2.00</w:t>
      </w:r>
      <w:r>
        <w:rPr>
          <w:rFonts w:ascii="宋体" w:hAnsi="宋体" w:cs="宋体" w:eastAsia="宋体" w:hint="default"/>
          <w:spacing w:val="-53"/>
        </w:rPr>
        <w:t> </w:t>
      </w:r>
      <w:r>
        <w:rPr/>
        <w:t>亿元。截至</w:t>
      </w:r>
      <w:r>
        <w:rPr>
          <w:spacing w:val="-54"/>
        </w:rPr>
        <w:t> </w:t>
      </w:r>
      <w:r>
        <w:rPr>
          <w:rFonts w:ascii="宋体" w:hAnsi="宋体" w:cs="宋体" w:eastAsia="宋体" w:hint="default"/>
        </w:rPr>
        <w:t>2018</w:t>
      </w:r>
    </w:p>
    <w:p>
      <w:pPr>
        <w:pStyle w:val="BodyText"/>
        <w:spacing w:line="355" w:lineRule="auto" w:before="135"/>
        <w:ind w:left="138" w:right="125"/>
        <w:jc w:val="left"/>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日已出资</w:t>
      </w:r>
      <w:r>
        <w:rPr>
          <w:spacing w:val="-53"/>
        </w:rPr>
        <w:t> </w:t>
      </w:r>
      <w:r>
        <w:rPr>
          <w:rFonts w:ascii="宋体" w:hAnsi="宋体" w:cs="宋体" w:eastAsia="宋体" w:hint="default"/>
        </w:rPr>
        <w:t>1.60</w:t>
      </w:r>
      <w:r>
        <w:rPr>
          <w:rFonts w:ascii="宋体" w:hAnsi="宋体" w:cs="宋体" w:eastAsia="宋体" w:hint="default"/>
          <w:spacing w:val="-55"/>
        </w:rPr>
        <w:t> </w:t>
      </w:r>
      <w:r>
        <w:rPr/>
        <w:t>亿元。根据协议约定，本公司应不晚于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5"/>
        </w:rPr>
        <w:t> </w:t>
      </w:r>
      <w:r>
        <w:rPr/>
        <w:t>日实缴剩余出</w:t>
      </w:r>
      <w:r>
        <w:rPr>
          <w:w w:val="100"/>
        </w:rPr>
        <w:t> </w:t>
      </w:r>
      <w:r>
        <w:rPr/>
        <w:t>资。</w:t>
      </w:r>
    </w:p>
    <w:p>
      <w:pPr>
        <w:pStyle w:val="Heading2"/>
        <w:spacing w:line="240" w:lineRule="auto" w:before="92"/>
        <w:ind w:left="138" w:right="125"/>
        <w:jc w:val="left"/>
        <w:rPr>
          <w:b w:val="0"/>
          <w:bCs w:val="0"/>
        </w:rPr>
      </w:pPr>
      <w:r>
        <w:rPr>
          <w:rFonts w:ascii="宋体" w:hAnsi="宋体" w:cs="宋体" w:eastAsia="宋体" w:hint="default"/>
        </w:rPr>
        <w:t>(8).</w:t>
      </w:r>
      <w:r>
        <w:rPr/>
        <w:t>与合营企业或联营企业投资相关的或有负债</w:t>
      </w:r>
      <w:r>
        <w:rPr>
          <w:b w:val="0"/>
          <w:bCs w:val="0"/>
        </w:rPr>
      </w:r>
    </w:p>
    <w:p>
      <w:pPr>
        <w:tabs>
          <w:tab w:pos="980" w:val="left" w:leader="none"/>
        </w:tabs>
        <w:spacing w:line="290" w:lineRule="auto" w:before="56"/>
        <w:ind w:left="138" w:right="706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重要的共同经营</w:t>
      </w:r>
      <w:r>
        <w:rPr>
          <w:rFonts w:ascii="宋体" w:hAnsi="宋体" w:cs="宋体" w:eastAsia="宋体" w:hint="default"/>
          <w:sz w:val="21"/>
          <w:szCs w:val="21"/>
        </w:rPr>
      </w:r>
    </w:p>
    <w:p>
      <w:pPr>
        <w:pStyle w:val="BodyText"/>
        <w:spacing w:line="240" w:lineRule="auto" w:before="12"/>
        <w:ind w:left="138" w:right="125"/>
        <w:jc w:val="left"/>
      </w:pPr>
      <w:r>
        <w:rPr/>
        <w:t>□适用</w:t>
      </w:r>
      <w:r>
        <w:rPr>
          <w:spacing w:val="-1"/>
        </w:rPr>
        <w:t> </w:t>
      </w:r>
      <w:r>
        <w:rPr/>
        <w:t>√不适用</w:t>
      </w:r>
    </w:p>
    <w:p>
      <w:pPr>
        <w:spacing w:line="290" w:lineRule="auto" w:before="59"/>
        <w:ind w:left="138" w:right="38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pStyle w:val="BodyText"/>
        <w:spacing w:line="240" w:lineRule="auto" w:before="91"/>
        <w:ind w:left="138" w:right="125"/>
        <w:jc w:val="left"/>
      </w:pPr>
      <w:r>
        <w:rPr/>
        <w:t>√适用</w:t>
      </w:r>
      <w:r>
        <w:rPr>
          <w:spacing w:val="-1"/>
        </w:rPr>
        <w:t> </w:t>
      </w:r>
      <w:r>
        <w:rPr/>
        <w:t>□不适用</w:t>
      </w:r>
    </w:p>
    <w:p>
      <w:pPr>
        <w:pStyle w:val="BodyText"/>
        <w:spacing w:line="350" w:lineRule="auto" w:before="104"/>
        <w:ind w:left="138" w:right="192" w:firstLine="419"/>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5</w:t>
      </w:r>
      <w:r>
        <w:rPr>
          <w:rFonts w:ascii="宋体" w:hAnsi="宋体" w:cs="宋体" w:eastAsia="宋体" w:hint="default"/>
          <w:spacing w:val="-55"/>
        </w:rPr>
        <w:t> </w:t>
      </w:r>
      <w:r>
        <w:rPr/>
        <w:t>日，本公司全资孙公司亿连投资出资人民币</w:t>
      </w:r>
      <w:r>
        <w:rPr>
          <w:spacing w:val="-52"/>
        </w:rPr>
        <w:t> </w:t>
      </w:r>
      <w:r>
        <w:rPr>
          <w:rFonts w:ascii="宋体" w:hAnsi="宋体" w:cs="宋体" w:eastAsia="宋体" w:hint="default"/>
        </w:rPr>
        <w:t>132.00</w:t>
      </w:r>
      <w:r>
        <w:rPr>
          <w:rFonts w:ascii="宋体" w:hAnsi="宋体" w:cs="宋体" w:eastAsia="宋体" w:hint="default"/>
          <w:spacing w:val="-55"/>
        </w:rPr>
        <w:t> </w:t>
      </w:r>
      <w:r>
        <w:rPr/>
        <w:t>万元作为普通合伙人参股</w:t>
      </w:r>
      <w:r>
        <w:rPr>
          <w:w w:val="100"/>
        </w:rPr>
        <w:t> </w:t>
      </w:r>
      <w:r>
        <w:rPr/>
        <w:t>文创合伙。</w:t>
      </w:r>
    </w:p>
    <w:p>
      <w:pPr>
        <w:pStyle w:val="BodyText"/>
        <w:spacing w:line="350" w:lineRule="auto" w:before="27"/>
        <w:ind w:left="558" w:right="125"/>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5"/>
        </w:rPr>
        <w:t> </w:t>
      </w:r>
      <w:r>
        <w:rPr/>
        <w:t>日，亿连投资出资</w:t>
      </w:r>
      <w:r>
        <w:rPr>
          <w:spacing w:val="-52"/>
        </w:rPr>
        <w:t> </w:t>
      </w:r>
      <w:r>
        <w:rPr>
          <w:rFonts w:ascii="宋体" w:hAnsi="宋体" w:cs="宋体" w:eastAsia="宋体" w:hint="default"/>
        </w:rPr>
        <w:t>100.00</w:t>
      </w:r>
      <w:r>
        <w:rPr>
          <w:rFonts w:ascii="宋体" w:hAnsi="宋体" w:cs="宋体" w:eastAsia="宋体" w:hint="default"/>
          <w:spacing w:val="-55"/>
        </w:rPr>
        <w:t> </w:t>
      </w:r>
      <w:r>
        <w:rPr/>
        <w:t>万元作为普通合伙人参股润鑫四号。</w:t>
      </w:r>
      <w:r>
        <w:rPr>
          <w:w w:val="100"/>
        </w:rPr>
        <w:t> </w:t>
      </w:r>
      <w:r>
        <w:rPr>
          <w:spacing w:val="-2"/>
        </w:rPr>
        <w:t>上述两项投资的目的主要是作为基金管理人管理投资者的资产并赚取管理服务费，且其相关</w:t>
      </w:r>
    </w:p>
    <w:p>
      <w:pPr>
        <w:pStyle w:val="BodyText"/>
        <w:spacing w:line="348" w:lineRule="auto" w:before="29"/>
        <w:ind w:left="138" w:right="125"/>
        <w:jc w:val="left"/>
      </w:pPr>
      <w:r>
        <w:rPr>
          <w:spacing w:val="-2"/>
        </w:rPr>
        <w:t>投资方向及分红退出方式在合伙企业成立之初已经确定，亿连投资实质上不能对合伙企业的投资</w:t>
      </w:r>
      <w:r>
        <w:rPr>
          <w:spacing w:val="-25"/>
        </w:rPr>
        <w:t> </w:t>
      </w:r>
      <w:r>
        <w:rPr>
          <w:spacing w:val="-25"/>
        </w:rPr>
      </w:r>
      <w:r>
        <w:rPr/>
        <w:t>决策形成重大影响，因此将其确认为金融资产。</w:t>
      </w:r>
    </w:p>
    <w:p>
      <w:pPr>
        <w:pStyle w:val="Heading2"/>
        <w:spacing w:line="259" w:lineRule="exact" w:before="0"/>
        <w:ind w:left="138" w:right="125"/>
        <w:jc w:val="left"/>
        <w:rPr>
          <w:b w:val="0"/>
          <w:bCs w:val="0"/>
        </w:rPr>
      </w:pPr>
      <w:r>
        <w:rPr>
          <w:rFonts w:ascii="宋体" w:hAnsi="宋体" w:cs="宋体" w:eastAsia="宋体" w:hint="default"/>
        </w:rPr>
        <w:t>6</w:t>
      </w:r>
      <w:r>
        <w:rPr/>
        <w:t>、</w:t>
      </w:r>
      <w:r>
        <w:rPr>
          <w:spacing w:val="-3"/>
        </w:rPr>
        <w:t> </w:t>
      </w:r>
      <w:r>
        <w:rPr/>
        <w:t>其他</w:t>
      </w:r>
      <w:r>
        <w:rPr>
          <w:b w:val="0"/>
          <w:bCs w:val="0"/>
        </w:rPr>
      </w:r>
    </w:p>
    <w:p>
      <w:pPr>
        <w:tabs>
          <w:tab w:pos="980" w:val="left" w:leader="none"/>
        </w:tabs>
        <w:spacing w:line="290" w:lineRule="auto" w:before="58"/>
        <w:ind w:left="138" w:right="6431"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十、与金融工具相关的风险</w:t>
      </w:r>
      <w:r>
        <w:rPr>
          <w:rFonts w:ascii="宋体" w:hAnsi="宋体" w:cs="宋体" w:eastAsia="宋体" w:hint="default"/>
          <w:sz w:val="21"/>
          <w:szCs w:val="21"/>
        </w:rPr>
      </w:r>
    </w:p>
    <w:p>
      <w:pPr>
        <w:pStyle w:val="BodyText"/>
        <w:tabs>
          <w:tab w:pos="980" w:val="left" w:leader="none"/>
        </w:tabs>
        <w:spacing w:line="272" w:lineRule="exact" w:before="42"/>
        <w:ind w:left="558" w:right="137" w:hanging="420"/>
        <w:jc w:val="left"/>
      </w:pPr>
      <w:r>
        <w:rPr/>
        <w:t>√适用</w:t>
        <w:tab/>
        <w:t>□不适用</w:t>
      </w:r>
      <w:r>
        <w:rPr>
          <w:w w:val="100"/>
        </w:rPr>
        <w:t> </w:t>
      </w:r>
      <w:r>
        <w:rPr>
          <w:spacing w:val="-2"/>
        </w:rPr>
        <w:t>本公司的主要金融工具包括应收账款、应付账款，各项金融工具的详细情况说明见本附注六</w:t>
      </w:r>
    </w:p>
    <w:p>
      <w:pPr>
        <w:pStyle w:val="BodyText"/>
        <w:spacing w:line="357" w:lineRule="auto" w:before="108"/>
        <w:ind w:left="0" w:right="127"/>
        <w:jc w:val="right"/>
      </w:pPr>
      <w:r>
        <w:rPr>
          <w:spacing w:val="-2"/>
        </w:rPr>
        <w:t>相关项目。与这些金融工具有关的风险，以及本公司为降低这些风险所采取的风险管理政策如下</w:t>
      </w:r>
      <w:r>
        <w:rPr>
          <w:spacing w:val="-55"/>
        </w:rPr>
        <w:t> </w:t>
      </w:r>
      <w:r>
        <w:rPr>
          <w:spacing w:val="-55"/>
        </w:rPr>
      </w:r>
      <w:r>
        <w:rPr>
          <w:spacing w:val="-2"/>
        </w:rPr>
        <w:t>所述。本公司管理层对这些风险敞口进行管理和监控以确保将上述风险控制在限定的范围之内。</w:t>
      </w:r>
      <w:r>
        <w:rPr>
          <w:spacing w:val="-55"/>
        </w:rPr>
        <w:t> </w:t>
      </w:r>
      <w:r>
        <w:rPr>
          <w:spacing w:val="-55"/>
        </w:rPr>
      </w:r>
      <w:r>
        <w:rPr>
          <w:spacing w:val="-4"/>
          <w:w w:val="100"/>
        </w:rPr>
        <w:t>风险管理目标和政策</w:t>
      </w:r>
      <w:r>
        <w:rPr>
          <w:rFonts w:ascii="宋体" w:hAnsi="宋体" w:cs="宋体" w:eastAsia="宋体" w:hint="default"/>
          <w:spacing w:val="-4"/>
          <w:w w:val="100"/>
        </w:rPr>
        <w:t>:</w:t>
      </w:r>
      <w:r>
        <w:rPr>
          <w:spacing w:val="-4"/>
          <w:w w:val="100"/>
        </w:rPr>
        <w:t>本公司从事风险管理的目标是在风险和收益之间取得适当的平衡，将风</w:t>
      </w:r>
      <w:r>
        <w:rPr>
          <w:w w:val="100"/>
        </w:rPr>
        <w:t> </w:t>
      </w:r>
      <w:r>
        <w:rPr>
          <w:spacing w:val="-2"/>
        </w:rPr>
        <w:t>险对本公司经营业绩的负面影响降低到最低水平，使股东及其他权益投资者的利益最大化。基于</w:t>
      </w:r>
      <w:r>
        <w:rPr>
          <w:spacing w:val="-53"/>
        </w:rPr>
        <w:t> </w:t>
      </w:r>
      <w:r>
        <w:rPr>
          <w:spacing w:val="-53"/>
        </w:rPr>
      </w:r>
      <w:r>
        <w:rPr>
          <w:spacing w:val="-2"/>
        </w:rPr>
        <w:t>该风险管理目标，本公司风险管理的基本策略是确定和分析本公司所面临的各种风险，建立适当</w:t>
      </w:r>
      <w:r>
        <w:rPr>
          <w:spacing w:val="-53"/>
        </w:rPr>
        <w:t> </w:t>
      </w:r>
      <w:r>
        <w:rPr>
          <w:spacing w:val="-53"/>
        </w:rPr>
      </w:r>
      <w:r>
        <w:rPr>
          <w:spacing w:val="-2"/>
        </w:rPr>
        <w:t>的风险承受底线和进行风险管理，并及时可靠地对各种风险进行监督，将风险控制在限定的范围</w:t>
      </w:r>
    </w:p>
    <w:p>
      <w:pPr>
        <w:pStyle w:val="BodyText"/>
        <w:spacing w:line="240" w:lineRule="auto" w:before="30"/>
        <w:ind w:left="138" w:right="125"/>
        <w:jc w:val="left"/>
      </w:pPr>
      <w:r>
        <w:rPr/>
        <w:t>之内。</w:t>
      </w:r>
    </w:p>
    <w:p>
      <w:pPr>
        <w:pStyle w:val="BodyText"/>
        <w:spacing w:line="240" w:lineRule="auto" w:before="135"/>
        <w:ind w:left="558" w:right="125"/>
        <w:jc w:val="left"/>
      </w:pPr>
      <w:r>
        <w:rPr>
          <w:rFonts w:ascii="宋体" w:hAnsi="宋体" w:cs="宋体" w:eastAsia="宋体" w:hint="default"/>
        </w:rPr>
        <w:t>1</w:t>
      </w:r>
      <w:r>
        <w:rPr/>
        <w:t>、市场风险</w:t>
      </w:r>
    </w:p>
    <w:p>
      <w:pPr>
        <w:pStyle w:val="BodyText"/>
        <w:spacing w:line="355" w:lineRule="auto" w:before="133"/>
        <w:ind w:left="558" w:right="125"/>
        <w:jc w:val="left"/>
      </w:pPr>
      <w:r>
        <w:rPr/>
        <w:t>（</w:t>
      </w:r>
      <w:r>
        <w:rPr>
          <w:rFonts w:ascii="宋体" w:hAnsi="宋体" w:cs="宋体" w:eastAsia="宋体" w:hint="default"/>
        </w:rPr>
        <w:t>1</w:t>
      </w:r>
      <w:r>
        <w:rPr/>
        <w:t>）外汇风险</w:t>
      </w:r>
      <w:r>
        <w:rPr>
          <w:w w:val="100"/>
        </w:rPr>
        <w:t> </w:t>
      </w:r>
      <w:r>
        <w:rPr>
          <w:spacing w:val="-2"/>
        </w:rPr>
        <w:t>外汇风险指因汇率变动产生损失的风险。本公司承受外汇风险主要与美元、欧元及港币（应</w:t>
      </w:r>
    </w:p>
    <w:p>
      <w:pPr>
        <w:pStyle w:val="BodyText"/>
        <w:spacing w:line="357" w:lineRule="auto" w:before="32"/>
        <w:ind w:left="138" w:right="125"/>
        <w:jc w:val="left"/>
      </w:pPr>
      <w:r>
        <w:rPr>
          <w:spacing w:val="-2"/>
        </w:rPr>
        <w:t>按照实际情况进行修改）有关，除本公司的几个下属子公司以美元、欧元及港币进行采购和销售</w:t>
      </w:r>
      <w:r>
        <w:rPr>
          <w:spacing w:val="-25"/>
        </w:rPr>
        <w:t> </w:t>
      </w:r>
      <w:r>
        <w:rPr>
          <w:spacing w:val="-25"/>
        </w:rPr>
      </w:r>
      <w:r>
        <w:rPr>
          <w:spacing w:val="-4"/>
        </w:rPr>
        <w:t>外，本公司的其他主要业务活动以人民币计价结算。于</w:t>
      </w:r>
      <w:r>
        <w:rPr>
          <w:spacing w:val="-43"/>
        </w:rPr>
        <w:t> </w:t>
      </w:r>
      <w:r>
        <w:rPr>
          <w:rFonts w:ascii="宋体" w:hAnsi="宋体" w:cs="宋体" w:eastAsia="宋体" w:hint="default"/>
        </w:rPr>
        <w:t>2018</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5"/>
        </w:rPr>
        <w:t>日，除下表所述资产或负</w:t>
      </w:r>
    </w:p>
    <w:p>
      <w:pPr>
        <w:spacing w:after="0" w:line="357" w:lineRule="auto"/>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212"/>
        <w:jc w:val="left"/>
      </w:pPr>
      <w:r>
        <w:rPr>
          <w:spacing w:val="-2"/>
        </w:rPr>
        <w:t>债为外币余额外，本公司的资产及负债均为人民币余额。该等外币余额的资产和负债产生的外汇</w:t>
      </w:r>
      <w:r>
        <w:rPr>
          <w:spacing w:val="-26"/>
        </w:rPr>
        <w:t> </w:t>
      </w:r>
      <w:r>
        <w:rPr>
          <w:spacing w:val="-26"/>
        </w:rPr>
      </w:r>
      <w:r>
        <w:rPr/>
        <w:t>风险可能对本公司的经营业绩产生影响。</w:t>
      </w:r>
    </w:p>
    <w:p>
      <w:pPr>
        <w:spacing w:line="240" w:lineRule="auto" w:before="12"/>
        <w:rPr>
          <w:rFonts w:ascii="宋体" w:hAnsi="宋体" w:cs="宋体" w:eastAsia="宋体" w:hint="default"/>
          <w:sz w:val="4"/>
          <w:szCs w:val="4"/>
        </w:rPr>
      </w:pPr>
    </w:p>
    <w:tbl>
      <w:tblPr>
        <w:tblW w:w="0" w:type="auto"/>
        <w:jc w:val="left"/>
        <w:tblInd w:w="130" w:type="dxa"/>
        <w:tblLayout w:type="fixed"/>
        <w:tblCellMar>
          <w:top w:w="0" w:type="dxa"/>
          <w:left w:w="0" w:type="dxa"/>
          <w:bottom w:w="0" w:type="dxa"/>
          <w:right w:w="0" w:type="dxa"/>
        </w:tblCellMar>
        <w:tblLook w:val="01E0"/>
      </w:tblPr>
      <w:tblGrid>
        <w:gridCol w:w="3473"/>
        <w:gridCol w:w="2705"/>
        <w:gridCol w:w="2703"/>
      </w:tblGrid>
      <w:tr>
        <w:trPr>
          <w:trHeight w:val="355"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w:t>
            </w:r>
          </w:p>
        </w:tc>
        <w:tc>
          <w:tcPr>
            <w:tcW w:w="2705"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2,446,088.12</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3"/>
              <w:jc w:val="right"/>
              <w:rPr>
                <w:rFonts w:ascii="宋体" w:hAnsi="宋体" w:cs="宋体" w:eastAsia="宋体" w:hint="default"/>
                <w:sz w:val="21"/>
                <w:szCs w:val="21"/>
              </w:rPr>
            </w:pPr>
            <w:r>
              <w:rPr>
                <w:rFonts w:ascii="宋体"/>
                <w:spacing w:val="-1"/>
                <w:sz w:val="21"/>
              </w:rPr>
              <w:t>2,933,900.64</w:t>
            </w:r>
          </w:p>
        </w:tc>
      </w:tr>
      <w:tr>
        <w:trPr>
          <w:trHeight w:val="355"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1,432,102.93</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3"/>
              <w:jc w:val="right"/>
              <w:rPr>
                <w:rFonts w:ascii="宋体" w:hAnsi="宋体" w:cs="宋体" w:eastAsia="宋体" w:hint="default"/>
                <w:sz w:val="21"/>
                <w:szCs w:val="21"/>
              </w:rPr>
            </w:pPr>
            <w:r>
              <w:rPr>
                <w:rFonts w:ascii="宋体"/>
                <w:spacing w:val="-1"/>
                <w:sz w:val="21"/>
              </w:rPr>
              <w:t>678,237.01</w:t>
            </w:r>
          </w:p>
        </w:tc>
      </w:tr>
      <w:tr>
        <w:trPr>
          <w:trHeight w:val="353"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9,163,941.94</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3"/>
              <w:jc w:val="right"/>
              <w:rPr>
                <w:rFonts w:ascii="宋体" w:hAnsi="宋体" w:cs="宋体" w:eastAsia="宋体" w:hint="default"/>
                <w:sz w:val="21"/>
                <w:szCs w:val="21"/>
              </w:rPr>
            </w:pPr>
            <w:r>
              <w:rPr>
                <w:rFonts w:ascii="宋体"/>
                <w:spacing w:val="-1"/>
                <w:sz w:val="21"/>
              </w:rPr>
              <w:t>2,606,653.82</w:t>
            </w:r>
          </w:p>
        </w:tc>
      </w:tr>
      <w:tr>
        <w:trPr>
          <w:trHeight w:val="355"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705"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1,199,999.98</w:t>
            </w:r>
          </w:p>
        </w:tc>
        <w:tc>
          <w:tcPr>
            <w:tcW w:w="2703" w:type="dxa"/>
            <w:tcBorders>
              <w:top w:val="single" w:sz="6" w:space="0" w:color="000000"/>
              <w:left w:val="single" w:sz="6" w:space="0" w:color="000000"/>
              <w:bottom w:val="single" w:sz="6" w:space="0" w:color="000000"/>
              <w:right w:val="single" w:sz="6" w:space="0" w:color="000000"/>
            </w:tcBorders>
          </w:tcPr>
          <w:p>
            <w:pPr/>
          </w:p>
        </w:tc>
      </w:tr>
      <w:tr>
        <w:trPr>
          <w:trHeight w:val="356"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z w:val="21"/>
              </w:rPr>
              <w:t>919.43</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99,870.12</w:t>
            </w:r>
          </w:p>
        </w:tc>
      </w:tr>
      <w:tr>
        <w:trPr>
          <w:trHeight w:val="355"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705"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其中：港币</w:t>
            </w:r>
          </w:p>
        </w:tc>
        <w:tc>
          <w:tcPr>
            <w:tcW w:w="2705"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3"/>
              <w:jc w:val="right"/>
              <w:rPr>
                <w:rFonts w:ascii="宋体" w:hAnsi="宋体" w:cs="宋体" w:eastAsia="宋体" w:hint="default"/>
                <w:sz w:val="21"/>
                <w:szCs w:val="21"/>
              </w:rPr>
            </w:pPr>
            <w:r>
              <w:rPr>
                <w:rFonts w:ascii="宋体"/>
                <w:spacing w:val="-1"/>
                <w:sz w:val="21"/>
              </w:rPr>
              <w:t>196,958.38</w:t>
            </w:r>
          </w:p>
        </w:tc>
      </w:tr>
      <w:tr>
        <w:trPr>
          <w:trHeight w:val="355"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05"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其中：欧元</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3,954.09</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5"/>
              <w:jc w:val="right"/>
              <w:rPr>
                <w:rFonts w:ascii="宋体" w:hAnsi="宋体" w:cs="宋体" w:eastAsia="宋体" w:hint="default"/>
                <w:sz w:val="21"/>
                <w:szCs w:val="21"/>
              </w:rPr>
            </w:pPr>
            <w:r>
              <w:rPr>
                <w:rFonts w:ascii="宋体"/>
                <w:sz w:val="21"/>
              </w:rPr>
              <w:t>285.44</w:t>
            </w:r>
          </w:p>
        </w:tc>
      </w:tr>
      <w:tr>
        <w:trPr>
          <w:trHeight w:val="355"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z w:val="21"/>
              </w:rPr>
              <w:t>585.44</w:t>
            </w: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3"/>
              <w:jc w:val="right"/>
              <w:rPr>
                <w:rFonts w:ascii="宋体" w:hAnsi="宋体" w:cs="宋体" w:eastAsia="宋体" w:hint="default"/>
                <w:sz w:val="21"/>
                <w:szCs w:val="21"/>
              </w:rPr>
            </w:pPr>
            <w:r>
              <w:rPr>
                <w:rFonts w:ascii="宋体"/>
                <w:spacing w:val="-1"/>
                <w:sz w:val="21"/>
              </w:rPr>
              <w:t>40,800.00</w:t>
            </w:r>
          </w:p>
        </w:tc>
      </w:tr>
      <w:tr>
        <w:trPr>
          <w:trHeight w:val="355"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31"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1,864,622.01</w:t>
            </w:r>
          </w:p>
        </w:tc>
        <w:tc>
          <w:tcPr>
            <w:tcW w:w="2703"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05"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705"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3"/>
              <w:jc w:val="right"/>
              <w:rPr>
                <w:rFonts w:ascii="宋体" w:hAnsi="宋体" w:cs="宋体" w:eastAsia="宋体" w:hint="default"/>
                <w:sz w:val="21"/>
                <w:szCs w:val="21"/>
              </w:rPr>
            </w:pPr>
            <w:r>
              <w:rPr>
                <w:rFonts w:ascii="宋体"/>
                <w:spacing w:val="-1"/>
                <w:sz w:val="21"/>
              </w:rPr>
              <w:t>16,000.00</w:t>
            </w:r>
          </w:p>
        </w:tc>
      </w:tr>
      <w:tr>
        <w:trPr>
          <w:trHeight w:val="356" w:hRule="exact"/>
        </w:trPr>
        <w:tc>
          <w:tcPr>
            <w:tcW w:w="3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705" w:type="dxa"/>
            <w:tcBorders>
              <w:top w:val="single" w:sz="6" w:space="0" w:color="000000"/>
              <w:left w:val="single" w:sz="6" w:space="0" w:color="000000"/>
              <w:bottom w:val="single" w:sz="6" w:space="0" w:color="000000"/>
              <w:right w:val="single" w:sz="6" w:space="0" w:color="000000"/>
            </w:tcBorders>
          </w:tcPr>
          <w:p>
            <w:pPr/>
          </w:p>
        </w:tc>
        <w:tc>
          <w:tcPr>
            <w:tcW w:w="270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558" w:right="104"/>
        <w:jc w:val="left"/>
      </w:pPr>
      <w:r>
        <w:rPr/>
        <w:t>本公司密切关注汇率变动对本公司外汇风险的影响。本公司目前并未采取任何措施规避外汇</w:t>
      </w:r>
    </w:p>
    <w:p>
      <w:pPr>
        <w:pStyle w:val="BodyText"/>
        <w:spacing w:line="240" w:lineRule="auto" w:before="133"/>
        <w:ind w:left="138" w:right="212"/>
        <w:jc w:val="left"/>
      </w:pPr>
      <w:r>
        <w:rPr/>
        <w:t>风险。</w:t>
      </w:r>
    </w:p>
    <w:p>
      <w:pPr>
        <w:pStyle w:val="BodyText"/>
        <w:spacing w:line="355" w:lineRule="auto" w:before="133"/>
        <w:ind w:left="558" w:right="212"/>
        <w:jc w:val="left"/>
      </w:pPr>
      <w:r>
        <w:rPr/>
        <w:t>（</w:t>
      </w:r>
      <w:r>
        <w:rPr>
          <w:rFonts w:ascii="宋体" w:hAnsi="宋体" w:cs="宋体" w:eastAsia="宋体" w:hint="default"/>
        </w:rPr>
        <w:t>2</w:t>
      </w:r>
      <w:r>
        <w:rPr/>
        <w:t>）其他价格风险</w:t>
      </w:r>
      <w:r>
        <w:rPr>
          <w:w w:val="100"/>
        </w:rPr>
        <w:t> </w:t>
      </w:r>
      <w:r>
        <w:rPr>
          <w:spacing w:val="-2"/>
        </w:rPr>
        <w:t>本公司持有的分类为可供出售金融资产和交易性金融资产的投资在资产负债表日以公允价值</w:t>
      </w:r>
    </w:p>
    <w:p>
      <w:pPr>
        <w:spacing w:line="355" w:lineRule="auto" w:before="34"/>
        <w:ind w:left="560" w:right="3333" w:hanging="423"/>
        <w:jc w:val="left"/>
        <w:rPr>
          <w:rFonts w:ascii="宋体" w:hAnsi="宋体" w:cs="宋体" w:eastAsia="宋体" w:hint="default"/>
          <w:sz w:val="21"/>
          <w:szCs w:val="21"/>
        </w:rPr>
      </w:pPr>
      <w:r>
        <w:rPr>
          <w:rFonts w:ascii="宋体" w:hAnsi="宋体" w:cs="宋体" w:eastAsia="宋体" w:hint="default"/>
          <w:spacing w:val="-2"/>
          <w:sz w:val="21"/>
          <w:szCs w:val="21"/>
        </w:rPr>
        <w:t>计量。因此，本公司承担着证券市场变动的风险。</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、信用风险</w:t>
      </w:r>
      <w:r>
        <w:rPr>
          <w:rFonts w:ascii="宋体" w:hAnsi="宋体" w:cs="宋体" w:eastAsia="宋体" w:hint="default"/>
          <w:sz w:val="21"/>
          <w:szCs w:val="21"/>
        </w:rPr>
      </w:r>
    </w:p>
    <w:p>
      <w:pPr>
        <w:pStyle w:val="BodyText"/>
        <w:spacing w:line="357" w:lineRule="auto" w:before="32"/>
        <w:ind w:left="138" w:right="104" w:firstLine="419"/>
        <w:jc w:val="left"/>
      </w:pPr>
      <w:r>
        <w:rPr>
          <w:rFonts w:ascii="宋体" w:hAnsi="宋体" w:cs="宋体" w:eastAsia="宋体" w:hint="default"/>
        </w:rPr>
        <w:t>2018</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3"/>
        </w:rPr>
        <w:t>日，可能引起本公司财务损失的最大信用风险敞口主要来自于合同另一方未</w:t>
      </w:r>
      <w:r>
        <w:rPr>
          <w:w w:val="100"/>
        </w:rPr>
        <w:t> </w:t>
      </w:r>
      <w:r>
        <w:rPr/>
        <w:t>能履行义务而导致本公司金融资产产生的损失。</w:t>
      </w:r>
    </w:p>
    <w:p>
      <w:pPr>
        <w:pStyle w:val="BodyText"/>
        <w:spacing w:line="357" w:lineRule="auto" w:before="30"/>
        <w:ind w:left="138" w:right="212" w:firstLine="419"/>
        <w:jc w:val="left"/>
      </w:pPr>
      <w:r>
        <w:rPr>
          <w:spacing w:val="-2"/>
        </w:rPr>
        <w:t>本公司于每个资产负债表日审核每一单项应收款的回收情况，以确保就无法回收的款项计提</w:t>
      </w:r>
      <w:r>
        <w:rPr>
          <w:w w:val="100"/>
        </w:rPr>
        <w:t> </w:t>
      </w:r>
      <w:r>
        <w:rPr/>
        <w:t>充分的坏账准备。因此，本公司管理层认为本公司所承担的信用风险已经大为降低。</w:t>
      </w:r>
    </w:p>
    <w:p>
      <w:pPr>
        <w:pStyle w:val="BodyText"/>
        <w:spacing w:line="355" w:lineRule="auto" w:before="30"/>
        <w:ind w:left="558" w:right="0"/>
        <w:jc w:val="left"/>
      </w:pPr>
      <w:r>
        <w:rPr/>
        <w:t>本公司的流动资金存放在信用评级较高的银行，故流动资金的信用风险较低。</w:t>
      </w:r>
      <w:r>
        <w:rPr>
          <w:w w:val="100"/>
        </w:rPr>
        <w:t> </w:t>
      </w:r>
      <w:r>
        <w:rPr>
          <w:spacing w:val="-4"/>
          <w:w w:val="100"/>
        </w:rPr>
        <w:t>由于本公司的风险敞口分布在多个合同方和多个客户，因此本公司没有重大的信用集中风险。</w:t>
      </w:r>
      <w:r>
        <w:rPr>
          <w:spacing w:val="-93"/>
          <w:w w:val="100"/>
        </w:rPr>
        <w:t> </w:t>
      </w:r>
      <w:r>
        <w:rPr>
          <w:spacing w:val="-93"/>
          <w:w w:val="100"/>
        </w:rPr>
      </w:r>
      <w:r>
        <w:rPr/>
        <w:t>本公司采用了必要的政策确保所有销售客户均具有良好的信用记录。本公司无其他重大信用</w:t>
      </w:r>
    </w:p>
    <w:p>
      <w:pPr>
        <w:pStyle w:val="BodyText"/>
        <w:spacing w:line="240" w:lineRule="auto" w:before="32"/>
        <w:ind w:left="138" w:right="212"/>
        <w:jc w:val="left"/>
      </w:pPr>
      <w:r>
        <w:rPr/>
        <w:t>集中风险。</w:t>
      </w:r>
    </w:p>
    <w:p>
      <w:pPr>
        <w:pStyle w:val="BodyText"/>
        <w:spacing w:line="357" w:lineRule="auto" w:before="135"/>
        <w:ind w:left="558" w:right="212" w:firstLine="2"/>
        <w:jc w:val="left"/>
      </w:pP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b/>
          <w:bCs/>
          <w:w w:val="100"/>
        </w:rPr>
        <w:t> </w:t>
      </w:r>
      <w:r>
        <w:rPr>
          <w:spacing w:val="-2"/>
        </w:rPr>
        <w:t>管理流动风险时，本公司保持管理层认为充分的现金及现金等价物并对其进行监控，以满足</w:t>
      </w:r>
    </w:p>
    <w:p>
      <w:pPr>
        <w:pStyle w:val="BodyText"/>
        <w:spacing w:line="240" w:lineRule="auto" w:before="30"/>
        <w:ind w:left="138" w:right="212"/>
        <w:jc w:val="left"/>
      </w:pPr>
      <w:r>
        <w:rPr/>
        <w:t>本公司经营需要，并降低现金流量波动的影响。</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3"/>
          <w:pgSz w:w="11910" w:h="16840"/>
          <w:pgMar w:footer="1195" w:header="882" w:top="1120" w:bottom="1380" w:left="1660" w:right="1120"/>
        </w:sectPr>
      </w:pPr>
    </w:p>
    <w:p>
      <w:pPr>
        <w:pStyle w:val="Heading2"/>
        <w:tabs>
          <w:tab w:pos="977" w:val="left" w:leader="none"/>
        </w:tabs>
        <w:spacing w:line="240" w:lineRule="auto"/>
        <w:ind w:left="138" w:right="-18"/>
        <w:jc w:val="left"/>
        <w:rPr>
          <w:b w:val="0"/>
          <w:bCs w:val="0"/>
        </w:rPr>
      </w:pPr>
      <w:r>
        <w:rPr/>
        <w:t>十一、</w:t>
        <w:tab/>
        <w:t>公允价值的披露</w:t>
      </w:r>
      <w:r>
        <w:rPr>
          <w:b w:val="0"/>
          <w:bCs w:val="0"/>
        </w:rPr>
      </w:r>
    </w:p>
    <w:p>
      <w:pPr>
        <w:pStyle w:val="Heading2"/>
        <w:spacing w:line="240" w:lineRule="auto" w:before="58"/>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tabs>
          <w:tab w:pos="980" w:val="left" w:leader="none"/>
        </w:tabs>
        <w:spacing w:line="240" w:lineRule="auto" w:before="56"/>
        <w:ind w:left="138" w:right="-18"/>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4783" w:space="1950"/>
            <w:col w:w="239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005"/>
        <w:gridCol w:w="1560"/>
        <w:gridCol w:w="1419"/>
        <w:gridCol w:w="1419"/>
        <w:gridCol w:w="1488"/>
      </w:tblGrid>
      <w:tr>
        <w:trPr>
          <w:trHeight w:val="283" w:hRule="exact"/>
        </w:trPr>
        <w:tc>
          <w:tcPr>
            <w:tcW w:w="300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8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4" w:hRule="exact"/>
        </w:trPr>
        <w:tc>
          <w:tcPr>
            <w:tcW w:w="3005"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第二层次公允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价值计量</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价值计量</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（一）以公允价值计量且变动计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77,901,171.24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4,871,400.00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 w:right="0"/>
              <w:jc w:val="center"/>
              <w:rPr>
                <w:rFonts w:ascii="宋体" w:hAnsi="宋体" w:cs="宋体" w:eastAsia="宋体" w:hint="default"/>
                <w:sz w:val="21"/>
                <w:szCs w:val="21"/>
              </w:rPr>
            </w:pPr>
            <w:r>
              <w:rPr>
                <w:rFonts w:ascii="宋体"/>
                <w:sz w:val="21"/>
              </w:rPr>
              <w:t>82,772,571.24</w:t>
            </w: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3"/>
              <w:ind w:left="23" w:right="23"/>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38"/>
                <w:sz w:val="21"/>
                <w:szCs w:val="21"/>
              </w:rPr>
              <w:t> </w:t>
            </w:r>
            <w:r>
              <w:rPr>
                <w:rFonts w:ascii="宋体" w:hAnsi="宋体" w:cs="宋体" w:eastAsia="宋体" w:hint="default"/>
                <w:spacing w:val="5"/>
                <w:sz w:val="21"/>
                <w:szCs w:val="21"/>
              </w:rPr>
              <w:t>指定以公允价值计量且其变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动计入当期损益的金融资产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持有并准备增值后转让的土地</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使用权</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pacing w:val="14"/>
                <w:sz w:val="21"/>
                <w:szCs w:val="21"/>
              </w:rPr>
              <w:t>持续以公允价值计量的资产总</w:t>
            </w:r>
            <w:r>
              <w:rPr>
                <w:rFonts w:ascii="宋体" w:hAnsi="宋体" w:cs="宋体" w:eastAsia="宋体" w:hint="default"/>
                <w:spacing w:val="14"/>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额</w:t>
            </w:r>
            <w:r>
              <w:rPr>
                <w:rFonts w:ascii="宋体" w:hAnsi="宋体" w:cs="宋体" w:eastAsia="宋体" w:hint="default"/>
                <w:w w:val="100"/>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77,901,171.24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4,871,400.00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 w:right="0"/>
              <w:jc w:val="center"/>
              <w:rPr>
                <w:rFonts w:ascii="宋体" w:hAnsi="宋体" w:cs="宋体" w:eastAsia="宋体" w:hint="default"/>
                <w:sz w:val="21"/>
                <w:szCs w:val="21"/>
              </w:rPr>
            </w:pPr>
            <w:r>
              <w:rPr>
                <w:rFonts w:ascii="宋体"/>
                <w:sz w:val="21"/>
              </w:rPr>
              <w:t>82,772,571.24</w:t>
            </w:r>
          </w:p>
        </w:tc>
      </w:tr>
      <w:tr>
        <w:trPr>
          <w:trHeight w:val="30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（六）指定为以公允价值计量且</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变动计入当期损益的金融负债</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14"/>
                <w:sz w:val="21"/>
                <w:szCs w:val="21"/>
              </w:rPr>
              <w:t>持续以公允价值计量的负债总</w:t>
            </w:r>
            <w:r>
              <w:rPr>
                <w:rFonts w:ascii="宋体" w:hAnsi="宋体" w:cs="宋体" w:eastAsia="宋体" w:hint="default"/>
                <w:spacing w:val="14"/>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额</w:t>
            </w:r>
            <w:r>
              <w:rPr>
                <w:rFonts w:ascii="宋体" w:hAnsi="宋体" w:cs="宋体" w:eastAsia="宋体" w:hint="default"/>
                <w:w w:val="100"/>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二、非持续的公允价值计量</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4" w:type="dxa"/>
        <w:tblLayout w:type="fixed"/>
        <w:tblCellMar>
          <w:top w:w="0" w:type="dxa"/>
          <w:left w:w="0" w:type="dxa"/>
          <w:bottom w:w="0" w:type="dxa"/>
          <w:right w:w="0" w:type="dxa"/>
        </w:tblCellMar>
        <w:tblLook w:val="01E0"/>
      </w:tblPr>
      <w:tblGrid>
        <w:gridCol w:w="3005"/>
        <w:gridCol w:w="1560"/>
        <w:gridCol w:w="1419"/>
        <w:gridCol w:w="1419"/>
        <w:gridCol w:w="1488"/>
      </w:tblGrid>
      <w:tr>
        <w:trPr>
          <w:trHeight w:val="284" w:hRule="exact"/>
        </w:trPr>
        <w:tc>
          <w:tcPr>
            <w:tcW w:w="30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pacing w:val="14"/>
                <w:sz w:val="21"/>
                <w:szCs w:val="21"/>
              </w:rPr>
              <w:t>非持续以公允价值计量的资产</w:t>
            </w:r>
            <w:r>
              <w:rPr>
                <w:rFonts w:ascii="宋体" w:hAnsi="宋体" w:cs="宋体" w:eastAsia="宋体" w:hint="default"/>
                <w:spacing w:val="14"/>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总额</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pacing w:val="14"/>
                <w:sz w:val="21"/>
                <w:szCs w:val="21"/>
              </w:rPr>
              <w:t>非持续以公允价值计量的负债</w:t>
            </w:r>
            <w:r>
              <w:rPr>
                <w:rFonts w:ascii="宋体" w:hAnsi="宋体" w:cs="宋体" w:eastAsia="宋体" w:hint="default"/>
                <w:spacing w:val="14"/>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总额</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26"/>
        <w:ind w:right="3319"/>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tabs>
          <w:tab w:pos="1060" w:val="left" w:leader="none"/>
        </w:tabs>
        <w:spacing w:line="240" w:lineRule="auto" w:before="56"/>
        <w:ind w:left="638" w:right="237" w:hanging="420"/>
        <w:jc w:val="left"/>
      </w:pPr>
      <w:r>
        <w:rPr>
          <w:spacing w:val="-1"/>
        </w:rPr>
        <w:t>√适用</w:t>
        <w:tab/>
      </w:r>
      <w:r>
        <w:rPr>
          <w:spacing w:val="-2"/>
        </w:rPr>
        <w:t>□不适用</w:t>
      </w:r>
      <w:r>
        <w:rPr>
          <w:spacing w:val="-99"/>
        </w:rPr>
        <w:t> </w:t>
      </w:r>
      <w:r>
        <w:rPr>
          <w:spacing w:val="-99"/>
        </w:rPr>
      </w:r>
      <w:r>
        <w:rPr>
          <w:spacing w:val="-2"/>
        </w:rPr>
        <w:t>本公司以证券交易场所在资产负债表日的收盘价格作为确定上市权益工具号百控股（上交所</w:t>
      </w:r>
    </w:p>
    <w:p>
      <w:pPr>
        <w:pStyle w:val="BodyText"/>
        <w:spacing w:line="240" w:lineRule="auto" w:before="133"/>
        <w:ind w:right="3319"/>
        <w:jc w:val="left"/>
      </w:pPr>
      <w:r>
        <w:rPr/>
        <w:t>上市）和华强方特（新三板挂牌）公允价值的依据。</w:t>
      </w:r>
    </w:p>
    <w:p>
      <w:pPr>
        <w:spacing w:line="240" w:lineRule="auto" w:before="11"/>
        <w:rPr>
          <w:rFonts w:ascii="宋体" w:hAnsi="宋体" w:cs="宋体" w:eastAsia="宋体" w:hint="default"/>
          <w:sz w:val="14"/>
          <w:szCs w:val="14"/>
        </w:rPr>
      </w:pPr>
    </w:p>
    <w:p>
      <w:pPr>
        <w:pStyle w:val="Heading2"/>
        <w:spacing w:line="240" w:lineRule="auto" w:before="0"/>
        <w:ind w:right="227"/>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tabs>
          <w:tab w:pos="1060" w:val="left" w:leader="none"/>
        </w:tabs>
        <w:spacing w:line="240" w:lineRule="auto" w:before="58"/>
        <w:ind w:right="3319"/>
        <w:jc w:val="left"/>
      </w:pPr>
      <w:r>
        <w:rPr>
          <w:spacing w:val="-1"/>
        </w:rPr>
        <w:t>□适用</w:t>
        <w:tab/>
      </w:r>
      <w:r>
        <w:rPr>
          <w:spacing w:val="-2"/>
        </w:rPr>
        <w:t>√不适用</w:t>
      </w:r>
    </w:p>
    <w:p>
      <w:pPr>
        <w:spacing w:line="240" w:lineRule="auto" w:before="3"/>
        <w:rPr>
          <w:rFonts w:ascii="宋体" w:hAnsi="宋体" w:cs="宋体" w:eastAsia="宋体" w:hint="default"/>
          <w:sz w:val="25"/>
          <w:szCs w:val="25"/>
        </w:rPr>
      </w:pPr>
    </w:p>
    <w:p>
      <w:pPr>
        <w:pStyle w:val="Heading2"/>
        <w:spacing w:line="240" w:lineRule="auto" w:before="0"/>
        <w:ind w:right="227"/>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tabs>
          <w:tab w:pos="1060" w:val="left" w:leader="none"/>
        </w:tabs>
        <w:spacing w:line="274" w:lineRule="exact" w:before="56"/>
        <w:ind w:right="3319"/>
        <w:jc w:val="left"/>
      </w:pPr>
      <w:r>
        <w:rPr>
          <w:spacing w:val="-1"/>
        </w:rPr>
        <w:t>√适用</w:t>
        <w:tab/>
      </w:r>
      <w:r>
        <w:rPr>
          <w:spacing w:val="-2"/>
        </w:rPr>
        <w:t>□不适用</w:t>
      </w:r>
    </w:p>
    <w:p>
      <w:pPr>
        <w:pStyle w:val="BodyText"/>
        <w:spacing w:line="274" w:lineRule="exact"/>
        <w:ind w:left="638" w:right="227"/>
        <w:jc w:val="left"/>
      </w:pPr>
      <w:r>
        <w:rPr/>
        <w:t>根据北京中勤永励资产评估有限责任公司</w:t>
      </w:r>
      <w:r>
        <w:rPr>
          <w:spacing w:val="-55"/>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5"/>
        </w:rPr>
        <w:t> </w:t>
      </w:r>
      <w:r>
        <w:rPr>
          <w:rFonts w:ascii="宋体" w:hAnsi="宋体" w:cs="宋体" w:eastAsia="宋体" w:hint="default"/>
        </w:rPr>
        <w:t>6</w:t>
      </w:r>
      <w:r>
        <w:rPr>
          <w:rFonts w:ascii="宋体" w:hAnsi="宋体" w:cs="宋体" w:eastAsia="宋体" w:hint="default"/>
          <w:spacing w:val="-55"/>
        </w:rPr>
        <w:t> </w:t>
      </w:r>
      <w:r>
        <w:rPr/>
        <w:t>日出具的中勤永励评字【</w:t>
      </w:r>
      <w:r>
        <w:rPr>
          <w:rFonts w:ascii="宋体" w:hAnsi="宋体" w:cs="宋体" w:eastAsia="宋体" w:hint="default"/>
        </w:rPr>
        <w:t>2019</w:t>
      </w:r>
      <w:r>
        <w:rPr/>
        <w:t>】第</w:t>
      </w:r>
    </w:p>
    <w:p>
      <w:pPr>
        <w:pStyle w:val="BodyText"/>
        <w:spacing w:line="355" w:lineRule="auto" w:before="133"/>
        <w:ind w:right="292"/>
        <w:jc w:val="left"/>
      </w:pPr>
      <w:r>
        <w:rPr>
          <w:rFonts w:ascii="宋体" w:hAnsi="宋体" w:cs="宋体" w:eastAsia="宋体" w:hint="default"/>
        </w:rPr>
        <w:t>2980</w:t>
      </w:r>
      <w:r>
        <w:rPr>
          <w:rFonts w:ascii="宋体" w:hAnsi="宋体" w:cs="宋体" w:eastAsia="宋体" w:hint="default"/>
          <w:spacing w:val="-57"/>
        </w:rPr>
        <w:t> </w:t>
      </w:r>
      <w:r>
        <w:rPr/>
        <w:t>号资产评估报告，采用收益法对新华网持有的中证金牛</w:t>
      </w:r>
      <w:r>
        <w:rPr>
          <w:spacing w:val="-55"/>
        </w:rPr>
        <w:t> </w:t>
      </w:r>
      <w:r>
        <w:rPr>
          <w:rFonts w:ascii="宋体" w:hAnsi="宋体" w:cs="宋体" w:eastAsia="宋体" w:hint="default"/>
        </w:rPr>
        <w:t>2018</w:t>
      </w:r>
      <w:r>
        <w:rPr>
          <w:rFonts w:ascii="宋体" w:hAnsi="宋体" w:cs="宋体" w:eastAsia="宋体" w:hint="default"/>
          <w:spacing w:val="-57"/>
        </w:rPr>
        <w:t> </w:t>
      </w:r>
      <w:r>
        <w:rPr/>
        <w:t>年末股权可回收价值的评估结</w:t>
      </w:r>
      <w:r>
        <w:rPr>
          <w:w w:val="100"/>
        </w:rPr>
        <w:t> </w:t>
      </w:r>
      <w:r>
        <w:rPr/>
        <w:t>果作为公允价值的依据。</w:t>
      </w:r>
    </w:p>
    <w:p>
      <w:pPr>
        <w:pStyle w:val="Heading2"/>
        <w:spacing w:line="240" w:lineRule="auto" w:before="92"/>
        <w:ind w:left="642" w:right="216" w:hanging="425"/>
        <w:jc w:val="left"/>
        <w:rPr>
          <w:b w:val="0"/>
          <w:bCs w:val="0"/>
        </w:rPr>
      </w:pPr>
      <w:r>
        <w:rPr>
          <w:rFonts w:ascii="宋体" w:hAnsi="宋体" w:cs="宋体" w:eastAsia="宋体" w:hint="default"/>
        </w:rPr>
        <w:t>5</w:t>
      </w:r>
      <w:r>
        <w:rPr/>
        <w:t>、</w:t>
      </w:r>
      <w:r>
        <w:rPr>
          <w:spacing w:val="-22"/>
        </w:rPr>
        <w:t> </w:t>
      </w:r>
      <w:r>
        <w:rPr/>
        <w:t>持续的第三层次公允价值计量项目，期初与期末账面价值间的调节信息及不可观察参数敏感</w:t>
      </w:r>
      <w:r>
        <w:rPr>
          <w:w w:val="100"/>
        </w:rPr>
        <w:t> </w:t>
      </w:r>
      <w:r>
        <w:rPr/>
        <w:t>性分析</w:t>
      </w:r>
      <w:r>
        <w:rPr>
          <w:b w:val="0"/>
          <w:bCs w:val="0"/>
        </w:rPr>
      </w:r>
    </w:p>
    <w:p>
      <w:pPr>
        <w:pStyle w:val="BodyText"/>
        <w:tabs>
          <w:tab w:pos="1060" w:val="left" w:leader="none"/>
        </w:tabs>
        <w:spacing w:line="240" w:lineRule="auto" w:before="56"/>
        <w:ind w:right="3319"/>
        <w:jc w:val="left"/>
      </w:pPr>
      <w:r>
        <w:rPr>
          <w:spacing w:val="-1"/>
        </w:rPr>
        <w:t>□适用</w:t>
        <w:tab/>
      </w:r>
      <w:r>
        <w:rPr>
          <w:spacing w:val="-2"/>
        </w:rPr>
        <w:t>√不适用</w:t>
      </w:r>
    </w:p>
    <w:p>
      <w:pPr>
        <w:pStyle w:val="Heading2"/>
        <w:spacing w:line="272" w:lineRule="exact" w:before="86"/>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tabs>
          <w:tab w:pos="1060" w:val="left" w:leader="none"/>
        </w:tabs>
        <w:spacing w:line="240" w:lineRule="auto" w:before="34"/>
        <w:ind w:right="3319"/>
        <w:jc w:val="left"/>
      </w:pPr>
      <w:r>
        <w:rPr>
          <w:spacing w:val="-1"/>
        </w:rPr>
        <w:t>□适用</w:t>
        <w:tab/>
      </w:r>
      <w:r>
        <w:rPr>
          <w:spacing w:val="-2"/>
        </w:rPr>
        <w:t>√不适用</w:t>
      </w:r>
    </w:p>
    <w:p>
      <w:pPr>
        <w:pStyle w:val="Heading2"/>
        <w:spacing w:line="240" w:lineRule="auto" w:before="56"/>
        <w:ind w:right="3319"/>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tabs>
          <w:tab w:pos="1060" w:val="left" w:leader="none"/>
        </w:tabs>
        <w:spacing w:line="240" w:lineRule="auto" w:before="56"/>
        <w:ind w:right="3319"/>
        <w:jc w:val="left"/>
      </w:pPr>
      <w:r>
        <w:rPr>
          <w:spacing w:val="-1"/>
        </w:rPr>
        <w:t>□适用</w:t>
        <w:tab/>
      </w:r>
      <w:r>
        <w:rPr>
          <w:spacing w:val="-2"/>
        </w:rPr>
        <w:t>√不适用</w:t>
      </w:r>
    </w:p>
    <w:p>
      <w:pPr>
        <w:pStyle w:val="Heading2"/>
        <w:spacing w:line="240" w:lineRule="auto" w:before="58"/>
        <w:ind w:right="3319"/>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tabs>
          <w:tab w:pos="1060" w:val="left" w:leader="none"/>
        </w:tabs>
        <w:spacing w:line="290" w:lineRule="auto" w:before="56"/>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3"/>
        <w:ind w:right="3319"/>
        <w:jc w:val="left"/>
      </w:pPr>
      <w:r>
        <w:rPr>
          <w:spacing w:val="-1"/>
        </w:rPr>
        <w:t>□适用</w:t>
        <w:tab/>
      </w:r>
      <w:r>
        <w:rPr>
          <w:spacing w:val="-2"/>
        </w:rPr>
        <w:t>√不适用</w:t>
      </w:r>
    </w:p>
    <w:p>
      <w:pPr>
        <w:pStyle w:val="Heading2"/>
        <w:tabs>
          <w:tab w:pos="1057" w:val="left" w:leader="none"/>
        </w:tabs>
        <w:spacing w:line="290" w:lineRule="auto" w:before="58"/>
        <w:ind w:right="6536"/>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4"/>
        <w:ind w:right="3319"/>
        <w:jc w:val="left"/>
      </w:pPr>
      <w:r>
        <w:rPr>
          <w:spacing w:val="-1"/>
        </w:rPr>
        <w:t>√适用</w:t>
        <w:tab/>
      </w:r>
      <w:r>
        <w:rPr>
          <w:spacing w:val="-2"/>
        </w:rPr>
        <w:t>□不适用</w:t>
      </w:r>
    </w:p>
    <w:p>
      <w:pPr>
        <w:pStyle w:val="BodyText"/>
        <w:tabs>
          <w:tab w:pos="1262" w:val="left" w:leader="none"/>
        </w:tabs>
        <w:spacing w:line="271" w:lineRule="exact"/>
        <w:ind w:left="0" w:right="2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8"/>
              <w:jc w:val="right"/>
              <w:rPr>
                <w:rFonts w:ascii="宋体" w:hAnsi="宋体" w:cs="宋体" w:eastAsia="宋体" w:hint="default"/>
                <w:sz w:val="21"/>
                <w:szCs w:val="21"/>
              </w:rPr>
            </w:pPr>
            <w:r>
              <w:rPr>
                <w:rFonts w:ascii="宋体" w:hAnsi="宋体" w:cs="宋体" w:eastAsia="宋体" w:hint="default"/>
                <w:spacing w:val="-1"/>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2"/>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8"/>
              <w:jc w:val="right"/>
              <w:rPr>
                <w:rFonts w:ascii="宋体" w:hAnsi="宋体" w:cs="宋体" w:eastAsia="宋体" w:hint="default"/>
                <w:sz w:val="21"/>
                <w:szCs w:val="21"/>
              </w:rPr>
            </w:pPr>
            <w:r>
              <w:rPr>
                <w:rFonts w:ascii="宋体" w:hAnsi="宋体" w:cs="宋体" w:eastAsia="宋体" w:hint="default"/>
                <w:spacing w:val="-1"/>
                <w:sz w:val="21"/>
                <w:szCs w:val="21"/>
              </w:rPr>
              <w:t>新华通讯社</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新闻</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sz w:val="21"/>
              </w:rPr>
              <w:t>173,808.00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sz w:val="21"/>
              </w:rPr>
              <w:t>59.785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sz w:val="21"/>
              </w:rPr>
              <w:t>59.785</w:t>
            </w:r>
          </w:p>
        </w:tc>
      </w:tr>
    </w:tbl>
    <w:p>
      <w:pPr>
        <w:pStyle w:val="BodyText"/>
        <w:spacing w:line="272" w:lineRule="exact" w:before="113"/>
        <w:ind w:left="638" w:right="227" w:hanging="420"/>
        <w:jc w:val="left"/>
      </w:pPr>
      <w:r>
        <w:rPr/>
        <w:t>本企业的母公司情况的说明</w:t>
      </w:r>
      <w:r>
        <w:rPr>
          <w:w w:val="100"/>
        </w:rPr>
        <w:t> </w:t>
      </w:r>
      <w:r>
        <w:rPr>
          <w:spacing w:val="-2"/>
        </w:rPr>
        <w:t>新华通讯社是国务院直属事业单位，是中国国家通讯社和世界性通讯社，是涵盖给中媒体类</w:t>
      </w:r>
    </w:p>
    <w:p>
      <w:pPr>
        <w:pStyle w:val="BodyText"/>
        <w:spacing w:line="240" w:lineRule="auto" w:before="108"/>
        <w:ind w:right="3319"/>
        <w:jc w:val="left"/>
      </w:pPr>
      <w:r>
        <w:rPr/>
        <w:t>型的全媒体机构。</w:t>
      </w:r>
    </w:p>
    <w:p>
      <w:pPr>
        <w:spacing w:after="0" w:line="240" w:lineRule="auto"/>
        <w:jc w:val="left"/>
        <w:sectPr>
          <w:footerReference w:type="default" r:id="rId84"/>
          <w:pgSz w:w="11910" w:h="16840"/>
          <w:pgMar w:footer="1195" w:header="882" w:top="1120" w:bottom="1380" w:left="1580" w:right="1040"/>
          <w:pgNumType w:start="161"/>
        </w:sectPr>
      </w:pPr>
    </w:p>
    <w:p>
      <w:pPr>
        <w:spacing w:line="240" w:lineRule="auto" w:before="1"/>
        <w:rPr>
          <w:rFonts w:ascii="宋体" w:hAnsi="宋体" w:cs="宋体" w:eastAsia="宋体" w:hint="default"/>
          <w:sz w:val="25"/>
          <w:szCs w:val="25"/>
        </w:rPr>
      </w:pPr>
    </w:p>
    <w:p>
      <w:pPr>
        <w:pStyle w:val="BodyText"/>
        <w:spacing w:line="240" w:lineRule="auto" w:before="36"/>
        <w:ind w:right="6110"/>
        <w:jc w:val="left"/>
      </w:pPr>
      <w:r>
        <w:rPr>
          <w:spacing w:val="-2"/>
        </w:rPr>
        <w:t>本企业最终控制方是新华通讯社</w:t>
      </w:r>
      <w:r>
        <w:rPr>
          <w:spacing w:val="-76"/>
        </w:rPr>
        <w:t> </w:t>
      </w:r>
      <w:r>
        <w:rPr>
          <w:spacing w:val="-76"/>
        </w:rPr>
      </w:r>
      <w:r>
        <w:rPr/>
        <w:t>其他说明：</w:t>
      </w:r>
    </w:p>
    <w:p>
      <w:pPr>
        <w:pStyle w:val="BodyText"/>
        <w:spacing w:line="271" w:lineRule="exact"/>
        <w:ind w:right="3319"/>
        <w:jc w:val="left"/>
      </w:pPr>
      <w:r>
        <w:rPr>
          <w:w w:val="100"/>
        </w:rPr>
        <w:t>无</w:t>
      </w:r>
    </w:p>
    <w:p>
      <w:pPr>
        <w:spacing w:line="290" w:lineRule="auto" w:before="58"/>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pStyle w:val="BodyText"/>
        <w:tabs>
          <w:tab w:pos="1060" w:val="left" w:leader="none"/>
        </w:tabs>
        <w:spacing w:line="228" w:lineRule="exact"/>
        <w:ind w:right="3319"/>
        <w:jc w:val="left"/>
      </w:pPr>
      <w:r>
        <w:rPr>
          <w:spacing w:val="-1"/>
        </w:rPr>
        <w:t>√适用</w:t>
        <w:tab/>
      </w:r>
      <w:r>
        <w:rPr>
          <w:spacing w:val="-2"/>
        </w:rPr>
        <w:t>□不适用</w:t>
      </w:r>
    </w:p>
    <w:p>
      <w:pPr>
        <w:spacing w:line="290" w:lineRule="auto" w:before="0"/>
        <w:ind w:left="218" w:right="2012" w:firstLine="0"/>
        <w:jc w:val="left"/>
        <w:rPr>
          <w:rFonts w:ascii="宋体" w:hAnsi="宋体" w:cs="宋体" w:eastAsia="宋体" w:hint="default"/>
          <w:sz w:val="21"/>
          <w:szCs w:val="21"/>
        </w:rPr>
      </w:pPr>
      <w:r>
        <w:rPr>
          <w:rFonts w:ascii="宋体" w:hAnsi="宋体" w:cs="宋体" w:eastAsia="宋体" w:hint="default"/>
          <w:spacing w:val="-2"/>
          <w:sz w:val="21"/>
          <w:szCs w:val="21"/>
        </w:rPr>
        <w:t>本企业子公司的情况详见第十一节财务报告、九、</w:t>
      </w:r>
      <w:r>
        <w:rPr>
          <w:rFonts w:ascii="宋体" w:hAnsi="宋体" w:cs="宋体" w:eastAsia="宋体" w:hint="default"/>
          <w:spacing w:val="-2"/>
          <w:sz w:val="21"/>
          <w:szCs w:val="21"/>
        </w:rPr>
        <w:t>1</w:t>
      </w:r>
      <w:r>
        <w:rPr>
          <w:rFonts w:ascii="宋体" w:hAnsi="宋体" w:cs="宋体" w:eastAsia="宋体" w:hint="default"/>
          <w:spacing w:val="-2"/>
          <w:sz w:val="21"/>
          <w:szCs w:val="21"/>
        </w:rPr>
        <w:t>、在子公司中的权益。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 本企业合营和联营企业情况</w:t>
      </w:r>
      <w:r>
        <w:rPr>
          <w:rFonts w:ascii="宋体" w:hAnsi="宋体" w:cs="宋体" w:eastAsia="宋体" w:hint="default"/>
          <w:sz w:val="21"/>
          <w:szCs w:val="21"/>
        </w:rPr>
      </w:r>
    </w:p>
    <w:p>
      <w:pPr>
        <w:pStyle w:val="BodyText"/>
        <w:spacing w:line="274" w:lineRule="exact" w:before="12"/>
        <w:ind w:right="3319"/>
        <w:jc w:val="left"/>
      </w:pPr>
      <w:r>
        <w:rPr/>
        <w:t>本企业重要的合营或联营企业详见附注</w:t>
      </w:r>
    </w:p>
    <w:p>
      <w:pPr>
        <w:pStyle w:val="BodyText"/>
        <w:spacing w:line="272" w:lineRule="exact" w:before="27"/>
        <w:ind w:right="227"/>
        <w:jc w:val="left"/>
      </w:pPr>
      <w:r>
        <w:rPr/>
        <w:t>√适用</w:t>
      </w:r>
      <w:r>
        <w:rPr>
          <w:spacing w:val="-2"/>
        </w:rPr>
        <w:t> </w:t>
      </w:r>
      <w:r>
        <w:rPr/>
        <w:t>□不适用</w:t>
      </w:r>
      <w:r>
        <w:rPr>
          <w:w w:val="100"/>
        </w:rPr>
        <w:t> </w:t>
      </w:r>
      <w:r>
        <w:rPr/>
        <w:t>本企业重要的合营或联营见第十一节财务报告、九、</w:t>
      </w:r>
      <w:r>
        <w:rPr>
          <w:rFonts w:ascii="宋体" w:hAnsi="宋体" w:cs="宋体" w:eastAsia="宋体" w:hint="default"/>
        </w:rPr>
        <w:t>3</w:t>
      </w:r>
      <w:r>
        <w:rPr/>
        <w:t>、在合营企业或联营企业中的权益。</w:t>
      </w:r>
    </w:p>
    <w:p>
      <w:pPr>
        <w:spacing w:line="240" w:lineRule="auto" w:before="10"/>
        <w:rPr>
          <w:rFonts w:ascii="宋体" w:hAnsi="宋体" w:cs="宋体" w:eastAsia="宋体" w:hint="default"/>
          <w:sz w:val="18"/>
          <w:szCs w:val="18"/>
        </w:rPr>
      </w:pPr>
    </w:p>
    <w:p>
      <w:pPr>
        <w:pStyle w:val="BodyText"/>
        <w:spacing w:line="240" w:lineRule="auto"/>
        <w:ind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71" w:lineRule="exact"/>
        <w:ind w:right="331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9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00"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新华智云</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共同控制</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新华康美</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新彩华章</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江苏瑞德</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海南亿连</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重大影响</w:t>
            </w:r>
          </w:p>
        </w:tc>
      </w:tr>
    </w:tbl>
    <w:p>
      <w:pPr>
        <w:spacing w:line="240" w:lineRule="auto" w:before="7"/>
        <w:rPr>
          <w:rFonts w:ascii="宋体" w:hAnsi="宋体" w:cs="宋体" w:eastAsia="宋体" w:hint="default"/>
          <w:sz w:val="15"/>
          <w:szCs w:val="15"/>
        </w:rPr>
      </w:pPr>
    </w:p>
    <w:p>
      <w:pPr>
        <w:pStyle w:val="BodyText"/>
        <w:spacing w:line="273" w:lineRule="exact" w:before="36"/>
        <w:ind w:right="3319"/>
        <w:jc w:val="left"/>
      </w:pPr>
      <w:r>
        <w:rPr/>
        <w:t>其他说明</w:t>
      </w:r>
    </w:p>
    <w:p>
      <w:pPr>
        <w:pStyle w:val="BodyText"/>
        <w:spacing w:line="273" w:lineRule="exact"/>
        <w:ind w:right="3319"/>
        <w:jc w:val="left"/>
      </w:pPr>
      <w:r>
        <w:rPr/>
        <w:t>□适用</w:t>
      </w:r>
      <w:r>
        <w:rPr>
          <w:spacing w:val="-1"/>
        </w:rPr>
        <w:t> </w:t>
      </w:r>
      <w:r>
        <w:rPr/>
        <w:t>√不适用</w:t>
      </w:r>
    </w:p>
    <w:p>
      <w:pPr>
        <w:pStyle w:val="Heading2"/>
        <w:spacing w:line="240" w:lineRule="auto" w:before="58"/>
        <w:ind w:right="3319"/>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3319"/>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北京新华物业管理中心</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新华社印务有限责任公司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新华出版社</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中经社控股有限公司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新华社投资控股有限公司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上海证券报社有限公司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中国图片社有限责任公司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中国广告联合有限责任公司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新华新媒文化传播有限公司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中国环球公共关系有限责任公司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中国证券报有限责任公司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中国新闻发展深圳有限公司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中国新华新闻电视网有限公司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中国国际文化影像传播有限公司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新华屏媒（北京）文化传播有限责任公司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北京新华每日广告公司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新华（青岛）国际海洋资讯中心有限公司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上海新证财经信息咨询有限公司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母公司的参股公司</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3"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03"/>
        <w:gridCol w:w="4547"/>
      </w:tblGrid>
      <w:tr>
        <w:trPr>
          <w:trHeight w:val="28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参考消息报社</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半月谈杂志社</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瞭望周刊社</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经济参考报社</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新华通讯社教育培训中心</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新中国新闻有限公司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半月谈新媒体科技有限公司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《中国名牌》杂志社有限公司</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《新华每日电讯》社</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北京新华经参文化传媒中心</w:t>
            </w:r>
          </w:p>
        </w:tc>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pStyle w:val="BodyText"/>
        <w:spacing w:line="239" w:lineRule="exact"/>
        <w:ind w:right="0"/>
        <w:jc w:val="left"/>
      </w:pPr>
      <w:r>
        <w:rPr/>
        <w:t>其他说明</w:t>
      </w:r>
    </w:p>
    <w:p>
      <w:pPr>
        <w:pStyle w:val="BodyText"/>
        <w:spacing w:line="273" w:lineRule="exact"/>
        <w:ind w:right="0"/>
        <w:jc w:val="left"/>
      </w:pPr>
      <w:r>
        <w:rPr>
          <w:w w:val="100"/>
        </w:rPr>
        <w:t>无</w:t>
      </w:r>
    </w:p>
    <w:p>
      <w:pPr>
        <w:spacing w:line="290" w:lineRule="auto" w:before="59"/>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购销商品、提供和接受劳务的关联交易</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pStyle w:val="BodyText"/>
        <w:spacing w:line="227"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229" w:space="229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860"/>
        <w:gridCol w:w="1844"/>
        <w:gridCol w:w="1700"/>
        <w:gridCol w:w="1493"/>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20,754,716.98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20,754,717.06</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北京新彩华章网络科技有限公司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12,614,593.79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5,990,364.29</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中国经济信息社有限公司江西分公司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2,613,207.55</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中国图片社有限责任公司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制作费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1,473,110.00</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中国经济信息社有限公司辽宁分公司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1,049,542.77</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江苏瑞德信息产业有限公司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1,040,594.36</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新华新视（北京）文化传媒有限公司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990,415.09</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中国经济信息社广西中心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943,396.20</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新中国新闻有限公司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广告及宣传服务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618,733.88</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中国新闻发展有限责任公司陕西分公司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广告及宣传服务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405,660.38</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北京新华物业管理中心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物业费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389,109.76</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海南亿连数据科技有限公司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377,358.49</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471,698.11</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中国经济信息社有限公司福建分公司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283,018.87</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中国新闻发展有限责任公司河北分公司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广告及宣传服务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283,018.87</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新华屏媒（北京）文化传播有限责任公司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275,471.70</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中国新闻发展有限责任公司北京分公司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广告及宣传服务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235,849.06</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中国新闻发展有限责任公司山西分公司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235,849.06</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中国经济信息社有限公司安徽分公司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188,679.25</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瞭望周刊社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广告及宣传服务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181,132.08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460,377.35</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中国新闻发展有限责任公司江西分公司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176,886.79</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中国经济信息社有限公司青海分公司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141,509.43</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中国新闻发展有限责任公司江苏分公司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101,886.79</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中国新闻发展有限责任公司四川分公司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90,306.54</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北京新华每日广告公司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广告及宣传服务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85,849.06</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新华新媒文化传播有限公司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广告及宣传服务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84,905.66</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中国新闻发展有限责任公司海南分公司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广告及宣传服务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48,113.21</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新华通讯社河北分社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服务费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21,000.00</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中国国际文化影像传播有限公司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广告及宣传服务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25,824.53</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6,603.77</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新华通讯社浙江分社印刷厂</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印刷费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2,371.43</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《新华每日电讯》社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广告及宣传服务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1,090.91</w:t>
            </w:r>
          </w:p>
        </w:tc>
        <w:tc>
          <w:tcPr>
            <w:tcW w:w="14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860"/>
        <w:gridCol w:w="1844"/>
        <w:gridCol w:w="1700"/>
        <w:gridCol w:w="1493"/>
      </w:tblGrid>
      <w:tr>
        <w:trPr>
          <w:trHeight w:val="28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参考消息文化传媒（公司）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141,509.43</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新华出版社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图书出版</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86,371.68</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新华通讯社亚欧总分社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新华通讯社安徽分社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94,339.62</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新华通讯社海南分社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94,339.62</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新华通讯社江苏分社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1,204,659.84</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新华通讯社江西分社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576,189.33</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新华通讯社曼谷分社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299,985.93</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新华物业管理中心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物业费</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500,026.18</w:t>
            </w:r>
          </w:p>
        </w:tc>
      </w:tr>
      <w:tr>
        <w:trPr>
          <w:trHeight w:val="28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2,153,337.61</w:t>
            </w:r>
          </w:p>
        </w:tc>
      </w:tr>
      <w:tr>
        <w:trPr>
          <w:trHeight w:val="28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586,956.50</w:t>
            </w:r>
          </w:p>
        </w:tc>
      </w:tr>
      <w:tr>
        <w:trPr>
          <w:trHeight w:val="284"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中证金牛（北京）投资咨询有限公司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300,000.00</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660" w:right="1120"/>
        </w:sectPr>
      </w:pPr>
    </w:p>
    <w:p>
      <w:pPr>
        <w:pStyle w:val="BodyText"/>
        <w:spacing w:line="273" w:lineRule="exact" w:before="36"/>
        <w:ind w:left="138" w:right="0"/>
        <w:jc w:val="left"/>
      </w:pPr>
      <w:r>
        <w:rPr>
          <w:spacing w:val="-2"/>
        </w:rPr>
        <w:t>出售商品</w:t>
      </w:r>
      <w:r>
        <w:rPr>
          <w:rFonts w:ascii="宋体" w:hAnsi="宋体" w:cs="宋体" w:eastAsia="宋体" w:hint="default"/>
          <w:spacing w:val="-2"/>
        </w:rPr>
        <w:t>/</w:t>
      </w:r>
      <w:r>
        <w:rPr>
          <w:spacing w:val="-2"/>
        </w:rPr>
        <w:t>提供劳务情况表</w:t>
      </w:r>
    </w:p>
    <w:p>
      <w:pPr>
        <w:pStyle w:val="BodyText"/>
        <w:spacing w:line="273" w:lineRule="exact"/>
        <w:ind w:left="1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556" w:space="3966"/>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293"/>
        <w:gridCol w:w="2268"/>
        <w:gridCol w:w="1702"/>
        <w:gridCol w:w="1632"/>
      </w:tblGrid>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手机党校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111,887.38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170,693.51</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数字内容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22,842,090.38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915,094.34</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1,236,685.98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23,556,603.69</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舆情培训</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94,339.60</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新华通讯社安徽分社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716,981.13</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新华通讯社安徽分社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283,018.87</w:t>
            </w:r>
          </w:p>
        </w:tc>
      </w:tr>
      <w:tr>
        <w:trPr>
          <w:trHeight w:val="284"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新华通讯社北京分社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75,471.70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94,339.61</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新华通讯社北京分社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603,773.58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160,377.36</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新华通讯社北京分社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264,150.92</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新华通讯社甘肃分社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数字内容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254,717.00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28,301.89</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新华通讯社甘肃分社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216,981.13</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新华通讯社甘肃分社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94,339.60</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新华通讯社广东分社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56,603.76</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新华通讯社广东分社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566,037.74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207,547.17</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新华通讯社广东分社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56,603.75</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新华通讯社海南分社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94,339.61</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新华通讯社河北分社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695,754.72</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新华通讯社河南分社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数字内容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102,205.66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160,377.36</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新华通讯社吉林分社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数字内容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28,301.89</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新华通讯社江苏分社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683,243.44</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新华通讯社江苏分社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移动互联网业务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1,125,864.11</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新华通讯社江西分社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188,679.26</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新华通讯社山东分社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数字内容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101,886.80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28,301.89</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新华通讯社山东分社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131,698.10</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新华通讯社陕西分社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396,226.42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103,773.58</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新华通讯社陕西分社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56,603.77</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新华通讯社上海分社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811,320.75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207,547.17</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新华通讯社四川分社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396,226.42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103,773.58</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新华通讯社四川分社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47,169.79</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新华通讯社四川分社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数字内容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65,094.34</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新华通讯社天津分社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443,396.20</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新华出版社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数字内容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247,641.51</w:t>
            </w:r>
          </w:p>
        </w:tc>
        <w:tc>
          <w:tcPr>
            <w:tcW w:w="16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293"/>
        <w:gridCol w:w="2268"/>
        <w:gridCol w:w="1702"/>
        <w:gridCol w:w="1632"/>
      </w:tblGrid>
      <w:tr>
        <w:trPr>
          <w:trHeight w:val="284"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新华通讯社东京分社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spacing w:val="-1"/>
                <w:sz w:val="21"/>
              </w:rPr>
              <w:t>15,533,962.26</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新华通讯社机关党委</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移动互联网业务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448,113.20</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新华通讯社云南分社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56,603.77</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网络供稿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11,320,754.76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11,320,754.76</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236,650,943.40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66,726,415.09</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896,226.40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2,194,535.84</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数字内容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896,226.42</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数字内容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94,339.62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283,018.86</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11,689,399.02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12,520,431.57</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3,047,842.37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2,150,943.36</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11,612,830.18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5,266,037.69</w:t>
            </w:r>
          </w:p>
        </w:tc>
      </w:tr>
      <w:tr>
        <w:trPr>
          <w:trHeight w:val="284"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9,592,264.11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3,907,641.48</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1,570,282.95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735,849.03</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信息服务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858,490.53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4,679,032.62</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数字内容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84,905.66</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移动互联网业务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2,268,160.91</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参考消息报社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1,689,339.63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426,415.08</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参考消息报社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4,886.79</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中国广告联合有限责任公司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94,339.62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849,056.60</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上海证券报社有限公司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1,311,320.73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1,037,735.85</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新中国新闻有限公司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415,094.34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802,209.43</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上海新证财经信息咨询有限公司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235,849.05</w:t>
            </w:r>
          </w:p>
        </w:tc>
      </w:tr>
      <w:tr>
        <w:trPr>
          <w:trHeight w:val="555"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新华（青岛）国际海洋资讯中心有</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网络广告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宋体" w:hAnsi="宋体" w:cs="宋体" w:eastAsia="宋体" w:hint="default"/>
                <w:sz w:val="21"/>
                <w:szCs w:val="21"/>
              </w:rPr>
            </w:pPr>
            <w:r>
              <w:rPr>
                <w:rFonts w:ascii="宋体"/>
                <w:spacing w:val="-1"/>
                <w:sz w:val="21"/>
              </w:rPr>
              <w:t>797,169.82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235,849.04</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新华康美健康智库股份有限公司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网络技术服务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1,551,886.77</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中国环球公共关系有限责任公司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数字内容</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141,509.43</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半月谈新媒体科技有限公司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107,146.27</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中国图片社有限责任公司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171,047.88</w:t>
            </w: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半月谈杂志社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网络技术服务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116,334.43</w:t>
            </w:r>
          </w:p>
        </w:tc>
        <w:tc>
          <w:tcPr>
            <w:tcW w:w="16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138" w:right="4749"/>
        <w:jc w:val="left"/>
      </w:pPr>
      <w:r>
        <w:rPr/>
        <w:t>购销商品、提供和接受劳务的关联交易说明</w:t>
      </w:r>
    </w:p>
    <w:p>
      <w:pPr>
        <w:pStyle w:val="BodyText"/>
        <w:spacing w:line="273" w:lineRule="exact"/>
        <w:ind w:left="138" w:right="474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138" w:right="474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100"/>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pStyle w:val="BodyText"/>
        <w:spacing w:line="229" w:lineRule="exact"/>
        <w:ind w:left="138" w:right="4749"/>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38" w:right="4749"/>
        <w:jc w:val="left"/>
      </w:pPr>
      <w:r>
        <w:rPr/>
        <w:t>关联托管</w:t>
      </w:r>
      <w:r>
        <w:rPr>
          <w:rFonts w:ascii="宋体" w:hAnsi="宋体" w:cs="宋体" w:eastAsia="宋体" w:hint="default"/>
        </w:rPr>
        <w:t>/</w:t>
      </w:r>
      <w:r>
        <w:rPr/>
        <w:t>承包情况说明</w:t>
      </w:r>
    </w:p>
    <w:p>
      <w:pPr>
        <w:pStyle w:val="BodyText"/>
        <w:spacing w:line="273" w:lineRule="exact"/>
        <w:ind w:left="138" w:right="4749"/>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4" w:lineRule="exact"/>
        <w:ind w:left="138" w:right="4749"/>
        <w:jc w:val="left"/>
      </w:pPr>
      <w:r>
        <w:rPr/>
        <w:t>本公司委托管理</w:t>
      </w:r>
      <w:r>
        <w:rPr>
          <w:rFonts w:ascii="宋体" w:hAnsi="宋体" w:cs="宋体" w:eastAsia="宋体" w:hint="default"/>
        </w:rPr>
        <w:t>/</w:t>
      </w:r>
      <w:r>
        <w:rPr/>
        <w:t>出包情况表</w:t>
      </w:r>
    </w:p>
    <w:p>
      <w:pPr>
        <w:pStyle w:val="BodyText"/>
        <w:spacing w:line="274" w:lineRule="exact"/>
        <w:ind w:left="138" w:right="4749"/>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BodyText"/>
        <w:spacing w:line="273" w:lineRule="exact"/>
        <w:ind w:left="138" w:right="4749"/>
        <w:jc w:val="left"/>
      </w:pPr>
      <w:r>
        <w:rPr/>
        <w:t>关联管理</w:t>
      </w:r>
      <w:r>
        <w:rPr>
          <w:rFonts w:ascii="宋体" w:hAnsi="宋体" w:cs="宋体" w:eastAsia="宋体" w:hint="default"/>
        </w:rPr>
        <w:t>/</w:t>
      </w:r>
      <w:r>
        <w:rPr/>
        <w:t>出包情况说明</w:t>
      </w:r>
    </w:p>
    <w:p>
      <w:pPr>
        <w:spacing w:line="290" w:lineRule="auto" w:before="0"/>
        <w:ind w:left="138" w:right="708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本公司作为出租方：</w:t>
      </w:r>
    </w:p>
    <w:p>
      <w:pPr>
        <w:pStyle w:val="BodyText"/>
        <w:spacing w:line="230" w:lineRule="exact"/>
        <w:ind w:left="138" w:right="4749"/>
        <w:jc w:val="left"/>
      </w:pPr>
      <w:r>
        <w:rPr/>
        <w:t>□适用</w:t>
      </w:r>
      <w:r>
        <w:rPr>
          <w:spacing w:val="-1"/>
        </w:rPr>
        <w:t> </w:t>
      </w:r>
      <w:r>
        <w:rPr/>
        <w:t>√不适用</w:t>
      </w:r>
    </w:p>
    <w:p>
      <w:pPr>
        <w:spacing w:after="0" w:line="230" w:lineRule="exact"/>
        <w:jc w:val="left"/>
        <w:sectPr>
          <w:pgSz w:w="11910" w:h="16840"/>
          <w:pgMar w:header="882" w:footer="1195"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20" w:right="980"/>
        </w:sectPr>
      </w:pPr>
    </w:p>
    <w:p>
      <w:pPr>
        <w:pStyle w:val="BodyText"/>
        <w:spacing w:line="274" w:lineRule="exact" w:before="36"/>
        <w:ind w:left="278" w:right="-8"/>
        <w:jc w:val="left"/>
      </w:pPr>
      <w:r>
        <w:rPr>
          <w:spacing w:val="-1"/>
        </w:rPr>
        <w:t>本公司作为承租方：</w:t>
      </w:r>
    </w:p>
    <w:p>
      <w:pPr>
        <w:pStyle w:val="BodyText"/>
        <w:spacing w:line="274" w:lineRule="exact"/>
        <w:ind w:left="278" w:right="-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329" w:val="left" w:leader="none"/>
        </w:tabs>
        <w:spacing w:line="240" w:lineRule="auto"/>
        <w:ind w:left="278" w:right="0"/>
        <w:jc w:val="left"/>
      </w:pPr>
      <w:r>
        <w:rPr>
          <w:spacing w:val="-1"/>
        </w:rPr>
        <w:t>单位：元</w:t>
        <w:tab/>
      </w:r>
      <w:r>
        <w:rPr>
          <w:spacing w:val="-2"/>
        </w:rPr>
        <w:t>币种：人民币</w:t>
      </w:r>
    </w:p>
    <w:p>
      <w:pPr>
        <w:spacing w:after="0" w:line="240" w:lineRule="auto"/>
        <w:jc w:val="left"/>
        <w:sectPr>
          <w:type w:val="continuous"/>
          <w:pgSz w:w="11910" w:h="16840"/>
          <w:pgMar w:top="1120" w:bottom="1380" w:left="1520" w:right="980"/>
          <w:cols w:num="2" w:equalWidth="0">
            <w:col w:w="2172" w:space="4349"/>
            <w:col w:w="2889"/>
          </w:cols>
        </w:sectPr>
      </w:pPr>
    </w:p>
    <w:p>
      <w:pPr>
        <w:spacing w:line="240" w:lineRule="auto" w:before="7"/>
        <w:rPr>
          <w:rFonts w:ascii="宋体" w:hAnsi="宋体" w:cs="宋体" w:eastAsia="宋体" w:hint="default"/>
          <w:sz w:val="2"/>
          <w:szCs w:val="2"/>
        </w:rPr>
      </w:pPr>
    </w:p>
    <w:tbl>
      <w:tblPr>
        <w:tblW w:w="0" w:type="auto"/>
        <w:jc w:val="left"/>
        <w:tblInd w:w="242" w:type="dxa"/>
        <w:tblLayout w:type="fixed"/>
        <w:tblCellMar>
          <w:top w:w="0" w:type="dxa"/>
          <w:left w:w="0" w:type="dxa"/>
          <w:bottom w:w="0" w:type="dxa"/>
          <w:right w:w="0" w:type="dxa"/>
        </w:tblCellMar>
        <w:tblLook w:val="01E0"/>
      </w:tblPr>
      <w:tblGrid>
        <w:gridCol w:w="2439"/>
        <w:gridCol w:w="1562"/>
        <w:gridCol w:w="2410"/>
        <w:gridCol w:w="2485"/>
      </w:tblGrid>
      <w:tr>
        <w:trPr>
          <w:trHeight w:val="319"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出租方名称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7"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95"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3"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
              <w:jc w:val="center"/>
              <w:rPr>
                <w:rFonts w:ascii="宋体" w:hAnsi="宋体" w:cs="宋体" w:eastAsia="宋体" w:hint="default"/>
                <w:sz w:val="21"/>
                <w:szCs w:val="21"/>
              </w:rPr>
            </w:pPr>
            <w:r>
              <w:rPr>
                <w:rFonts w:ascii="宋体" w:hAnsi="宋体" w:cs="宋体" w:eastAsia="宋体" w:hint="default"/>
                <w:sz w:val="21"/>
                <w:szCs w:val="21"/>
              </w:rPr>
              <w:t>新华社印务有限责任公司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sz w:val="21"/>
              </w:rPr>
              <w:t>6,854,645.61</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88" w:right="0"/>
              <w:jc w:val="left"/>
              <w:rPr>
                <w:rFonts w:ascii="宋体" w:hAnsi="宋体" w:cs="宋体" w:eastAsia="宋体" w:hint="default"/>
                <w:sz w:val="21"/>
                <w:szCs w:val="21"/>
              </w:rPr>
            </w:pPr>
            <w:r>
              <w:rPr>
                <w:rFonts w:ascii="宋体"/>
                <w:sz w:val="21"/>
              </w:rPr>
              <w:t>9,673,067.66</w:t>
            </w:r>
          </w:p>
        </w:tc>
      </w:tr>
    </w:tbl>
    <w:p>
      <w:pPr>
        <w:spacing w:after="0" w:line="241" w:lineRule="exact"/>
        <w:jc w:val="left"/>
        <w:rPr>
          <w:rFonts w:ascii="宋体" w:hAnsi="宋体" w:cs="宋体" w:eastAsia="宋体" w:hint="default"/>
          <w:sz w:val="21"/>
          <w:szCs w:val="21"/>
        </w:rPr>
        <w:sectPr>
          <w:type w:val="continuous"/>
          <w:pgSz w:w="11910" w:h="16840"/>
          <w:pgMar w:top="1120" w:bottom="1380" w:left="1520" w:right="980"/>
        </w:sectPr>
      </w:pPr>
    </w:p>
    <w:p>
      <w:pPr>
        <w:pStyle w:val="BodyText"/>
        <w:spacing w:line="239" w:lineRule="exact"/>
        <w:ind w:left="278" w:right="1247"/>
        <w:jc w:val="left"/>
      </w:pPr>
      <w:r>
        <w:rPr/>
        <w:t>关联租赁情况说明</w:t>
      </w:r>
    </w:p>
    <w:p>
      <w:pPr>
        <w:spacing w:line="290" w:lineRule="auto" w:before="0"/>
        <w:ind w:left="278" w:right="16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pStyle w:val="BodyText"/>
        <w:spacing w:line="228" w:lineRule="exact"/>
        <w:ind w:left="278" w:right="1247"/>
        <w:jc w:val="left"/>
      </w:pPr>
      <w:r>
        <w:rPr/>
        <w:t>□适用</w:t>
      </w:r>
      <w:r>
        <w:rPr>
          <w:spacing w:val="-1"/>
        </w:rPr>
        <w:t> </w:t>
      </w:r>
      <w:r>
        <w:rPr/>
        <w:t>√不适用</w:t>
      </w:r>
    </w:p>
    <w:p>
      <w:pPr>
        <w:pStyle w:val="BodyText"/>
        <w:spacing w:line="273" w:lineRule="exact"/>
        <w:ind w:left="278" w:right="1247"/>
        <w:jc w:val="left"/>
      </w:pPr>
      <w:r>
        <w:rPr/>
        <w:t>本公司作为被担保方</w:t>
      </w:r>
    </w:p>
    <w:p>
      <w:pPr>
        <w:pStyle w:val="BodyText"/>
        <w:spacing w:line="272" w:lineRule="exact" w:before="27"/>
        <w:ind w:left="278" w:right="1247"/>
        <w:jc w:val="left"/>
      </w:pPr>
      <w:r>
        <w:rPr/>
        <w:t>□适用</w:t>
      </w:r>
      <w:r>
        <w:rPr>
          <w:spacing w:val="-2"/>
        </w:rPr>
        <w:t> </w:t>
      </w:r>
      <w:r>
        <w:rPr/>
        <w:t>√不适用</w:t>
      </w:r>
      <w:r>
        <w:rPr>
          <w:w w:val="100"/>
        </w:rPr>
        <w:t> </w:t>
      </w:r>
      <w:r>
        <w:rPr>
          <w:spacing w:val="-2"/>
        </w:rPr>
        <w:t>关联担保情况说明</w:t>
      </w:r>
    </w:p>
    <w:p>
      <w:pPr>
        <w:pStyle w:val="BodyText"/>
        <w:spacing w:line="249" w:lineRule="exact"/>
        <w:ind w:left="278" w:right="1247"/>
        <w:jc w:val="left"/>
      </w:pPr>
      <w:r>
        <w:rPr/>
        <w:t>□适用</w:t>
      </w:r>
      <w:r>
        <w:rPr>
          <w:spacing w:val="-1"/>
        </w:rPr>
        <w:t> </w:t>
      </w:r>
      <w:r>
        <w:rPr/>
        <w:t>√不适用</w:t>
      </w:r>
    </w:p>
    <w:p>
      <w:pPr>
        <w:pStyle w:val="Heading2"/>
        <w:spacing w:line="240" w:lineRule="auto" w:before="56"/>
        <w:ind w:left="278" w:right="1247"/>
        <w:jc w:val="left"/>
        <w:rPr>
          <w:b w:val="0"/>
          <w:bCs w:val="0"/>
        </w:rPr>
      </w:pPr>
      <w:r>
        <w:rPr>
          <w:rFonts w:ascii="宋体" w:hAnsi="宋体" w:cs="宋体" w:eastAsia="宋体" w:hint="default"/>
        </w:rPr>
        <w:t>(5).</w:t>
      </w:r>
      <w:r>
        <w:rPr/>
        <w:t>关联方资金拆借</w:t>
      </w:r>
      <w:r>
        <w:rPr>
          <w:b w:val="0"/>
          <w:bCs w:val="0"/>
        </w:rPr>
      </w:r>
    </w:p>
    <w:p>
      <w:pPr>
        <w:spacing w:line="290" w:lineRule="auto" w:before="58"/>
        <w:ind w:left="27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关联方资产转让、债务重组情况</w:t>
      </w:r>
      <w:r>
        <w:rPr>
          <w:rFonts w:ascii="宋体" w:hAnsi="宋体" w:cs="宋体" w:eastAsia="宋体" w:hint="default"/>
          <w:spacing w:val="-1"/>
          <w:sz w:val="21"/>
          <w:szCs w:val="21"/>
        </w:rPr>
      </w:r>
    </w:p>
    <w:p>
      <w:pPr>
        <w:spacing w:line="290" w:lineRule="auto" w:before="14"/>
        <w:ind w:left="278" w:right="124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pStyle w:val="BodyText"/>
        <w:spacing w:line="240" w:lineRule="auto" w:before="14"/>
        <w:ind w:left="278" w:right="124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tabs>
          <w:tab w:pos="1538" w:val="left" w:leader="none"/>
        </w:tabs>
        <w:spacing w:line="240" w:lineRule="auto"/>
        <w:ind w:left="278" w:right="0"/>
        <w:jc w:val="left"/>
      </w:pPr>
      <w:r>
        <w:rPr>
          <w:spacing w:val="-1"/>
        </w:rPr>
        <w:t>单位：万元</w:t>
        <w:tab/>
        <w:t>币种：人民币</w:t>
      </w:r>
    </w:p>
    <w:p>
      <w:pPr>
        <w:spacing w:after="0" w:line="240" w:lineRule="auto"/>
        <w:jc w:val="left"/>
        <w:sectPr>
          <w:type w:val="continuous"/>
          <w:pgSz w:w="11910" w:h="16840"/>
          <w:pgMar w:top="1120" w:bottom="1380" w:left="1520" w:right="980"/>
          <w:cols w:num="2" w:equalWidth="0">
            <w:col w:w="3655" w:space="2655"/>
            <w:col w:w="3100"/>
          </w:cols>
        </w:sectPr>
      </w:pPr>
    </w:p>
    <w:p>
      <w:pPr>
        <w:spacing w:line="240" w:lineRule="auto" w:before="7"/>
        <w:rPr>
          <w:rFonts w:ascii="宋体" w:hAnsi="宋体" w:cs="宋体" w:eastAsia="宋体" w:hint="default"/>
          <w:sz w:val="2"/>
          <w:szCs w:val="2"/>
        </w:rPr>
      </w:pPr>
    </w:p>
    <w:tbl>
      <w:tblPr>
        <w:tblW w:w="0" w:type="auto"/>
        <w:jc w:val="left"/>
        <w:tblInd w:w="16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552.41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545.37</w:t>
            </w:r>
          </w:p>
        </w:tc>
      </w:tr>
    </w:tbl>
    <w:p>
      <w:pPr>
        <w:spacing w:line="240" w:lineRule="auto" w:before="2"/>
        <w:rPr>
          <w:rFonts w:ascii="宋体" w:hAnsi="宋体" w:cs="宋体" w:eastAsia="宋体" w:hint="default"/>
          <w:sz w:val="20"/>
          <w:szCs w:val="20"/>
        </w:rPr>
      </w:pPr>
    </w:p>
    <w:p>
      <w:pPr>
        <w:pStyle w:val="Heading2"/>
        <w:spacing w:line="240" w:lineRule="auto"/>
        <w:ind w:left="278" w:right="289"/>
        <w:jc w:val="left"/>
        <w:rPr>
          <w:b w:val="0"/>
          <w:bCs w:val="0"/>
        </w:rPr>
      </w:pPr>
      <w:r>
        <w:rPr>
          <w:rFonts w:ascii="宋体" w:hAnsi="宋体" w:cs="宋体" w:eastAsia="宋体" w:hint="default"/>
        </w:rPr>
        <w:t>(8).</w:t>
      </w:r>
      <w:r>
        <w:rPr/>
        <w:t>其他关联交易</w:t>
      </w:r>
      <w:r>
        <w:rPr>
          <w:b w:val="0"/>
          <w:bCs w:val="0"/>
        </w:rPr>
      </w:r>
    </w:p>
    <w:p>
      <w:pPr>
        <w:pStyle w:val="BodyText"/>
        <w:tabs>
          <w:tab w:pos="1120" w:val="left" w:leader="none"/>
        </w:tabs>
        <w:spacing w:line="240" w:lineRule="auto" w:before="56"/>
        <w:ind w:left="278" w:right="289"/>
        <w:jc w:val="left"/>
      </w:pPr>
      <w:r>
        <w:rPr>
          <w:spacing w:val="-1"/>
        </w:rPr>
        <w:t>√适用</w:t>
        <w:tab/>
      </w:r>
      <w:r>
        <w:rPr>
          <w:spacing w:val="-2"/>
        </w:rPr>
        <w:t>□不适用</w:t>
      </w:r>
    </w:p>
    <w:p>
      <w:pPr>
        <w:pStyle w:val="BodyText"/>
        <w:spacing w:line="314" w:lineRule="auto" w:before="73"/>
        <w:ind w:left="278" w:right="289" w:firstLine="419"/>
        <w:jc w:val="left"/>
      </w:pPr>
      <w:r>
        <w:rPr>
          <w:spacing w:val="-1"/>
          <w:w w:val="100"/>
        </w:rPr>
        <w:t>本公司于</w:t>
      </w:r>
      <w:r>
        <w:rPr>
          <w:spacing w:val="-62"/>
          <w:w w:val="100"/>
        </w:rPr>
        <w:t> </w:t>
      </w:r>
      <w:r>
        <w:rPr>
          <w:rFonts w:ascii="宋体" w:hAnsi="宋体" w:cs="宋体" w:eastAsia="宋体" w:hint="default"/>
          <w:w w:val="100"/>
        </w:rPr>
        <w:t>2016</w:t>
      </w:r>
      <w:r>
        <w:rPr>
          <w:rFonts w:ascii="宋体" w:hAnsi="宋体" w:cs="宋体" w:eastAsia="宋体" w:hint="default"/>
          <w:spacing w:val="-64"/>
          <w:w w:val="100"/>
        </w:rPr>
        <w:t> </w:t>
      </w:r>
      <w:r>
        <w:rPr>
          <w:spacing w:val="-6"/>
          <w:w w:val="100"/>
        </w:rPr>
        <w:t>年与新华通讯社新闻信息中心签署《</w:t>
      </w:r>
      <w:r>
        <w:rPr>
          <w:rFonts w:ascii="宋体" w:hAnsi="宋体" w:cs="宋体" w:eastAsia="宋体" w:hint="default"/>
          <w:spacing w:val="-6"/>
          <w:w w:val="100"/>
        </w:rPr>
        <w:t>2016-2018</w:t>
      </w:r>
      <w:r>
        <w:rPr>
          <w:rFonts w:ascii="宋体" w:hAnsi="宋体" w:cs="宋体" w:eastAsia="宋体" w:hint="default"/>
          <w:spacing w:val="-64"/>
          <w:w w:val="100"/>
        </w:rPr>
        <w:t> </w:t>
      </w:r>
      <w:r>
        <w:rPr>
          <w:spacing w:val="-9"/>
          <w:w w:val="100"/>
        </w:rPr>
        <w:t>年度新闻信息资源使用协议》，</w:t>
      </w:r>
      <w:r>
        <w:rPr>
          <w:w w:val="100"/>
        </w:rPr>
        <w:t> </w:t>
      </w:r>
      <w:r>
        <w:rPr/>
        <w:t>协议约定：</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w:t>
      </w:r>
      <w:r>
        <w:rPr>
          <w:rFonts w:ascii="宋体" w:hAnsi="宋体" w:cs="宋体" w:eastAsia="宋体" w:hint="default"/>
          <w:spacing w:val="-55"/>
        </w:rPr>
        <w:t> </w:t>
      </w:r>
      <w:r>
        <w:rPr/>
        <w:t>日至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日内，新华通讯社新闻信息中心向本公司授权使</w:t>
      </w:r>
    </w:p>
    <w:p>
      <w:pPr>
        <w:pStyle w:val="BodyText"/>
        <w:spacing w:line="240" w:lineRule="auto" w:before="20"/>
        <w:ind w:left="278" w:right="289"/>
        <w:jc w:val="left"/>
      </w:pPr>
      <w:r>
        <w:rPr/>
        <w:t>用新华通讯社享有合法版权的新闻信息资源，新闻信息资源许可使用费为</w:t>
      </w:r>
      <w:r>
        <w:rPr>
          <w:spacing w:val="-59"/>
        </w:rPr>
        <w:t> </w:t>
      </w:r>
      <w:r>
        <w:rPr>
          <w:rFonts w:ascii="宋体" w:hAnsi="宋体" w:cs="宋体" w:eastAsia="宋体" w:hint="default"/>
        </w:rPr>
        <w:t>2,200.00</w:t>
      </w:r>
      <w:r>
        <w:rPr>
          <w:rFonts w:ascii="宋体" w:hAnsi="宋体" w:cs="宋体" w:eastAsia="宋体" w:hint="default"/>
          <w:spacing w:val="-58"/>
        </w:rPr>
        <w:t> </w:t>
      </w:r>
      <w:r>
        <w:rPr/>
        <w:t>万元</w:t>
      </w:r>
      <w:r>
        <w:rPr>
          <w:rFonts w:ascii="宋体" w:hAnsi="宋体" w:cs="宋体" w:eastAsia="宋体" w:hint="default"/>
        </w:rPr>
        <w:t>/</w:t>
      </w:r>
      <w:r>
        <w:rPr/>
        <w:t>年。</w:t>
      </w: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20" w:right="980"/>
        </w:sectPr>
      </w:pPr>
    </w:p>
    <w:p>
      <w:pPr>
        <w:pStyle w:val="Heading2"/>
        <w:spacing w:line="290" w:lineRule="auto"/>
        <w:ind w:left="278" w:right="-20"/>
        <w:jc w:val="left"/>
        <w:rPr>
          <w:b w:val="0"/>
          <w:bCs w:val="0"/>
        </w:rPr>
      </w:pPr>
      <w:r>
        <w:rPr>
          <w:rFonts w:ascii="宋体" w:hAnsi="宋体" w:cs="宋体" w:eastAsia="宋体" w:hint="default"/>
        </w:rPr>
        <w:t>6</w:t>
      </w:r>
      <w:r>
        <w:rPr/>
        <w:t>、</w:t>
      </w:r>
      <w:r>
        <w:rPr>
          <w:spacing w:val="5"/>
        </w:rPr>
        <w:t> </w:t>
      </w:r>
      <w:r>
        <w:rPr/>
        <w:t>关联方应收应付款项</w:t>
      </w:r>
      <w:r>
        <w:rPr>
          <w:w w:val="100"/>
        </w:rPr>
        <w:t> </w:t>
      </w:r>
      <w:r>
        <w:rPr>
          <w:rFonts w:ascii="宋体" w:hAnsi="宋体" w:cs="宋体" w:eastAsia="宋体" w:hint="default"/>
        </w:rPr>
        <w:t>(1).</w:t>
      </w:r>
      <w:r>
        <w:rPr/>
        <w:t>应收项目</w:t>
      </w:r>
      <w:r>
        <w:rPr>
          <w:b w:val="0"/>
          <w:bCs w:val="0"/>
        </w:rPr>
      </w:r>
    </w:p>
    <w:p>
      <w:pPr>
        <w:pStyle w:val="BodyText"/>
        <w:tabs>
          <w:tab w:pos="1120" w:val="left" w:leader="none"/>
        </w:tabs>
        <w:spacing w:line="240" w:lineRule="auto" w:before="15"/>
        <w:ind w:left="278" w:right="-20"/>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24" w:val="left" w:leader="none"/>
        </w:tabs>
        <w:spacing w:line="240" w:lineRule="auto"/>
        <w:ind w:left="27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20" w:right="980"/>
          <w:cols w:num="2" w:equalWidth="0">
            <w:col w:w="2604" w:space="4129"/>
            <w:col w:w="267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25"/>
        <w:gridCol w:w="2979"/>
        <w:gridCol w:w="1529"/>
        <w:gridCol w:w="1111"/>
        <w:gridCol w:w="1426"/>
        <w:gridCol w:w="1109"/>
      </w:tblGrid>
      <w:tr>
        <w:trPr>
          <w:trHeight w:val="283"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107"/>
              <w:ind w:left="8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979" w:type="dxa"/>
            <w:vMerge w:val="restart"/>
            <w:tcBorders>
              <w:top w:val="single" w:sz="4" w:space="0" w:color="000000"/>
              <w:left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0"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025" w:type="dxa"/>
            <w:vMerge/>
            <w:tcBorders>
              <w:left w:val="single" w:sz="4" w:space="0" w:color="000000"/>
              <w:bottom w:val="single" w:sz="4" w:space="0" w:color="000000"/>
              <w:right w:val="single" w:sz="4" w:space="0" w:color="000000"/>
            </w:tcBorders>
          </w:tcPr>
          <w:p>
            <w:pPr/>
          </w:p>
        </w:tc>
        <w:tc>
          <w:tcPr>
            <w:tcW w:w="2979"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新华通讯社新闻信息中心</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254,225,516.80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49,477,241.60</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中国广告联合总公司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852,000.00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1,552,000.00</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新华通讯社东京分社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350,000.00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350,000.00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350,000.00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350,000.00</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新华通讯社北京分社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420,000.00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420,000.00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420,000.00</w:t>
            </w:r>
          </w:p>
        </w:tc>
      </w:tr>
      <w:tr>
        <w:trPr>
          <w:trHeight w:val="28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新华通讯社教育培训中心</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330,000.00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330,000.00</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新华通讯社安徽分社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300,000.00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300,000.00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860,000.00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300,000.00</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新华通讯社河南分社</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27,326.00</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新华通讯社黑龙江分社</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500,000.00</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北京新华每日广告公司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60,000.00</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中国环球公共关系公司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150,000.00</w:t>
            </w: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2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025"/>
        <w:gridCol w:w="2979"/>
        <w:gridCol w:w="1529"/>
        <w:gridCol w:w="1111"/>
        <w:gridCol w:w="1426"/>
        <w:gridCol w:w="1109"/>
      </w:tblGrid>
      <w:tr>
        <w:trPr>
          <w:trHeight w:val="28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新中国新闻有限公司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440,000.00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362,000.00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新华（青岛）国际海洋资讯中心</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405,000.00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北京新华物业管理中心</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33,135.75</w:t>
            </w:r>
          </w:p>
        </w:tc>
        <w:tc>
          <w:tcPr>
            <w:tcW w:w="11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44,169.00</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新华通讯社河北分社</w:t>
            </w:r>
          </w:p>
        </w:tc>
        <w:tc>
          <w:tcPr>
            <w:tcW w:w="1529"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21,000.00</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江苏瑞德信息产业有限公司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653,030.00</w:t>
            </w:r>
          </w:p>
        </w:tc>
        <w:tc>
          <w:tcPr>
            <w:tcW w:w="11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新华社印务有限责任公司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151,437.25</w:t>
            </w:r>
          </w:p>
        </w:tc>
        <w:tc>
          <w:tcPr>
            <w:tcW w:w="111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441,692.46</w:t>
            </w: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520" w:right="980"/>
        </w:sectPr>
      </w:pPr>
    </w:p>
    <w:p>
      <w:pPr>
        <w:pStyle w:val="Heading2"/>
        <w:spacing w:line="240" w:lineRule="auto" w:before="26"/>
        <w:ind w:left="278" w:right="-12"/>
        <w:jc w:val="left"/>
        <w:rPr>
          <w:b w:val="0"/>
          <w:bCs w:val="0"/>
        </w:rPr>
      </w:pPr>
      <w:r>
        <w:rPr>
          <w:rFonts w:ascii="宋体" w:hAnsi="宋体" w:cs="宋体" w:eastAsia="宋体" w:hint="default"/>
        </w:rPr>
        <w:t>(2).</w:t>
      </w:r>
      <w:r>
        <w:rPr/>
        <w:t>应付项目</w:t>
      </w:r>
      <w:r>
        <w:rPr>
          <w:b w:val="0"/>
          <w:bCs w:val="0"/>
        </w:rPr>
      </w:r>
    </w:p>
    <w:p>
      <w:pPr>
        <w:pStyle w:val="BodyText"/>
        <w:tabs>
          <w:tab w:pos="1120" w:val="left" w:leader="none"/>
        </w:tabs>
        <w:spacing w:line="240" w:lineRule="auto" w:before="56"/>
        <w:ind w:left="278" w:right="-12"/>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24" w:val="left" w:leader="none"/>
        </w:tabs>
        <w:spacing w:line="240" w:lineRule="auto"/>
        <w:ind w:left="27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20" w:right="980"/>
          <w:cols w:num="2" w:equalWidth="0">
            <w:col w:w="1961" w:space="4772"/>
            <w:col w:w="2677"/>
          </w:cols>
        </w:sectPr>
      </w:pPr>
    </w:p>
    <w:p>
      <w:pPr>
        <w:spacing w:line="240" w:lineRule="auto" w:before="4"/>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418"/>
        <w:gridCol w:w="4407"/>
        <w:gridCol w:w="1589"/>
        <w:gridCol w:w="1591"/>
      </w:tblGrid>
      <w:tr>
        <w:trPr>
          <w:trHeight w:val="28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中国经济信息社有限公司安徽分公司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200,000.00</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新华屏媒（北京）文化传播有限责任公司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192,000.00</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p>
        </w:tc>
        <w:tc>
          <w:tcPr>
            <w:tcW w:w="158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420,000.00</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海南亿连数据科技有限公司</w:t>
            </w:r>
          </w:p>
        </w:tc>
        <w:tc>
          <w:tcPr>
            <w:tcW w:w="158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北京新彩华章网络科技有限公司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8,663,717.42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4,416,041.96</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中国经济信息社有限公司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3,241,100.00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6,200,156.50</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新华出版社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1,200,000.00</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1,099,112.90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2,310,000.00</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参考消息报社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443,800.00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1,473,700.00</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新华通讯社四川分社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198,000.00</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中国图片社有限责任公司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181,310.70</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上海证券报社有限公司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80,000.00</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新华通讯社云南分社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60,000.00</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半月谈杂志社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41,104.80</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半月谈新媒体科技有限公司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37,858.40</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新华通讯社机关党委</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25,000.00</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中国新闻发展有限责任公司</w:t>
            </w:r>
          </w:p>
        </w:tc>
        <w:tc>
          <w:tcPr>
            <w:tcW w:w="158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720,000.00</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新华通讯社甘肃分社</w:t>
            </w:r>
          </w:p>
        </w:tc>
        <w:tc>
          <w:tcPr>
            <w:tcW w:w="158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270,000.00</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新华（青岛）国际海洋资讯中心有限公司</w:t>
            </w:r>
          </w:p>
        </w:tc>
        <w:tc>
          <w:tcPr>
            <w:tcW w:w="158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190,000.00</w:t>
            </w:r>
          </w:p>
        </w:tc>
      </w:tr>
      <w:tr>
        <w:trPr>
          <w:trHeight w:val="283"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新华通讯社北京分社</w:t>
            </w:r>
          </w:p>
        </w:tc>
        <w:tc>
          <w:tcPr>
            <w:tcW w:w="158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80,000.00</w:t>
            </w:r>
          </w:p>
        </w:tc>
      </w:tr>
      <w:tr>
        <w:trPr>
          <w:trHeight w:val="281"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新华通讯社湖北分社</w:t>
            </w:r>
          </w:p>
        </w:tc>
        <w:tc>
          <w:tcPr>
            <w:tcW w:w="158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1,585.61</w:t>
            </w:r>
          </w:p>
        </w:tc>
      </w:tr>
    </w:tbl>
    <w:p>
      <w:pPr>
        <w:pStyle w:val="Heading2"/>
        <w:spacing w:line="240" w:lineRule="auto" w:before="26"/>
        <w:ind w:left="278" w:right="289"/>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tabs>
          <w:tab w:pos="1120" w:val="left" w:leader="none"/>
        </w:tabs>
        <w:spacing w:line="240" w:lineRule="auto" w:before="59"/>
        <w:ind w:left="278" w:right="289"/>
        <w:jc w:val="left"/>
      </w:pPr>
      <w:r>
        <w:rPr>
          <w:spacing w:val="-1"/>
        </w:rPr>
        <w:t>□适用</w:t>
        <w:tab/>
      </w:r>
      <w:r>
        <w:rPr>
          <w:spacing w:val="-2"/>
        </w:rPr>
        <w:t>√不适用</w:t>
      </w:r>
    </w:p>
    <w:p>
      <w:pPr>
        <w:spacing w:before="56"/>
        <w:ind w:left="278" w:right="289"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tabs>
          <w:tab w:pos="1117" w:val="left" w:leader="none"/>
        </w:tabs>
        <w:spacing w:line="290" w:lineRule="auto" w:before="58"/>
        <w:ind w:left="278" w:right="7441"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十三、</w:t>
        <w:tab/>
        <w:t>股份支付</w:t>
      </w:r>
      <w:r>
        <w:rPr>
          <w:rFonts w:ascii="宋体" w:hAnsi="宋体" w:cs="宋体" w:eastAsia="宋体" w:hint="default"/>
          <w:sz w:val="21"/>
          <w:szCs w:val="21"/>
        </w:rPr>
      </w:r>
    </w:p>
    <w:p>
      <w:pPr>
        <w:pStyle w:val="Heading2"/>
        <w:spacing w:line="240" w:lineRule="auto" w:before="14"/>
        <w:ind w:left="278" w:right="289"/>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278" w:right="289"/>
        <w:jc w:val="left"/>
      </w:pPr>
      <w:r>
        <w:rPr/>
        <w:t>□适用</w:t>
      </w:r>
      <w:r>
        <w:rPr>
          <w:spacing w:val="-1"/>
        </w:rPr>
        <w:t> </w:t>
      </w:r>
      <w:r>
        <w:rPr/>
        <w:t>√不适用</w:t>
      </w:r>
    </w:p>
    <w:p>
      <w:pPr>
        <w:pStyle w:val="Heading2"/>
        <w:spacing w:line="240" w:lineRule="auto" w:before="58"/>
        <w:ind w:left="278" w:right="289"/>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278" w:right="28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278" w:right="289"/>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9"/>
        <w:ind w:left="278" w:right="289"/>
        <w:jc w:val="left"/>
      </w:pPr>
      <w:r>
        <w:rPr/>
        <w:t>□适用</w:t>
      </w:r>
      <w:r>
        <w:rPr>
          <w:spacing w:val="-1"/>
        </w:rPr>
        <w:t> </w:t>
      </w:r>
      <w:r>
        <w:rPr/>
        <w:t>√不适用</w:t>
      </w:r>
    </w:p>
    <w:p>
      <w:pPr>
        <w:spacing w:after="0" w:line="240" w:lineRule="auto"/>
        <w:jc w:val="left"/>
        <w:sectPr>
          <w:type w:val="continuous"/>
          <w:pgSz w:w="11910" w:h="16840"/>
          <w:pgMar w:top="1120" w:bottom="1380" w:left="1520" w:right="980"/>
        </w:sectPr>
      </w:pPr>
    </w:p>
    <w:p>
      <w:pPr>
        <w:spacing w:line="240" w:lineRule="auto" w:before="1"/>
        <w:rPr>
          <w:rFonts w:ascii="宋体" w:hAnsi="宋体" w:cs="宋体" w:eastAsia="宋体" w:hint="default"/>
          <w:sz w:val="25"/>
          <w:szCs w:val="25"/>
        </w:rPr>
      </w:pPr>
    </w:p>
    <w:p>
      <w:pPr>
        <w:pStyle w:val="Heading2"/>
        <w:spacing w:line="240" w:lineRule="auto"/>
        <w:ind w:right="3319"/>
        <w:jc w:val="left"/>
        <w:rPr>
          <w:b w:val="0"/>
          <w:bCs w:val="0"/>
        </w:rPr>
      </w:pPr>
      <w:r>
        <w:rPr>
          <w:rFonts w:ascii="宋体" w:hAnsi="宋体" w:cs="宋体" w:eastAsia="宋体" w:hint="default"/>
        </w:rPr>
        <w:t>4</w:t>
      </w:r>
      <w:r>
        <w:rPr/>
        <w:t>、 股份支付的修改、终止情况</w:t>
      </w:r>
      <w:r>
        <w:rPr>
          <w:b w:val="0"/>
          <w:bCs w:val="0"/>
        </w:rPr>
      </w:r>
    </w:p>
    <w:p>
      <w:pPr>
        <w:tabs>
          <w:tab w:pos="1060" w:val="left" w:leader="none"/>
        </w:tabs>
        <w:spacing w:line="290" w:lineRule="auto" w:before="58"/>
        <w:ind w:left="218" w:right="738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4"/>
        <w:ind w:right="3319"/>
        <w:jc w:val="left"/>
      </w:pPr>
      <w:r>
        <w:rPr>
          <w:spacing w:val="-1"/>
        </w:rPr>
        <w:t>□适用</w:t>
        <w:tab/>
      </w:r>
      <w:r>
        <w:rPr>
          <w:spacing w:val="-2"/>
        </w:rPr>
        <w:t>√不适用</w:t>
      </w:r>
    </w:p>
    <w:p>
      <w:pPr>
        <w:pStyle w:val="Heading2"/>
        <w:tabs>
          <w:tab w:pos="1057" w:val="left" w:leader="none"/>
        </w:tabs>
        <w:spacing w:line="290" w:lineRule="auto" w:before="56"/>
        <w:ind w:right="67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right="3319"/>
        <w:jc w:val="left"/>
      </w:pPr>
      <w:r>
        <w:rPr/>
        <w:t>√适用</w:t>
      </w:r>
      <w:r>
        <w:rPr>
          <w:spacing w:val="-2"/>
        </w:rPr>
        <w:t> </w:t>
      </w:r>
      <w:r>
        <w:rPr/>
        <w:t>□不适用</w:t>
      </w:r>
      <w:r>
        <w:rPr>
          <w:w w:val="100"/>
        </w:rPr>
        <w:t> </w:t>
      </w:r>
      <w:r>
        <w:rPr>
          <w:spacing w:val="-2"/>
        </w:rPr>
        <w:t>资产负债表日存在的对外重要承诺、性质、金额</w:t>
      </w:r>
    </w:p>
    <w:p>
      <w:pPr>
        <w:pStyle w:val="BodyText"/>
        <w:spacing w:line="240" w:lineRule="auto" w:before="133"/>
        <w:ind w:left="638" w:right="124"/>
        <w:jc w:val="left"/>
      </w:pPr>
      <w:r>
        <w:rPr>
          <w:w w:val="100"/>
        </w:rPr>
        <w:t>（</w:t>
      </w:r>
      <w:r>
        <w:rPr>
          <w:rFonts w:ascii="宋体" w:hAnsi="宋体" w:cs="宋体" w:eastAsia="宋体" w:hint="default"/>
          <w:w w:val="100"/>
        </w:rPr>
        <w:t>1</w:t>
      </w:r>
      <w:r>
        <w:rPr>
          <w:spacing w:val="-89"/>
          <w:w w:val="100"/>
        </w:rPr>
        <w:t>）</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2"/>
        </w:rPr>
        <w:t> </w:t>
      </w:r>
      <w:r>
        <w:rPr>
          <w:rFonts w:ascii="宋体" w:hAnsi="宋体" w:cs="宋体" w:eastAsia="宋体" w:hint="default"/>
          <w:spacing w:val="-3"/>
          <w:w w:val="100"/>
        </w:rPr>
        <w:t>3</w:t>
      </w:r>
      <w:r>
        <w:rPr>
          <w:rFonts w:ascii="宋体" w:hAnsi="宋体" w:cs="宋体" w:eastAsia="宋体" w:hint="default"/>
          <w:w w:val="100"/>
        </w:rPr>
        <w:t>0</w:t>
      </w:r>
      <w:r>
        <w:rPr>
          <w:rFonts w:ascii="宋体" w:hAnsi="宋体" w:cs="宋体" w:eastAsia="宋体" w:hint="default"/>
          <w:spacing w:val="-53"/>
        </w:rPr>
        <w:t> </w:t>
      </w:r>
      <w:r>
        <w:rPr>
          <w:spacing w:val="-3"/>
          <w:w w:val="100"/>
        </w:rPr>
        <w:t>日</w:t>
      </w:r>
      <w:r>
        <w:rPr>
          <w:spacing w:val="-92"/>
          <w:w w:val="100"/>
        </w:rPr>
        <w:t>，</w:t>
      </w:r>
      <w:r>
        <w:rPr>
          <w:w w:val="100"/>
        </w:rPr>
        <w:t>本公</w:t>
      </w:r>
      <w:r>
        <w:rPr>
          <w:spacing w:val="-3"/>
          <w:w w:val="100"/>
        </w:rPr>
        <w:t>司</w:t>
      </w:r>
      <w:r>
        <w:rPr>
          <w:w w:val="100"/>
        </w:rPr>
        <w:t>全</w:t>
      </w:r>
      <w:r>
        <w:rPr>
          <w:spacing w:val="-3"/>
          <w:w w:val="100"/>
        </w:rPr>
        <w:t>资</w:t>
      </w:r>
      <w:r>
        <w:rPr>
          <w:w w:val="100"/>
        </w:rPr>
        <w:t>子</w:t>
      </w:r>
      <w:r>
        <w:rPr>
          <w:spacing w:val="-3"/>
          <w:w w:val="100"/>
        </w:rPr>
        <w:t>公</w:t>
      </w:r>
      <w:r>
        <w:rPr>
          <w:w w:val="100"/>
        </w:rPr>
        <w:t>司</w:t>
      </w:r>
      <w:r>
        <w:rPr>
          <w:spacing w:val="-3"/>
          <w:w w:val="100"/>
        </w:rPr>
        <w:t>亿</w:t>
      </w:r>
      <w:r>
        <w:rPr>
          <w:w w:val="100"/>
        </w:rPr>
        <w:t>连</w:t>
      </w:r>
      <w:r>
        <w:rPr>
          <w:spacing w:val="-3"/>
          <w:w w:val="100"/>
        </w:rPr>
        <w:t>科</w:t>
      </w:r>
      <w:r>
        <w:rPr>
          <w:w w:val="100"/>
        </w:rPr>
        <w:t>技与</w:t>
      </w:r>
      <w:r>
        <w:rPr>
          <w:spacing w:val="-3"/>
          <w:w w:val="100"/>
        </w:rPr>
        <w:t>江</w:t>
      </w:r>
      <w:r>
        <w:rPr>
          <w:w w:val="100"/>
        </w:rPr>
        <w:t>苏</w:t>
      </w:r>
      <w:r>
        <w:rPr>
          <w:spacing w:val="-3"/>
          <w:w w:val="100"/>
        </w:rPr>
        <w:t>瑞</w:t>
      </w:r>
      <w:r>
        <w:rPr>
          <w:w w:val="100"/>
        </w:rPr>
        <w:t>德</w:t>
      </w:r>
      <w:r>
        <w:rPr>
          <w:spacing w:val="-3"/>
          <w:w w:val="100"/>
        </w:rPr>
        <w:t>及</w:t>
      </w:r>
      <w:r>
        <w:rPr>
          <w:w w:val="100"/>
        </w:rPr>
        <w:t>其</w:t>
      </w:r>
      <w:r>
        <w:rPr>
          <w:spacing w:val="-3"/>
          <w:w w:val="100"/>
        </w:rPr>
        <w:t>股</w:t>
      </w:r>
      <w:r>
        <w:rPr>
          <w:w w:val="100"/>
        </w:rPr>
        <w:t>东</w:t>
      </w:r>
      <w:r>
        <w:rPr>
          <w:spacing w:val="-3"/>
          <w:w w:val="100"/>
        </w:rPr>
        <w:t>签</w:t>
      </w:r>
      <w:r>
        <w:rPr>
          <w:spacing w:val="-89"/>
          <w:w w:val="100"/>
        </w:rPr>
        <w:t>署</w:t>
      </w:r>
      <w:r>
        <w:rPr>
          <w:w w:val="100"/>
        </w:rPr>
        <w:t>《</w:t>
      </w:r>
      <w:r>
        <w:rPr>
          <w:spacing w:val="-3"/>
          <w:w w:val="100"/>
        </w:rPr>
        <w:t>增</w:t>
      </w:r>
      <w:r>
        <w:rPr>
          <w:w w:val="100"/>
        </w:rPr>
        <w:t>资</w:t>
      </w:r>
      <w:r>
        <w:rPr>
          <w:spacing w:val="-3"/>
          <w:w w:val="100"/>
        </w:rPr>
        <w:t>协</w:t>
      </w:r>
      <w:r>
        <w:rPr>
          <w:w w:val="100"/>
        </w:rPr>
        <w:t>议</w:t>
      </w:r>
      <w:r>
        <w:rPr>
          <w:spacing w:val="-92"/>
          <w:w w:val="100"/>
        </w:rPr>
        <w:t>》</w:t>
      </w:r>
      <w:r>
        <w:rPr>
          <w:w w:val="100"/>
        </w:rPr>
        <w:t>，</w:t>
      </w:r>
    </w:p>
    <w:p>
      <w:pPr>
        <w:pStyle w:val="BodyText"/>
        <w:spacing w:line="240" w:lineRule="auto" w:before="133"/>
        <w:ind w:right="227"/>
        <w:jc w:val="left"/>
      </w:pPr>
      <w:r>
        <w:rPr/>
        <w:t>协议约定亿连科技以人民币</w:t>
      </w:r>
      <w:r>
        <w:rPr>
          <w:spacing w:val="-54"/>
        </w:rPr>
        <w:t> </w:t>
      </w:r>
      <w:r>
        <w:rPr>
          <w:rFonts w:ascii="宋体" w:hAnsi="宋体" w:cs="宋体" w:eastAsia="宋体" w:hint="default"/>
        </w:rPr>
        <w:t>1,300.00</w:t>
      </w:r>
      <w:r>
        <w:rPr>
          <w:rFonts w:ascii="宋体" w:hAnsi="宋体" w:cs="宋体" w:eastAsia="宋体" w:hint="default"/>
          <w:spacing w:val="-54"/>
        </w:rPr>
        <w:t> </w:t>
      </w:r>
      <w:r>
        <w:rPr/>
        <w:t>万元认购江苏瑞德</w:t>
      </w:r>
      <w:r>
        <w:rPr>
          <w:spacing w:val="-54"/>
        </w:rPr>
        <w:t> </w:t>
      </w:r>
      <w:r>
        <w:rPr>
          <w:rFonts w:ascii="宋体" w:hAnsi="宋体" w:cs="宋体" w:eastAsia="宋体" w:hint="default"/>
        </w:rPr>
        <w:t>37.15%</w:t>
      </w:r>
      <w:r>
        <w:rPr/>
        <w:t>的股份，截至</w:t>
      </w:r>
      <w:r>
        <w:rPr>
          <w:spacing w:val="-56"/>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w:t>
      </w:r>
    </w:p>
    <w:p>
      <w:pPr>
        <w:pStyle w:val="BodyText"/>
        <w:spacing w:line="240" w:lineRule="auto" w:before="133"/>
        <w:ind w:right="227"/>
        <w:jc w:val="left"/>
      </w:pPr>
      <w:r>
        <w:rPr/>
        <w:t>已出资</w:t>
      </w:r>
      <w:r>
        <w:rPr>
          <w:spacing w:val="-53"/>
        </w:rPr>
        <w:t> </w:t>
      </w:r>
      <w:r>
        <w:rPr>
          <w:rFonts w:ascii="宋体" w:hAnsi="宋体" w:cs="宋体" w:eastAsia="宋体" w:hint="default"/>
        </w:rPr>
        <w:t>600.00</w:t>
      </w:r>
      <w:r>
        <w:rPr>
          <w:rFonts w:ascii="宋体" w:hAnsi="宋体" w:cs="宋体" w:eastAsia="宋体" w:hint="default"/>
          <w:spacing w:val="-55"/>
        </w:rPr>
        <w:t> </w:t>
      </w:r>
      <w:r>
        <w:rPr/>
        <w:t>万元。根据协议约定，本公司应不晚于</w:t>
      </w:r>
      <w:r>
        <w:rPr>
          <w:spacing w:val="-52"/>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日实缴剩余出资。</w:t>
      </w:r>
    </w:p>
    <w:p>
      <w:pPr>
        <w:pStyle w:val="BodyText"/>
        <w:spacing w:line="355" w:lineRule="auto" w:before="135"/>
        <w:ind w:left="638" w:right="3319"/>
        <w:jc w:val="left"/>
      </w:pPr>
      <w:r>
        <w:rPr/>
        <w:t>（</w:t>
      </w:r>
      <w:r>
        <w:rPr>
          <w:rFonts w:ascii="宋体" w:hAnsi="宋体" w:cs="宋体" w:eastAsia="宋体" w:hint="default"/>
        </w:rPr>
        <w:t>2</w:t>
      </w:r>
      <w:r>
        <w:rPr/>
        <w:t>）与合营企业投资相关的未确认承诺</w:t>
      </w:r>
      <w:r>
        <w:rPr>
          <w:w w:val="100"/>
        </w:rPr>
        <w:t> </w:t>
      </w:r>
      <w:r>
        <w:rPr>
          <w:spacing w:val="-2"/>
        </w:rPr>
        <w:t>参见“本报告第十一节、九、</w:t>
      </w:r>
      <w:r>
        <w:rPr>
          <w:rFonts w:ascii="宋体" w:hAnsi="宋体" w:cs="宋体" w:eastAsia="宋体" w:hint="default"/>
          <w:spacing w:val="-2"/>
        </w:rPr>
        <w:t>3</w:t>
      </w:r>
      <w:r>
        <w:rPr>
          <w:spacing w:val="-2"/>
        </w:rPr>
        <w:t>、（</w:t>
      </w:r>
      <w:r>
        <w:rPr>
          <w:rFonts w:ascii="宋体" w:hAnsi="宋体" w:cs="宋体" w:eastAsia="宋体" w:hint="default"/>
          <w:spacing w:val="-2"/>
        </w:rPr>
        <w:t>7</w:t>
      </w:r>
      <w:r>
        <w:rPr>
          <w:spacing w:val="-2"/>
        </w:rPr>
        <w:t>）”部分。</w:t>
      </w:r>
    </w:p>
    <w:p>
      <w:pPr>
        <w:pStyle w:val="Heading2"/>
        <w:spacing w:line="290" w:lineRule="auto" w:before="92"/>
        <w:ind w:right="5462"/>
        <w:jc w:val="left"/>
        <w:rPr>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b w:val="0"/>
          <w:bCs w:val="0"/>
        </w:rPr>
      </w:r>
    </w:p>
    <w:p>
      <w:pPr>
        <w:pStyle w:val="BodyText"/>
        <w:tabs>
          <w:tab w:pos="1060" w:val="left" w:leader="none"/>
        </w:tabs>
        <w:spacing w:line="273" w:lineRule="exact" w:before="12"/>
        <w:ind w:right="3319"/>
        <w:jc w:val="left"/>
      </w:pPr>
      <w:r>
        <w:rPr>
          <w:spacing w:val="-1"/>
        </w:rPr>
        <w:t>√适用</w:t>
        <w:tab/>
      </w:r>
      <w:r>
        <w:rPr>
          <w:spacing w:val="-2"/>
        </w:rPr>
        <w:t>□不适用</w:t>
      </w:r>
    </w:p>
    <w:p>
      <w:pPr>
        <w:pStyle w:val="BodyText"/>
        <w:spacing w:line="273" w:lineRule="exact"/>
        <w:ind w:left="638" w:right="124"/>
        <w:jc w:val="left"/>
      </w:pPr>
      <w:r>
        <w:rPr/>
        <w:t>截至</w:t>
      </w:r>
      <w:r>
        <w:rPr>
          <w:spacing w:val="-48"/>
        </w:rPr>
        <w:t> </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4</w:t>
      </w:r>
      <w:r>
        <w:rPr>
          <w:rFonts w:ascii="宋体" w:hAnsi="宋体" w:cs="宋体" w:eastAsia="宋体" w:hint="default"/>
          <w:spacing w:val="-50"/>
        </w:rPr>
        <w:t> </w:t>
      </w:r>
      <w:r>
        <w:rPr/>
        <w:t>月</w:t>
      </w:r>
      <w:r>
        <w:rPr>
          <w:spacing w:val="-46"/>
        </w:rPr>
        <w:t> </w:t>
      </w:r>
      <w:r>
        <w:rPr>
          <w:rFonts w:ascii="宋体" w:hAnsi="宋体" w:cs="宋体" w:eastAsia="宋体" w:hint="default"/>
        </w:rPr>
        <w:t>1</w:t>
      </w:r>
      <w:r>
        <w:rPr>
          <w:rFonts w:ascii="宋体" w:hAnsi="宋体" w:cs="宋体" w:eastAsia="宋体" w:hint="default"/>
          <w:spacing w:val="-50"/>
        </w:rPr>
        <w:t> </w:t>
      </w:r>
      <w:r>
        <w:rPr>
          <w:spacing w:val="-6"/>
        </w:rPr>
        <w:t>日，本公司尚未审结的民事诉讼案件</w:t>
      </w:r>
      <w:r>
        <w:rPr>
          <w:spacing w:val="-48"/>
        </w:rPr>
        <w:t> </w:t>
      </w:r>
      <w:r>
        <w:rPr>
          <w:rFonts w:ascii="宋体" w:hAnsi="宋体" w:cs="宋体" w:eastAsia="宋体" w:hint="default"/>
        </w:rPr>
        <w:t>11</w:t>
      </w:r>
      <w:r>
        <w:rPr>
          <w:rFonts w:ascii="宋体" w:hAnsi="宋体" w:cs="宋体" w:eastAsia="宋体" w:hint="default"/>
          <w:spacing w:val="-48"/>
        </w:rPr>
        <w:t> </w:t>
      </w:r>
      <w:r>
        <w:rPr>
          <w:spacing w:val="-13"/>
        </w:rPr>
        <w:t>起，其中：本公司作为被告</w:t>
      </w:r>
      <w:r>
        <w:rPr>
          <w:spacing w:val="-46"/>
        </w:rPr>
        <w:t> </w:t>
      </w:r>
      <w:r>
        <w:rPr>
          <w:rFonts w:ascii="宋体" w:hAnsi="宋体" w:cs="宋体" w:eastAsia="宋体" w:hint="default"/>
        </w:rPr>
        <w:t>5</w:t>
      </w:r>
      <w:r>
        <w:rPr>
          <w:rFonts w:ascii="宋体" w:hAnsi="宋体" w:cs="宋体" w:eastAsia="宋体" w:hint="default"/>
          <w:spacing w:val="-50"/>
        </w:rPr>
        <w:t> </w:t>
      </w:r>
      <w:r>
        <w:rPr>
          <w:spacing w:val="-3"/>
        </w:rPr>
        <w:t>起，</w:t>
      </w:r>
      <w:r>
        <w:rPr/>
      </w:r>
    </w:p>
    <w:p>
      <w:pPr>
        <w:pStyle w:val="BodyText"/>
        <w:spacing w:line="240" w:lineRule="auto" w:before="135"/>
        <w:ind w:right="124"/>
        <w:jc w:val="left"/>
        <w:rPr>
          <w:rFonts w:ascii="宋体" w:hAnsi="宋体" w:cs="宋体" w:eastAsia="宋体" w:hint="default"/>
        </w:rPr>
      </w:pPr>
      <w:r>
        <w:rPr>
          <w:spacing w:val="-3"/>
        </w:rPr>
        <w:t>系因本公司稿件、使用素材引起的名誉权、著作权等纠纷，原告提出诉讼请求金额</w:t>
      </w:r>
      <w:r>
        <w:rPr>
          <w:spacing w:val="2"/>
        </w:rPr>
        <w:t> </w:t>
      </w:r>
      <w:r>
        <w:rPr>
          <w:rFonts w:ascii="宋体" w:hAnsi="宋体" w:cs="宋体" w:eastAsia="宋体" w:hint="default"/>
        </w:rPr>
        <w:t>1,529,211.00</w:t>
      </w:r>
    </w:p>
    <w:p>
      <w:pPr>
        <w:pStyle w:val="BodyText"/>
        <w:spacing w:line="240" w:lineRule="auto" w:before="133"/>
        <w:ind w:right="124"/>
        <w:jc w:val="left"/>
      </w:pPr>
      <w:r>
        <w:rPr>
          <w:spacing w:val="-4"/>
        </w:rPr>
        <w:t>元（其中，南京</w:t>
      </w:r>
      <w:r>
        <w:rPr>
          <w:rFonts w:ascii="宋体" w:hAnsi="宋体" w:cs="宋体" w:eastAsia="宋体" w:hint="default"/>
          <w:spacing w:val="-4"/>
        </w:rPr>
        <w:t>****</w:t>
      </w:r>
      <w:r>
        <w:rPr>
          <w:spacing w:val="-4"/>
        </w:rPr>
        <w:t>设备制造有限公司诉本公司侵害名誉权案诉讼请求为 </w:t>
      </w:r>
      <w:r>
        <w:rPr>
          <w:rFonts w:ascii="宋体" w:hAnsi="宋体" w:cs="宋体" w:eastAsia="宋体" w:hint="default"/>
        </w:rPr>
        <w:t>1,201,100.00</w:t>
      </w:r>
      <w:r>
        <w:rPr>
          <w:rFonts w:ascii="宋体" w:hAnsi="宋体" w:cs="宋体" w:eastAsia="宋体" w:hint="default"/>
          <w:spacing w:val="-32"/>
        </w:rPr>
        <w:t> </w:t>
      </w:r>
      <w:r>
        <w:rPr>
          <w:spacing w:val="-9"/>
        </w:rPr>
        <w:t>元，诉请</w:t>
      </w:r>
    </w:p>
    <w:p>
      <w:pPr>
        <w:pStyle w:val="BodyText"/>
        <w:spacing w:line="240" w:lineRule="auto" w:before="133"/>
        <w:ind w:right="227"/>
        <w:jc w:val="left"/>
      </w:pPr>
      <w:r>
        <w:rPr/>
        <w:t>包括本公司在内的共</w:t>
      </w:r>
      <w:r>
        <w:rPr>
          <w:spacing w:val="-55"/>
        </w:rPr>
        <w:t> </w:t>
      </w:r>
      <w:r>
        <w:rPr>
          <w:rFonts w:ascii="宋体" w:hAnsi="宋体" w:cs="宋体" w:eastAsia="宋体" w:hint="default"/>
        </w:rPr>
        <w:t>14</w:t>
      </w:r>
      <w:r>
        <w:rPr>
          <w:rFonts w:ascii="宋体" w:hAnsi="宋体" w:cs="宋体" w:eastAsia="宋体" w:hint="default"/>
          <w:spacing w:val="-56"/>
        </w:rPr>
        <w:t> </w:t>
      </w:r>
      <w:r>
        <w:rPr/>
        <w:t>家媒体企业共同承担上述责任；刘</w:t>
      </w:r>
      <w:r>
        <w:rPr>
          <w:rFonts w:ascii="宋体" w:hAnsi="宋体" w:cs="宋体" w:eastAsia="宋体" w:hint="default"/>
        </w:rPr>
        <w:t>**</w:t>
      </w:r>
      <w:r>
        <w:rPr/>
        <w:t>诉本公司网络侵权案诉讼请求为</w:t>
      </w:r>
    </w:p>
    <w:p>
      <w:pPr>
        <w:pStyle w:val="BodyText"/>
        <w:spacing w:line="357" w:lineRule="auto" w:before="133"/>
        <w:ind w:right="227"/>
        <w:jc w:val="left"/>
      </w:pPr>
      <w:r>
        <w:rPr>
          <w:rFonts w:ascii="宋体" w:hAnsi="宋体" w:cs="宋体" w:eastAsia="宋体" w:hint="default"/>
        </w:rPr>
        <w:t>200,000.00</w:t>
      </w:r>
      <w:r>
        <w:rPr>
          <w:rFonts w:ascii="宋体" w:hAnsi="宋体" w:cs="宋体" w:eastAsia="宋体" w:hint="default"/>
          <w:spacing w:val="-37"/>
        </w:rPr>
        <w:t> </w:t>
      </w:r>
      <w:r>
        <w:rPr>
          <w:spacing w:val="-3"/>
        </w:rPr>
        <w:t>元，诉请包括本公司在内的共</w:t>
      </w:r>
      <w:r>
        <w:rPr>
          <w:spacing w:val="-37"/>
        </w:rPr>
        <w:t> </w:t>
      </w:r>
      <w:r>
        <w:rPr>
          <w:rFonts w:ascii="宋体" w:hAnsi="宋体" w:cs="宋体" w:eastAsia="宋体" w:hint="default"/>
        </w:rPr>
        <w:t>5</w:t>
      </w:r>
      <w:r>
        <w:rPr>
          <w:rFonts w:ascii="宋体" w:hAnsi="宋体" w:cs="宋体" w:eastAsia="宋体" w:hint="default"/>
          <w:spacing w:val="-37"/>
        </w:rPr>
        <w:t> </w:t>
      </w:r>
      <w:r>
        <w:rPr>
          <w:spacing w:val="-3"/>
        </w:rPr>
        <w:t>家媒体企业及个人共同承担上述责任），本公司法律</w:t>
      </w:r>
      <w:r>
        <w:rPr>
          <w:spacing w:val="-98"/>
        </w:rPr>
        <w:t> </w:t>
      </w:r>
      <w:r>
        <w:rPr>
          <w:spacing w:val="-98"/>
        </w:rPr>
      </w:r>
      <w:r>
        <w:rPr/>
        <w:t>部门已就前述诉讼案件采取措施积极应诉。</w:t>
      </w:r>
    </w:p>
    <w:p>
      <w:pPr>
        <w:spacing w:after="0" w:line="357" w:lineRule="auto"/>
        <w:jc w:val="left"/>
        <w:sectPr>
          <w:pgSz w:w="11910" w:h="16840"/>
          <w:pgMar w:header="882" w:footer="1195" w:top="1120" w:bottom="1380" w:left="1580" w:right="1040"/>
        </w:sectPr>
      </w:pPr>
    </w:p>
    <w:p>
      <w:pPr>
        <w:pStyle w:val="Heading2"/>
        <w:spacing w:line="240" w:lineRule="auto" w:before="90"/>
        <w:ind w:right="0"/>
        <w:jc w:val="left"/>
        <w:rPr>
          <w:b w:val="0"/>
          <w:bCs w:val="0"/>
        </w:rPr>
      </w:pPr>
      <w:r>
        <w:rPr>
          <w:rFonts w:ascii="宋体" w:hAnsi="宋体" w:cs="宋体" w:eastAsia="宋体" w:hint="default"/>
          <w:spacing w:val="-1"/>
        </w:rPr>
        <w:t>(2).</w:t>
      </w:r>
      <w:r>
        <w:rPr>
          <w:spacing w:val="-1"/>
        </w:rPr>
        <w:t>公司没有需要披露的重要或有事项，也应予以说明：</w:t>
      </w:r>
      <w:r>
        <w:rPr>
          <w:b w:val="0"/>
          <w:bCs w:val="0"/>
          <w:spacing w:val="-1"/>
        </w:rPr>
      </w:r>
    </w:p>
    <w:p>
      <w:pPr>
        <w:tabs>
          <w:tab w:pos="1060" w:val="left" w:leader="none"/>
        </w:tabs>
        <w:spacing w:line="290" w:lineRule="auto" w:before="56"/>
        <w:ind w:left="218" w:right="3588"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1060" w:val="left" w:leader="none"/>
        </w:tabs>
        <w:spacing w:line="240" w:lineRule="auto" w:before="12"/>
        <w:ind w:right="0"/>
        <w:jc w:val="left"/>
      </w:pPr>
      <w:r>
        <w:rPr>
          <w:spacing w:val="-1"/>
        </w:rPr>
        <w:t>□适用</w:t>
        <w:tab/>
      </w:r>
      <w:r>
        <w:rPr>
          <w:spacing w:val="-2"/>
        </w:rPr>
        <w:t>√不适用</w:t>
      </w:r>
    </w:p>
    <w:p>
      <w:pPr>
        <w:pStyle w:val="Heading2"/>
        <w:tabs>
          <w:tab w:pos="1057" w:val="left" w:leader="none"/>
        </w:tabs>
        <w:spacing w:line="240" w:lineRule="auto" w:before="58"/>
        <w:ind w:right="0"/>
        <w:jc w:val="left"/>
        <w:rPr>
          <w:b w:val="0"/>
          <w:bCs w:val="0"/>
        </w:rPr>
      </w:pPr>
      <w:r>
        <w:rPr/>
        <w:t>十五、</w:t>
        <w:tab/>
        <w:t>资产负债表日后事项</w:t>
      </w:r>
      <w:r>
        <w:rPr>
          <w:b w:val="0"/>
          <w:bCs w:val="0"/>
        </w:rPr>
      </w:r>
    </w:p>
    <w:p>
      <w:pPr>
        <w:pStyle w:val="Heading2"/>
        <w:spacing w:line="240" w:lineRule="auto" w:before="57"/>
        <w:ind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0"/>
        <w:jc w:val="left"/>
      </w:pPr>
      <w:r>
        <w:rPr/>
        <w:t>□适用</w:t>
      </w:r>
      <w:r>
        <w:rPr>
          <w:spacing w:val="-1"/>
        </w:rPr>
        <w:t> </w:t>
      </w:r>
      <w:r>
        <w:rPr/>
        <w:t>√不适用</w:t>
      </w:r>
    </w:p>
    <w:p>
      <w:pPr>
        <w:pStyle w:val="Heading2"/>
        <w:spacing w:line="240" w:lineRule="auto" w:before="56"/>
        <w:ind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42"/>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492" w:space="103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406"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128,719,281.28</w:t>
            </w:r>
          </w:p>
        </w:tc>
      </w:tr>
      <w:tr>
        <w:trPr>
          <w:trHeight w:val="408"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128,719,281.28</w:t>
            </w:r>
          </w:p>
        </w:tc>
      </w:tr>
    </w:tbl>
    <w:p>
      <w:pPr>
        <w:pStyle w:val="Heading2"/>
        <w:spacing w:line="240" w:lineRule="auto" w:before="26"/>
        <w:ind w:right="3319"/>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right="3319"/>
        <w:jc w:val="left"/>
      </w:pPr>
      <w:r>
        <w:rPr/>
        <w:t>□适用</w:t>
      </w:r>
      <w:r>
        <w:rPr>
          <w:spacing w:val="-1"/>
        </w:rPr>
        <w:t> </w:t>
      </w:r>
      <w:r>
        <w:rPr/>
        <w:t>√不适用</w:t>
      </w:r>
    </w:p>
    <w:p>
      <w:pPr>
        <w:pStyle w:val="Heading2"/>
        <w:spacing w:line="240" w:lineRule="auto" w:before="59"/>
        <w:ind w:right="3319"/>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tabs>
          <w:tab w:pos="1060" w:val="left" w:leader="none"/>
        </w:tabs>
        <w:spacing w:line="274" w:lineRule="exact" w:before="29"/>
        <w:ind w:right="3319"/>
        <w:jc w:val="left"/>
      </w:pPr>
      <w:r>
        <w:rPr>
          <w:spacing w:val="-1"/>
        </w:rPr>
        <w:t>√适用</w:t>
        <w:tab/>
      </w:r>
      <w:r>
        <w:rPr>
          <w:spacing w:val="-2"/>
        </w:rPr>
        <w:t>□不适用</w:t>
      </w:r>
    </w:p>
    <w:p>
      <w:pPr>
        <w:pStyle w:val="BodyText"/>
        <w:spacing w:line="274" w:lineRule="exact"/>
        <w:ind w:left="638" w:right="3319"/>
        <w:jc w:val="left"/>
      </w:pP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1</w:t>
      </w:r>
      <w:r>
        <w:rPr>
          <w:rFonts w:ascii="宋体" w:hAnsi="宋体" w:cs="宋体" w:eastAsia="宋体" w:hint="default"/>
          <w:spacing w:val="-54"/>
        </w:rPr>
        <w:t> </w:t>
      </w:r>
      <w:r>
        <w:rPr/>
        <w:t>月</w:t>
      </w:r>
      <w:r>
        <w:rPr>
          <w:spacing w:val="-52"/>
        </w:rPr>
        <w:t> </w:t>
      </w:r>
      <w:r>
        <w:rPr>
          <w:rFonts w:ascii="宋体" w:hAnsi="宋体" w:cs="宋体" w:eastAsia="宋体" w:hint="default"/>
        </w:rPr>
        <w:t>1</w:t>
      </w:r>
      <w:r>
        <w:rPr>
          <w:rFonts w:ascii="宋体" w:hAnsi="宋体" w:cs="宋体" w:eastAsia="宋体" w:hint="default"/>
          <w:spacing w:val="-54"/>
        </w:rPr>
        <w:t> </w:t>
      </w:r>
      <w:r>
        <w:rPr/>
        <w:t>日起执行新会计准则的影响</w:t>
      </w:r>
    </w:p>
    <w:p>
      <w:pPr>
        <w:spacing w:after="0" w:line="274"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138" w:right="104" w:firstLine="419"/>
        <w:jc w:val="left"/>
      </w:pPr>
      <w:r>
        <w:rPr>
          <w:spacing w:val="-1"/>
          <w:w w:val="100"/>
        </w:rPr>
        <w:t>财政部于</w:t>
      </w:r>
      <w:r>
        <w:rPr>
          <w:spacing w:val="-65"/>
          <w:w w:val="100"/>
        </w:rPr>
        <w:t> </w:t>
      </w:r>
      <w:r>
        <w:rPr>
          <w:rFonts w:ascii="宋体" w:hAnsi="宋体" w:cs="宋体" w:eastAsia="宋体" w:hint="default"/>
          <w:spacing w:val="-1"/>
          <w:w w:val="100"/>
        </w:rPr>
        <w:t>2017</w:t>
      </w:r>
      <w:r>
        <w:rPr>
          <w:rFonts w:ascii="宋体" w:hAnsi="宋体" w:cs="宋体" w:eastAsia="宋体" w:hint="default"/>
          <w:spacing w:val="-65"/>
          <w:w w:val="100"/>
        </w:rPr>
        <w:t> </w:t>
      </w:r>
      <w:r>
        <w:rPr>
          <w:w w:val="100"/>
        </w:rPr>
        <w:t>年</w:t>
      </w:r>
      <w:r>
        <w:rPr>
          <w:spacing w:val="-64"/>
          <w:w w:val="100"/>
        </w:rPr>
        <w:t> </w:t>
      </w:r>
      <w:r>
        <w:rPr>
          <w:rFonts w:ascii="宋体" w:hAnsi="宋体" w:cs="宋体" w:eastAsia="宋体" w:hint="default"/>
          <w:w w:val="100"/>
        </w:rPr>
        <w:t>3</w:t>
      </w:r>
      <w:r>
        <w:rPr>
          <w:rFonts w:ascii="宋体" w:hAnsi="宋体" w:cs="宋体" w:eastAsia="宋体" w:hint="default"/>
          <w:spacing w:val="-67"/>
          <w:w w:val="100"/>
        </w:rPr>
        <w:t> </w:t>
      </w:r>
      <w:r>
        <w:rPr>
          <w:w w:val="100"/>
        </w:rPr>
        <w:t>月</w:t>
      </w:r>
      <w:r>
        <w:rPr>
          <w:spacing w:val="-65"/>
          <w:w w:val="100"/>
        </w:rPr>
        <w:t> </w:t>
      </w:r>
      <w:r>
        <w:rPr>
          <w:rFonts w:ascii="宋体" w:hAnsi="宋体" w:cs="宋体" w:eastAsia="宋体" w:hint="default"/>
          <w:w w:val="100"/>
        </w:rPr>
        <w:t>31</w:t>
      </w:r>
      <w:r>
        <w:rPr>
          <w:rFonts w:ascii="宋体" w:hAnsi="宋体" w:cs="宋体" w:eastAsia="宋体" w:hint="default"/>
          <w:spacing w:val="-67"/>
          <w:w w:val="100"/>
        </w:rPr>
        <w:t> </w:t>
      </w:r>
      <w:r>
        <w:rPr>
          <w:spacing w:val="-9"/>
          <w:w w:val="100"/>
        </w:rPr>
        <w:t>日分别发布了《企业会计准则第</w:t>
      </w:r>
      <w:r>
        <w:rPr>
          <w:spacing w:val="-65"/>
          <w:w w:val="100"/>
        </w:rPr>
        <w:t> </w:t>
      </w:r>
      <w:r>
        <w:rPr>
          <w:rFonts w:ascii="宋体" w:hAnsi="宋体" w:cs="宋体" w:eastAsia="宋体" w:hint="default"/>
          <w:w w:val="100"/>
        </w:rPr>
        <w:t>22</w:t>
      </w:r>
      <w:r>
        <w:rPr>
          <w:rFonts w:ascii="宋体" w:hAnsi="宋体" w:cs="宋体" w:eastAsia="宋体" w:hint="default"/>
          <w:spacing w:val="-65"/>
          <w:w w:val="100"/>
        </w:rPr>
        <w:t> </w:t>
      </w:r>
      <w:r>
        <w:rPr>
          <w:spacing w:val="-8"/>
          <w:w w:val="100"/>
        </w:rPr>
        <w:t>号——金融工具确认和计量（</w:t>
      </w:r>
      <w:r>
        <w:rPr>
          <w:rFonts w:ascii="宋体" w:hAnsi="宋体" w:cs="宋体" w:eastAsia="宋体" w:hint="default"/>
          <w:spacing w:val="-8"/>
          <w:w w:val="100"/>
        </w:rPr>
        <w:t>2017</w:t>
      </w:r>
      <w:r>
        <w:rPr>
          <w:rFonts w:ascii="宋体" w:hAnsi="宋体" w:cs="宋体" w:eastAsia="宋体" w:hint="default"/>
          <w:w w:val="100"/>
        </w:rPr>
        <w:t> </w:t>
      </w:r>
      <w:r>
        <w:rPr/>
        <w:t>年修订）》（财会〔</w:t>
      </w:r>
      <w:r>
        <w:rPr>
          <w:rFonts w:ascii="宋体" w:hAnsi="宋体" w:cs="宋体" w:eastAsia="宋体" w:hint="default"/>
        </w:rPr>
        <w:t>2017</w:t>
      </w:r>
      <w:r>
        <w:rPr/>
        <w:t>〕</w:t>
      </w:r>
      <w:r>
        <w:rPr>
          <w:rFonts w:ascii="宋体" w:hAnsi="宋体" w:cs="宋体" w:eastAsia="宋体" w:hint="default"/>
        </w:rPr>
        <w:t>7</w:t>
      </w:r>
      <w:r>
        <w:rPr>
          <w:rFonts w:ascii="宋体" w:hAnsi="宋体" w:cs="宋体" w:eastAsia="宋体" w:hint="default"/>
          <w:spacing w:val="-52"/>
        </w:rPr>
        <w:t> </w:t>
      </w:r>
      <w:r>
        <w:rPr/>
        <w:t>号）、《企业会计准则第</w:t>
      </w:r>
      <w:r>
        <w:rPr>
          <w:spacing w:val="-52"/>
        </w:rPr>
        <w:t> </w:t>
      </w:r>
      <w:r>
        <w:rPr>
          <w:rFonts w:ascii="宋体" w:hAnsi="宋体" w:cs="宋体" w:eastAsia="宋体" w:hint="default"/>
        </w:rPr>
        <w:t>23</w:t>
      </w:r>
      <w:r>
        <w:rPr>
          <w:rFonts w:ascii="宋体" w:hAnsi="宋体" w:cs="宋体" w:eastAsia="宋体" w:hint="default"/>
          <w:spacing w:val="-52"/>
        </w:rPr>
        <w:t> </w:t>
      </w:r>
      <w:r>
        <w:rPr/>
        <w:t>号——金融资产转移（</w:t>
      </w:r>
      <w:r>
        <w:rPr>
          <w:rFonts w:ascii="宋体" w:hAnsi="宋体" w:cs="宋体" w:eastAsia="宋体" w:hint="default"/>
        </w:rPr>
        <w:t>2017</w:t>
      </w:r>
      <w:r>
        <w:rPr>
          <w:rFonts w:ascii="宋体" w:hAnsi="宋体" w:cs="宋体" w:eastAsia="宋体" w:hint="default"/>
          <w:spacing w:val="-55"/>
        </w:rPr>
        <w:t> </w:t>
      </w:r>
      <w:r>
        <w:rPr/>
        <w:t>年修订）》</w:t>
      </w:r>
    </w:p>
    <w:p>
      <w:pPr>
        <w:pStyle w:val="BodyText"/>
        <w:spacing w:line="348" w:lineRule="auto" w:before="29"/>
        <w:ind w:left="138" w:right="104"/>
        <w:jc w:val="left"/>
      </w:pPr>
      <w:r>
        <w:rPr/>
        <w:t>（财会〔</w:t>
      </w:r>
      <w:r>
        <w:rPr>
          <w:rFonts w:ascii="宋体" w:hAnsi="宋体" w:cs="宋体" w:eastAsia="宋体" w:hint="default"/>
        </w:rPr>
        <w:t>2017</w:t>
      </w:r>
      <w:r>
        <w:rPr/>
        <w:t>〕</w:t>
      </w:r>
      <w:r>
        <w:rPr>
          <w:rFonts w:ascii="宋体" w:hAnsi="宋体" w:cs="宋体" w:eastAsia="宋体" w:hint="default"/>
        </w:rPr>
        <w:t>8</w:t>
      </w:r>
      <w:r>
        <w:rPr>
          <w:rFonts w:ascii="宋体" w:hAnsi="宋体" w:cs="宋体" w:eastAsia="宋体" w:hint="default"/>
          <w:spacing w:val="-54"/>
        </w:rPr>
        <w:t> </w:t>
      </w:r>
      <w:r>
        <w:rPr/>
        <w:t>号）、《企业会计准则第</w:t>
      </w:r>
      <w:r>
        <w:rPr>
          <w:spacing w:val="-53"/>
        </w:rPr>
        <w:t> </w:t>
      </w:r>
      <w:r>
        <w:rPr>
          <w:rFonts w:ascii="宋体" w:hAnsi="宋体" w:cs="宋体" w:eastAsia="宋体" w:hint="default"/>
        </w:rPr>
        <w:t>24</w:t>
      </w:r>
      <w:r>
        <w:rPr>
          <w:rFonts w:ascii="宋体" w:hAnsi="宋体" w:cs="宋体" w:eastAsia="宋体" w:hint="default"/>
          <w:spacing w:val="-54"/>
        </w:rPr>
        <w:t> </w:t>
      </w:r>
      <w:r>
        <w:rPr/>
        <w:t>号——套期会计（</w:t>
      </w:r>
      <w:r>
        <w:rPr>
          <w:rFonts w:ascii="宋体" w:hAnsi="宋体" w:cs="宋体" w:eastAsia="宋体" w:hint="default"/>
        </w:rPr>
        <w:t>2017</w:t>
      </w:r>
      <w:r>
        <w:rPr>
          <w:rFonts w:ascii="宋体" w:hAnsi="宋体" w:cs="宋体" w:eastAsia="宋体" w:hint="default"/>
          <w:spacing w:val="-56"/>
        </w:rPr>
        <w:t> </w:t>
      </w:r>
      <w:r>
        <w:rPr/>
        <w:t>年修订）》（财会〔</w:t>
      </w:r>
      <w:r>
        <w:rPr>
          <w:rFonts w:ascii="宋体" w:hAnsi="宋体" w:cs="宋体" w:eastAsia="宋体" w:hint="default"/>
        </w:rPr>
        <w:t>2017</w:t>
      </w:r>
      <w:r>
        <w:rPr/>
        <w:t>〕</w:t>
      </w:r>
      <w:r>
        <w:rPr>
          <w:w w:val="100"/>
        </w:rPr>
        <w:t> </w:t>
      </w:r>
      <w:r>
        <w:rPr>
          <w:rFonts w:ascii="宋体" w:hAnsi="宋体" w:cs="宋体" w:eastAsia="宋体" w:hint="default"/>
        </w:rPr>
        <w:t>9</w:t>
      </w:r>
      <w:r>
        <w:rPr>
          <w:rFonts w:ascii="宋体" w:hAnsi="宋体" w:cs="宋体" w:eastAsia="宋体" w:hint="default"/>
          <w:spacing w:val="-53"/>
        </w:rPr>
        <w:t> </w:t>
      </w:r>
      <w:r>
        <w:rPr/>
        <w:t>号），于</w:t>
      </w:r>
      <w:r>
        <w:rPr>
          <w:spacing w:val="-55"/>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4"/>
        </w:rPr>
        <w:t> </w:t>
      </w:r>
      <w:r>
        <w:rPr>
          <w:rFonts w:ascii="宋体" w:hAnsi="宋体" w:cs="宋体" w:eastAsia="宋体" w:hint="default"/>
        </w:rPr>
        <w:t>2</w:t>
      </w:r>
      <w:r>
        <w:rPr>
          <w:rFonts w:ascii="宋体" w:hAnsi="宋体" w:cs="宋体" w:eastAsia="宋体" w:hint="default"/>
          <w:spacing w:val="-55"/>
        </w:rPr>
        <w:t> </w:t>
      </w:r>
      <w:r>
        <w:rPr/>
        <w:t>日发布了《企业会计准则第</w:t>
      </w:r>
      <w:r>
        <w:rPr>
          <w:spacing w:val="-53"/>
        </w:rPr>
        <w:t> </w:t>
      </w:r>
      <w:r>
        <w:rPr>
          <w:rFonts w:ascii="宋体" w:hAnsi="宋体" w:cs="宋体" w:eastAsia="宋体" w:hint="default"/>
        </w:rPr>
        <w:t>37</w:t>
      </w:r>
      <w:r>
        <w:rPr>
          <w:rFonts w:ascii="宋体" w:hAnsi="宋体" w:cs="宋体" w:eastAsia="宋体" w:hint="default"/>
          <w:spacing w:val="-55"/>
        </w:rPr>
        <w:t> </w:t>
      </w:r>
      <w:r>
        <w:rPr/>
        <w:t>号——金融工具列报（</w:t>
      </w:r>
      <w:r>
        <w:rPr>
          <w:rFonts w:ascii="宋体" w:hAnsi="宋体" w:cs="宋体" w:eastAsia="宋体" w:hint="default"/>
        </w:rPr>
        <w:t>2017</w:t>
      </w:r>
      <w:r>
        <w:rPr>
          <w:rFonts w:ascii="宋体" w:hAnsi="宋体" w:cs="宋体" w:eastAsia="宋体" w:hint="default"/>
          <w:spacing w:val="-53"/>
        </w:rPr>
        <w:t> </w:t>
      </w:r>
      <w:r>
        <w:rPr/>
        <w:t>年修订）》</w:t>
      </w:r>
    </w:p>
    <w:p>
      <w:pPr>
        <w:pStyle w:val="BodyText"/>
        <w:spacing w:line="240" w:lineRule="auto" w:before="31"/>
        <w:ind w:left="138" w:right="104"/>
        <w:jc w:val="left"/>
        <w:rPr>
          <w:rFonts w:ascii="宋体" w:hAnsi="宋体" w:cs="宋体" w:eastAsia="宋体" w:hint="default"/>
        </w:rPr>
      </w:pPr>
      <w:r>
        <w:rPr>
          <w:spacing w:val="-4"/>
        </w:rPr>
        <w:t>（财会〔</w:t>
      </w:r>
      <w:r>
        <w:rPr>
          <w:rFonts w:ascii="宋体" w:hAnsi="宋体" w:cs="宋体" w:eastAsia="宋体" w:hint="default"/>
          <w:spacing w:val="-4"/>
        </w:rPr>
        <w:t>2017</w:t>
      </w:r>
      <w:r>
        <w:rPr>
          <w:spacing w:val="-4"/>
        </w:rPr>
        <w:t>〕</w:t>
      </w:r>
      <w:r>
        <w:rPr>
          <w:rFonts w:ascii="宋体" w:hAnsi="宋体" w:cs="宋体" w:eastAsia="宋体" w:hint="default"/>
          <w:spacing w:val="-4"/>
        </w:rPr>
        <w:t>14 </w:t>
      </w:r>
      <w:r>
        <w:rPr>
          <w:spacing w:val="-4"/>
        </w:rPr>
        <w:t>号）（上述准则以下统称“新金融工具准则”），并要求境内上市公司自</w:t>
      </w:r>
      <w:r>
        <w:rPr>
          <w:spacing w:val="-32"/>
        </w:rPr>
        <w:t> </w:t>
      </w:r>
      <w:r>
        <w:rPr>
          <w:rFonts w:ascii="宋体" w:hAnsi="宋体" w:cs="宋体" w:eastAsia="宋体" w:hint="default"/>
        </w:rPr>
        <w:t>2019</w:t>
      </w:r>
    </w:p>
    <w:p>
      <w:pPr>
        <w:pStyle w:val="BodyText"/>
        <w:spacing w:line="240" w:lineRule="auto" w:before="126"/>
        <w:ind w:left="138" w:right="104"/>
        <w:jc w:val="left"/>
      </w:pPr>
      <w:r>
        <w:rPr/>
        <w:t>年</w:t>
      </w:r>
      <w:r>
        <w:rPr>
          <w:spacing w:val="-36"/>
        </w:rPr>
        <w:t> </w:t>
      </w:r>
      <w:r>
        <w:rPr>
          <w:rFonts w:ascii="宋体" w:hAnsi="宋体" w:cs="宋体" w:eastAsia="宋体" w:hint="default"/>
        </w:rPr>
        <w:t>1</w:t>
      </w:r>
      <w:r>
        <w:rPr>
          <w:rFonts w:ascii="宋体" w:hAnsi="宋体" w:cs="宋体" w:eastAsia="宋体" w:hint="default"/>
          <w:spacing w:val="-39"/>
        </w:rPr>
        <w:t> </w:t>
      </w:r>
      <w:r>
        <w:rPr/>
        <w:t>月</w:t>
      </w:r>
      <w:r>
        <w:rPr>
          <w:spacing w:val="-36"/>
        </w:rPr>
        <w:t> </w:t>
      </w:r>
      <w:r>
        <w:rPr>
          <w:rFonts w:ascii="宋体" w:hAnsi="宋体" w:cs="宋体" w:eastAsia="宋体" w:hint="default"/>
        </w:rPr>
        <w:t>1</w:t>
      </w:r>
      <w:r>
        <w:rPr>
          <w:rFonts w:ascii="宋体" w:hAnsi="宋体" w:cs="宋体" w:eastAsia="宋体" w:hint="default"/>
          <w:spacing w:val="-36"/>
        </w:rPr>
        <w:t> </w:t>
      </w:r>
      <w:r>
        <w:rPr>
          <w:spacing w:val="-7"/>
        </w:rPr>
        <w:t>日起施行。经本公司第三届董事会第十一次（临时）会议、第三届监事会第八次（临时）</w:t>
      </w:r>
    </w:p>
    <w:p>
      <w:pPr>
        <w:pStyle w:val="BodyText"/>
        <w:spacing w:line="240" w:lineRule="auto" w:before="123"/>
        <w:ind w:left="138" w:right="212"/>
        <w:jc w:val="left"/>
      </w:pPr>
      <w:r>
        <w:rPr/>
        <w:t>会议和第三届董事会审计委员会议（</w:t>
      </w:r>
      <w:r>
        <w:rPr>
          <w:rFonts w:ascii="宋体" w:hAnsi="宋体" w:cs="宋体" w:eastAsia="宋体" w:hint="default"/>
        </w:rPr>
        <w:t>2018</w:t>
      </w:r>
      <w:r>
        <w:rPr>
          <w:rFonts w:ascii="宋体" w:hAnsi="宋体" w:cs="宋体" w:eastAsia="宋体" w:hint="default"/>
          <w:spacing w:val="-54"/>
        </w:rPr>
        <w:t> </w:t>
      </w:r>
      <w:r>
        <w:rPr/>
        <w:t>年第八次）于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26</w:t>
      </w:r>
      <w:r>
        <w:rPr>
          <w:rFonts w:ascii="宋体" w:hAnsi="宋体" w:cs="宋体" w:eastAsia="宋体" w:hint="default"/>
          <w:spacing w:val="-54"/>
        </w:rPr>
        <w:t> </w:t>
      </w:r>
      <w:r>
        <w:rPr/>
        <w:t>日决议通过，本公司将</w:t>
      </w:r>
    </w:p>
    <w:p>
      <w:pPr>
        <w:pStyle w:val="BodyText"/>
        <w:spacing w:line="350" w:lineRule="auto" w:before="126"/>
        <w:ind w:left="138" w:right="104"/>
        <w:jc w:val="left"/>
      </w:pPr>
      <w:r>
        <w:rPr>
          <w:w w:val="100"/>
        </w:rPr>
        <w:t>于</w:t>
      </w:r>
      <w:r>
        <w:rPr>
          <w:spacing w:val="-49"/>
          <w:w w:val="100"/>
        </w:rPr>
        <w:t> </w:t>
      </w:r>
      <w:r>
        <w:rPr>
          <w:rFonts w:ascii="宋体" w:hAnsi="宋体" w:cs="宋体" w:eastAsia="宋体" w:hint="default"/>
          <w:spacing w:val="-1"/>
          <w:w w:val="100"/>
        </w:rPr>
        <w:t>2019</w:t>
      </w:r>
      <w:r>
        <w:rPr>
          <w:rFonts w:ascii="宋体" w:hAnsi="宋体" w:cs="宋体" w:eastAsia="宋体" w:hint="default"/>
          <w:spacing w:val="-49"/>
          <w:w w:val="100"/>
        </w:rPr>
        <w:t> </w:t>
      </w:r>
      <w:r>
        <w:rPr>
          <w:w w:val="100"/>
        </w:rPr>
        <w:t>年</w:t>
      </w:r>
      <w:r>
        <w:rPr>
          <w:spacing w:val="-51"/>
          <w:w w:val="100"/>
        </w:rPr>
        <w:t> </w:t>
      </w:r>
      <w:r>
        <w:rPr>
          <w:rFonts w:ascii="宋体" w:hAnsi="宋体" w:cs="宋体" w:eastAsia="宋体" w:hint="default"/>
          <w:w w:val="100"/>
        </w:rPr>
        <w:t>1</w:t>
      </w:r>
      <w:r>
        <w:rPr>
          <w:rFonts w:ascii="宋体" w:hAnsi="宋体" w:cs="宋体" w:eastAsia="宋体" w:hint="default"/>
          <w:spacing w:val="-49"/>
          <w:w w:val="100"/>
        </w:rPr>
        <w:t> </w:t>
      </w:r>
      <w:r>
        <w:rPr>
          <w:w w:val="100"/>
        </w:rPr>
        <w:t>月</w:t>
      </w:r>
      <w:r>
        <w:rPr>
          <w:spacing w:val="-51"/>
          <w:w w:val="100"/>
        </w:rPr>
        <w:t> </w:t>
      </w:r>
      <w:r>
        <w:rPr>
          <w:rFonts w:ascii="宋体" w:hAnsi="宋体" w:cs="宋体" w:eastAsia="宋体" w:hint="default"/>
          <w:w w:val="100"/>
        </w:rPr>
        <w:t>1</w:t>
      </w:r>
      <w:r>
        <w:rPr>
          <w:rFonts w:ascii="宋体" w:hAnsi="宋体" w:cs="宋体" w:eastAsia="宋体" w:hint="default"/>
          <w:spacing w:val="-49"/>
          <w:w w:val="100"/>
        </w:rPr>
        <w:t> </w:t>
      </w:r>
      <w:r>
        <w:rPr>
          <w:spacing w:val="-5"/>
          <w:w w:val="100"/>
        </w:rPr>
        <w:t>日起执行上述新金融工具准则，并将依据上述新金融工具准则的规定对相关会计</w:t>
      </w:r>
      <w:r>
        <w:rPr>
          <w:spacing w:val="-104"/>
          <w:w w:val="100"/>
        </w:rPr>
        <w:t> </w:t>
      </w:r>
      <w:r>
        <w:rPr>
          <w:spacing w:val="-104"/>
          <w:w w:val="100"/>
        </w:rPr>
      </w:r>
      <w:r>
        <w:rPr/>
        <w:t>政策进行变更。</w:t>
      </w:r>
    </w:p>
    <w:p>
      <w:pPr>
        <w:pStyle w:val="Heading2"/>
        <w:tabs>
          <w:tab w:pos="977" w:val="left" w:leader="none"/>
        </w:tabs>
        <w:spacing w:line="254" w:lineRule="exact" w:before="0"/>
        <w:ind w:left="138" w:right="212"/>
        <w:jc w:val="left"/>
        <w:rPr>
          <w:b w:val="0"/>
          <w:bCs w:val="0"/>
        </w:rPr>
      </w:pPr>
      <w:r>
        <w:rPr/>
        <w:t>十六、</w:t>
        <w:tab/>
        <w:t>其他重要事项</w:t>
      </w:r>
      <w:r>
        <w:rPr>
          <w:b w:val="0"/>
          <w:bCs w:val="0"/>
        </w:rPr>
      </w:r>
    </w:p>
    <w:p>
      <w:pPr>
        <w:pStyle w:val="Heading2"/>
        <w:spacing w:line="290" w:lineRule="auto" w:before="58"/>
        <w:ind w:left="138" w:right="6914"/>
        <w:jc w:val="left"/>
        <w:rPr>
          <w:b w:val="0"/>
          <w:bCs w:val="0"/>
        </w:rPr>
      </w:pP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b w:val="0"/>
          <w:bCs w:val="0"/>
        </w:rPr>
      </w:r>
    </w:p>
    <w:p>
      <w:pPr>
        <w:spacing w:line="290" w:lineRule="auto" w:before="14"/>
        <w:ind w:left="138" w:right="7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90" w:lineRule="auto" w:before="14"/>
        <w:ind w:left="138" w:right="7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4"/>
        <w:ind w:left="138" w:right="7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2"/>
        <w:spacing w:line="240" w:lineRule="auto" w:before="15"/>
        <w:ind w:left="138" w:right="212"/>
        <w:jc w:val="left"/>
        <w:rPr>
          <w:b w:val="0"/>
          <w:bCs w:val="0"/>
        </w:rPr>
      </w:pPr>
      <w:r>
        <w:rPr>
          <w:rFonts w:ascii="宋体" w:hAnsi="宋体" w:cs="宋体" w:eastAsia="宋体" w:hint="default"/>
        </w:rPr>
        <w:t>(1).</w:t>
      </w:r>
      <w:r>
        <w:rPr/>
        <w:t>非货币性资产交换</w:t>
      </w:r>
      <w:r>
        <w:rPr>
          <w:b w:val="0"/>
          <w:bCs w:val="0"/>
        </w:rPr>
      </w:r>
    </w:p>
    <w:p>
      <w:pPr>
        <w:tabs>
          <w:tab w:pos="980" w:val="left" w:leader="none"/>
        </w:tabs>
        <w:spacing w:line="300" w:lineRule="auto" w:before="133"/>
        <w:ind w:left="138" w:right="7354"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tabs>
          <w:tab w:pos="980" w:val="left" w:leader="none"/>
        </w:tabs>
        <w:spacing w:line="290" w:lineRule="auto" w:before="6"/>
        <w:ind w:left="138" w:right="73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0" w:lineRule="auto" w:before="14"/>
        <w:ind w:left="138" w:right="7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90" w:lineRule="auto" w:before="14"/>
        <w:ind w:left="138" w:right="74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2"/>
        <w:spacing w:line="240" w:lineRule="auto" w:before="15"/>
        <w:ind w:left="138" w:right="212"/>
        <w:jc w:val="left"/>
        <w:rPr>
          <w:b w:val="0"/>
          <w:bCs w:val="0"/>
        </w:rPr>
      </w:pPr>
      <w:r>
        <w:rPr>
          <w:rFonts w:ascii="宋体" w:hAnsi="宋体" w:cs="宋体" w:eastAsia="宋体" w:hint="default"/>
        </w:rPr>
        <w:t>(1).</w:t>
      </w:r>
      <w:r>
        <w:rPr/>
        <w:t>报告分部的确定依据与会计政策</w:t>
      </w:r>
      <w:r>
        <w:rPr>
          <w:b w:val="0"/>
          <w:bCs w:val="0"/>
        </w:rPr>
      </w:r>
    </w:p>
    <w:p>
      <w:pPr>
        <w:tabs>
          <w:tab w:pos="980" w:val="left" w:leader="none"/>
        </w:tabs>
        <w:spacing w:line="290" w:lineRule="auto" w:before="56"/>
        <w:ind w:left="138" w:right="6720"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pStyle w:val="Heading2"/>
        <w:tabs>
          <w:tab w:pos="980" w:val="left" w:leader="none"/>
        </w:tabs>
        <w:spacing w:line="290" w:lineRule="auto" w:before="14"/>
        <w:ind w:left="138" w:right="821"/>
        <w:jc w:val="left"/>
        <w:rPr>
          <w:b w:val="0"/>
          <w:bCs w:val="0"/>
        </w:rPr>
      </w:pPr>
      <w:r>
        <w:rPr>
          <w:rFonts w:ascii="宋体" w:hAnsi="宋体" w:cs="宋体" w:eastAsia="宋体" w:hint="default"/>
          <w:b w:val="0"/>
          <w:bCs w:val="0"/>
          <w:spacing w:val="-1"/>
        </w:rPr>
        <w:t>□适用</w:t>
        <w:tab/>
      </w:r>
      <w:r>
        <w:rPr>
          <w:rFonts w:ascii="宋体" w:hAnsi="宋体" w:cs="宋体" w:eastAsia="宋体" w:hint="default"/>
          <w:b w:val="0"/>
          <w:bCs w:val="0"/>
          <w:spacing w:val="-2"/>
        </w:rPr>
        <w:t>√不适用</w:t>
      </w:r>
      <w:r>
        <w:rPr>
          <w:rFonts w:ascii="宋体" w:hAnsi="宋体" w:cs="宋体" w:eastAsia="宋体" w:hint="default"/>
          <w:b w:val="0"/>
          <w:bCs w:val="0"/>
          <w:spacing w:val="-99"/>
        </w:rPr>
        <w:t> </w:t>
      </w:r>
      <w:r>
        <w:rPr>
          <w:rFonts w:ascii="宋体" w:hAnsi="宋体" w:cs="宋体" w:eastAsia="宋体" w:hint="default"/>
          <w:b w:val="0"/>
          <w:bCs w:val="0"/>
          <w:spacing w:val="-99"/>
        </w:rPr>
      </w:r>
      <w:r>
        <w:rPr>
          <w:rFonts w:ascii="宋体" w:hAnsi="宋体" w:cs="宋体" w:eastAsia="宋体" w:hint="default"/>
          <w:spacing w:val="-1"/>
        </w:rPr>
        <w:t>(3).</w:t>
      </w:r>
      <w:r>
        <w:rPr>
          <w:spacing w:val="-1"/>
        </w:rPr>
        <w:t>公司无报告分部的，或者不能披露各报告分部的资产总额和负债总额的，应说明原因</w:t>
      </w:r>
      <w:r>
        <w:rPr>
          <w:b w:val="0"/>
          <w:bCs w:val="0"/>
          <w:spacing w:val="-1"/>
        </w:rPr>
      </w:r>
    </w:p>
    <w:p>
      <w:pPr>
        <w:tabs>
          <w:tab w:pos="980" w:val="left" w:leader="none"/>
        </w:tabs>
        <w:spacing w:line="290" w:lineRule="auto" w:before="14"/>
        <w:ind w:left="138" w:right="73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pStyle w:val="BodyText"/>
        <w:tabs>
          <w:tab w:pos="980" w:val="left" w:leader="none"/>
        </w:tabs>
        <w:spacing w:line="240" w:lineRule="auto" w:before="14"/>
        <w:ind w:left="138" w:right="212"/>
        <w:jc w:val="left"/>
      </w:pPr>
      <w:r>
        <w:rPr>
          <w:spacing w:val="-1"/>
        </w:rPr>
        <w:t>□适用</w:t>
        <w:tab/>
      </w:r>
      <w:r>
        <w:rPr>
          <w:spacing w:val="-2"/>
        </w:rPr>
        <w:t>√不适用</w:t>
      </w:r>
    </w:p>
    <w:p>
      <w:pPr>
        <w:pStyle w:val="Heading2"/>
        <w:spacing w:line="240" w:lineRule="auto" w:before="56"/>
        <w:ind w:left="138" w:right="212"/>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tabs>
          <w:tab w:pos="980" w:val="left" w:leader="none"/>
        </w:tabs>
        <w:spacing w:line="300" w:lineRule="auto" w:before="135"/>
        <w:ind w:left="138" w:right="736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tabs>
          <w:tab w:pos="980" w:val="left" w:leader="none"/>
        </w:tabs>
        <w:spacing w:line="240" w:lineRule="auto" w:before="4"/>
        <w:ind w:left="138" w:right="212"/>
        <w:jc w:val="left"/>
      </w:pPr>
      <w:r>
        <w:rPr>
          <w:spacing w:val="-1"/>
        </w:rPr>
        <w:t>√适用</w:t>
        <w:tab/>
      </w:r>
      <w:r>
        <w:rPr>
          <w:spacing w:val="-2"/>
        </w:rPr>
        <w:t>□不适用</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227" w:firstLine="419"/>
        <w:jc w:val="left"/>
      </w:pPr>
      <w:r>
        <w:rPr>
          <w:spacing w:val="-6"/>
        </w:rPr>
        <w:t>新华网与深圳前海红莲基金管理有限公司签订股权转让协议，新华网以人民币 </w:t>
      </w:r>
      <w:r>
        <w:rPr>
          <w:rFonts w:ascii="宋体" w:hAnsi="宋体" w:cs="宋体" w:eastAsia="宋体" w:hint="default"/>
          <w:spacing w:val="-3"/>
        </w:rPr>
        <w:t>6,000.00</w:t>
      </w:r>
      <w:r>
        <w:rPr>
          <w:rFonts w:ascii="宋体" w:hAnsi="宋体" w:cs="宋体" w:eastAsia="宋体" w:hint="default"/>
          <w:spacing w:val="-75"/>
        </w:rPr>
        <w:t> </w:t>
      </w:r>
      <w:r>
        <w:rPr>
          <w:spacing w:val="-5"/>
        </w:rPr>
        <w:t>万元</w:t>
      </w:r>
      <w:r>
        <w:rPr>
          <w:spacing w:val="-5"/>
          <w:w w:val="100"/>
        </w:rPr>
        <w:t> </w:t>
      </w:r>
      <w:r>
        <w:rPr>
          <w:spacing w:val="-5"/>
        </w:rPr>
        <w:t>受让其持有的亿连科技</w:t>
      </w:r>
      <w:r>
        <w:rPr>
          <w:spacing w:val="-49"/>
        </w:rPr>
        <w:t> </w:t>
      </w:r>
      <w:r>
        <w:rPr>
          <w:rFonts w:ascii="宋体" w:hAnsi="宋体" w:cs="宋体" w:eastAsia="宋体" w:hint="default"/>
          <w:spacing w:val="-8"/>
        </w:rPr>
        <w:t>20%</w:t>
      </w:r>
      <w:r>
        <w:rPr>
          <w:spacing w:val="-8"/>
        </w:rPr>
        <w:t>股权。截至年末，公司已支付收购股权款</w:t>
      </w:r>
      <w:r>
        <w:rPr>
          <w:spacing w:val="-49"/>
        </w:rPr>
        <w:t> </w:t>
      </w:r>
      <w:r>
        <w:rPr>
          <w:rFonts w:ascii="宋体" w:hAnsi="宋体" w:cs="宋体" w:eastAsia="宋体" w:hint="default"/>
          <w:spacing w:val="-3"/>
        </w:rPr>
        <w:t>3,600.00</w:t>
      </w:r>
      <w:r>
        <w:rPr>
          <w:rFonts w:ascii="宋体" w:hAnsi="宋体" w:cs="宋体" w:eastAsia="宋体" w:hint="default"/>
          <w:spacing w:val="-47"/>
        </w:rPr>
        <w:t> </w:t>
      </w:r>
      <w:r>
        <w:rPr>
          <w:spacing w:val="-8"/>
        </w:rPr>
        <w:t>万元。</w:t>
      </w:r>
      <w:r>
        <w:rPr>
          <w:rFonts w:ascii="宋体" w:hAnsi="宋体" w:cs="宋体" w:eastAsia="宋体" w:hint="default"/>
          <w:spacing w:val="-8"/>
        </w:rPr>
        <w:t>2019</w:t>
      </w:r>
      <w:r>
        <w:rPr>
          <w:rFonts w:ascii="宋体" w:hAnsi="宋体" w:cs="宋体" w:eastAsia="宋体" w:hint="default"/>
          <w:spacing w:val="-47"/>
        </w:rPr>
        <w:t> </w:t>
      </w:r>
      <w:r>
        <w:rPr/>
        <w:t>年</w:t>
      </w:r>
      <w:r>
        <w:rPr>
          <w:spacing w:val="-51"/>
        </w:rPr>
        <w:t> </w:t>
      </w:r>
      <w:r>
        <w:rPr>
          <w:rFonts w:ascii="宋体" w:hAnsi="宋体" w:cs="宋体" w:eastAsia="宋体" w:hint="default"/>
        </w:rPr>
        <w:t>3</w:t>
      </w:r>
      <w:r>
        <w:rPr>
          <w:rFonts w:ascii="宋体" w:hAnsi="宋体" w:cs="宋体" w:eastAsia="宋体" w:hint="default"/>
          <w:spacing w:val="-47"/>
        </w:rPr>
        <w:t> </w:t>
      </w:r>
      <w:r>
        <w:rPr/>
        <w:t>月</w:t>
      </w:r>
      <w:r>
        <w:rPr>
          <w:spacing w:val="-51"/>
        </w:rPr>
        <w:t> </w:t>
      </w:r>
      <w:r>
        <w:rPr>
          <w:rFonts w:ascii="宋体" w:hAnsi="宋体" w:cs="宋体" w:eastAsia="宋体" w:hint="default"/>
        </w:rPr>
        <w:t>1</w:t>
      </w:r>
      <w:r>
        <w:rPr>
          <w:rFonts w:ascii="宋体" w:hAnsi="宋体" w:cs="宋体" w:eastAsia="宋体" w:hint="default"/>
          <w:spacing w:val="-100"/>
        </w:rPr>
        <w:t> </w:t>
      </w:r>
      <w:r>
        <w:rPr>
          <w:spacing w:val="-6"/>
        </w:rPr>
        <w:t>日，相关股权转让手续办理完成，亿连科技变为本公司全资子公司。</w:t>
      </w:r>
      <w:r>
        <w:rPr/>
      </w:r>
    </w:p>
    <w:p>
      <w:pPr>
        <w:pStyle w:val="BodyText"/>
        <w:spacing w:line="355" w:lineRule="auto" w:before="30"/>
        <w:ind w:right="217" w:firstLine="412"/>
        <w:jc w:val="left"/>
      </w:pPr>
      <w:r>
        <w:rPr/>
        <w:t>于</w:t>
      </w:r>
      <w:r>
        <w:rPr>
          <w:spacing w:val="-42"/>
        </w:rPr>
        <w:t> </w:t>
      </w:r>
      <w:r>
        <w:rPr>
          <w:rFonts w:ascii="宋体" w:hAnsi="宋体" w:cs="宋体" w:eastAsia="宋体" w:hint="default"/>
          <w:spacing w:val="-3"/>
        </w:rPr>
        <w:t>2019</w:t>
      </w:r>
      <w:r>
        <w:rPr>
          <w:rFonts w:ascii="宋体" w:hAnsi="宋体" w:cs="宋体" w:eastAsia="宋体" w:hint="default"/>
          <w:spacing w:val="-38"/>
        </w:rPr>
        <w:t> </w:t>
      </w:r>
      <w:r>
        <w:rPr>
          <w:spacing w:val="-7"/>
        </w:rPr>
        <w:t>年初，亿连科技收到北京睿至大数据有限公司支付的业绩承诺现金补偿款</w:t>
      </w:r>
      <w:r>
        <w:rPr>
          <w:spacing w:val="-39"/>
        </w:rPr>
        <w:t> </w:t>
      </w:r>
      <w:r>
        <w:rPr>
          <w:rFonts w:ascii="宋体" w:hAnsi="宋体" w:cs="宋体" w:eastAsia="宋体" w:hint="default"/>
          <w:spacing w:val="-3"/>
        </w:rPr>
        <w:t>1,000.00</w:t>
      </w:r>
      <w:r>
        <w:rPr>
          <w:rFonts w:ascii="宋体" w:hAnsi="宋体" w:cs="宋体" w:eastAsia="宋体" w:hint="default"/>
          <w:spacing w:val="-38"/>
        </w:rPr>
        <w:t> </w:t>
      </w:r>
      <w:r>
        <w:rPr/>
        <w:t>万</w:t>
      </w:r>
      <w:r>
        <w:rPr>
          <w:w w:val="100"/>
        </w:rPr>
        <w:t> </w:t>
      </w:r>
      <w:r>
        <w:rPr>
          <w:spacing w:val="-5"/>
        </w:rPr>
        <w:t>元。</w:t>
      </w:r>
      <w:r>
        <w:rPr/>
      </w:r>
    </w:p>
    <w:p>
      <w:pPr>
        <w:pStyle w:val="Heading2"/>
        <w:tabs>
          <w:tab w:pos="1057" w:val="left" w:leader="none"/>
        </w:tabs>
        <w:spacing w:line="290" w:lineRule="auto" w:before="92"/>
        <w:ind w:right="5485"/>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5"/>
        </w:rPr>
        <w:t> </w:t>
      </w:r>
      <w:r>
        <w:rPr/>
        <w:t>应收票据及应收账款</w:t>
      </w:r>
      <w:r>
        <w:rPr>
          <w:b w:val="0"/>
          <w:bCs w:val="0"/>
        </w:rPr>
      </w:r>
    </w:p>
    <w:p>
      <w:pPr>
        <w:pStyle w:val="Heading2"/>
        <w:spacing w:line="240" w:lineRule="auto" w:before="12"/>
        <w:ind w:right="3319"/>
        <w:jc w:val="left"/>
        <w:rPr>
          <w:b w:val="0"/>
          <w:bCs w:val="0"/>
        </w:rPr>
      </w:pPr>
      <w:r>
        <w:rPr/>
        <w:t>总表情况</w:t>
      </w:r>
      <w:r>
        <w:rPr>
          <w:b w:val="0"/>
          <w:bCs w:val="0"/>
        </w:rPr>
      </w:r>
    </w:p>
    <w:p>
      <w:pPr>
        <w:pStyle w:val="Heading2"/>
        <w:spacing w:line="240" w:lineRule="auto" w:before="58"/>
        <w:ind w:right="3319"/>
        <w:jc w:val="left"/>
        <w:rPr>
          <w:b w:val="0"/>
          <w:bCs w:val="0"/>
        </w:rPr>
      </w:pPr>
      <w:r>
        <w:rPr>
          <w:rFonts w:ascii="宋体" w:hAnsi="宋体" w:cs="宋体" w:eastAsia="宋体" w:hint="default"/>
        </w:rPr>
        <w:t>(1).</w:t>
      </w:r>
      <w:r>
        <w:rPr>
          <w:rFonts w:ascii="宋体" w:hAnsi="宋体" w:cs="宋体" w:eastAsia="宋体" w:hint="default"/>
          <w:spacing w:val="-1"/>
        </w:rPr>
        <w:t> </w:t>
      </w:r>
      <w:r>
        <w:rPr/>
        <w:t>分类列示</w:t>
      </w:r>
      <w:r>
        <w:rPr>
          <w:b w:val="0"/>
          <w:bCs w:val="0"/>
        </w:rPr>
      </w:r>
    </w:p>
    <w:p>
      <w:pPr>
        <w:pStyle w:val="BodyText"/>
        <w:spacing w:line="240" w:lineRule="auto" w:before="57"/>
        <w:ind w:right="3319"/>
        <w:jc w:val="left"/>
      </w:pPr>
      <w:r>
        <w:rPr/>
        <w:t>√适用</w:t>
      </w:r>
      <w:r>
        <w:rPr>
          <w:spacing w:val="-1"/>
        </w:rPr>
        <w:t> </w:t>
      </w:r>
      <w:r>
        <w:rPr/>
        <w:t>□不适用</w:t>
      </w:r>
    </w:p>
    <w:p>
      <w:pPr>
        <w:spacing w:line="240" w:lineRule="auto" w:before="7"/>
        <w:rPr>
          <w:rFonts w:ascii="宋体" w:hAnsi="宋体" w:cs="宋体" w:eastAsia="宋体" w:hint="default"/>
          <w:sz w:val="19"/>
          <w:szCs w:val="19"/>
        </w:rPr>
      </w:pPr>
    </w:p>
    <w:p>
      <w:pPr>
        <w:pStyle w:val="BodyText"/>
        <w:tabs>
          <w:tab w:pos="1051" w:val="left" w:leader="none"/>
        </w:tabs>
        <w:spacing w:line="240" w:lineRule="auto"/>
        <w:ind w:left="0" w:right="333"/>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项目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1,155,000.00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15,043,226.50</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
              <w:jc w:val="right"/>
              <w:rPr>
                <w:rFonts w:ascii="宋体" w:hAnsi="宋体" w:cs="宋体" w:eastAsia="宋体" w:hint="default"/>
                <w:sz w:val="21"/>
                <w:szCs w:val="21"/>
              </w:rPr>
            </w:pPr>
            <w:r>
              <w:rPr>
                <w:rFonts w:ascii="宋体"/>
                <w:spacing w:val="-1"/>
                <w:sz w:val="21"/>
              </w:rPr>
              <w:t>579,130,659.74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spacing w:val="-1"/>
                <w:sz w:val="21"/>
              </w:rPr>
              <w:t>501,178,728.90</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2"/>
              <w:jc w:val="right"/>
              <w:rPr>
                <w:rFonts w:ascii="宋体" w:hAnsi="宋体" w:cs="宋体" w:eastAsia="宋体" w:hint="default"/>
                <w:sz w:val="21"/>
                <w:szCs w:val="21"/>
              </w:rPr>
            </w:pPr>
            <w:r>
              <w:rPr>
                <w:rFonts w:ascii="宋体" w:hAnsi="宋体" w:cs="宋体" w:eastAsia="宋体" w:hint="default"/>
                <w:sz w:val="21"/>
                <w:szCs w:val="21"/>
              </w:rPr>
              <w:t>合计</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580,285,659.74</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spacing w:val="-1"/>
                <w:sz w:val="21"/>
              </w:rPr>
              <w:t>516,221,955.40</w:t>
            </w:r>
          </w:p>
        </w:tc>
      </w:tr>
    </w:tbl>
    <w:p>
      <w:pPr>
        <w:spacing w:line="240" w:lineRule="auto" w:before="5"/>
        <w:rPr>
          <w:rFonts w:ascii="宋体" w:hAnsi="宋体" w:cs="宋体" w:eastAsia="宋体" w:hint="default"/>
          <w:sz w:val="15"/>
          <w:szCs w:val="15"/>
        </w:rPr>
      </w:pPr>
    </w:p>
    <w:p>
      <w:pPr>
        <w:pStyle w:val="BodyText"/>
        <w:spacing w:line="274" w:lineRule="exact" w:before="36"/>
        <w:ind w:right="3319"/>
        <w:jc w:val="left"/>
      </w:pPr>
      <w:r>
        <w:rPr/>
        <w:t>其他说明：</w:t>
      </w:r>
    </w:p>
    <w:p>
      <w:pPr>
        <w:pStyle w:val="BodyText"/>
        <w:spacing w:line="274" w:lineRule="exact"/>
        <w:ind w:right="3319"/>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85"/>
          <w:pgSz w:w="11910" w:h="16840"/>
          <w:pgMar w:footer="1195" w:header="882" w:top="1120" w:bottom="1380" w:left="1580" w:right="1040"/>
        </w:sectPr>
      </w:pPr>
    </w:p>
    <w:p>
      <w:pPr>
        <w:pStyle w:val="Heading2"/>
        <w:spacing w:line="240" w:lineRule="auto"/>
        <w:ind w:right="623"/>
        <w:jc w:val="left"/>
        <w:rPr>
          <w:b w:val="0"/>
          <w:bCs w:val="0"/>
        </w:rPr>
      </w:pPr>
      <w:r>
        <w:rPr/>
        <w:t>应收票据</w:t>
      </w:r>
      <w:r>
        <w:rPr>
          <w:b w:val="0"/>
          <w:bCs w:val="0"/>
        </w:rPr>
      </w:r>
    </w:p>
    <w:p>
      <w:pPr>
        <w:pStyle w:val="Heading2"/>
        <w:spacing w:line="240" w:lineRule="auto" w:before="56"/>
        <w:ind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36" w:space="4086"/>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项目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
              <w:jc w:val="right"/>
              <w:rPr>
                <w:rFonts w:ascii="宋体" w:hAnsi="宋体" w:cs="宋体" w:eastAsia="宋体" w:hint="default"/>
                <w:sz w:val="21"/>
                <w:szCs w:val="21"/>
              </w:rPr>
            </w:pPr>
            <w:r>
              <w:rPr>
                <w:rFonts w:ascii="宋体"/>
                <w:spacing w:val="-1"/>
                <w:sz w:val="21"/>
              </w:rPr>
              <w:t>1,155,000.00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
              <w:jc w:val="right"/>
              <w:rPr>
                <w:rFonts w:ascii="宋体" w:hAnsi="宋体" w:cs="宋体" w:eastAsia="宋体" w:hint="default"/>
                <w:sz w:val="21"/>
                <w:szCs w:val="21"/>
              </w:rPr>
            </w:pPr>
            <w:r>
              <w:rPr>
                <w:rFonts w:ascii="宋体"/>
                <w:spacing w:val="-1"/>
                <w:sz w:val="21"/>
              </w:rPr>
              <w:t>15,043,226.50</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z w:val="21"/>
                <w:szCs w:val="21"/>
              </w:rPr>
              <w:t>合计</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1,155,000.00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15,043,226.50</w:t>
            </w:r>
          </w:p>
        </w:tc>
      </w:tr>
    </w:tbl>
    <w:p>
      <w:pPr>
        <w:spacing w:line="240" w:lineRule="auto" w:before="12"/>
        <w:rPr>
          <w:rFonts w:ascii="宋体" w:hAnsi="宋体" w:cs="宋体" w:eastAsia="宋体" w:hint="default"/>
          <w:sz w:val="19"/>
          <w:szCs w:val="19"/>
        </w:rPr>
      </w:pPr>
    </w:p>
    <w:p>
      <w:pPr>
        <w:pStyle w:val="Heading2"/>
        <w:spacing w:line="240" w:lineRule="auto"/>
        <w:ind w:right="3319"/>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right="3319"/>
        <w:jc w:val="left"/>
      </w:pPr>
      <w:r>
        <w:rPr/>
        <w:t>□适用</w:t>
      </w:r>
      <w:r>
        <w:rPr>
          <w:spacing w:val="-1"/>
        </w:rPr>
        <w:t> </w:t>
      </w:r>
      <w:r>
        <w:rPr/>
        <w:t>√不适用</w:t>
      </w:r>
    </w:p>
    <w:p>
      <w:pPr>
        <w:pStyle w:val="Heading2"/>
        <w:spacing w:line="240" w:lineRule="auto" w:before="56"/>
        <w:ind w:right="227"/>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9"/>
        <w:ind w:right="3319"/>
        <w:jc w:val="left"/>
      </w:pPr>
      <w:r>
        <w:rPr/>
        <w:t>□适用</w:t>
      </w:r>
      <w:r>
        <w:rPr>
          <w:spacing w:val="-1"/>
        </w:rPr>
        <w:t> </w:t>
      </w:r>
      <w:r>
        <w:rPr/>
        <w:t>√不适用</w:t>
      </w:r>
    </w:p>
    <w:p>
      <w:pPr>
        <w:pStyle w:val="Heading2"/>
        <w:spacing w:line="240" w:lineRule="auto" w:before="56"/>
        <w:ind w:right="3319"/>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spacing w:line="249" w:lineRule="exact"/>
        <w:ind w:right="3319"/>
        <w:jc w:val="left"/>
      </w:pPr>
      <w:r>
        <w:rPr/>
        <w:t>□适用</w:t>
      </w:r>
      <w:r>
        <w:rPr>
          <w:spacing w:val="-1"/>
        </w:rPr>
        <w:t> </w:t>
      </w:r>
      <w:r>
        <w:rPr/>
        <w:t>√不适用</w:t>
      </w:r>
    </w:p>
    <w:p>
      <w:pPr>
        <w:spacing w:after="0" w:line="249" w:lineRule="exact"/>
        <w:jc w:val="left"/>
        <w:sectPr>
          <w:type w:val="continuous"/>
          <w:pgSz w:w="11910" w:h="16840"/>
          <w:pgMar w:top="1120" w:bottom="1380" w:left="1580" w:right="1040"/>
        </w:sectPr>
      </w:pPr>
    </w:p>
    <w:p>
      <w:pPr>
        <w:spacing w:before="20"/>
        <w:ind w:left="6515" w:right="659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2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86"/>
          <w:footerReference w:type="default" r:id="rId87"/>
          <w:pgSz w:w="16840" w:h="11910" w:orient="landscape"/>
          <w:pgMar w:header="0" w:footer="0" w:top="800" w:bottom="280" w:left="1180" w:right="1200"/>
        </w:sectPr>
      </w:pPr>
    </w:p>
    <w:p>
      <w:pPr>
        <w:pStyle w:val="Heading2"/>
        <w:spacing w:line="290" w:lineRule="auto"/>
        <w:ind w:left="260" w:right="-16"/>
        <w:jc w:val="left"/>
        <w:rPr>
          <w:b w:val="0"/>
          <w:bCs w:val="0"/>
        </w:rPr>
      </w:pPr>
      <w:r>
        <w:rPr/>
        <w:t>应收账款</w:t>
      </w:r>
      <w:r>
        <w:rPr>
          <w:w w:val="100"/>
        </w:rPr>
        <w:t> </w:t>
      </w:r>
      <w:r>
        <w:rPr>
          <w:rFonts w:ascii="宋体" w:hAnsi="宋体" w:cs="宋体" w:eastAsia="宋体" w:hint="default"/>
        </w:rPr>
        <w:t>(1).</w:t>
      </w:r>
      <w:r>
        <w:rPr/>
        <w:t>应收账款分类披露</w:t>
      </w:r>
      <w:r>
        <w:rPr>
          <w:b w:val="0"/>
          <w:bCs w:val="0"/>
        </w:rPr>
      </w:r>
    </w:p>
    <w:p>
      <w:pPr>
        <w:pStyle w:val="BodyText"/>
        <w:tabs>
          <w:tab w:pos="1102" w:val="left" w:leader="none"/>
        </w:tabs>
        <w:spacing w:line="240" w:lineRule="auto" w:before="14"/>
        <w:ind w:left="260" w:right="-16"/>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11" w:val="left" w:leader="none"/>
        </w:tabs>
        <w:spacing w:line="240" w:lineRule="auto"/>
        <w:ind w:left="260" w:right="0"/>
        <w:jc w:val="left"/>
      </w:pPr>
      <w:r>
        <w:rPr>
          <w:spacing w:val="-1"/>
        </w:rPr>
        <w:t>单位：元</w:t>
        <w:tab/>
        <w:t>币种：人民币</w:t>
      </w:r>
    </w:p>
    <w:p>
      <w:pPr>
        <w:spacing w:after="0" w:line="240" w:lineRule="auto"/>
        <w:jc w:val="left"/>
        <w:sectPr>
          <w:type w:val="continuous"/>
          <w:pgSz w:w="16840" w:h="11910" w:orient="landscape"/>
          <w:pgMar w:top="1120" w:bottom="1380" w:left="1180" w:right="1200"/>
          <w:cols w:num="2" w:equalWidth="0">
            <w:col w:w="2375" w:space="9187"/>
            <w:col w:w="2898"/>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928"/>
        <w:gridCol w:w="1531"/>
        <w:gridCol w:w="747"/>
        <w:gridCol w:w="1534"/>
        <w:gridCol w:w="775"/>
        <w:gridCol w:w="1532"/>
        <w:gridCol w:w="1531"/>
        <w:gridCol w:w="776"/>
        <w:gridCol w:w="1534"/>
        <w:gridCol w:w="797"/>
        <w:gridCol w:w="1532"/>
      </w:tblGrid>
      <w:tr>
        <w:trPr>
          <w:trHeight w:val="281" w:hRule="exact"/>
        </w:trPr>
        <w:tc>
          <w:tcPr>
            <w:tcW w:w="192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61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1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928" w:type="dxa"/>
            <w:vMerge/>
            <w:tcBorders>
              <w:left w:val="single" w:sz="4" w:space="0" w:color="000000"/>
              <w:right w:val="single" w:sz="4" w:space="0" w:color="000000"/>
            </w:tcBorders>
          </w:tcPr>
          <w:p>
            <w:pPr/>
          </w:p>
        </w:tc>
        <w:tc>
          <w:tcPr>
            <w:tcW w:w="22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107"/>
              <w:ind w:left="552"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107"/>
              <w:ind w:left="552" w:right="545"/>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5" w:hRule="exact"/>
        </w:trPr>
        <w:tc>
          <w:tcPr>
            <w:tcW w:w="1928"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5" w:lineRule="exact"/>
              <w:ind w:left="211" w:right="0"/>
              <w:jc w:val="left"/>
              <w:rPr>
                <w:rFonts w:ascii="宋体" w:hAnsi="宋体" w:cs="宋体" w:eastAsia="宋体" w:hint="default"/>
                <w:sz w:val="21"/>
                <w:szCs w:val="21"/>
              </w:rPr>
            </w:pPr>
            <w:r>
              <w:rPr>
                <w:rFonts w:ascii="宋体"/>
                <w:sz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5" w:lineRule="exact"/>
              <w:ind w:left="120"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2"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5" w:lineRule="exact"/>
              <w:ind w:left="225" w:right="0"/>
              <w:jc w:val="left"/>
              <w:rPr>
                <w:rFonts w:ascii="宋体" w:hAnsi="宋体" w:cs="宋体" w:eastAsia="宋体" w:hint="default"/>
                <w:sz w:val="21"/>
                <w:szCs w:val="21"/>
              </w:rPr>
            </w:pPr>
            <w:r>
              <w:rPr>
                <w:rFonts w:ascii="宋体"/>
                <w:sz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5" w:lineRule="exact"/>
              <w:ind w:left="12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532" w:type="dxa"/>
            <w:vMerge/>
            <w:tcBorders>
              <w:left w:val="single" w:sz="4" w:space="0" w:color="000000"/>
              <w:bottom w:val="single" w:sz="4" w:space="0" w:color="000000"/>
              <w:right w:val="single" w:sz="4" w:space="0" w:color="000000"/>
            </w:tcBorders>
          </w:tcPr>
          <w:p>
            <w:pPr/>
          </w:p>
        </w:tc>
      </w:tr>
      <w:tr>
        <w:trPr>
          <w:trHeight w:val="828"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w:t>
            </w:r>
          </w:p>
          <w:p>
            <w:pPr>
              <w:pStyle w:val="TableParagraph"/>
              <w:spacing w:line="272" w:lineRule="exact" w:before="27"/>
              <w:ind w:left="26" w:right="206"/>
              <w:jc w:val="left"/>
              <w:rPr>
                <w:rFonts w:ascii="宋体" w:hAnsi="宋体" w:cs="宋体" w:eastAsia="宋体" w:hint="default"/>
                <w:sz w:val="21"/>
                <w:szCs w:val="21"/>
              </w:rPr>
            </w:pPr>
            <w:r>
              <w:rPr>
                <w:rFonts w:ascii="宋体" w:hAnsi="宋体" w:cs="宋体" w:eastAsia="宋体" w:hint="default"/>
                <w:sz w:val="21"/>
                <w:szCs w:val="21"/>
              </w:rPr>
              <w:t>独计提坏账准备的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92,681,122.38</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12.50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92,681,122.38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63,931,122.38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10.54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63,931,122.38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w:t>
            </w:r>
          </w:p>
          <w:p>
            <w:pPr>
              <w:pStyle w:val="TableParagraph"/>
              <w:spacing w:line="240" w:lineRule="auto"/>
              <w:ind w:left="26" w:right="206"/>
              <w:jc w:val="left"/>
              <w:rPr>
                <w:rFonts w:ascii="宋体" w:hAnsi="宋体" w:cs="宋体" w:eastAsia="宋体" w:hint="default"/>
                <w:sz w:val="21"/>
                <w:szCs w:val="21"/>
              </w:rPr>
            </w:pPr>
            <w:r>
              <w:rPr>
                <w:rFonts w:ascii="宋体" w:hAnsi="宋体" w:cs="宋体" w:eastAsia="宋体" w:hint="default"/>
                <w:sz w:val="21"/>
                <w:szCs w:val="21"/>
              </w:rPr>
              <w:t>合计提坏账准备的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627,052,326.38</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84.55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47,921,666.64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7.64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sz w:val="21"/>
              </w:rPr>
              <w:t>579,130,659.74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526,460,813.83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86.79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25,282,084.93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4.80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sz w:val="21"/>
              </w:rPr>
              <w:t>501,178,728.90</w:t>
            </w:r>
          </w:p>
        </w:tc>
      </w:tr>
      <w:tr>
        <w:trPr>
          <w:trHeight w:val="828"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w:t>
            </w:r>
          </w:p>
          <w:p>
            <w:pPr>
              <w:pStyle w:val="TableParagraph"/>
              <w:spacing w:line="272" w:lineRule="exact" w:before="27"/>
              <w:ind w:left="26" w:right="206"/>
              <w:jc w:val="left"/>
              <w:rPr>
                <w:rFonts w:ascii="宋体" w:hAnsi="宋体" w:cs="宋体" w:eastAsia="宋体" w:hint="default"/>
                <w:sz w:val="21"/>
                <w:szCs w:val="21"/>
              </w:rPr>
            </w:pPr>
            <w:r>
              <w:rPr>
                <w:rFonts w:ascii="宋体" w:hAnsi="宋体" w:cs="宋体" w:eastAsia="宋体" w:hint="default"/>
                <w:sz w:val="21"/>
                <w:szCs w:val="21"/>
              </w:rPr>
              <w:t>单独计提坏账准备</w:t>
            </w:r>
            <w:r>
              <w:rPr>
                <w:rFonts w:ascii="宋体" w:hAnsi="宋体" w:cs="宋体" w:eastAsia="宋体" w:hint="default"/>
                <w:w w:val="100"/>
                <w:sz w:val="21"/>
                <w:szCs w:val="21"/>
              </w:rPr>
              <w:t> </w:t>
            </w:r>
            <w:r>
              <w:rPr>
                <w:rFonts w:ascii="宋体" w:hAnsi="宋体" w:cs="宋体" w:eastAsia="宋体" w:hint="default"/>
                <w:sz w:val="21"/>
                <w:szCs w:val="21"/>
              </w:rPr>
              <w:t>的应收账款</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21,867,450.94</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sz w:val="21"/>
              </w:rPr>
              <w:t>2.95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21,867,450.94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16,177,450.94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2.67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16,177,450.94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100.00</w:t>
            </w:r>
          </w:p>
        </w:tc>
        <w:tc>
          <w:tcPr>
            <w:tcW w:w="15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741,600,899.70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162,470,239.96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579,130,659.74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606,569,387.15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105,390,658.25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501,178,728.90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63"/>
        <w:ind w:left="6515" w:right="6579" w:firstLine="0"/>
        <w:jc w:val="center"/>
        <w:rPr>
          <w:rFonts w:ascii="Calibri" w:hAnsi="Calibri" w:cs="Calibri" w:eastAsia="Calibri" w:hint="default"/>
          <w:sz w:val="18"/>
          <w:szCs w:val="18"/>
        </w:rPr>
      </w:pPr>
      <w:r>
        <w:rPr>
          <w:rFonts w:ascii="Calibri"/>
          <w:b/>
          <w:sz w:val="18"/>
        </w:rPr>
        <w:t>171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180" w:right="120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88"/>
          <w:pgSz w:w="11910" w:h="16840"/>
          <w:pgMar w:footer="1195" w:header="0" w:top="1120" w:bottom="1380" w:left="1580" w:right="920"/>
          <w:pgNumType w:start="172"/>
        </w:sectPr>
      </w:pPr>
    </w:p>
    <w:p>
      <w:pPr>
        <w:pStyle w:val="BodyText"/>
        <w:spacing w:line="240" w:lineRule="auto" w:before="36"/>
        <w:ind w:right="0"/>
        <w:jc w:val="left"/>
      </w:pPr>
      <w:r>
        <w:rPr>
          <w:spacing w:val="-2"/>
        </w:rPr>
        <w:t>期末单项金额重大并单项计提坏账准备的应收账款：</w:t>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20"/>
          <w:cols w:num="2" w:equalWidth="0">
            <w:col w:w="5053" w:space="1469"/>
            <w:col w:w="288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2"/>
        <w:gridCol w:w="1582"/>
        <w:gridCol w:w="1649"/>
        <w:gridCol w:w="1577"/>
        <w:gridCol w:w="1702"/>
      </w:tblGrid>
      <w:tr>
        <w:trPr>
          <w:trHeight w:val="281" w:hRule="exact"/>
        </w:trPr>
        <w:tc>
          <w:tcPr>
            <w:tcW w:w="2672" w:type="dxa"/>
            <w:vMerge w:val="restart"/>
            <w:tcBorders>
              <w:top w:val="single" w:sz="4" w:space="0" w:color="000000"/>
              <w:left w:val="single" w:sz="4" w:space="0" w:color="000000"/>
              <w:right w:val="single" w:sz="4" w:space="0" w:color="000000"/>
            </w:tcBorders>
          </w:tcPr>
          <w:p>
            <w:pPr>
              <w:pStyle w:val="TableParagraph"/>
              <w:spacing w:line="240" w:lineRule="auto" w:before="107"/>
              <w:ind w:left="383"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2"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管理有限公司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15,891,122.38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15,891,122.38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新能源投资有限公司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5,000,000.00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5,000,000.00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文化传媒有限公司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4,500,000.00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4,500,000.00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7"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w:t>
            </w: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3,820,000.00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3,820,000.00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服务有限公司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3,800,000.00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3,800,000.00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文化传媒有限公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3,250,000.00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3,250,000.00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投资集团有限公司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科技股份有限公司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信息服务（深圳）有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广州市</w:t>
            </w:r>
            <w:r>
              <w:rPr>
                <w:rFonts w:ascii="宋体" w:hAnsi="宋体" w:cs="宋体" w:eastAsia="宋体" w:hint="default"/>
                <w:sz w:val="21"/>
                <w:szCs w:val="21"/>
              </w:rPr>
              <w:t>****</w:t>
            </w:r>
            <w:r>
              <w:rPr>
                <w:rFonts w:ascii="宋体" w:hAnsi="宋体" w:cs="宋体" w:eastAsia="宋体" w:hint="default"/>
                <w:sz w:val="21"/>
                <w:szCs w:val="21"/>
              </w:rPr>
              <w:t>科技有限公司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3,000,000.00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3,000,000.00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营口</w:t>
            </w:r>
            <w:r>
              <w:rPr>
                <w:rFonts w:ascii="宋体" w:hAnsi="宋体" w:cs="宋体" w:eastAsia="宋体" w:hint="default"/>
                <w:sz w:val="21"/>
                <w:szCs w:val="21"/>
              </w:rPr>
              <w:t>***</w:t>
            </w:r>
            <w:r>
              <w:rPr>
                <w:rFonts w:ascii="宋体" w:hAnsi="宋体" w:cs="宋体" w:eastAsia="宋体" w:hint="default"/>
                <w:sz w:val="21"/>
                <w:szCs w:val="21"/>
              </w:rPr>
              <w:t>动漫科技有限公司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7"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服务有限公司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2,800,000.00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2,800,000.00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网络科技有限公司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2,400,000.00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2,400,000.00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w:t>
            </w:r>
            <w:r>
              <w:rPr>
                <w:rFonts w:ascii="宋体" w:hAnsi="宋体" w:cs="宋体" w:eastAsia="宋体" w:hint="default"/>
                <w:sz w:val="21"/>
                <w:szCs w:val="21"/>
              </w:rPr>
              <w:t>股权基金管理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2,400,000.00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2,400,000.00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科技有限公司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广告有限公司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2,000,000.00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w:t>
            </w: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广告有限公司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投资管理（北京）有限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7"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江苏</w:t>
            </w:r>
            <w:r>
              <w:rPr>
                <w:rFonts w:ascii="宋体" w:hAnsi="宋体" w:cs="宋体" w:eastAsia="宋体" w:hint="default"/>
                <w:sz w:val="21"/>
                <w:szCs w:val="21"/>
              </w:rPr>
              <w:t>***</w:t>
            </w:r>
            <w:r>
              <w:rPr>
                <w:rFonts w:ascii="宋体" w:hAnsi="宋体" w:cs="宋体" w:eastAsia="宋体" w:hint="default"/>
                <w:sz w:val="21"/>
                <w:szCs w:val="21"/>
              </w:rPr>
              <w:t>物流有限公司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湖北</w:t>
            </w:r>
            <w:r>
              <w:rPr>
                <w:rFonts w:ascii="宋体" w:hAnsi="宋体" w:cs="宋体" w:eastAsia="宋体" w:hint="default"/>
                <w:sz w:val="21"/>
                <w:szCs w:val="21"/>
              </w:rPr>
              <w:t>*****</w:t>
            </w:r>
            <w:r>
              <w:rPr>
                <w:rFonts w:ascii="宋体" w:hAnsi="宋体" w:cs="宋体" w:eastAsia="宋体" w:hint="default"/>
                <w:sz w:val="21"/>
                <w:szCs w:val="21"/>
              </w:rPr>
              <w:t>科技有限公司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2,000,000.00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2,000,000.00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文化传播有限公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1,820,000.00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1,820,000.00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72"/>
        <w:gridCol w:w="1582"/>
        <w:gridCol w:w="1649"/>
        <w:gridCol w:w="1577"/>
        <w:gridCol w:w="1702"/>
      </w:tblGrid>
      <w:tr>
        <w:trPr>
          <w:trHeight w:val="557"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河南</w:t>
            </w:r>
            <w:r>
              <w:rPr>
                <w:rFonts w:ascii="宋体" w:hAnsi="宋体" w:cs="宋体" w:eastAsia="宋体" w:hint="default"/>
                <w:sz w:val="21"/>
                <w:szCs w:val="21"/>
              </w:rPr>
              <w:t>**</w:t>
            </w:r>
            <w:r>
              <w:rPr>
                <w:rFonts w:ascii="宋体" w:hAnsi="宋体" w:cs="宋体" w:eastAsia="宋体" w:hint="default"/>
                <w:sz w:val="21"/>
                <w:szCs w:val="21"/>
              </w:rPr>
              <w:t>实业有限公司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1,700,000.00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1,700,000.00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江苏</w:t>
            </w:r>
            <w:r>
              <w:rPr>
                <w:rFonts w:ascii="宋体" w:hAnsi="宋体" w:cs="宋体" w:eastAsia="宋体" w:hint="default"/>
                <w:sz w:val="21"/>
                <w:szCs w:val="21"/>
              </w:rPr>
              <w:t>***</w:t>
            </w:r>
            <w:r>
              <w:rPr>
                <w:rFonts w:ascii="宋体" w:hAnsi="宋体" w:cs="宋体" w:eastAsia="宋体" w:hint="default"/>
                <w:sz w:val="21"/>
                <w:szCs w:val="21"/>
              </w:rPr>
              <w:t>健康科技有限公司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pacing w:val="-1"/>
                <w:sz w:val="21"/>
              </w:rPr>
              <w:t>1,550,000.00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pacing w:val="-1"/>
                <w:sz w:val="21"/>
              </w:rPr>
              <w:t>1,550,000.00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商业信息咨询（北京）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1,500,000.00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1,500,000.00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传媒广告有限公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1,450,000.00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1,450,000.00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唐山市</w:t>
            </w:r>
            <w:r>
              <w:rPr>
                <w:rFonts w:ascii="宋体" w:hAnsi="宋体" w:cs="宋体" w:eastAsia="宋体" w:hint="default"/>
                <w:sz w:val="21"/>
                <w:szCs w:val="21"/>
              </w:rPr>
              <w:t>****</w:t>
            </w:r>
            <w:r>
              <w:rPr>
                <w:rFonts w:ascii="宋体" w:hAnsi="宋体" w:cs="宋体" w:eastAsia="宋体" w:hint="default"/>
                <w:sz w:val="21"/>
                <w:szCs w:val="21"/>
              </w:rPr>
              <w:t>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1,400,000.00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沈阳</w:t>
            </w:r>
            <w:r>
              <w:rPr>
                <w:rFonts w:ascii="宋体" w:hAnsi="宋体" w:cs="宋体" w:eastAsia="宋体" w:hint="default"/>
                <w:sz w:val="21"/>
                <w:szCs w:val="21"/>
              </w:rPr>
              <w:t>****</w:t>
            </w:r>
            <w:r>
              <w:rPr>
                <w:rFonts w:ascii="宋体" w:hAnsi="宋体" w:cs="宋体" w:eastAsia="宋体" w:hint="default"/>
                <w:sz w:val="21"/>
                <w:szCs w:val="21"/>
              </w:rPr>
              <w:t>股份有限公司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1,200,000.00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w:t>
            </w:r>
            <w:r>
              <w:rPr>
                <w:rFonts w:ascii="宋体" w:hAnsi="宋体" w:cs="宋体" w:eastAsia="宋体" w:hint="default"/>
                <w:sz w:val="21"/>
                <w:szCs w:val="21"/>
              </w:rPr>
              <w:t>****</w:t>
            </w:r>
            <w:r>
              <w:rPr>
                <w:rFonts w:ascii="宋体" w:hAnsi="宋体" w:cs="宋体" w:eastAsia="宋体" w:hint="default"/>
                <w:sz w:val="21"/>
                <w:szCs w:val="21"/>
              </w:rPr>
              <w:t>传媒投资有限公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1,100,000.00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1,100,000.00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w:t>
            </w:r>
            <w:r>
              <w:rPr>
                <w:rFonts w:ascii="宋体" w:hAnsi="宋体" w:cs="宋体" w:eastAsia="宋体" w:hint="default"/>
                <w:sz w:val="21"/>
                <w:szCs w:val="21"/>
              </w:rPr>
              <w:t>传播有限公司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1,100,000.00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1,100,000.00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（北京）信息技术研究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所</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7"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河南</w:t>
            </w:r>
            <w:r>
              <w:rPr>
                <w:rFonts w:ascii="宋体" w:hAnsi="宋体" w:cs="宋体" w:eastAsia="宋体" w:hint="default"/>
                <w:sz w:val="21"/>
                <w:szCs w:val="21"/>
              </w:rPr>
              <w:t>****</w:t>
            </w:r>
            <w:r>
              <w:rPr>
                <w:rFonts w:ascii="宋体" w:hAnsi="宋体" w:cs="宋体" w:eastAsia="宋体" w:hint="default"/>
                <w:sz w:val="21"/>
                <w:szCs w:val="21"/>
              </w:rPr>
              <w:t>股份有限公司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（北京）信息技术有限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公关策划有限公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z w:val="21"/>
                <w:szCs w:val="21"/>
              </w:rPr>
              <w:t>***</w:t>
            </w:r>
            <w:r>
              <w:rPr>
                <w:rFonts w:ascii="宋体" w:hAnsi="宋体" w:cs="宋体" w:eastAsia="宋体" w:hint="default"/>
                <w:sz w:val="21"/>
                <w:szCs w:val="21"/>
              </w:rPr>
              <w:t>广告有限公司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河南</w:t>
            </w:r>
            <w:r>
              <w:rPr>
                <w:rFonts w:ascii="宋体" w:hAnsi="宋体" w:cs="宋体" w:eastAsia="宋体" w:hint="default"/>
                <w:sz w:val="21"/>
                <w:szCs w:val="21"/>
              </w:rPr>
              <w:t>****</w:t>
            </w:r>
            <w:r>
              <w:rPr>
                <w:rFonts w:ascii="宋体" w:hAnsi="宋体" w:cs="宋体" w:eastAsia="宋体" w:hint="default"/>
                <w:sz w:val="21"/>
                <w:szCs w:val="21"/>
              </w:rPr>
              <w:t>服务外包有限公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55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电子商务（苏州）有限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1,000,000.00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债务人无法履行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还款义务</w:t>
            </w:r>
          </w:p>
        </w:tc>
      </w:tr>
      <w:tr>
        <w:trPr>
          <w:trHeight w:val="283"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92,681,122.38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92,681,122.38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pgSz w:w="11910" w:h="16840"/>
          <w:pgMar w:header="0" w:footer="1195" w:top="1120" w:bottom="1380" w:left="1580" w:right="920"/>
        </w:sectPr>
      </w:pPr>
    </w:p>
    <w:p>
      <w:pPr>
        <w:pStyle w:val="BodyText"/>
        <w:spacing w:line="240" w:lineRule="auto" w:before="26"/>
        <w:ind w:right="0"/>
        <w:jc w:val="left"/>
      </w:pPr>
      <w:r>
        <w:rPr>
          <w:spacing w:val="-2"/>
        </w:rPr>
        <w:t>组合中，按账龄分析法计提坏账准备的应收账款：</w:t>
      </w:r>
    </w:p>
    <w:p>
      <w:pPr>
        <w:pStyle w:val="BodyText"/>
        <w:spacing w:line="240" w:lineRule="auto" w:before="58"/>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20"/>
          <w:cols w:num="2" w:equalWidth="0">
            <w:col w:w="4844" w:space="1678"/>
            <w:col w:w="28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393,020,479.64</w:t>
            </w: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84,233,352.27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4,211,667.62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46,357,272.32</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4,635,727.23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62,394,196.67</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18,718,259.00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22,764,905.58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11,382,452.79</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8,973,560.00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8,973,560.00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100.00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617,743,766.48</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47,921,666.64</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7.76</w:t>
            </w:r>
          </w:p>
        </w:tc>
      </w:tr>
    </w:tbl>
    <w:p>
      <w:pPr>
        <w:pStyle w:val="BodyText"/>
        <w:spacing w:line="290" w:lineRule="auto" w:before="26"/>
        <w:ind w:right="3851"/>
        <w:jc w:val="left"/>
      </w:pPr>
      <w:r>
        <w:rPr/>
        <w:t>确定该组合依据的说明：</w:t>
      </w:r>
      <w:r>
        <w:rPr>
          <w:w w:val="100"/>
        </w:rPr>
        <w:t> </w:t>
      </w:r>
      <w:r>
        <w:rPr/>
        <w:t>本公司以账龄为信用风险特征组合的确定依据。</w:t>
      </w:r>
      <w:r>
        <w:rPr>
          <w:w w:val="100"/>
        </w:rPr>
        <w:t> </w:t>
      </w:r>
      <w:r>
        <w:rPr>
          <w:spacing w:val="-2"/>
        </w:rPr>
        <w:t>组合中，采用余额百分比法计提坏账准备的应收账款：</w:t>
      </w:r>
    </w:p>
    <w:p>
      <w:pPr>
        <w:pStyle w:val="BodyText"/>
        <w:spacing w:line="240" w:lineRule="auto" w:before="12"/>
        <w:ind w:right="289"/>
        <w:jc w:val="left"/>
      </w:pPr>
      <w:r>
        <w:rPr/>
        <w:t>□适用</w:t>
      </w:r>
      <w:r>
        <w:rPr>
          <w:spacing w:val="-1"/>
        </w:rPr>
        <w:t> </w:t>
      </w:r>
      <w:r>
        <w:rPr/>
        <w:t>√不适用</w:t>
      </w:r>
    </w:p>
    <w:p>
      <w:pPr>
        <w:spacing w:after="0" w:line="240" w:lineRule="auto"/>
        <w:jc w:val="left"/>
        <w:sectPr>
          <w:type w:val="continuous"/>
          <w:pgSz w:w="11910" w:h="16840"/>
          <w:pgMar w:top="1120" w:bottom="1380" w:left="1580" w:right="920"/>
        </w:sectPr>
      </w:pPr>
    </w:p>
    <w:p>
      <w:pPr>
        <w:spacing w:line="240" w:lineRule="auto" w:before="1"/>
        <w:rPr>
          <w:rFonts w:ascii="宋体" w:hAnsi="宋体" w:cs="宋体" w:eastAsia="宋体" w:hint="default"/>
          <w:sz w:val="25"/>
          <w:szCs w:val="25"/>
        </w:rPr>
      </w:pPr>
    </w:p>
    <w:p>
      <w:pPr>
        <w:pStyle w:val="BodyText"/>
        <w:spacing w:line="240" w:lineRule="auto" w:before="36"/>
        <w:ind w:left="258" w:right="289"/>
        <w:jc w:val="left"/>
      </w:pPr>
      <w:r>
        <w:rPr/>
        <w:t>组合中，采用其他方法计提坏账准备的应收账款：</w:t>
      </w:r>
    </w:p>
    <w:p>
      <w:pPr>
        <w:pStyle w:val="BodyText"/>
        <w:spacing w:line="290" w:lineRule="auto" w:before="58"/>
        <w:ind w:left="258" w:right="3851"/>
        <w:jc w:val="left"/>
      </w:pPr>
      <w:r>
        <w:rPr/>
        <w:t>√适用</w:t>
      </w:r>
      <w:r>
        <w:rPr>
          <w:spacing w:val="-2"/>
        </w:rPr>
        <w:t> </w:t>
      </w:r>
      <w:r>
        <w:rPr/>
        <w:t>□不适用</w:t>
      </w:r>
      <w:r>
        <w:rPr>
          <w:w w:val="100"/>
        </w:rPr>
        <w:t> </w:t>
      </w:r>
      <w:r>
        <w:rPr>
          <w:spacing w:val="-2"/>
        </w:rPr>
        <w:t>采用个别认定法计提坏账准备的应收账款</w:t>
      </w:r>
    </w:p>
    <w:tbl>
      <w:tblPr>
        <w:tblW w:w="0" w:type="auto"/>
        <w:jc w:val="left"/>
        <w:tblInd w:w="145" w:type="dxa"/>
        <w:tblLayout w:type="fixed"/>
        <w:tblCellMar>
          <w:top w:w="0" w:type="dxa"/>
          <w:left w:w="0" w:type="dxa"/>
          <w:bottom w:w="0" w:type="dxa"/>
          <w:right w:w="0" w:type="dxa"/>
        </w:tblCellMar>
        <w:tblLook w:val="01E0"/>
      </w:tblPr>
      <w:tblGrid>
        <w:gridCol w:w="2542"/>
        <w:gridCol w:w="1980"/>
        <w:gridCol w:w="1414"/>
        <w:gridCol w:w="1417"/>
        <w:gridCol w:w="1697"/>
      </w:tblGrid>
      <w:tr>
        <w:trPr>
          <w:trHeight w:val="350"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35"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63"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83"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350"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07" w:right="0"/>
              <w:jc w:val="left"/>
              <w:rPr>
                <w:rFonts w:ascii="宋体" w:hAnsi="宋体" w:cs="宋体" w:eastAsia="宋体" w:hint="default"/>
                <w:sz w:val="21"/>
                <w:szCs w:val="21"/>
              </w:rPr>
            </w:pPr>
            <w:r>
              <w:rPr>
                <w:rFonts w:ascii="宋体"/>
                <w:sz w:val="21"/>
              </w:rPr>
              <w:t>9,308,559.90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无坏账风险</w:t>
            </w:r>
          </w:p>
        </w:tc>
      </w:tr>
      <w:tr>
        <w:trPr>
          <w:trHeight w:val="350" w:hRule="exact"/>
        </w:trPr>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07" w:right="0"/>
              <w:jc w:val="left"/>
              <w:rPr>
                <w:rFonts w:ascii="宋体" w:hAnsi="宋体" w:cs="宋体" w:eastAsia="宋体" w:hint="default"/>
                <w:sz w:val="21"/>
                <w:szCs w:val="21"/>
              </w:rPr>
            </w:pPr>
            <w:r>
              <w:rPr>
                <w:rFonts w:ascii="宋体"/>
                <w:sz w:val="21"/>
              </w:rPr>
              <w:t>9,308,559.90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bl>
    <w:p>
      <w:pPr>
        <w:pStyle w:val="Heading2"/>
        <w:spacing w:line="240" w:lineRule="auto" w:before="14"/>
        <w:ind w:left="258" w:right="289"/>
        <w:jc w:val="left"/>
        <w:rPr>
          <w:b w:val="0"/>
          <w:bCs w:val="0"/>
        </w:rPr>
      </w:pPr>
      <w:r>
        <w:rPr>
          <w:rFonts w:ascii="宋体" w:hAnsi="宋体" w:cs="宋体" w:eastAsia="宋体" w:hint="default"/>
        </w:rPr>
        <w:t>(2).</w:t>
      </w:r>
      <w:r>
        <w:rPr/>
        <w:t>本期计提、收回或转回的坏账准备情况</w:t>
      </w:r>
      <w:r>
        <w:rPr>
          <w:b w:val="0"/>
          <w:bCs w:val="0"/>
        </w:rPr>
      </w:r>
    </w:p>
    <w:p>
      <w:pPr>
        <w:pStyle w:val="BodyText"/>
        <w:spacing w:line="240" w:lineRule="auto" w:before="56"/>
        <w:ind w:left="678" w:right="289"/>
        <w:jc w:val="left"/>
      </w:pPr>
      <w:r>
        <w:rPr/>
        <w:t>本期计提坏账准备金额</w:t>
      </w:r>
      <w:r>
        <w:rPr>
          <w:spacing w:val="-54"/>
        </w:rPr>
        <w:t> </w:t>
      </w:r>
      <w:r>
        <w:rPr>
          <w:rFonts w:ascii="宋体" w:hAnsi="宋体" w:cs="宋体" w:eastAsia="宋体" w:hint="default"/>
        </w:rPr>
        <w:t>57,126,803.71</w:t>
      </w:r>
      <w:r>
        <w:rPr>
          <w:rFonts w:ascii="宋体" w:hAnsi="宋体" w:cs="宋体" w:eastAsia="宋体" w:hint="default"/>
          <w:spacing w:val="-55"/>
        </w:rPr>
        <w:t> </w:t>
      </w:r>
      <w:r>
        <w:rPr/>
        <w:t>元；本期收回或转回坏账准备金额</w:t>
      </w:r>
      <w:r>
        <w:rPr>
          <w:spacing w:val="-54"/>
        </w:rPr>
        <w:t> </w:t>
      </w:r>
      <w:r>
        <w:rPr>
          <w:rFonts w:ascii="宋体" w:hAnsi="宋体" w:cs="宋体" w:eastAsia="宋体" w:hint="default"/>
        </w:rPr>
        <w:t>152,778.00</w:t>
      </w:r>
      <w:r>
        <w:rPr>
          <w:rFonts w:ascii="宋体" w:hAnsi="宋体" w:cs="宋体" w:eastAsia="宋体" w:hint="default"/>
          <w:spacing w:val="-57"/>
        </w:rPr>
        <w:t> </w:t>
      </w:r>
      <w:r>
        <w:rPr/>
        <w:t>元。</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540" w:right="960"/>
        </w:sectPr>
      </w:pPr>
    </w:p>
    <w:p>
      <w:pPr>
        <w:pStyle w:val="BodyText"/>
        <w:spacing w:line="275" w:lineRule="exact" w:before="36"/>
        <w:ind w:left="258" w:right="0"/>
        <w:jc w:val="left"/>
      </w:pPr>
      <w:r>
        <w:rPr>
          <w:spacing w:val="-2"/>
        </w:rPr>
        <w:t>其中本期坏账准备收回或转回金额重要的：</w:t>
      </w:r>
    </w:p>
    <w:p>
      <w:pPr>
        <w:spacing w:line="290" w:lineRule="auto" w:before="0"/>
        <w:ind w:left="258" w:right="81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pStyle w:val="BodyText"/>
        <w:spacing w:line="240" w:lineRule="auto" w:before="14"/>
        <w:ind w:left="2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960"/>
          <w:cols w:num="2" w:equalWidth="0">
            <w:col w:w="4253" w:space="2269"/>
            <w:col w:w="2888"/>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273"/>
        <w:gridCol w:w="4777"/>
      </w:tblGrid>
      <w:tr>
        <w:trPr>
          <w:trHeight w:val="348"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350"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47,222.00</w:t>
            </w:r>
          </w:p>
        </w:tc>
      </w:tr>
    </w:tbl>
    <w:p>
      <w:pPr>
        <w:spacing w:line="240" w:lineRule="auto" w:before="7"/>
        <w:rPr>
          <w:rFonts w:ascii="宋体" w:hAnsi="宋体" w:cs="宋体" w:eastAsia="宋体" w:hint="default"/>
          <w:sz w:val="15"/>
          <w:szCs w:val="15"/>
        </w:rPr>
      </w:pPr>
    </w:p>
    <w:p>
      <w:pPr>
        <w:pStyle w:val="BodyText"/>
        <w:spacing w:line="273" w:lineRule="exact" w:before="36"/>
        <w:ind w:left="258" w:right="289"/>
        <w:jc w:val="left"/>
      </w:pPr>
      <w:r>
        <w:rPr/>
        <w:t>其中重要的应收账款核销情况</w:t>
      </w:r>
    </w:p>
    <w:p>
      <w:pPr>
        <w:spacing w:line="290" w:lineRule="auto" w:before="0"/>
        <w:ind w:left="258" w:right="38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按欠款方归集的期末余额前五名的应收账款情况</w:t>
      </w:r>
      <w:r>
        <w:rPr>
          <w:rFonts w:ascii="宋体" w:hAnsi="宋体" w:cs="宋体" w:eastAsia="宋体" w:hint="default"/>
          <w:spacing w:val="-1"/>
          <w:sz w:val="21"/>
          <w:szCs w:val="21"/>
        </w:rPr>
      </w:r>
    </w:p>
    <w:p>
      <w:pPr>
        <w:pStyle w:val="BodyText"/>
        <w:tabs>
          <w:tab w:pos="1100" w:val="left" w:leader="none"/>
        </w:tabs>
        <w:spacing w:line="274" w:lineRule="exact" w:before="12"/>
        <w:ind w:left="258" w:right="289"/>
        <w:jc w:val="left"/>
      </w:pPr>
      <w:r>
        <w:rPr>
          <w:spacing w:val="-1"/>
        </w:rPr>
        <w:t>√适用</w:t>
        <w:tab/>
      </w:r>
      <w:r>
        <w:rPr>
          <w:spacing w:val="-2"/>
        </w:rPr>
        <w:t>□不适用</w:t>
      </w:r>
    </w:p>
    <w:p>
      <w:pPr>
        <w:pStyle w:val="BodyText"/>
        <w:spacing w:line="355" w:lineRule="auto"/>
        <w:ind w:left="258" w:right="101" w:firstLine="419"/>
        <w:jc w:val="left"/>
      </w:pPr>
      <w:r>
        <w:rPr>
          <w:spacing w:val="-2"/>
          <w:w w:val="100"/>
        </w:rPr>
        <w:t>本公司本年按欠款方归集的年末余额前五名应收账款汇总金额为</w:t>
      </w:r>
      <w:r>
        <w:rPr>
          <w:spacing w:val="-50"/>
          <w:w w:val="100"/>
        </w:rPr>
        <w:t> </w:t>
      </w:r>
      <w:r>
        <w:rPr>
          <w:rFonts w:ascii="宋体" w:hAnsi="宋体" w:cs="宋体" w:eastAsia="宋体" w:hint="default"/>
          <w:spacing w:val="-1"/>
          <w:w w:val="100"/>
        </w:rPr>
        <w:t>306,860,154.54</w:t>
      </w:r>
      <w:r>
        <w:rPr>
          <w:rFonts w:ascii="宋体" w:hAnsi="宋体" w:cs="宋体" w:eastAsia="宋体" w:hint="default"/>
          <w:spacing w:val="-52"/>
          <w:w w:val="100"/>
        </w:rPr>
        <w:t> </w:t>
      </w:r>
      <w:r>
        <w:rPr>
          <w:spacing w:val="-20"/>
          <w:w w:val="100"/>
        </w:rPr>
        <w:t>元，占应收</w:t>
      </w:r>
      <w:r>
        <w:rPr>
          <w:w w:val="100"/>
        </w:rPr>
        <w:t> </w:t>
      </w:r>
      <w:r>
        <w:rPr/>
        <w:t>账款年末余额合计数的比例为</w:t>
      </w:r>
      <w:r>
        <w:rPr>
          <w:spacing w:val="-68"/>
        </w:rPr>
        <w:t> </w:t>
      </w:r>
      <w:r>
        <w:rPr>
          <w:rFonts w:ascii="宋体" w:hAnsi="宋体" w:cs="宋体" w:eastAsia="宋体" w:hint="default"/>
        </w:rPr>
        <w:t>41.38%</w:t>
      </w:r>
      <w:r>
        <w:rPr/>
        <w:t>相应计提的坏账准备年末余额汇总金额为</w:t>
      </w:r>
      <w:r>
        <w:rPr>
          <w:spacing w:val="-68"/>
        </w:rPr>
        <w:t> </w:t>
      </w:r>
      <w:r>
        <w:rPr>
          <w:rFonts w:ascii="宋体" w:hAnsi="宋体" w:cs="宋体" w:eastAsia="宋体" w:hint="default"/>
        </w:rPr>
        <w:t>15,891,122.38</w:t>
      </w:r>
      <w:r>
        <w:rPr>
          <w:rFonts w:ascii="宋体" w:hAnsi="宋体" w:cs="宋体" w:eastAsia="宋体" w:hint="default"/>
          <w:spacing w:val="-71"/>
        </w:rPr>
        <w:t> </w:t>
      </w:r>
      <w:r>
        <w:rPr>
          <w:spacing w:val="-3"/>
        </w:rPr>
        <w:t>元。</w:t>
      </w:r>
      <w:r>
        <w:rPr/>
      </w:r>
    </w:p>
    <w:p>
      <w:pPr>
        <w:pStyle w:val="Heading2"/>
        <w:spacing w:line="240" w:lineRule="auto" w:before="152"/>
        <w:ind w:left="258" w:right="289"/>
        <w:jc w:val="left"/>
        <w:rPr>
          <w:b w:val="0"/>
          <w:bCs w:val="0"/>
        </w:rPr>
      </w:pPr>
      <w:r>
        <w:rPr>
          <w:rFonts w:ascii="宋体" w:hAnsi="宋体" w:cs="宋体" w:eastAsia="宋体" w:hint="default"/>
        </w:rPr>
        <w:t>(5).</w:t>
      </w:r>
      <w:r>
        <w:rPr/>
        <w:t>因金融资产转移而终止确认的应收账款</w:t>
      </w:r>
      <w:r>
        <w:rPr>
          <w:b w:val="0"/>
          <w:bCs w:val="0"/>
        </w:rPr>
      </w:r>
    </w:p>
    <w:p>
      <w:pPr>
        <w:tabs>
          <w:tab w:pos="1100" w:val="left" w:leader="none"/>
        </w:tabs>
        <w:spacing w:line="290" w:lineRule="auto" w:before="58"/>
        <w:ind w:left="258" w:right="4292"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pStyle w:val="BodyText"/>
        <w:tabs>
          <w:tab w:pos="1100" w:val="left" w:leader="none"/>
        </w:tabs>
        <w:spacing w:line="240" w:lineRule="auto" w:before="14"/>
        <w:ind w:left="258" w:right="289"/>
        <w:jc w:val="left"/>
      </w:pPr>
      <w:r>
        <w:rPr>
          <w:spacing w:val="-1"/>
        </w:rPr>
        <w:t>□适用</w:t>
        <w:tab/>
      </w:r>
      <w:r>
        <w:rPr>
          <w:spacing w:val="-2"/>
        </w:rPr>
        <w:t>√不适用</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40" w:right="960"/>
        </w:sectPr>
      </w:pPr>
    </w:p>
    <w:p>
      <w:pPr>
        <w:pStyle w:val="BodyText"/>
        <w:spacing w:line="273" w:lineRule="exact" w:before="36"/>
        <w:ind w:left="258" w:right="-18"/>
        <w:jc w:val="left"/>
      </w:pPr>
      <w:r>
        <w:rPr/>
        <w:t>其他说明：</w:t>
      </w:r>
    </w:p>
    <w:p>
      <w:pPr>
        <w:spacing w:line="290" w:lineRule="auto" w:before="0"/>
        <w:ind w:left="258" w:right="-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b/>
          <w:bCs/>
          <w:sz w:val="21"/>
          <w:szCs w:val="21"/>
        </w:rPr>
        <w:t>总表情况</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sz w:val="21"/>
          <w:szCs w:val="21"/>
        </w:rPr>
      </w:r>
    </w:p>
    <w:p>
      <w:pPr>
        <w:pStyle w:val="BodyText"/>
        <w:spacing w:line="240" w:lineRule="auto" w:before="12"/>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960"/>
          <w:cols w:num="2" w:equalWidth="0">
            <w:col w:w="1835" w:space="4686"/>
            <w:col w:w="2889"/>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250"/>
        <w:gridCol w:w="2885"/>
        <w:gridCol w:w="2871"/>
      </w:tblGrid>
      <w:tr>
        <w:trPr>
          <w:trHeight w:val="28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7"/>
              <w:jc w:val="right"/>
              <w:rPr>
                <w:rFonts w:ascii="宋体" w:hAnsi="宋体" w:cs="宋体" w:eastAsia="宋体" w:hint="default"/>
                <w:sz w:val="21"/>
                <w:szCs w:val="21"/>
              </w:rPr>
            </w:pPr>
            <w:r>
              <w:rPr>
                <w:rFonts w:ascii="宋体" w:hAnsi="宋体" w:cs="宋体" w:eastAsia="宋体" w:hint="default"/>
                <w:sz w:val="21"/>
                <w:szCs w:val="21"/>
              </w:rPr>
              <w:t>项目</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5,593,294.54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3,243,172.79</w:t>
            </w:r>
          </w:p>
        </w:tc>
      </w:tr>
      <w:tr>
        <w:trPr>
          <w:trHeight w:val="28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14,727,344.96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49,124,596.81</w:t>
            </w:r>
          </w:p>
        </w:tc>
      </w:tr>
      <w:tr>
        <w:trPr>
          <w:trHeight w:val="281"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7"/>
              <w:jc w:val="right"/>
              <w:rPr>
                <w:rFonts w:ascii="宋体" w:hAnsi="宋体" w:cs="宋体" w:eastAsia="宋体" w:hint="default"/>
                <w:sz w:val="21"/>
                <w:szCs w:val="21"/>
              </w:rPr>
            </w:pPr>
            <w:r>
              <w:rPr>
                <w:rFonts w:ascii="宋体" w:hAnsi="宋体" w:cs="宋体" w:eastAsia="宋体" w:hint="default"/>
                <w:sz w:val="21"/>
                <w:szCs w:val="21"/>
              </w:rPr>
              <w:t>合计</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20,320,639.50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52,367,769.60</w:t>
            </w:r>
          </w:p>
        </w:tc>
      </w:tr>
    </w:tbl>
    <w:p>
      <w:pPr>
        <w:spacing w:line="240" w:lineRule="auto" w:before="7"/>
        <w:rPr>
          <w:rFonts w:ascii="宋体" w:hAnsi="宋体" w:cs="宋体" w:eastAsia="宋体" w:hint="default"/>
          <w:sz w:val="15"/>
          <w:szCs w:val="15"/>
        </w:rPr>
      </w:pPr>
    </w:p>
    <w:p>
      <w:pPr>
        <w:pStyle w:val="BodyText"/>
        <w:spacing w:line="273" w:lineRule="exact" w:before="36"/>
        <w:ind w:left="258" w:right="289"/>
        <w:jc w:val="left"/>
      </w:pPr>
      <w:r>
        <w:rPr/>
        <w:t>其他说明：</w:t>
      </w:r>
    </w:p>
    <w:p>
      <w:pPr>
        <w:pStyle w:val="BodyText"/>
        <w:spacing w:line="273" w:lineRule="exact"/>
        <w:ind w:left="258" w:right="289"/>
        <w:jc w:val="left"/>
      </w:pPr>
      <w:r>
        <w:rPr/>
        <w:t>□适用</w:t>
      </w:r>
      <w:r>
        <w:rPr>
          <w:spacing w:val="-1"/>
        </w:rPr>
        <w:t> </w:t>
      </w:r>
      <w:r>
        <w:rPr/>
        <w:t>√不适用</w:t>
      </w:r>
    </w:p>
    <w:p>
      <w:pPr>
        <w:spacing w:after="0" w:line="273" w:lineRule="exact"/>
        <w:jc w:val="left"/>
        <w:sectPr>
          <w:type w:val="continuous"/>
          <w:pgSz w:w="11910" w:h="16840"/>
          <w:pgMar w:top="1120" w:bottom="1380" w:left="1540" w:right="9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40" w:right="1120"/>
        </w:sectPr>
      </w:pPr>
    </w:p>
    <w:p>
      <w:pPr>
        <w:pStyle w:val="Heading2"/>
        <w:spacing w:line="290" w:lineRule="auto"/>
        <w:ind w:left="258" w:right="-14"/>
        <w:jc w:val="left"/>
        <w:rPr>
          <w:b w:val="0"/>
          <w:bCs w:val="0"/>
        </w:rPr>
      </w:pPr>
      <w:r>
        <w:rPr/>
        <w:t>应收利息</w:t>
      </w:r>
      <w:r>
        <w:rPr>
          <w:w w:val="100"/>
        </w:rPr>
        <w:t> </w:t>
      </w:r>
      <w:r>
        <w:rPr>
          <w:rFonts w:ascii="宋体" w:hAnsi="宋体" w:cs="宋体" w:eastAsia="宋体" w:hint="default"/>
        </w:rPr>
        <w:t>(1).</w:t>
      </w:r>
      <w:r>
        <w:rPr/>
        <w:t>应收利息分类</w:t>
      </w:r>
      <w:r>
        <w:rPr>
          <w:b w:val="0"/>
          <w:bCs w:val="0"/>
        </w:rPr>
      </w:r>
    </w:p>
    <w:p>
      <w:pPr>
        <w:pStyle w:val="BodyText"/>
        <w:spacing w:line="240" w:lineRule="auto" w:before="12"/>
        <w:ind w:left="258" w:right="-14"/>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120"/>
          <w:cols w:num="2" w:equalWidth="0">
            <w:col w:w="1953" w:space="4569"/>
            <w:col w:w="272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90"/>
        <w:gridCol w:w="3051"/>
        <w:gridCol w:w="3065"/>
      </w:tblGrid>
      <w:tr>
        <w:trPr>
          <w:trHeight w:val="28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7"/>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5,593,294.54</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pacing w:val="-1"/>
                <w:sz w:val="21"/>
              </w:rPr>
              <w:t>3,243,172.79</w:t>
            </w:r>
          </w:p>
        </w:tc>
      </w:tr>
      <w:tr>
        <w:trPr>
          <w:trHeight w:val="281"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7"/>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5,593,294.54</w:t>
            </w:r>
          </w:p>
        </w:tc>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pacing w:val="-1"/>
                <w:sz w:val="21"/>
              </w:rPr>
              <w:t>3,243,172.79</w:t>
            </w:r>
          </w:p>
        </w:tc>
      </w:tr>
    </w:tbl>
    <w:p>
      <w:pPr>
        <w:spacing w:line="240" w:lineRule="auto" w:before="2"/>
        <w:rPr>
          <w:rFonts w:ascii="宋体" w:hAnsi="宋体" w:cs="宋体" w:eastAsia="宋体" w:hint="default"/>
          <w:sz w:val="20"/>
          <w:szCs w:val="20"/>
        </w:rPr>
      </w:pPr>
    </w:p>
    <w:p>
      <w:pPr>
        <w:pStyle w:val="Heading2"/>
        <w:spacing w:line="240" w:lineRule="auto"/>
        <w:ind w:left="258" w:right="5590"/>
        <w:jc w:val="left"/>
        <w:rPr>
          <w:b w:val="0"/>
          <w:bCs w:val="0"/>
        </w:rPr>
      </w:pPr>
      <w:r>
        <w:rPr>
          <w:rFonts w:ascii="宋体" w:hAnsi="宋体" w:cs="宋体" w:eastAsia="宋体" w:hint="default"/>
        </w:rPr>
        <w:t>(2).</w:t>
      </w:r>
      <w:r>
        <w:rPr/>
        <w:t>重要逾期利息</w:t>
      </w:r>
      <w:r>
        <w:rPr>
          <w:b w:val="0"/>
          <w:bCs w:val="0"/>
        </w:rPr>
      </w:r>
    </w:p>
    <w:p>
      <w:pPr>
        <w:pStyle w:val="BodyText"/>
        <w:spacing w:line="240" w:lineRule="auto" w:before="56"/>
        <w:ind w:left="258" w:right="7394"/>
        <w:jc w:val="left"/>
      </w:pPr>
      <w:r>
        <w:rPr/>
        <w:t>□适用</w:t>
      </w:r>
      <w:r>
        <w:rPr>
          <w:spacing w:val="-1"/>
        </w:rPr>
        <w:t> </w:t>
      </w:r>
      <w:r>
        <w:rPr/>
        <w:t>√不适用</w:t>
      </w:r>
      <w:r>
        <w:rPr>
          <w:w w:val="100"/>
        </w:rPr>
        <w:t> </w:t>
      </w:r>
      <w:r>
        <w:rPr/>
        <w:t>其他说明：</w:t>
      </w:r>
    </w:p>
    <w:p>
      <w:pPr>
        <w:pStyle w:val="BodyText"/>
        <w:spacing w:line="272" w:lineRule="exact"/>
        <w:ind w:left="258" w:right="559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90" w:lineRule="auto" w:before="0"/>
        <w:ind w:left="258" w:right="7701"/>
        <w:jc w:val="left"/>
        <w:rPr>
          <w:b w:val="0"/>
          <w:bCs w:val="0"/>
        </w:rPr>
      </w:pPr>
      <w:r>
        <w:rPr/>
        <w:t>应收股利</w:t>
      </w:r>
      <w:r>
        <w:rPr>
          <w:w w:val="100"/>
        </w:rPr>
        <w:t> </w:t>
      </w:r>
      <w:r>
        <w:rPr>
          <w:rFonts w:ascii="宋体" w:hAnsi="宋体" w:cs="宋体" w:eastAsia="宋体" w:hint="default"/>
        </w:rPr>
        <w:t>(1).</w:t>
      </w:r>
      <w:r>
        <w:rPr/>
        <w:t>应收股利</w:t>
      </w:r>
      <w:r>
        <w:rPr>
          <w:b w:val="0"/>
          <w:bCs w:val="0"/>
        </w:rPr>
      </w:r>
    </w:p>
    <w:p>
      <w:pPr>
        <w:spacing w:line="290" w:lineRule="auto" w:before="12"/>
        <w:ind w:left="258" w:right="559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1"/>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pStyle w:val="BodyText"/>
        <w:spacing w:line="240" w:lineRule="auto" w:before="12"/>
        <w:ind w:left="258" w:right="7394"/>
        <w:jc w:val="left"/>
      </w:pPr>
      <w:r>
        <w:rPr/>
        <w:t>□适用</w:t>
      </w:r>
      <w:r>
        <w:rPr>
          <w:spacing w:val="-1"/>
        </w:rPr>
        <w:t> </w:t>
      </w:r>
      <w:r>
        <w:rPr/>
        <w:t>√不适用</w:t>
      </w:r>
      <w:r>
        <w:rPr>
          <w:w w:val="100"/>
        </w:rPr>
        <w:t> </w:t>
      </w:r>
      <w:r>
        <w:rPr/>
        <w:t>其他说明：</w:t>
      </w:r>
    </w:p>
    <w:p>
      <w:pPr>
        <w:pStyle w:val="BodyText"/>
        <w:spacing w:line="271" w:lineRule="exact"/>
        <w:ind w:left="258" w:right="5590"/>
        <w:jc w:val="left"/>
      </w:pPr>
      <w:r>
        <w:rPr/>
        <w:t>□适用</w:t>
      </w:r>
      <w:r>
        <w:rPr>
          <w:spacing w:val="-1"/>
        </w:rPr>
        <w:t> </w:t>
      </w:r>
      <w:r>
        <w:rPr/>
        <w:t>√不适用</w:t>
      </w:r>
    </w:p>
    <w:p>
      <w:pPr>
        <w:spacing w:after="0" w:line="271" w:lineRule="exact"/>
        <w:jc w:val="left"/>
        <w:sectPr>
          <w:type w:val="continuous"/>
          <w:pgSz w:w="11910" w:h="16840"/>
          <w:pgMar w:top="1120" w:bottom="1380" w:left="1540" w:right="1120"/>
        </w:sectPr>
      </w:pPr>
    </w:p>
    <w:p>
      <w:pPr>
        <w:spacing w:before="20"/>
        <w:ind w:left="6395" w:right="641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89"/>
          <w:footerReference w:type="default" r:id="rId90"/>
          <w:pgSz w:w="16840" w:h="11910" w:orient="landscape"/>
          <w:pgMar w:header="0" w:footer="0" w:top="800" w:bottom="280" w:left="1300" w:right="1380"/>
        </w:sectPr>
      </w:pPr>
    </w:p>
    <w:p>
      <w:pPr>
        <w:pStyle w:val="Heading2"/>
        <w:spacing w:line="240" w:lineRule="auto"/>
        <w:ind w:left="140" w:right="-19"/>
        <w:jc w:val="left"/>
        <w:rPr>
          <w:b w:val="0"/>
          <w:bCs w:val="0"/>
        </w:rPr>
      </w:pPr>
      <w:r>
        <w:rPr/>
        <w:t>其他应收款</w:t>
      </w:r>
      <w:r>
        <w:rPr>
          <w:b w:val="0"/>
          <w:bCs w:val="0"/>
        </w:rPr>
      </w:r>
    </w:p>
    <w:p>
      <w:pPr>
        <w:pStyle w:val="Heading2"/>
        <w:spacing w:line="240" w:lineRule="auto" w:before="56"/>
        <w:ind w:left="140"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pStyle w:val="BodyText"/>
        <w:tabs>
          <w:tab w:pos="982" w:val="left" w:leader="none"/>
        </w:tabs>
        <w:spacing w:line="240" w:lineRule="auto" w:before="58"/>
        <w:ind w:left="140" w:right="-19"/>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191" w:val="left" w:leader="none"/>
        </w:tabs>
        <w:spacing w:line="240" w:lineRule="auto"/>
        <w:ind w:left="140" w:right="0"/>
        <w:jc w:val="left"/>
      </w:pPr>
      <w:r>
        <w:rPr>
          <w:spacing w:val="-1"/>
        </w:rPr>
        <w:t>单位：元</w:t>
        <w:tab/>
        <w:t>币种：人民币</w:t>
      </w:r>
    </w:p>
    <w:p>
      <w:pPr>
        <w:spacing w:after="0" w:line="240" w:lineRule="auto"/>
        <w:jc w:val="left"/>
        <w:sectPr>
          <w:type w:val="continuous"/>
          <w:pgSz w:w="16840" w:h="11910" w:orient="landscape"/>
          <w:pgMar w:top="1120" w:bottom="1380" w:left="1300" w:right="1380"/>
          <w:cols w:num="2" w:equalWidth="0">
            <w:col w:w="2570" w:space="8993"/>
            <w:col w:w="259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735"/>
        <w:gridCol w:w="1426"/>
        <w:gridCol w:w="775"/>
        <w:gridCol w:w="437"/>
        <w:gridCol w:w="1035"/>
        <w:gridCol w:w="1428"/>
        <w:gridCol w:w="1429"/>
        <w:gridCol w:w="773"/>
        <w:gridCol w:w="437"/>
        <w:gridCol w:w="1037"/>
        <w:gridCol w:w="1426"/>
      </w:tblGrid>
      <w:tr>
        <w:trPr>
          <w:trHeight w:val="293" w:hRule="exact"/>
        </w:trPr>
        <w:tc>
          <w:tcPr>
            <w:tcW w:w="373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1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10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735" w:type="dxa"/>
            <w:vMerge/>
            <w:tcBorders>
              <w:left w:val="single" w:sz="4" w:space="0" w:color="000000"/>
              <w:right w:val="single" w:sz="4" w:space="0" w:color="000000"/>
            </w:tcBorders>
          </w:tcPr>
          <w:p>
            <w:pP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8" w:type="dxa"/>
            <w:vMerge w:val="restart"/>
            <w:tcBorders>
              <w:top w:val="single" w:sz="4" w:space="0" w:color="000000"/>
              <w:left w:val="single" w:sz="4" w:space="0" w:color="000000"/>
              <w:right w:val="single" w:sz="4" w:space="0" w:color="000000"/>
            </w:tcBorders>
          </w:tcPr>
          <w:p>
            <w:pPr>
              <w:pStyle w:val="TableParagraph"/>
              <w:spacing w:line="272" w:lineRule="exact" w:before="135"/>
              <w:ind w:left="499" w:right="494"/>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26" w:type="dxa"/>
            <w:vMerge w:val="restart"/>
            <w:tcBorders>
              <w:top w:val="single" w:sz="4" w:space="0" w:color="000000"/>
              <w:left w:val="single" w:sz="4" w:space="0" w:color="000000"/>
              <w:right w:val="single" w:sz="4" w:space="0" w:color="000000"/>
            </w:tcBorders>
          </w:tcPr>
          <w:p>
            <w:pPr>
              <w:pStyle w:val="TableParagraph"/>
              <w:spacing w:line="272" w:lineRule="exact" w:before="135"/>
              <w:ind w:left="499" w:right="492"/>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557" w:hRule="exact"/>
        </w:trPr>
        <w:tc>
          <w:tcPr>
            <w:tcW w:w="3735"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2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25" w:right="0"/>
              <w:jc w:val="left"/>
              <w:rPr>
                <w:rFonts w:ascii="宋体" w:hAnsi="宋体" w:cs="宋体" w:eastAsia="宋体" w:hint="default"/>
                <w:sz w:val="21"/>
                <w:szCs w:val="21"/>
              </w:rPr>
            </w:pPr>
            <w:r>
              <w:rPr>
                <w:rFonts w:ascii="宋体"/>
                <w:sz w:val="21"/>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金</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2" w:right="0"/>
              <w:jc w:val="center"/>
              <w:rPr>
                <w:rFonts w:ascii="宋体" w:hAnsi="宋体" w:cs="宋体" w:eastAsia="宋体" w:hint="default"/>
                <w:sz w:val="21"/>
                <w:szCs w:val="21"/>
              </w:rPr>
            </w:pPr>
            <w:r>
              <w:rPr>
                <w:rFonts w:ascii="宋体"/>
                <w:sz w:val="21"/>
              </w:rPr>
              <w:t>(%)</w:t>
            </w:r>
          </w:p>
        </w:tc>
        <w:tc>
          <w:tcPr>
            <w:tcW w:w="1428" w:type="dxa"/>
            <w:vMerge/>
            <w:tcBorders>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2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223" w:right="0"/>
              <w:jc w:val="left"/>
              <w:rPr>
                <w:rFonts w:ascii="宋体" w:hAnsi="宋体" w:cs="宋体" w:eastAsia="宋体" w:hint="default"/>
                <w:sz w:val="21"/>
                <w:szCs w:val="21"/>
              </w:rPr>
            </w:pPr>
            <w:r>
              <w:rPr>
                <w:rFonts w:ascii="宋体"/>
                <w:sz w:val="21"/>
              </w:rPr>
              <w:t>(%)</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金</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1426" w:type="dxa"/>
            <w:vMerge/>
            <w:tcBorders>
              <w:left w:val="single" w:sz="4" w:space="0" w:color="000000"/>
              <w:bottom w:val="single" w:sz="4" w:space="0" w:color="000000"/>
              <w:right w:val="single" w:sz="4" w:space="0" w:color="000000"/>
            </w:tcBorders>
          </w:tcPr>
          <w:p>
            <w:pPr/>
          </w:p>
        </w:tc>
      </w:tr>
      <w:tr>
        <w:trPr>
          <w:trHeight w:val="554"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单项金额重大并单独计提坏账准备的其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他应收款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按信用风险特征组合计提坏账准备的其</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他应收款</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14,727,344.96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 w:right="0"/>
              <w:jc w:val="center"/>
              <w:rPr>
                <w:rFonts w:ascii="宋体" w:hAnsi="宋体" w:cs="宋体" w:eastAsia="宋体" w:hint="default"/>
                <w:sz w:val="21"/>
                <w:szCs w:val="21"/>
              </w:rPr>
            </w:pPr>
            <w:r>
              <w:rPr>
                <w:rFonts w:ascii="宋体"/>
                <w:sz w:val="21"/>
              </w:rPr>
              <w:t>100.00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14,727,344.96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49,124,596.81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1" w:right="0"/>
              <w:jc w:val="center"/>
              <w:rPr>
                <w:rFonts w:ascii="宋体" w:hAnsi="宋体" w:cs="宋体" w:eastAsia="宋体" w:hint="default"/>
                <w:sz w:val="21"/>
                <w:szCs w:val="21"/>
              </w:rPr>
            </w:pPr>
            <w:r>
              <w:rPr>
                <w:rFonts w:ascii="宋体"/>
                <w:sz w:val="21"/>
              </w:rPr>
              <w:t>100.00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sz w:val="21"/>
              </w:rPr>
              <w:t>49,124,596.81</w:t>
            </w:r>
          </w:p>
        </w:tc>
      </w:tr>
      <w:tr>
        <w:trPr>
          <w:trHeight w:val="554"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单项金额不重大但单独计提坏账准备的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2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14,727,344.96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4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w w:val="100"/>
                <w:sz w:val="21"/>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14,727,344.96</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49,124,596.81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43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49,124,596.81</w:t>
            </w:r>
          </w:p>
        </w:tc>
      </w:tr>
    </w:tbl>
    <w:p>
      <w:pPr>
        <w:spacing w:line="240" w:lineRule="auto" w:before="13"/>
        <w:rPr>
          <w:rFonts w:ascii="宋体" w:hAnsi="宋体" w:cs="宋体" w:eastAsia="宋体" w:hint="default"/>
          <w:sz w:val="19"/>
          <w:szCs w:val="19"/>
        </w:rPr>
      </w:pPr>
    </w:p>
    <w:p>
      <w:pPr>
        <w:pStyle w:val="BodyText"/>
        <w:spacing w:line="240" w:lineRule="auto" w:before="36"/>
        <w:ind w:left="140" w:right="0"/>
        <w:jc w:val="left"/>
      </w:pPr>
      <w:r>
        <w:rPr/>
        <w:t>期末单项金额重大并单项计提坏账准备的其他应收款：</w:t>
      </w:r>
    </w:p>
    <w:p>
      <w:pPr>
        <w:pStyle w:val="BodyText"/>
        <w:spacing w:line="240" w:lineRule="auto" w:before="58"/>
        <w:ind w:left="140" w:right="0"/>
        <w:jc w:val="left"/>
      </w:pPr>
      <w:r>
        <w:rPr/>
        <w:t>□适用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63"/>
        <w:ind w:left="6395" w:right="6399" w:firstLine="0"/>
        <w:jc w:val="center"/>
        <w:rPr>
          <w:rFonts w:ascii="Calibri" w:hAnsi="Calibri" w:cs="Calibri" w:eastAsia="Calibri" w:hint="default"/>
          <w:sz w:val="18"/>
          <w:szCs w:val="18"/>
        </w:rPr>
      </w:pPr>
      <w:r>
        <w:rPr>
          <w:rFonts w:ascii="Calibri"/>
          <w:b/>
          <w:sz w:val="18"/>
        </w:rPr>
        <w:t>176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8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91"/>
          <w:pgSz w:w="11910" w:h="16840"/>
          <w:pgMar w:footer="1195" w:header="0" w:top="1120" w:bottom="1380" w:left="1260" w:right="760"/>
          <w:pgNumType w:start="177"/>
        </w:sectPr>
      </w:pPr>
    </w:p>
    <w:p>
      <w:pPr>
        <w:pStyle w:val="BodyText"/>
        <w:spacing w:line="240" w:lineRule="auto" w:before="36"/>
        <w:ind w:left="538" w:right="0"/>
        <w:jc w:val="left"/>
      </w:pPr>
      <w:r>
        <w:rPr>
          <w:spacing w:val="-2"/>
        </w:rPr>
        <w:t>组合中，按账龄分析法计提坏账准备的其他应收款：</w:t>
      </w:r>
    </w:p>
    <w:p>
      <w:pPr>
        <w:pStyle w:val="BodyText"/>
        <w:spacing w:line="240" w:lineRule="auto" w:before="58"/>
        <w:ind w:left="5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760"/>
          <w:cols w:num="2" w:equalWidth="0">
            <w:col w:w="5373" w:space="1149"/>
            <w:col w:w="3368"/>
          </w:cols>
        </w:sectPr>
      </w:pPr>
    </w:p>
    <w:p>
      <w:pPr>
        <w:spacing w:line="240" w:lineRule="auto" w:before="7"/>
        <w:rPr>
          <w:rFonts w:ascii="宋体" w:hAnsi="宋体" w:cs="宋体" w:eastAsia="宋体" w:hint="default"/>
          <w:sz w:val="2"/>
          <w:szCs w:val="2"/>
        </w:rPr>
      </w:pPr>
    </w:p>
    <w:tbl>
      <w:tblPr>
        <w:tblW w:w="0" w:type="auto"/>
        <w:jc w:val="left"/>
        <w:tblInd w:w="166" w:type="dxa"/>
        <w:tblLayout w:type="fixed"/>
        <w:tblCellMar>
          <w:top w:w="0" w:type="dxa"/>
          <w:left w:w="0" w:type="dxa"/>
          <w:bottom w:w="0" w:type="dxa"/>
          <w:right w:w="0" w:type="dxa"/>
        </w:tblCellMar>
        <w:tblLook w:val="01E0"/>
      </w:tblPr>
      <w:tblGrid>
        <w:gridCol w:w="3543"/>
        <w:gridCol w:w="2170"/>
        <w:gridCol w:w="2026"/>
        <w:gridCol w:w="1829"/>
      </w:tblGrid>
      <w:tr>
        <w:trPr>
          <w:trHeight w:val="283" w:hRule="exact"/>
        </w:trPr>
        <w:tc>
          <w:tcPr>
            <w:tcW w:w="3543"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0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43" w:type="dxa"/>
            <w:vMerge/>
            <w:tcBorders>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70"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315,000.00</w:t>
            </w:r>
          </w:p>
        </w:tc>
        <w:tc>
          <w:tcPr>
            <w:tcW w:w="20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315,000.00</w:t>
            </w:r>
          </w:p>
        </w:tc>
        <w:tc>
          <w:tcPr>
            <w:tcW w:w="2026"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538" w:right="3011"/>
        <w:jc w:val="left"/>
      </w:pPr>
      <w:r>
        <w:rPr/>
        <w:t>确定该组合依据的说明：</w:t>
      </w:r>
    </w:p>
    <w:p>
      <w:pPr>
        <w:pStyle w:val="BodyText"/>
        <w:spacing w:line="290" w:lineRule="auto"/>
        <w:ind w:left="538" w:right="3011"/>
        <w:jc w:val="left"/>
      </w:pPr>
      <w:r>
        <w:rPr/>
        <w:t>本公司以账龄为信用风险特征组合的确定依据。</w:t>
      </w:r>
      <w:r>
        <w:rPr>
          <w:w w:val="100"/>
        </w:rPr>
        <w:t> </w:t>
      </w:r>
      <w:r>
        <w:rPr>
          <w:spacing w:val="-2"/>
        </w:rPr>
        <w:t>组合中，采用余额百分比法计提坏账准备的其他应收款：</w:t>
      </w:r>
    </w:p>
    <w:p>
      <w:pPr>
        <w:pStyle w:val="BodyText"/>
        <w:spacing w:line="290" w:lineRule="auto" w:before="15"/>
        <w:ind w:left="538" w:right="3011"/>
        <w:jc w:val="left"/>
      </w:pPr>
      <w:r>
        <w:rPr/>
        <w:t>□适用</w:t>
      </w:r>
      <w:r>
        <w:rPr>
          <w:spacing w:val="-2"/>
        </w:rPr>
        <w:t> </w:t>
      </w:r>
      <w:r>
        <w:rPr/>
        <w:t>√不适用</w:t>
      </w:r>
      <w:r>
        <w:rPr>
          <w:w w:val="100"/>
        </w:rPr>
        <w:t> </w:t>
      </w:r>
      <w:r>
        <w:rPr>
          <w:spacing w:val="-2"/>
        </w:rPr>
        <w:t>组合中，采用其他方法计提坏账准备的其他应收款：</w:t>
      </w:r>
    </w:p>
    <w:p>
      <w:pPr>
        <w:pStyle w:val="BodyText"/>
        <w:tabs>
          <w:tab w:pos="1380" w:val="left" w:leader="none"/>
        </w:tabs>
        <w:spacing w:line="272" w:lineRule="exact" w:before="42"/>
        <w:ind w:left="538" w:right="5352"/>
        <w:jc w:val="left"/>
      </w:pPr>
      <w:r>
        <w:rPr>
          <w:spacing w:val="-1"/>
        </w:rPr>
        <w:t>√适用</w:t>
        <w:tab/>
      </w:r>
      <w:r>
        <w:rPr>
          <w:spacing w:val="-2"/>
        </w:rPr>
        <w:t>□不适用</w:t>
      </w:r>
      <w:r>
        <w:rPr>
          <w:spacing w:val="-99"/>
        </w:rPr>
        <w:t> </w:t>
      </w:r>
      <w:r>
        <w:rPr>
          <w:spacing w:val="-99"/>
        </w:rPr>
      </w:r>
      <w:r>
        <w:rPr>
          <w:spacing w:val="-2"/>
        </w:rPr>
        <w:t>采用个别认定法计提坏账准备的其他应收款</w:t>
      </w:r>
    </w:p>
    <w:tbl>
      <w:tblPr>
        <w:tblW w:w="0" w:type="auto"/>
        <w:jc w:val="left"/>
        <w:tblInd w:w="106" w:type="dxa"/>
        <w:tblLayout w:type="fixed"/>
        <w:tblCellMar>
          <w:top w:w="0" w:type="dxa"/>
          <w:left w:w="0" w:type="dxa"/>
          <w:bottom w:w="0" w:type="dxa"/>
          <w:right w:w="0" w:type="dxa"/>
        </w:tblCellMar>
        <w:tblLook w:val="01E0"/>
      </w:tblPr>
      <w:tblGrid>
        <w:gridCol w:w="2069"/>
        <w:gridCol w:w="1863"/>
        <w:gridCol w:w="1721"/>
        <w:gridCol w:w="1762"/>
        <w:gridCol w:w="2228"/>
      </w:tblGrid>
      <w:tr>
        <w:trPr>
          <w:trHeight w:val="281" w:hRule="exact"/>
        </w:trPr>
        <w:tc>
          <w:tcPr>
            <w:tcW w:w="2069" w:type="dxa"/>
            <w:vMerge w:val="restart"/>
            <w:tcBorders>
              <w:top w:val="single" w:sz="4" w:space="0" w:color="000000"/>
              <w:left w:val="single" w:sz="4" w:space="0" w:color="000000"/>
              <w:right w:val="single" w:sz="4" w:space="0" w:color="000000"/>
            </w:tcBorders>
          </w:tcPr>
          <w:p>
            <w:pPr>
              <w:pStyle w:val="TableParagraph"/>
              <w:spacing w:line="240" w:lineRule="auto" w:before="107"/>
              <w:ind w:left="607"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75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283" w:hRule="exact"/>
        </w:trPr>
        <w:tc>
          <w:tcPr>
            <w:tcW w:w="2069"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9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3"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13,650,016.57</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无坏账风险</w:t>
            </w:r>
          </w:p>
        </w:tc>
      </w:tr>
      <w:tr>
        <w:trPr>
          <w:trHeight w:val="281"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个人备用金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347,759.35</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无坏账风险</w:t>
            </w:r>
          </w:p>
        </w:tc>
      </w:tr>
      <w:tr>
        <w:trPr>
          <w:trHeight w:val="283"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驻外社保</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414,569.04</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无坏账风险</w:t>
            </w:r>
          </w:p>
        </w:tc>
      </w:tr>
      <w:tr>
        <w:trPr>
          <w:trHeight w:val="283"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14,412,344.96</w:t>
            </w:r>
          </w:p>
        </w:tc>
        <w:tc>
          <w:tcPr>
            <w:tcW w:w="1721"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22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260" w:right="760"/>
        </w:sectPr>
      </w:pPr>
    </w:p>
    <w:p>
      <w:pPr>
        <w:pStyle w:val="Heading2"/>
        <w:spacing w:line="240" w:lineRule="auto"/>
        <w:ind w:left="538" w:right="-19"/>
        <w:jc w:val="left"/>
        <w:rPr>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b w:val="0"/>
          <w:bCs w:val="0"/>
        </w:rPr>
      </w:r>
    </w:p>
    <w:p>
      <w:pPr>
        <w:pStyle w:val="BodyText"/>
        <w:spacing w:line="240" w:lineRule="auto" w:before="58"/>
        <w:ind w:left="5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760"/>
          <w:cols w:num="2" w:equalWidth="0">
            <w:col w:w="2967" w:space="3554"/>
            <w:col w:w="3369"/>
          </w:cols>
        </w:sectPr>
      </w:pP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497"/>
        <w:gridCol w:w="2984"/>
        <w:gridCol w:w="3123"/>
      </w:tblGrid>
      <w:tr>
        <w:trPr>
          <w:trHeight w:val="281" w:hRule="exact"/>
        </w:trPr>
        <w:tc>
          <w:tcPr>
            <w:tcW w:w="3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13,650,016.57</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15,506,893.28</w:t>
            </w:r>
          </w:p>
        </w:tc>
      </w:tr>
      <w:tr>
        <w:trPr>
          <w:trHeight w:val="283" w:hRule="exact"/>
        </w:trPr>
        <w:tc>
          <w:tcPr>
            <w:tcW w:w="3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个人备用金</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347,759.35</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2,125,759.76</w:t>
            </w:r>
          </w:p>
        </w:tc>
      </w:tr>
      <w:tr>
        <w:trPr>
          <w:trHeight w:val="281" w:hRule="exact"/>
        </w:trPr>
        <w:tc>
          <w:tcPr>
            <w:tcW w:w="3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驻外社保</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414,569.04</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291,943.77</w:t>
            </w:r>
          </w:p>
        </w:tc>
      </w:tr>
      <w:tr>
        <w:trPr>
          <w:trHeight w:val="283" w:hRule="exact"/>
        </w:trPr>
        <w:tc>
          <w:tcPr>
            <w:tcW w:w="3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315,000.00</w:t>
            </w:r>
          </w:p>
        </w:tc>
        <w:tc>
          <w:tcPr>
            <w:tcW w:w="312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984" w:type="dxa"/>
            <w:tcBorders>
              <w:top w:val="single" w:sz="4" w:space="0" w:color="000000"/>
              <w:left w:val="single" w:sz="4" w:space="0" w:color="000000"/>
              <w:bottom w:val="single" w:sz="4" w:space="0" w:color="000000"/>
              <w:right w:val="single" w:sz="4" w:space="0" w:color="000000"/>
            </w:tcBorders>
          </w:tcPr>
          <w:p>
            <w:pP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31,200,000.00</w:t>
            </w:r>
          </w:p>
        </w:tc>
      </w:tr>
      <w:tr>
        <w:trPr>
          <w:trHeight w:val="281" w:hRule="exact"/>
        </w:trPr>
        <w:tc>
          <w:tcPr>
            <w:tcW w:w="34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14,727,344.96</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49,124,596.81</w:t>
            </w:r>
          </w:p>
        </w:tc>
      </w:tr>
    </w:tbl>
    <w:p>
      <w:pPr>
        <w:pStyle w:val="Heading2"/>
        <w:spacing w:line="240" w:lineRule="auto" w:before="26"/>
        <w:ind w:left="538" w:right="3011"/>
        <w:jc w:val="left"/>
        <w:rPr>
          <w:b w:val="0"/>
          <w:bCs w:val="0"/>
        </w:rPr>
      </w:pPr>
      <w:r>
        <w:rPr>
          <w:rFonts w:ascii="宋体" w:hAnsi="宋体" w:cs="宋体" w:eastAsia="宋体" w:hint="default"/>
        </w:rPr>
        <w:t>(3).</w:t>
      </w:r>
      <w:r>
        <w:rPr>
          <w:rFonts w:ascii="宋体" w:hAnsi="宋体" w:cs="宋体" w:eastAsia="宋体" w:hint="default"/>
          <w:spacing w:val="-2"/>
        </w:rPr>
        <w:t> </w:t>
      </w:r>
      <w:r>
        <w:rPr/>
        <w:t>本期计提、收回或转回的坏账准备情况</w:t>
      </w:r>
      <w:r>
        <w:rPr>
          <w:b w:val="0"/>
          <w:bCs w:val="0"/>
        </w:rPr>
      </w:r>
    </w:p>
    <w:p>
      <w:pPr>
        <w:pStyle w:val="BodyText"/>
        <w:spacing w:line="355" w:lineRule="auto" w:before="59"/>
        <w:ind w:left="538" w:right="2623"/>
        <w:jc w:val="left"/>
      </w:pPr>
      <w:r>
        <w:rPr/>
        <w:t>本期计提坏账准备金额</w:t>
      </w:r>
      <w:r>
        <w:rPr>
          <w:spacing w:val="-54"/>
        </w:rPr>
        <w:t> </w:t>
      </w:r>
      <w:r>
        <w:rPr>
          <w:rFonts w:ascii="宋体" w:hAnsi="宋体" w:cs="宋体" w:eastAsia="宋体" w:hint="default"/>
        </w:rPr>
        <w:t>0.00</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0.00</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40" w:lineRule="auto" w:before="32"/>
        <w:ind w:left="538" w:right="3011"/>
        <w:jc w:val="left"/>
      </w:pPr>
      <w:r>
        <w:rPr/>
        <w:t>□适用</w:t>
      </w:r>
      <w:r>
        <w:rPr>
          <w:spacing w:val="-1"/>
        </w:rPr>
        <w:t> </w:t>
      </w:r>
      <w:r>
        <w:rPr/>
        <w:t>√不适用</w:t>
      </w:r>
    </w:p>
    <w:p>
      <w:pPr>
        <w:pStyle w:val="Heading2"/>
        <w:spacing w:line="240" w:lineRule="auto" w:before="58"/>
        <w:ind w:left="538" w:right="3011"/>
        <w:jc w:val="left"/>
        <w:rPr>
          <w:b w:val="0"/>
          <w:bCs w:val="0"/>
        </w:rPr>
      </w:pPr>
      <w:r>
        <w:rPr>
          <w:rFonts w:ascii="宋体" w:hAnsi="宋体" w:cs="宋体" w:eastAsia="宋体" w:hint="default"/>
        </w:rPr>
        <w:t>(4).</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6"/>
        <w:ind w:left="538" w:right="3011"/>
        <w:jc w:val="left"/>
      </w:pPr>
      <w:r>
        <w:rPr/>
        <w:t>□适用</w:t>
      </w:r>
      <w:r>
        <w:rPr>
          <w:spacing w:val="-1"/>
        </w:rPr>
        <w:t> </w:t>
      </w:r>
      <w:r>
        <w:rPr/>
        <w:t>√不适用</w:t>
      </w:r>
    </w:p>
    <w:p>
      <w:pPr>
        <w:pStyle w:val="Heading2"/>
        <w:spacing w:line="240" w:lineRule="auto" w:before="58"/>
        <w:ind w:left="538" w:right="3011"/>
        <w:jc w:val="left"/>
        <w:rPr>
          <w:b w:val="0"/>
          <w:bCs w:val="0"/>
        </w:rPr>
      </w:pPr>
      <w:r>
        <w:rPr>
          <w:rFonts w:ascii="宋体" w:hAnsi="宋体" w:cs="宋体" w:eastAsia="宋体" w:hint="default"/>
        </w:rPr>
        <w:t>(5).</w:t>
      </w:r>
      <w:r>
        <w:rPr>
          <w:rFonts w:ascii="宋体" w:hAnsi="宋体" w:cs="宋体" w:eastAsia="宋体" w:hint="default"/>
          <w:spacing w:val="-3"/>
        </w:rPr>
        <w:t> </w:t>
      </w:r>
      <w:r>
        <w:rPr/>
        <w:t>按欠款方归集的期末余额前五名的其他应收款情况</w:t>
      </w:r>
      <w:r>
        <w:rPr>
          <w:b w:val="0"/>
          <w:bCs w:val="0"/>
        </w:rPr>
      </w:r>
    </w:p>
    <w:p>
      <w:pPr>
        <w:pStyle w:val="BodyText"/>
        <w:spacing w:line="240" w:lineRule="auto" w:before="56"/>
        <w:ind w:left="538" w:right="3011"/>
        <w:jc w:val="left"/>
      </w:pPr>
      <w:r>
        <w:rPr/>
        <w:t>√适用</w:t>
      </w:r>
      <w:r>
        <w:rPr>
          <w:spacing w:val="-1"/>
        </w:rPr>
        <w:t> </w:t>
      </w:r>
      <w:r>
        <w:rPr/>
        <w:t>□不适用</w:t>
      </w:r>
    </w:p>
    <w:p>
      <w:pPr>
        <w:pStyle w:val="BodyText"/>
        <w:tabs>
          <w:tab w:pos="1051" w:val="left" w:leader="none"/>
        </w:tabs>
        <w:spacing w:line="274" w:lineRule="exact"/>
        <w:ind w:left="0" w:right="5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16" w:type="dxa"/>
        <w:tblLayout w:type="fixed"/>
        <w:tblCellMar>
          <w:top w:w="0" w:type="dxa"/>
          <w:left w:w="0" w:type="dxa"/>
          <w:bottom w:w="0" w:type="dxa"/>
          <w:right w:w="0" w:type="dxa"/>
        </w:tblCellMar>
        <w:tblLook w:val="01E0"/>
      </w:tblPr>
      <w:tblGrid>
        <w:gridCol w:w="3262"/>
        <w:gridCol w:w="1318"/>
        <w:gridCol w:w="1500"/>
        <w:gridCol w:w="866"/>
        <w:gridCol w:w="1541"/>
        <w:gridCol w:w="979"/>
      </w:tblGrid>
      <w:tr>
        <w:trPr>
          <w:trHeight w:val="82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账龄</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396" w:right="27"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 w:right="6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股份有限公司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7"/>
              <w:jc w:val="center"/>
              <w:rPr>
                <w:rFonts w:ascii="宋体" w:hAnsi="宋体" w:cs="宋体" w:eastAsia="宋体" w:hint="default"/>
                <w:sz w:val="21"/>
                <w:szCs w:val="21"/>
              </w:rPr>
            </w:pPr>
            <w:r>
              <w:rPr>
                <w:rFonts w:ascii="宋体" w:hAnsi="宋体" w:cs="宋体" w:eastAsia="宋体" w:hint="default"/>
                <w:spacing w:val="-14"/>
                <w:sz w:val="21"/>
                <w:szCs w:val="21"/>
              </w:rPr>
              <w:t>押金、保证金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 w:right="0"/>
              <w:jc w:val="center"/>
              <w:rPr>
                <w:rFonts w:ascii="宋体" w:hAnsi="宋体" w:cs="宋体" w:eastAsia="宋体" w:hint="default"/>
                <w:sz w:val="21"/>
                <w:szCs w:val="21"/>
              </w:rPr>
            </w:pPr>
            <w:r>
              <w:rPr>
                <w:rFonts w:ascii="宋体"/>
                <w:sz w:val="21"/>
              </w:rPr>
              <w:t>8,619,060.76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2" w:right="0"/>
              <w:jc w:val="left"/>
              <w:rPr>
                <w:rFonts w:ascii="宋体" w:hAnsi="宋体" w:cs="宋体" w:eastAsia="宋体" w:hint="default"/>
                <w:sz w:val="21"/>
                <w:szCs w:val="21"/>
              </w:rPr>
            </w:pPr>
            <w:r>
              <w:rPr>
                <w:rFonts w:ascii="宋体"/>
                <w:sz w:val="21"/>
              </w:rPr>
              <w:t>58.52</w:t>
            </w:r>
          </w:p>
        </w:tc>
        <w:tc>
          <w:tcPr>
            <w:tcW w:w="9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60" w:right="7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3262"/>
        <w:gridCol w:w="1318"/>
        <w:gridCol w:w="1500"/>
        <w:gridCol w:w="866"/>
        <w:gridCol w:w="1541"/>
        <w:gridCol w:w="979"/>
      </w:tblGrid>
      <w:tr>
        <w:trPr>
          <w:trHeight w:val="35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文化科技有限公司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67"/>
              <w:jc w:val="center"/>
              <w:rPr>
                <w:rFonts w:ascii="宋体" w:hAnsi="宋体" w:cs="宋体" w:eastAsia="宋体" w:hint="default"/>
                <w:sz w:val="21"/>
                <w:szCs w:val="21"/>
              </w:rPr>
            </w:pPr>
            <w:r>
              <w:rPr>
                <w:rFonts w:ascii="宋体" w:hAnsi="宋体" w:cs="宋体" w:eastAsia="宋体" w:hint="default"/>
                <w:spacing w:val="-14"/>
                <w:sz w:val="21"/>
                <w:szCs w:val="21"/>
              </w:rPr>
              <w:t>押金、保证金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4"/>
              <w:jc w:val="right"/>
              <w:rPr>
                <w:rFonts w:ascii="宋体" w:hAnsi="宋体" w:cs="宋体" w:eastAsia="宋体" w:hint="default"/>
                <w:sz w:val="21"/>
                <w:szCs w:val="21"/>
              </w:rPr>
            </w:pPr>
            <w:r>
              <w:rPr>
                <w:rFonts w:ascii="宋体"/>
                <w:spacing w:val="-1"/>
                <w:sz w:val="21"/>
              </w:rPr>
              <w:t>1,935,401.55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2"/>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13.14</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6"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发行管理中心</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67"/>
              <w:jc w:val="center"/>
              <w:rPr>
                <w:rFonts w:ascii="宋体" w:hAnsi="宋体" w:cs="宋体" w:eastAsia="宋体" w:hint="default"/>
                <w:sz w:val="21"/>
                <w:szCs w:val="21"/>
              </w:rPr>
            </w:pPr>
            <w:r>
              <w:rPr>
                <w:rFonts w:ascii="宋体" w:hAnsi="宋体" w:cs="宋体" w:eastAsia="宋体" w:hint="default"/>
                <w:spacing w:val="-14"/>
                <w:sz w:val="21"/>
                <w:szCs w:val="21"/>
              </w:rPr>
              <w:t>押金、保证金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3"/>
              <w:jc w:val="right"/>
              <w:rPr>
                <w:rFonts w:ascii="宋体" w:hAnsi="宋体" w:cs="宋体" w:eastAsia="宋体" w:hint="default"/>
                <w:sz w:val="21"/>
                <w:szCs w:val="21"/>
              </w:rPr>
            </w:pPr>
            <w:r>
              <w:rPr>
                <w:rFonts w:ascii="宋体"/>
                <w:spacing w:val="-1"/>
                <w:sz w:val="21"/>
              </w:rPr>
              <w:t>412,740.00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2"/>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sz w:val="21"/>
              </w:rPr>
              <w:t>2.80</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置业有限公司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7"/>
              <w:jc w:val="center"/>
              <w:rPr>
                <w:rFonts w:ascii="宋体" w:hAnsi="宋体" w:cs="宋体" w:eastAsia="宋体" w:hint="default"/>
                <w:sz w:val="21"/>
                <w:szCs w:val="21"/>
              </w:rPr>
            </w:pPr>
            <w:r>
              <w:rPr>
                <w:rFonts w:ascii="宋体" w:hAnsi="宋体" w:cs="宋体" w:eastAsia="宋体" w:hint="default"/>
                <w:spacing w:val="-14"/>
                <w:sz w:val="21"/>
                <w:szCs w:val="21"/>
              </w:rPr>
              <w:t>押金、保证金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3"/>
              <w:jc w:val="right"/>
              <w:rPr>
                <w:rFonts w:ascii="宋体" w:hAnsi="宋体" w:cs="宋体" w:eastAsia="宋体" w:hint="default"/>
                <w:sz w:val="21"/>
                <w:szCs w:val="21"/>
              </w:rPr>
            </w:pPr>
            <w:r>
              <w:rPr>
                <w:rFonts w:ascii="宋体"/>
                <w:spacing w:val="-1"/>
                <w:sz w:val="21"/>
              </w:rPr>
              <w:t>496,188.00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3.37</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政府采购中心</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7"/>
              <w:jc w:val="center"/>
              <w:rPr>
                <w:rFonts w:ascii="宋体" w:hAnsi="宋体" w:cs="宋体" w:eastAsia="宋体" w:hint="default"/>
                <w:sz w:val="21"/>
                <w:szCs w:val="21"/>
              </w:rPr>
            </w:pPr>
            <w:r>
              <w:rPr>
                <w:rFonts w:ascii="宋体" w:hAnsi="宋体" w:cs="宋体" w:eastAsia="宋体" w:hint="default"/>
                <w:spacing w:val="-14"/>
                <w:sz w:val="21"/>
                <w:szCs w:val="21"/>
              </w:rPr>
              <w:t>押金、保证金</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3"/>
              <w:jc w:val="right"/>
              <w:rPr>
                <w:rFonts w:ascii="宋体" w:hAnsi="宋体" w:cs="宋体" w:eastAsia="宋体" w:hint="default"/>
                <w:sz w:val="21"/>
                <w:szCs w:val="21"/>
              </w:rPr>
            </w:pPr>
            <w:r>
              <w:rPr>
                <w:rFonts w:ascii="宋体"/>
                <w:spacing w:val="-1"/>
                <w:sz w:val="21"/>
              </w:rPr>
              <w:t>270,000.00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1.83</w:t>
            </w:r>
          </w:p>
        </w:tc>
        <w:tc>
          <w:tcPr>
            <w:tcW w:w="9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
              <w:jc w:val="center"/>
              <w:rPr>
                <w:rFonts w:ascii="宋体" w:hAnsi="宋体" w:cs="宋体" w:eastAsia="宋体" w:hint="default"/>
                <w:sz w:val="21"/>
                <w:szCs w:val="21"/>
              </w:rPr>
            </w:pPr>
            <w:r>
              <w:rPr>
                <w:rFonts w:ascii="宋体"/>
                <w:w w:val="100"/>
                <w:sz w:val="21"/>
              </w:rPr>
              <w:t>/</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4"/>
              <w:jc w:val="right"/>
              <w:rPr>
                <w:rFonts w:ascii="宋体" w:hAnsi="宋体" w:cs="宋体" w:eastAsia="宋体" w:hint="default"/>
                <w:sz w:val="21"/>
                <w:szCs w:val="21"/>
              </w:rPr>
            </w:pPr>
            <w:r>
              <w:rPr>
                <w:rFonts w:ascii="宋体"/>
                <w:spacing w:val="-1"/>
                <w:sz w:val="21"/>
              </w:rPr>
              <w:t>11,733,390.31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2"/>
              <w:jc w:val="center"/>
              <w:rPr>
                <w:rFonts w:ascii="宋体" w:hAnsi="宋体" w:cs="宋体" w:eastAsia="宋体" w:hint="default"/>
                <w:sz w:val="21"/>
                <w:szCs w:val="21"/>
              </w:rPr>
            </w:pPr>
            <w:r>
              <w:rPr>
                <w:rFonts w:ascii="宋体"/>
                <w:w w:val="100"/>
                <w:sz w:val="21"/>
              </w:rPr>
              <w:t>/</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79.66</w:t>
            </w:r>
          </w:p>
        </w:tc>
        <w:tc>
          <w:tcPr>
            <w:tcW w:w="9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360" w:right="820"/>
        </w:sectPr>
      </w:pPr>
    </w:p>
    <w:p>
      <w:pPr>
        <w:pStyle w:val="Heading2"/>
        <w:spacing w:line="240" w:lineRule="auto" w:before="26"/>
        <w:ind w:left="438" w:right="-17"/>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left="438" w:right="-17"/>
        <w:jc w:val="left"/>
      </w:pPr>
      <w:r>
        <w:rPr/>
        <w:t>□适用</w:t>
      </w:r>
      <w:r>
        <w:rPr>
          <w:spacing w:val="-1"/>
        </w:rPr>
        <w:t> </w:t>
      </w:r>
      <w:r>
        <w:rPr/>
        <w:t>√不适用</w:t>
      </w:r>
    </w:p>
    <w:p>
      <w:pPr>
        <w:pStyle w:val="Heading2"/>
        <w:spacing w:line="240" w:lineRule="auto" w:before="58"/>
        <w:ind w:left="438" w:right="-17"/>
        <w:jc w:val="left"/>
        <w:rPr>
          <w:b w:val="0"/>
          <w:bCs w:val="0"/>
        </w:rPr>
      </w:pPr>
      <w:r>
        <w:rPr>
          <w:rFonts w:ascii="宋体" w:hAnsi="宋体" w:cs="宋体" w:eastAsia="宋体" w:hint="default"/>
        </w:rPr>
        <w:t>(7).</w:t>
      </w:r>
      <w:r>
        <w:rPr>
          <w:rFonts w:ascii="宋体" w:hAnsi="宋体" w:cs="宋体" w:eastAsia="宋体" w:hint="default"/>
          <w:spacing w:val="-2"/>
        </w:rPr>
        <w:t> </w:t>
      </w:r>
      <w:r>
        <w:rPr/>
        <w:t>因金融资产转移而终止确认的其他应收款</w:t>
      </w:r>
      <w:r>
        <w:rPr>
          <w:b w:val="0"/>
          <w:bCs w:val="0"/>
        </w:rPr>
      </w:r>
    </w:p>
    <w:p>
      <w:pPr>
        <w:pStyle w:val="BodyText"/>
        <w:tabs>
          <w:tab w:pos="1280" w:val="left" w:leader="none"/>
        </w:tabs>
        <w:spacing w:line="240" w:lineRule="auto" w:before="56"/>
        <w:ind w:left="438" w:right="-17"/>
        <w:jc w:val="left"/>
      </w:pPr>
      <w:r>
        <w:rPr>
          <w:spacing w:val="-1"/>
        </w:rPr>
        <w:t>□适用</w:t>
        <w:tab/>
      </w:r>
      <w:r>
        <w:rPr>
          <w:spacing w:val="-2"/>
        </w:rPr>
        <w:t>√不适用</w:t>
      </w:r>
    </w:p>
    <w:p>
      <w:pPr>
        <w:pStyle w:val="Heading2"/>
        <w:spacing w:line="240" w:lineRule="auto" w:before="59"/>
        <w:ind w:left="438" w:right="-17"/>
        <w:jc w:val="left"/>
        <w:rPr>
          <w:b w:val="0"/>
          <w:bCs w:val="0"/>
        </w:rPr>
      </w:pPr>
      <w:r>
        <w:rPr>
          <w:rFonts w:ascii="宋体" w:hAnsi="宋体" w:cs="宋体" w:eastAsia="宋体" w:hint="default"/>
        </w:rPr>
        <w:t>(8).</w:t>
      </w:r>
      <w:r>
        <w:rPr>
          <w:rFonts w:ascii="宋体" w:hAnsi="宋体" w:cs="宋体" w:eastAsia="宋体" w:hint="default"/>
          <w:spacing w:val="-3"/>
        </w:rPr>
        <w:t> </w:t>
      </w:r>
      <w:r>
        <w:rPr/>
        <w:t>转移其他应收款且继续涉入形成的资产、负债金额</w:t>
      </w:r>
      <w:r>
        <w:rPr>
          <w:b w:val="0"/>
          <w:bCs w:val="0"/>
        </w:rPr>
      </w:r>
    </w:p>
    <w:p>
      <w:pPr>
        <w:pStyle w:val="BodyText"/>
        <w:tabs>
          <w:tab w:pos="1280" w:val="left" w:leader="none"/>
        </w:tabs>
        <w:spacing w:line="240" w:lineRule="auto" w:before="56"/>
        <w:ind w:left="438" w:right="3482"/>
        <w:jc w:val="left"/>
      </w:pPr>
      <w:r>
        <w:rPr>
          <w:spacing w:val="-1"/>
        </w:rPr>
        <w:t>□适用</w:t>
        <w:tab/>
      </w:r>
      <w:r>
        <w:rPr>
          <w:spacing w:val="-2"/>
        </w:rPr>
        <w:t>√不适用</w:t>
      </w:r>
      <w:r>
        <w:rPr>
          <w:spacing w:val="-99"/>
        </w:rPr>
        <w:t> </w:t>
      </w:r>
      <w:r>
        <w:rPr>
          <w:spacing w:val="-99"/>
        </w:rPr>
      </w:r>
      <w:r>
        <w:rPr/>
        <w:t>其他说明：</w:t>
      </w:r>
    </w:p>
    <w:p>
      <w:pPr>
        <w:tabs>
          <w:tab w:pos="1280" w:val="left" w:leader="none"/>
        </w:tabs>
        <w:spacing w:line="290" w:lineRule="auto" w:before="0"/>
        <w:ind w:left="438" w:right="3473"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240" w:lineRule="auto" w:before="12"/>
        <w:ind w:left="438"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tabs>
          <w:tab w:pos="1489" w:val="left" w:leader="none"/>
        </w:tabs>
        <w:spacing w:line="240" w:lineRule="auto"/>
        <w:ind w:left="438" w:right="0"/>
        <w:jc w:val="left"/>
      </w:pPr>
      <w:r>
        <w:rPr>
          <w:spacing w:val="-1"/>
        </w:rPr>
        <w:t>单位：元</w:t>
        <w:tab/>
      </w:r>
      <w:r>
        <w:rPr>
          <w:spacing w:val="-2"/>
        </w:rPr>
        <w:t>币种：人民币</w:t>
      </w:r>
    </w:p>
    <w:p>
      <w:pPr>
        <w:spacing w:after="0" w:line="240" w:lineRule="auto"/>
        <w:jc w:val="left"/>
        <w:sectPr>
          <w:type w:val="continuous"/>
          <w:pgSz w:w="11910" w:h="16840"/>
          <w:pgMar w:top="1120" w:bottom="1380" w:left="1360" w:right="820"/>
          <w:cols w:num="2" w:equalWidth="0">
            <w:col w:w="5606" w:space="916"/>
            <w:col w:w="320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68"/>
        <w:gridCol w:w="1534"/>
        <w:gridCol w:w="523"/>
        <w:gridCol w:w="1534"/>
        <w:gridCol w:w="1531"/>
        <w:gridCol w:w="538"/>
        <w:gridCol w:w="1558"/>
      </w:tblGrid>
      <w:tr>
        <w:trPr>
          <w:trHeight w:val="283" w:hRule="exact"/>
        </w:trPr>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6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268"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5"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5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212,551,159.16</w:t>
            </w:r>
          </w:p>
        </w:tc>
        <w:tc>
          <w:tcPr>
            <w:tcW w:w="52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212,551,159.16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131,498,279.16</w:t>
            </w:r>
          </w:p>
        </w:tc>
        <w:tc>
          <w:tcPr>
            <w:tcW w:w="5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131,498,279.16</w:t>
            </w:r>
          </w:p>
        </w:tc>
      </w:tr>
      <w:tr>
        <w:trPr>
          <w:trHeight w:val="28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243,888,309.41</w:t>
            </w:r>
          </w:p>
        </w:tc>
        <w:tc>
          <w:tcPr>
            <w:tcW w:w="52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243,888,309.41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211,776,349.13</w:t>
            </w:r>
          </w:p>
        </w:tc>
        <w:tc>
          <w:tcPr>
            <w:tcW w:w="5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center"/>
              <w:rPr>
                <w:rFonts w:ascii="宋体" w:hAnsi="宋体" w:cs="宋体" w:eastAsia="宋体" w:hint="default"/>
                <w:sz w:val="21"/>
                <w:szCs w:val="21"/>
              </w:rPr>
            </w:pPr>
            <w:r>
              <w:rPr>
                <w:rFonts w:ascii="宋体"/>
                <w:sz w:val="21"/>
              </w:rPr>
              <w:t>211,776,349.13</w:t>
            </w:r>
          </w:p>
        </w:tc>
      </w:tr>
      <w:tr>
        <w:trPr>
          <w:trHeight w:val="28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456,439,468.57</w:t>
            </w:r>
          </w:p>
        </w:tc>
        <w:tc>
          <w:tcPr>
            <w:tcW w:w="523"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456,439,468.57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343,274,628.29</w:t>
            </w:r>
          </w:p>
        </w:tc>
        <w:tc>
          <w:tcPr>
            <w:tcW w:w="53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343,274,628.29</w:t>
            </w:r>
          </w:p>
        </w:tc>
      </w:tr>
    </w:tbl>
    <w:p>
      <w:pPr>
        <w:spacing w:after="0" w:line="241" w:lineRule="exact"/>
        <w:jc w:val="center"/>
        <w:rPr>
          <w:rFonts w:ascii="宋体" w:hAnsi="宋体" w:cs="宋体" w:eastAsia="宋体" w:hint="default"/>
          <w:sz w:val="21"/>
          <w:szCs w:val="21"/>
        </w:rPr>
        <w:sectPr>
          <w:type w:val="continuous"/>
          <w:pgSz w:w="11910" w:h="16840"/>
          <w:pgMar w:top="1120" w:bottom="1380" w:left="1360" w:right="820"/>
        </w:sectPr>
      </w:pPr>
    </w:p>
    <w:p>
      <w:pPr>
        <w:pStyle w:val="Heading2"/>
        <w:spacing w:line="240" w:lineRule="auto" w:before="26"/>
        <w:ind w:left="438" w:right="-19"/>
        <w:jc w:val="left"/>
        <w:rPr>
          <w:b w:val="0"/>
          <w:bCs w:val="0"/>
        </w:rPr>
      </w:pPr>
      <w:r>
        <w:rPr>
          <w:rFonts w:ascii="宋体" w:hAnsi="宋体" w:cs="宋体" w:eastAsia="宋体" w:hint="default"/>
        </w:rPr>
        <w:t>(1). </w:t>
      </w:r>
      <w:r>
        <w:rPr/>
        <w:t>对子公司投资</w:t>
      </w:r>
      <w:r>
        <w:rPr>
          <w:b w:val="0"/>
          <w:bCs w:val="0"/>
        </w:rPr>
      </w:r>
    </w:p>
    <w:p>
      <w:pPr>
        <w:pStyle w:val="BodyText"/>
        <w:spacing w:line="240" w:lineRule="auto" w:before="56"/>
        <w:ind w:left="4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8"/>
          <w:szCs w:val="28"/>
        </w:rPr>
      </w:pPr>
    </w:p>
    <w:p>
      <w:pPr>
        <w:pStyle w:val="BodyText"/>
        <w:tabs>
          <w:tab w:pos="1489" w:val="left" w:leader="none"/>
        </w:tabs>
        <w:spacing w:line="240" w:lineRule="auto"/>
        <w:ind w:left="438" w:right="0"/>
        <w:jc w:val="left"/>
      </w:pPr>
      <w:r>
        <w:rPr>
          <w:spacing w:val="-1"/>
        </w:rPr>
        <w:t>单位：元</w:t>
        <w:tab/>
      </w:r>
      <w:r>
        <w:rPr>
          <w:spacing w:val="-2"/>
        </w:rPr>
        <w:t>币种：人民币</w:t>
      </w:r>
    </w:p>
    <w:p>
      <w:pPr>
        <w:spacing w:after="0" w:line="240" w:lineRule="auto"/>
        <w:jc w:val="left"/>
        <w:sectPr>
          <w:type w:val="continuous"/>
          <w:pgSz w:w="11910" w:h="16840"/>
          <w:pgMar w:top="1120" w:bottom="1380" w:left="1360" w:right="820"/>
          <w:cols w:num="2" w:equalWidth="0">
            <w:col w:w="2234" w:space="4288"/>
            <w:col w:w="3208"/>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18"/>
        <w:gridCol w:w="1688"/>
        <w:gridCol w:w="1580"/>
        <w:gridCol w:w="660"/>
        <w:gridCol w:w="1685"/>
        <w:gridCol w:w="782"/>
        <w:gridCol w:w="778"/>
      </w:tblGrid>
      <w:tr>
        <w:trPr>
          <w:trHeight w:val="1099"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2" w:right="113"/>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before="2"/>
              <w:ind w:left="175" w:right="173"/>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37" w:lineRule="auto" w:before="2"/>
              <w:ind w:left="172" w:right="170"/>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350"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亿连科技</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9,333,333.33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60,000,000.00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69,333,333.33</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新华网欧洲公司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3,431,248.83</w:t>
            </w:r>
          </w:p>
        </w:tc>
        <w:tc>
          <w:tcPr>
            <w:tcW w:w="158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3,431,248.83</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江苏子公司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8"/>
              <w:jc w:val="right"/>
              <w:rPr>
                <w:rFonts w:ascii="宋体" w:hAnsi="宋体" w:cs="宋体" w:eastAsia="宋体" w:hint="default"/>
                <w:sz w:val="21"/>
                <w:szCs w:val="21"/>
              </w:rPr>
            </w:pPr>
            <w:r>
              <w:rPr>
                <w:rFonts w:ascii="宋体"/>
                <w:spacing w:val="-1"/>
                <w:sz w:val="21"/>
              </w:rPr>
              <w:t>26,000,000.00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宋体" w:hAnsi="宋体" w:cs="宋体" w:eastAsia="宋体" w:hint="default"/>
                <w:sz w:val="21"/>
                <w:szCs w:val="21"/>
              </w:rPr>
            </w:pPr>
            <w:r>
              <w:rPr>
                <w:rFonts w:ascii="宋体"/>
                <w:spacing w:val="-1"/>
                <w:sz w:val="21"/>
              </w:rPr>
              <w:t>26,000,000.00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26,000,000.00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26,000,000.00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北美子公司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8,177,520.00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8,177,520.00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创业投资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30,000,000.00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30,000,000.00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亚太子公司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2,556,177.00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5,850,383.00</w:t>
            </w:r>
          </w:p>
        </w:tc>
        <w:tc>
          <w:tcPr>
            <w:tcW w:w="66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8,406,560.00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广东子公司</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26,000,000.00</w:t>
            </w:r>
          </w:p>
        </w:tc>
        <w:tc>
          <w:tcPr>
            <w:tcW w:w="158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26,000,000.00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科技公司</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5,202,497.00</w:t>
            </w:r>
          </w:p>
        </w:tc>
        <w:tc>
          <w:tcPr>
            <w:tcW w:w="66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5,202,497.00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新华炫闻</w:t>
            </w:r>
          </w:p>
        </w:tc>
        <w:tc>
          <w:tcPr>
            <w:tcW w:w="168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10,000,000.00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10,000,000.00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
              <w:jc w:val="right"/>
              <w:rPr>
                <w:rFonts w:ascii="宋体" w:hAnsi="宋体" w:cs="宋体" w:eastAsia="宋体" w:hint="default"/>
                <w:sz w:val="21"/>
                <w:szCs w:val="21"/>
              </w:rPr>
            </w:pPr>
            <w:r>
              <w:rPr>
                <w:rFonts w:ascii="宋体"/>
                <w:spacing w:val="-1"/>
                <w:sz w:val="21"/>
              </w:rPr>
              <w:t>131,498,279.16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81,052,880.00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212,551,159.16</w:t>
            </w: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360" w:right="820"/>
        </w:sectPr>
      </w:pPr>
    </w:p>
    <w:p>
      <w:pPr>
        <w:spacing w:before="20"/>
        <w:ind w:left="6775" w:right="679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484"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92"/>
          <w:footerReference w:type="default" r:id="rId93"/>
          <w:pgSz w:w="16840" w:h="11910" w:orient="landscape"/>
          <w:pgMar w:header="0" w:footer="0" w:top="800" w:bottom="280" w:left="920" w:right="1000"/>
        </w:sectPr>
      </w:pPr>
    </w:p>
    <w:p>
      <w:pPr>
        <w:pStyle w:val="Heading2"/>
        <w:spacing w:line="240" w:lineRule="auto"/>
        <w:ind w:left="520" w:right="-19"/>
        <w:jc w:val="left"/>
        <w:rPr>
          <w:b w:val="0"/>
          <w:bCs w:val="0"/>
        </w:rPr>
      </w:pPr>
      <w:r>
        <w:rPr>
          <w:rFonts w:ascii="宋体" w:hAnsi="宋体" w:cs="宋体" w:eastAsia="宋体" w:hint="default"/>
        </w:rPr>
        <w:t>(2).</w:t>
      </w:r>
      <w:r>
        <w:rPr>
          <w:rFonts w:ascii="宋体" w:hAnsi="宋体" w:cs="宋体" w:eastAsia="宋体" w:hint="default"/>
          <w:spacing w:val="-1"/>
        </w:rPr>
        <w:t> </w:t>
      </w:r>
      <w:r>
        <w:rPr/>
        <w:t>对联营、合营企业投资</w:t>
      </w:r>
      <w:r>
        <w:rPr>
          <w:b w:val="0"/>
          <w:bCs w:val="0"/>
        </w:rPr>
      </w:r>
    </w:p>
    <w:p>
      <w:pPr>
        <w:pStyle w:val="BodyText"/>
        <w:spacing w:line="240" w:lineRule="auto" w:before="56"/>
        <w:ind w:left="520"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71" w:val="left" w:leader="none"/>
        </w:tabs>
        <w:spacing w:line="240" w:lineRule="auto"/>
        <w:ind w:left="520" w:right="0"/>
        <w:jc w:val="left"/>
      </w:pPr>
      <w:r>
        <w:rPr>
          <w:spacing w:val="-1"/>
        </w:rPr>
        <w:t>单位：元</w:t>
        <w:tab/>
        <w:t>币种：人民币</w:t>
      </w:r>
    </w:p>
    <w:p>
      <w:pPr>
        <w:spacing w:after="0" w:line="240" w:lineRule="auto"/>
        <w:jc w:val="left"/>
        <w:sectPr>
          <w:type w:val="continuous"/>
          <w:pgSz w:w="16840" w:h="11910" w:orient="landscape"/>
          <w:pgMar w:top="1120" w:bottom="1380" w:left="920" w:right="1000"/>
          <w:cols w:num="2" w:equalWidth="0">
            <w:col w:w="3159" w:space="8404"/>
            <w:col w:w="3357"/>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724"/>
        <w:gridCol w:w="1685"/>
        <w:gridCol w:w="1582"/>
        <w:gridCol w:w="586"/>
        <w:gridCol w:w="1901"/>
        <w:gridCol w:w="799"/>
        <w:gridCol w:w="694"/>
        <w:gridCol w:w="960"/>
        <w:gridCol w:w="694"/>
        <w:gridCol w:w="1582"/>
        <w:gridCol w:w="1685"/>
        <w:gridCol w:w="799"/>
      </w:tblGrid>
      <w:tr>
        <w:trPr>
          <w:trHeight w:val="350" w:hRule="exact"/>
        </w:trPr>
        <w:tc>
          <w:tcPr>
            <w:tcW w:w="17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646" w:right="643"/>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628" w:right="623"/>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8798"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628" w:right="622"/>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799" w:type="dxa"/>
            <w:vMerge w:val="restart"/>
            <w:tcBorders>
              <w:top w:val="single" w:sz="4" w:space="0" w:color="000000"/>
              <w:left w:val="single" w:sz="4" w:space="0" w:color="000000"/>
              <w:right w:val="single" w:sz="4" w:space="0" w:color="000000"/>
            </w:tcBorders>
          </w:tcPr>
          <w:p>
            <w:pPr>
              <w:pStyle w:val="TableParagraph"/>
              <w:spacing w:line="237" w:lineRule="auto" w:before="143"/>
              <w:ind w:left="184" w:right="180"/>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100" w:hRule="exact"/>
        </w:trPr>
        <w:tc>
          <w:tcPr>
            <w:tcW w:w="1724"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追加投资</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82" w:right="180"/>
              <w:jc w:val="both"/>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628" w:right="101" w:hanging="524"/>
              <w:jc w:val="left"/>
              <w:rPr>
                <w:rFonts w:ascii="宋体" w:hAnsi="宋体" w:cs="宋体" w:eastAsia="宋体" w:hint="default"/>
                <w:sz w:val="21"/>
                <w:szCs w:val="21"/>
              </w:rPr>
            </w:pPr>
            <w:r>
              <w:rPr>
                <w:rFonts w:ascii="宋体" w:hAnsi="宋体" w:cs="宋体" w:eastAsia="宋体" w:hint="default"/>
                <w:sz w:val="21"/>
                <w:szCs w:val="21"/>
              </w:rPr>
              <w:t>权益法下确认的投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37" w:lineRule="auto" w:before="2"/>
              <w:ind w:left="184" w:right="180"/>
              <w:jc w:val="both"/>
              <w:rPr>
                <w:rFonts w:ascii="宋体" w:hAnsi="宋体" w:cs="宋体" w:eastAsia="宋体" w:hint="default"/>
                <w:sz w:val="21"/>
                <w:szCs w:val="21"/>
              </w:rPr>
            </w:pP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2" w:right="12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both"/>
              <w:rPr>
                <w:rFonts w:ascii="宋体" w:hAnsi="宋体" w:cs="宋体" w:eastAsia="宋体" w:hint="default"/>
                <w:sz w:val="21"/>
                <w:szCs w:val="21"/>
              </w:rPr>
            </w:pPr>
            <w:r>
              <w:rPr>
                <w:rFonts w:ascii="宋体" w:hAnsi="宋体" w:cs="宋体" w:eastAsia="宋体" w:hint="default"/>
                <w:sz w:val="21"/>
                <w:szCs w:val="21"/>
              </w:rPr>
              <w:t>宣告发</w:t>
            </w:r>
          </w:p>
          <w:p>
            <w:pPr>
              <w:pStyle w:val="TableParagraph"/>
              <w:spacing w:line="237" w:lineRule="auto" w:before="2"/>
              <w:ind w:left="158" w:right="156"/>
              <w:jc w:val="both"/>
              <w:rPr>
                <w:rFonts w:ascii="宋体" w:hAnsi="宋体" w:cs="宋体" w:eastAsia="宋体" w:hint="default"/>
                <w:sz w:val="21"/>
                <w:szCs w:val="21"/>
              </w:rPr>
            </w:pPr>
            <w:r>
              <w:rPr>
                <w:rFonts w:ascii="宋体" w:hAnsi="宋体" w:cs="宋体" w:eastAsia="宋体" w:hint="default"/>
                <w:sz w:val="21"/>
                <w:szCs w:val="21"/>
              </w:rPr>
              <w:t>放现金</w:t>
            </w:r>
            <w:r>
              <w:rPr>
                <w:rFonts w:ascii="宋体" w:hAnsi="宋体" w:cs="宋体" w:eastAsia="宋体" w:hint="default"/>
                <w:spacing w:val="-102"/>
                <w:sz w:val="21"/>
                <w:szCs w:val="21"/>
              </w:rPr>
              <w:t> </w:t>
            </w:r>
            <w:r>
              <w:rPr>
                <w:rFonts w:ascii="宋体" w:hAnsi="宋体" w:cs="宋体" w:eastAsia="宋体" w:hint="default"/>
                <w:sz w:val="21"/>
                <w:szCs w:val="21"/>
              </w:rPr>
              <w:t>股利或</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2" w:right="128"/>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85"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r>
      <w:tr>
        <w:trPr>
          <w:trHeight w:val="350" w:hRule="exact"/>
        </w:trPr>
        <w:tc>
          <w:tcPr>
            <w:tcW w:w="146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新华智云</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156,947,326.00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30,000,000.00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-13,407,011.18</w:t>
            </w:r>
          </w:p>
        </w:tc>
        <w:tc>
          <w:tcPr>
            <w:tcW w:w="79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18,058,797.20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191,599,112.02</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43"/>
              <w:jc w:val="righ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156,947,326.00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30,000,000.00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-13,407,011.18</w:t>
            </w:r>
          </w:p>
        </w:tc>
        <w:tc>
          <w:tcPr>
            <w:tcW w:w="79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18,058,797.20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191,599,112.02</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46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新华康美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48,900,202.87</w:t>
            </w:r>
          </w:p>
        </w:tc>
        <w:tc>
          <w:tcPr>
            <w:tcW w:w="158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-3,523,165.66</w:t>
            </w:r>
          </w:p>
        </w:tc>
        <w:tc>
          <w:tcPr>
            <w:tcW w:w="79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45,377,037.21</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新彩华章</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5,928,820.26</w:t>
            </w:r>
          </w:p>
        </w:tc>
        <w:tc>
          <w:tcPr>
            <w:tcW w:w="158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9"/>
              <w:jc w:val="right"/>
              <w:rPr>
                <w:rFonts w:ascii="宋体" w:hAnsi="宋体" w:cs="宋体" w:eastAsia="宋体" w:hint="default"/>
                <w:sz w:val="21"/>
                <w:szCs w:val="21"/>
              </w:rPr>
            </w:pPr>
            <w:r>
              <w:rPr>
                <w:rFonts w:ascii="宋体"/>
                <w:spacing w:val="-1"/>
                <w:sz w:val="21"/>
              </w:rPr>
              <w:t>983,339.92</w:t>
            </w:r>
          </w:p>
        </w:tc>
        <w:tc>
          <w:tcPr>
            <w:tcW w:w="79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6"/>
              <w:jc w:val="right"/>
              <w:rPr>
                <w:rFonts w:ascii="宋体" w:hAnsi="宋体" w:cs="宋体" w:eastAsia="宋体" w:hint="default"/>
                <w:sz w:val="21"/>
                <w:szCs w:val="21"/>
              </w:rPr>
            </w:pPr>
            <w:r>
              <w:rPr>
                <w:rFonts w:ascii="宋体"/>
                <w:spacing w:val="-1"/>
                <w:sz w:val="21"/>
              </w:rPr>
              <w:t>6,912,160.18</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643"/>
              <w:jc w:val="right"/>
              <w:rPr>
                <w:rFonts w:ascii="宋体" w:hAnsi="宋体" w:cs="宋体" w:eastAsia="宋体" w:hint="default"/>
                <w:sz w:val="21"/>
                <w:szCs w:val="21"/>
              </w:rPr>
            </w:pPr>
            <w:r>
              <w:rPr>
                <w:rFonts w:ascii="宋体" w:hAnsi="宋体" w:cs="宋体" w:eastAsia="宋体" w:hint="default"/>
                <w:sz w:val="21"/>
                <w:szCs w:val="21"/>
              </w:rPr>
              <w:t>小计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6"/>
              <w:jc w:val="right"/>
              <w:rPr>
                <w:rFonts w:ascii="宋体" w:hAnsi="宋体" w:cs="宋体" w:eastAsia="宋体" w:hint="default"/>
                <w:sz w:val="21"/>
                <w:szCs w:val="21"/>
              </w:rPr>
            </w:pPr>
            <w:r>
              <w:rPr>
                <w:rFonts w:ascii="宋体"/>
                <w:spacing w:val="-1"/>
                <w:sz w:val="21"/>
              </w:rPr>
              <w:t>54,829,023.13</w:t>
            </w:r>
          </w:p>
        </w:tc>
        <w:tc>
          <w:tcPr>
            <w:tcW w:w="1582"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9"/>
              <w:jc w:val="right"/>
              <w:rPr>
                <w:rFonts w:ascii="宋体" w:hAnsi="宋体" w:cs="宋体" w:eastAsia="宋体" w:hint="default"/>
                <w:sz w:val="21"/>
                <w:szCs w:val="21"/>
              </w:rPr>
            </w:pPr>
            <w:r>
              <w:rPr>
                <w:rFonts w:ascii="宋体"/>
                <w:spacing w:val="-1"/>
                <w:sz w:val="21"/>
              </w:rPr>
              <w:t>-2,539,825.74</w:t>
            </w:r>
          </w:p>
        </w:tc>
        <w:tc>
          <w:tcPr>
            <w:tcW w:w="79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96"/>
              <w:jc w:val="right"/>
              <w:rPr>
                <w:rFonts w:ascii="宋体" w:hAnsi="宋体" w:cs="宋体" w:eastAsia="宋体" w:hint="default"/>
                <w:sz w:val="21"/>
                <w:szCs w:val="21"/>
              </w:rPr>
            </w:pPr>
            <w:r>
              <w:rPr>
                <w:rFonts w:ascii="宋体"/>
                <w:spacing w:val="-1"/>
                <w:sz w:val="21"/>
              </w:rPr>
              <w:t>52,289,197.39</w:t>
            </w: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43"/>
              <w:jc w:val="right"/>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211,776,349.13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30,000,000.00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9"/>
              <w:jc w:val="right"/>
              <w:rPr>
                <w:rFonts w:ascii="宋体" w:hAnsi="宋体" w:cs="宋体" w:eastAsia="宋体" w:hint="default"/>
                <w:sz w:val="21"/>
                <w:szCs w:val="21"/>
              </w:rPr>
            </w:pPr>
            <w:r>
              <w:rPr>
                <w:rFonts w:ascii="宋体"/>
                <w:spacing w:val="-1"/>
                <w:sz w:val="21"/>
              </w:rPr>
              <w:t>-15,946,836.92</w:t>
            </w:r>
          </w:p>
        </w:tc>
        <w:tc>
          <w:tcPr>
            <w:tcW w:w="79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18,058,797.20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6"/>
              <w:jc w:val="right"/>
              <w:rPr>
                <w:rFonts w:ascii="宋体" w:hAnsi="宋体" w:cs="宋体" w:eastAsia="宋体" w:hint="default"/>
                <w:sz w:val="21"/>
                <w:szCs w:val="21"/>
              </w:rPr>
            </w:pPr>
            <w:r>
              <w:rPr>
                <w:rFonts w:ascii="宋体"/>
                <w:spacing w:val="-1"/>
                <w:sz w:val="21"/>
              </w:rPr>
              <w:t>243,888,309.41</w:t>
            </w:r>
          </w:p>
        </w:tc>
        <w:tc>
          <w:tcPr>
            <w:tcW w:w="7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2" w:lineRule="exact" w:before="64"/>
        <w:ind w:left="520" w:right="13328"/>
        <w:jc w:val="left"/>
      </w:pPr>
      <w:r>
        <w:rPr/>
        <w:t>其他说明：</w:t>
      </w:r>
      <w:r>
        <w:rPr>
          <w:spacing w:val="-102"/>
        </w:rPr>
        <w:t> </w:t>
      </w:r>
      <w:r>
        <w:rPr>
          <w:spacing w:val="-102"/>
        </w:rPr>
      </w: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before="63"/>
        <w:ind w:left="6775" w:right="6779" w:firstLine="0"/>
        <w:jc w:val="center"/>
        <w:rPr>
          <w:rFonts w:ascii="Calibri" w:hAnsi="Calibri" w:cs="Calibri" w:eastAsia="Calibri" w:hint="default"/>
          <w:sz w:val="18"/>
          <w:szCs w:val="18"/>
        </w:rPr>
      </w:pPr>
      <w:r>
        <w:rPr>
          <w:rFonts w:ascii="Calibri"/>
          <w:b/>
          <w:sz w:val="18"/>
        </w:rPr>
        <w:t>179 </w:t>
      </w:r>
      <w:r>
        <w:rPr>
          <w:rFonts w:ascii="Calibri"/>
          <w:sz w:val="18"/>
        </w:rPr>
        <w:t>/</w:t>
      </w:r>
      <w:r>
        <w:rPr>
          <w:rFonts w:ascii="Calibri"/>
          <w:spacing w:val="-5"/>
          <w:sz w:val="18"/>
        </w:rPr>
        <w:t> </w:t>
      </w:r>
      <w:r>
        <w:rPr>
          <w:rFonts w:ascii="Calibri"/>
          <w:b/>
          <w:sz w:val="18"/>
        </w:rPr>
        <w:t>182</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920" w:right="100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94"/>
          <w:pgSz w:w="11910" w:h="16840"/>
          <w:pgMar w:footer="1195" w:header="0" w:top="1120" w:bottom="1380" w:left="1580" w:right="1040"/>
          <w:pgNumType w:start="180"/>
        </w:sectPr>
      </w:pPr>
    </w:p>
    <w:p>
      <w:pPr>
        <w:spacing w:line="240" w:lineRule="auto" w:before="10"/>
        <w:rPr>
          <w:rFonts w:ascii="Calibri" w:hAnsi="Calibri" w:cs="Calibri" w:eastAsia="Calibri" w:hint="default"/>
          <w:b/>
          <w:bCs/>
          <w:sz w:val="14"/>
          <w:szCs w:val="14"/>
        </w:rPr>
      </w:pPr>
    </w:p>
    <w:p>
      <w:pPr>
        <w:pStyle w:val="Heading2"/>
        <w:spacing w:line="240" w:lineRule="auto" w:before="0"/>
        <w:ind w:right="-19"/>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1"/>
        </w:rPr>
        <w:t> </w:t>
      </w:r>
      <w:r>
        <w:rPr/>
        <w:t>营业收入和营业成本情况</w:t>
      </w:r>
      <w:r>
        <w:rPr>
          <w:b w:val="0"/>
          <w:bCs w:val="0"/>
        </w:rPr>
      </w:r>
    </w:p>
    <w:p>
      <w:pPr>
        <w:pStyle w:val="BodyText"/>
        <w:tabs>
          <w:tab w:pos="1060" w:val="left" w:leader="none"/>
        </w:tabs>
        <w:spacing w:line="240" w:lineRule="auto" w:before="56"/>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067" w:space="345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84"/>
        <w:gridCol w:w="1897"/>
        <w:gridCol w:w="1688"/>
        <w:gridCol w:w="1897"/>
        <w:gridCol w:w="1685"/>
      </w:tblGrid>
      <w:tr>
        <w:trPr>
          <w:trHeight w:val="283" w:hRule="exact"/>
        </w:trPr>
        <w:tc>
          <w:tcPr>
            <w:tcW w:w="1884" w:type="dxa"/>
            <w:vMerge w:val="restart"/>
            <w:tcBorders>
              <w:top w:val="single" w:sz="4" w:space="0" w:color="000000"/>
              <w:left w:val="single" w:sz="4" w:space="0" w:color="000000"/>
              <w:right w:val="single" w:sz="4" w:space="0" w:color="000000"/>
            </w:tcBorders>
          </w:tcPr>
          <w:p>
            <w:pPr>
              <w:pStyle w:val="TableParagraph"/>
              <w:spacing w:line="240" w:lineRule="auto" w:before="12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07" w:hRule="exact"/>
        </w:trPr>
        <w:tc>
          <w:tcPr>
            <w:tcW w:w="188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1,403,436,340.54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755,570,107.16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1,409,640,303.98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759,243,613.24</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9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1,403,436,340.54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755,570,107.16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1,409,640,303.98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759,243,613.24</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pStyle w:val="BodyText"/>
        <w:spacing w:line="290" w:lineRule="auto" w:before="26"/>
        <w:ind w:right="617"/>
        <w:jc w:val="left"/>
      </w:pPr>
      <w:r>
        <w:rPr>
          <w:spacing w:val="-1"/>
        </w:rPr>
        <w:t>其他说明：</w:t>
      </w:r>
      <w:r>
        <w:rPr>
          <w:spacing w:val="-97"/>
        </w:rPr>
        <w:t> </w:t>
      </w:r>
      <w:r>
        <w:rPr>
          <w:spacing w:val="-97"/>
        </w:rPr>
      </w:r>
      <w:r>
        <w:rPr/>
        <w:t>无</w:t>
      </w:r>
    </w:p>
    <w:p>
      <w:pPr>
        <w:pStyle w:val="Heading2"/>
        <w:spacing w:line="240" w:lineRule="auto" w:before="13"/>
        <w:ind w:right="202"/>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tabs>
          <w:tab w:pos="1060" w:val="left" w:leader="none"/>
        </w:tabs>
        <w:spacing w:line="240" w:lineRule="auto" w:before="58"/>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901" w:space="462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406"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8"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-15,946,836.92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-12,993,600.03</w:t>
            </w:r>
          </w:p>
        </w:tc>
      </w:tr>
      <w:tr>
        <w:trPr>
          <w:trHeight w:val="408"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42,177,325.52</w:t>
            </w:r>
          </w:p>
        </w:tc>
      </w:tr>
      <w:tr>
        <w:trPr>
          <w:trHeight w:val="406"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1,245,720.40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3,502,733.91</w:t>
            </w:r>
          </w:p>
        </w:tc>
      </w:tr>
      <w:tr>
        <w:trPr>
          <w:trHeight w:val="408"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20,419,697.92</w:t>
            </w:r>
          </w:p>
        </w:tc>
      </w:tr>
      <w:tr>
        <w:trPr>
          <w:trHeight w:val="406"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银行理财投资收益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14,582,413.46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22,849,570.02</w:t>
            </w:r>
          </w:p>
        </w:tc>
      </w:tr>
      <w:tr>
        <w:trPr>
          <w:trHeight w:val="408"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-118,703.06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75,955,727.34</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before="26"/>
        <w:ind w:right="1056"/>
        <w:jc w:val="left"/>
        <w:rPr>
          <w:b w:val="0"/>
          <w:bCs w:val="0"/>
        </w:rPr>
      </w:pPr>
      <w:r>
        <w:rPr>
          <w:rFonts w:ascii="宋体" w:hAnsi="宋体" w:cs="宋体" w:eastAsia="宋体" w:hint="default"/>
        </w:rPr>
        <w:t>6</w:t>
      </w:r>
      <w:r>
        <w:rPr/>
        <w:t>、</w:t>
      </w:r>
      <w:r>
        <w:rPr>
          <w:spacing w:val="2"/>
        </w:rPr>
        <w:t> </w:t>
      </w:r>
      <w:r>
        <w:rPr/>
        <w:t>其他</w:t>
      </w:r>
      <w:r>
        <w:rPr>
          <w:b w:val="0"/>
          <w:bCs w:val="0"/>
        </w:rPr>
      </w:r>
    </w:p>
    <w:p>
      <w:pPr>
        <w:tabs>
          <w:tab w:pos="1057" w:val="left" w:leader="none"/>
        </w:tabs>
        <w:spacing w:line="290" w:lineRule="auto" w:before="58"/>
        <w:ind w:left="218" w:right="1056"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r>
      <w:r>
        <w:rPr>
          <w:rFonts w:ascii="宋体" w:hAnsi="宋体" w:cs="宋体" w:eastAsia="宋体" w:hint="default"/>
          <w:spacing w:val="-2"/>
          <w:sz w:val="21"/>
          <w:szCs w:val="21"/>
        </w:rPr>
        <w:t>√不适用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b/>
          <w:bCs/>
          <w:sz w:val="21"/>
          <w:szCs w:val="21"/>
        </w:rPr>
        <w:t>十八、</w:t>
        <w:tab/>
        <w:t>补充资料</w:t>
      </w:r>
      <w:r>
        <w:rPr>
          <w:rFonts w:ascii="宋体" w:hAnsi="宋体" w:cs="宋体" w:eastAsia="宋体" w:hint="default"/>
          <w:sz w:val="21"/>
          <w:szCs w:val="21"/>
        </w:rPr>
      </w:r>
    </w:p>
    <w:p>
      <w:pPr>
        <w:pStyle w:val="Heading2"/>
        <w:spacing w:line="240" w:lineRule="auto" w:before="12"/>
        <w:ind w:right="-19"/>
        <w:jc w:val="left"/>
        <w:rPr>
          <w:b w:val="0"/>
          <w:bCs w:val="0"/>
        </w:rPr>
      </w:pPr>
      <w:r>
        <w:rPr>
          <w:rFonts w:ascii="宋体" w:hAnsi="宋体" w:cs="宋体" w:eastAsia="宋体" w:hint="default"/>
        </w:rPr>
        <w:t>1</w:t>
      </w:r>
      <w:r>
        <w:rPr/>
        <w:t>、 当期非经常性损益明细表</w:t>
      </w:r>
      <w:r>
        <w:rPr>
          <w:b w:val="0"/>
          <w:bCs w:val="0"/>
        </w:rPr>
      </w:r>
    </w:p>
    <w:p>
      <w:pPr>
        <w:pStyle w:val="BodyText"/>
        <w:tabs>
          <w:tab w:pos="1060" w:val="left" w:leader="none"/>
        </w:tabs>
        <w:spacing w:line="240" w:lineRule="auto" w:before="58"/>
        <w:ind w:right="-19"/>
        <w:jc w:val="left"/>
      </w:pPr>
      <w:r>
        <w:rPr>
          <w:spacing w:val="-1"/>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70"/>
        <w:gridCol w:w="2127"/>
        <w:gridCol w:w="1853"/>
      </w:tblGrid>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-253,133.52</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照国家统一标准定额或定量享受的政府补助除外）</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46,514,328.94</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企业取得子公司、联营企业及合营企业的投资成本小</w:t>
            </w:r>
          </w:p>
          <w:p>
            <w:pPr>
              <w:pStyle w:val="TableParagraph"/>
              <w:spacing w:line="240" w:lineRule="auto"/>
              <w:ind w:left="103" w:right="120"/>
              <w:jc w:val="left"/>
              <w:rPr>
                <w:rFonts w:ascii="宋体" w:hAnsi="宋体" w:cs="宋体" w:eastAsia="宋体" w:hint="default"/>
                <w:sz w:val="21"/>
                <w:szCs w:val="21"/>
              </w:rPr>
            </w:pPr>
            <w:r>
              <w:rPr>
                <w:rFonts w:ascii="宋体" w:hAnsi="宋体" w:cs="宋体" w:eastAsia="宋体" w:hint="default"/>
                <w:spacing w:val="-2"/>
                <w:sz w:val="21"/>
                <w:szCs w:val="21"/>
              </w:rPr>
              <w:t>于取得投资时应享有被投资单位可辨认净资产公允价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值产生的收益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18,058,797.20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-220,000.00</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070"/>
        <w:gridCol w:w="2127"/>
        <w:gridCol w:w="1853"/>
      </w:tblGrid>
      <w:tr>
        <w:trPr>
          <w:trHeight w:val="557"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期净损益</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p>
            <w:pPr>
              <w:pStyle w:val="TableParagraph"/>
              <w:spacing w:line="237" w:lineRule="auto" w:before="2"/>
              <w:ind w:left="103" w:right="120"/>
              <w:jc w:val="both"/>
              <w:rPr>
                <w:rFonts w:ascii="宋体" w:hAnsi="宋体" w:cs="宋体" w:eastAsia="宋体" w:hint="default"/>
                <w:sz w:val="21"/>
                <w:szCs w:val="21"/>
              </w:rPr>
            </w:pPr>
            <w:r>
              <w:rPr>
                <w:rFonts w:ascii="宋体" w:hAnsi="宋体" w:cs="宋体" w:eastAsia="宋体" w:hint="default"/>
                <w:spacing w:val="-2"/>
                <w:sz w:val="21"/>
                <w:szCs w:val="21"/>
              </w:rPr>
              <w:t>持有交易性金融资产、交易性金融负债产生的公允价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值变动损益，以及处置交易性金融资产、交易性金融</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负债和可供出售金融资产取得的投资收益</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价值变动产生的损益</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一次性调整对当期损益的影响</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20,528,762.84</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16,452.06</w:t>
            </w:r>
          </w:p>
        </w:tc>
        <w:tc>
          <w:tcPr>
            <w:tcW w:w="18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84,645,207.52</w:t>
            </w:r>
          </w:p>
        </w:tc>
        <w:tc>
          <w:tcPr>
            <w:tcW w:w="18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124"/>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357" w:lineRule="auto" w:before="133"/>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spacing w:line="240" w:lineRule="auto" w:before="30"/>
        <w:ind w:right="3319"/>
        <w:jc w:val="left"/>
      </w:pPr>
      <w:r>
        <w:rPr/>
        <w:t>□适用</w:t>
      </w:r>
      <w:r>
        <w:rPr>
          <w:spacing w:val="-1"/>
        </w:rPr>
        <w:t> </w:t>
      </w:r>
      <w:r>
        <w:rPr/>
        <w:t>√不适用</w:t>
      </w:r>
    </w:p>
    <w:p>
      <w:pPr>
        <w:pStyle w:val="Heading2"/>
        <w:spacing w:line="240" w:lineRule="auto" w:before="56"/>
        <w:ind w:right="3319"/>
        <w:jc w:val="left"/>
        <w:rPr>
          <w:b w:val="0"/>
          <w:bCs w:val="0"/>
        </w:rPr>
      </w:pPr>
      <w:r>
        <w:rPr>
          <w:rFonts w:ascii="宋体" w:hAnsi="宋体" w:cs="宋体" w:eastAsia="宋体" w:hint="default"/>
        </w:rPr>
        <w:t>2</w:t>
      </w:r>
      <w:r>
        <w:rPr/>
        <w:t>、 净资产收益率及每股收益</w:t>
      </w:r>
      <w:r>
        <w:rPr>
          <w:b w:val="0"/>
          <w:bCs w:val="0"/>
        </w:rPr>
      </w:r>
    </w:p>
    <w:p>
      <w:pPr>
        <w:pStyle w:val="BodyText"/>
        <w:spacing w:line="240" w:lineRule="auto" w:before="58"/>
        <w:ind w:right="3319"/>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12"/>
        <w:gridCol w:w="1841"/>
        <w:gridCol w:w="1704"/>
        <w:gridCol w:w="1993"/>
      </w:tblGrid>
      <w:tr>
        <w:trPr>
          <w:trHeight w:val="283" w:hRule="exact"/>
        </w:trPr>
        <w:tc>
          <w:tcPr>
            <w:tcW w:w="3512" w:type="dxa"/>
            <w:vMerge w:val="restart"/>
            <w:tcBorders>
              <w:top w:val="single" w:sz="4" w:space="0" w:color="000000"/>
              <w:left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5" w:right="178"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3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3512"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0"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370"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10.16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0.5493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0.5493</w:t>
            </w:r>
          </w:p>
        </w:tc>
      </w:tr>
      <w:tr>
        <w:trPr>
          <w:trHeight w:val="55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7.15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0.3862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0.3862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right="3319"/>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3319"/>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3319"/>
        <w:jc w:val="left"/>
        <w:rPr>
          <w:b w:val="0"/>
          <w:bCs w:val="0"/>
        </w:rPr>
      </w:pPr>
      <w:r>
        <w:rPr>
          <w:rFonts w:ascii="宋体" w:hAnsi="宋体" w:cs="宋体" w:eastAsia="宋体" w:hint="default"/>
        </w:rPr>
        <w:t>4</w:t>
      </w:r>
      <w:r>
        <w:rPr/>
        <w:t>、</w:t>
      </w:r>
      <w:r>
        <w:rPr>
          <w:spacing w:val="-1"/>
        </w:rPr>
        <w:t> </w:t>
      </w:r>
      <w:r>
        <w:rPr/>
        <w:t>其他</w:t>
      </w:r>
      <w:r>
        <w:rPr>
          <w:b w:val="0"/>
          <w:bCs w:val="0"/>
        </w:rPr>
      </w:r>
    </w:p>
    <w:p>
      <w:pPr>
        <w:pStyle w:val="BodyText"/>
        <w:tabs>
          <w:tab w:pos="1060" w:val="left" w:leader="none"/>
        </w:tabs>
        <w:spacing w:line="240" w:lineRule="auto" w:before="56"/>
        <w:ind w:right="3319"/>
        <w:jc w:val="left"/>
      </w:pPr>
      <w:r>
        <w:rPr>
          <w:spacing w:val="-1"/>
        </w:rPr>
        <w:t>□适用</w:t>
        <w:tab/>
      </w:r>
      <w:r>
        <w:rPr>
          <w:spacing w:val="-2"/>
        </w:rPr>
        <w:t>√不适用</w:t>
      </w:r>
    </w:p>
    <w:p>
      <w:pPr>
        <w:spacing w:after="0" w:line="240" w:lineRule="auto"/>
        <w:jc w:val="left"/>
        <w:sectPr>
          <w:pgSz w:w="11910" w:h="16840"/>
          <w:pgMar w:header="0" w:footer="1195" w:top="1120" w:bottom="1380" w:left="1580" w:right="1040"/>
        </w:sectPr>
      </w:pPr>
    </w:p>
    <w:p>
      <w:pPr>
        <w:spacing w:line="240" w:lineRule="auto" w:before="9"/>
        <w:rPr>
          <w:rFonts w:ascii="宋体" w:hAnsi="宋体" w:cs="宋体" w:eastAsia="宋体" w:hint="default"/>
          <w:sz w:val="25"/>
          <w:szCs w:val="25"/>
        </w:rPr>
      </w:pPr>
    </w:p>
    <w:p>
      <w:pPr>
        <w:pStyle w:val="Heading1"/>
        <w:spacing w:line="240" w:lineRule="auto"/>
        <w:ind w:left="3161" w:right="3158"/>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18" w:type="dxa"/>
        <w:tblLayout w:type="fixed"/>
        <w:tblCellMar>
          <w:top w:w="0" w:type="dxa"/>
          <w:left w:w="0" w:type="dxa"/>
          <w:bottom w:w="0" w:type="dxa"/>
          <w:right w:w="0" w:type="dxa"/>
        </w:tblCellMar>
        <w:tblLook w:val="01E0"/>
      </w:tblPr>
      <w:tblGrid>
        <w:gridCol w:w="2465"/>
        <w:gridCol w:w="6599"/>
      </w:tblGrid>
      <w:tr>
        <w:trPr>
          <w:trHeight w:val="554"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会计报表。</w:t>
            </w:r>
          </w:p>
        </w:tc>
      </w:tr>
      <w:tr>
        <w:trPr>
          <w:trHeight w:val="350"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载有会计师事务所盖章、注册会计师签名并盖章的审计报告正本。</w:t>
            </w:r>
          </w:p>
        </w:tc>
      </w:tr>
      <w:tr>
        <w:trPr>
          <w:trHeight w:val="557" w:hRule="exact"/>
        </w:trPr>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报告期内在证监会指定报纸上公开披露的所有公司文件的正本及公告原</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稿。</w:t>
            </w:r>
          </w:p>
        </w:tc>
      </w:tr>
    </w:tbl>
    <w:p>
      <w:pPr>
        <w:pStyle w:val="BodyText"/>
        <w:spacing w:line="314" w:lineRule="auto" w:before="42"/>
        <w:ind w:left="5336" w:right="232" w:firstLine="2155"/>
        <w:jc w:val="left"/>
      </w:pPr>
      <w:r>
        <w:rPr/>
        <w:t>董事长：田舒斌</w:t>
      </w:r>
      <w:r>
        <w:rPr>
          <w:w w:val="100"/>
        </w:rPr>
        <w:t> </w:t>
      </w:r>
      <w:r>
        <w:rPr/>
        <w:t>董事会批准报送日期：</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17</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2"/>
        <w:ind w:left="23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pStyle w:val="BodyText"/>
        <w:spacing w:line="240" w:lineRule="auto" w:before="4"/>
        <w:ind w:left="238" w:right="0"/>
        <w:jc w:val="left"/>
      </w:pPr>
      <w:r>
        <w:rPr/>
        <w:t>□适用</w:t>
      </w:r>
      <w:r>
        <w:rPr>
          <w:spacing w:val="-1"/>
        </w:rPr>
        <w:t> </w:t>
      </w:r>
      <w:r>
        <w:rPr/>
        <w:t>√不适用</w:t>
      </w:r>
    </w:p>
    <w:sectPr>
      <w:pgSz w:w="11910" w:h="16840"/>
      <w:pgMar w:header="0" w:footer="1195" w:top="1120" w:bottom="1380" w:left="15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852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52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52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52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w:t>
                </w:r>
                <w:r>
                  <w:rPr/>
                  <w:fldChar w:fldCharType="end"/>
                </w:r>
                <w:r>
                  <w:rPr>
                    <w:rFonts w:ascii="Calibri"/>
                    <w:b/>
                    <w:sz w:val="18"/>
                  </w:rPr>
                  <w:t>9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52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52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52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9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52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51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51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60</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51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52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51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51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78</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851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51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51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85</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516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516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51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97</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51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98</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851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99 </w:t>
                </w:r>
                <w:r>
                  <w:rPr>
                    <w:rFonts w:ascii="Calibri"/>
                    <w:sz w:val="18"/>
                  </w:rPr>
                  <w:t>/</w:t>
                </w:r>
                <w:r>
                  <w:rPr>
                    <w:rFonts w:ascii="Calibri"/>
                    <w:spacing w:val="-4"/>
                    <w:sz w:val="18"/>
                  </w:rPr>
                  <w:t> </w:t>
                </w:r>
                <w:r>
                  <w:rPr>
                    <w:rFonts w:ascii="Calibri"/>
                    <w:b/>
                    <w:sz w:val="18"/>
                  </w:rPr>
                  <w:t>182</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52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51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51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51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51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51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51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115</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51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120</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52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51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126</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51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w:t>
                </w:r>
                <w:r>
                  <w:rPr/>
                  <w:fldChar w:fldCharType="end"/>
                </w:r>
                <w:r>
                  <w:rPr>
                    <w:rFonts w:ascii="Calibri"/>
                    <w:b/>
                    <w:sz w:val="18"/>
                  </w:rPr>
                  <w:t>9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51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51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51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51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851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153</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51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155</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51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51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8510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182</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51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172</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50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177</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850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180</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52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852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52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852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w:t>
                </w:r>
                <w:r>
                  <w:rPr/>
                  <w:fldChar w:fldCharType="end"/>
                </w:r>
                <w:r>
                  <w:rPr>
                    <w:rFonts w:ascii="Calibri"/>
                    <w:b/>
                    <w:sz w:val="18"/>
                  </w:rPr>
                  <w:t> </w:t>
                </w:r>
                <w:r>
                  <w:rPr>
                    <w:rFonts w:ascii="Calibri"/>
                    <w:sz w:val="18"/>
                  </w:rPr>
                  <w:t>/</w:t>
                </w:r>
                <w:r>
                  <w:rPr>
                    <w:rFonts w:ascii="Calibri"/>
                    <w:spacing w:val="-3"/>
                    <w:sz w:val="18"/>
                  </w:rPr>
                  <w:t> </w:t>
                </w:r>
                <w:r>
                  <w:rPr>
                    <w:rFonts w:ascii="Calibri"/>
                    <w:b/>
                    <w:sz w:val="18"/>
                  </w:rPr>
                  <w:t>182</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85273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852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851968"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851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85184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8518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5172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8517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85122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8512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85115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8511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85256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8525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85249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8524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852400"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852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85230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8522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852208"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8521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85213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8521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852040"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609985pt;margin-top:42.985634pt;width:67.55pt;height:12pt;mso-position-horizontal-relative:page;mso-position-vertical-relative:page;z-index:-8520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4"/>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3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xxpl@xinhuanet.com" TargetMode="External"/><Relationship Id="rId8" Type="http://schemas.openxmlformats.org/officeDocument/2006/relationships/hyperlink" Target="http://www.xinhuanet.com/" TargetMode="External"/><Relationship Id="rId9" Type="http://schemas.openxmlformats.org/officeDocument/2006/relationships/hyperlink" Target="http://www.news.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footer" Target="footer3.xml"/><Relationship Id="rId16" Type="http://schemas.openxmlformats.org/officeDocument/2006/relationships/image" Target="media/image4.jpeg"/><Relationship Id="rId17" Type="http://schemas.openxmlformats.org/officeDocument/2006/relationships/footer" Target="footer4.xml"/><Relationship Id="rId18" Type="http://schemas.openxmlformats.org/officeDocument/2006/relationships/header" Target="header2.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eader" Target="header3.xml"/><Relationship Id="rId22" Type="http://schemas.openxmlformats.org/officeDocument/2006/relationships/footer" Target="footer7.xml"/><Relationship Id="rId23" Type="http://schemas.openxmlformats.org/officeDocument/2006/relationships/header" Target="header4.xml"/><Relationship Id="rId24" Type="http://schemas.openxmlformats.org/officeDocument/2006/relationships/footer" Target="footer8.xml"/><Relationship Id="rId25" Type="http://schemas.openxmlformats.org/officeDocument/2006/relationships/footer" Target="footer9.xml"/><Relationship Id="rId26" Type="http://schemas.openxmlformats.org/officeDocument/2006/relationships/header" Target="header5.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6.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header" Target="header7.xml"/><Relationship Id="rId33" Type="http://schemas.openxmlformats.org/officeDocument/2006/relationships/footer" Target="footer14.xml"/><Relationship Id="rId34" Type="http://schemas.openxmlformats.org/officeDocument/2006/relationships/header" Target="header8.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header" Target="header9.xml"/><Relationship Id="rId40" Type="http://schemas.openxmlformats.org/officeDocument/2006/relationships/footer" Target="footer17.xml"/><Relationship Id="rId41" Type="http://schemas.openxmlformats.org/officeDocument/2006/relationships/header" Target="header10.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header" Target="header11.xml"/><Relationship Id="rId46" Type="http://schemas.openxmlformats.org/officeDocument/2006/relationships/footer" Target="footer21.xml"/><Relationship Id="rId47" Type="http://schemas.openxmlformats.org/officeDocument/2006/relationships/footer" Target="footer22.xml"/><Relationship Id="rId48" Type="http://schemas.openxmlformats.org/officeDocument/2006/relationships/footer" Target="footer23.xml"/><Relationship Id="rId49" Type="http://schemas.openxmlformats.org/officeDocument/2006/relationships/header" Target="header12.xml"/><Relationship Id="rId50" Type="http://schemas.openxmlformats.org/officeDocument/2006/relationships/footer" Target="footer24.xml"/><Relationship Id="rId51" Type="http://schemas.openxmlformats.org/officeDocument/2006/relationships/footer" Target="footer25.xml"/><Relationship Id="rId52" Type="http://schemas.openxmlformats.org/officeDocument/2006/relationships/footer" Target="footer26.xml"/><Relationship Id="rId53" Type="http://schemas.openxmlformats.org/officeDocument/2006/relationships/footer" Target="footer27.xml"/><Relationship Id="rId54" Type="http://schemas.openxmlformats.org/officeDocument/2006/relationships/footer" Target="footer28.xml"/><Relationship Id="rId55" Type="http://schemas.openxmlformats.org/officeDocument/2006/relationships/footer" Target="footer29.xml"/><Relationship Id="rId56" Type="http://schemas.openxmlformats.org/officeDocument/2006/relationships/footer" Target="footer30.xml"/><Relationship Id="rId57" Type="http://schemas.openxmlformats.org/officeDocument/2006/relationships/footer" Target="footer31.xml"/><Relationship Id="rId58" Type="http://schemas.openxmlformats.org/officeDocument/2006/relationships/footer" Target="footer32.xml"/><Relationship Id="rId59" Type="http://schemas.openxmlformats.org/officeDocument/2006/relationships/footer" Target="footer33.xml"/><Relationship Id="rId60" Type="http://schemas.openxmlformats.org/officeDocument/2006/relationships/footer" Target="footer34.xml"/><Relationship Id="rId61" Type="http://schemas.openxmlformats.org/officeDocument/2006/relationships/header" Target="header13.xml"/><Relationship Id="rId62" Type="http://schemas.openxmlformats.org/officeDocument/2006/relationships/footer" Target="footer35.xml"/><Relationship Id="rId63" Type="http://schemas.openxmlformats.org/officeDocument/2006/relationships/footer" Target="footer36.xml"/><Relationship Id="rId64" Type="http://schemas.openxmlformats.org/officeDocument/2006/relationships/header" Target="header14.xml"/><Relationship Id="rId65" Type="http://schemas.openxmlformats.org/officeDocument/2006/relationships/footer" Target="footer37.xml"/><Relationship Id="rId66" Type="http://schemas.openxmlformats.org/officeDocument/2006/relationships/footer" Target="footer38.xml"/><Relationship Id="rId67" Type="http://schemas.openxmlformats.org/officeDocument/2006/relationships/header" Target="header15.xml"/><Relationship Id="rId68" Type="http://schemas.openxmlformats.org/officeDocument/2006/relationships/footer" Target="footer39.xml"/><Relationship Id="rId69" Type="http://schemas.openxmlformats.org/officeDocument/2006/relationships/footer" Target="footer40.xml"/><Relationship Id="rId70" Type="http://schemas.openxmlformats.org/officeDocument/2006/relationships/header" Target="header16.xml"/><Relationship Id="rId71" Type="http://schemas.openxmlformats.org/officeDocument/2006/relationships/footer" Target="footer41.xml"/><Relationship Id="rId72" Type="http://schemas.openxmlformats.org/officeDocument/2006/relationships/footer" Target="footer42.xml"/><Relationship Id="rId73" Type="http://schemas.openxmlformats.org/officeDocument/2006/relationships/footer" Target="footer43.xml"/><Relationship Id="rId74" Type="http://schemas.openxmlformats.org/officeDocument/2006/relationships/header" Target="header17.xml"/><Relationship Id="rId75" Type="http://schemas.openxmlformats.org/officeDocument/2006/relationships/footer" Target="footer44.xml"/><Relationship Id="rId76" Type="http://schemas.openxmlformats.org/officeDocument/2006/relationships/footer" Target="footer45.xml"/><Relationship Id="rId77" Type="http://schemas.openxmlformats.org/officeDocument/2006/relationships/footer" Target="footer46.xml"/><Relationship Id="rId78" Type="http://schemas.openxmlformats.org/officeDocument/2006/relationships/footer" Target="footer47.xml"/><Relationship Id="rId79" Type="http://schemas.openxmlformats.org/officeDocument/2006/relationships/header" Target="header18.xml"/><Relationship Id="rId80" Type="http://schemas.openxmlformats.org/officeDocument/2006/relationships/footer" Target="footer48.xml"/><Relationship Id="rId81" Type="http://schemas.openxmlformats.org/officeDocument/2006/relationships/header" Target="header19.xml"/><Relationship Id="rId82" Type="http://schemas.openxmlformats.org/officeDocument/2006/relationships/footer" Target="footer49.xml"/><Relationship Id="rId83" Type="http://schemas.openxmlformats.org/officeDocument/2006/relationships/footer" Target="footer50.xml"/><Relationship Id="rId84" Type="http://schemas.openxmlformats.org/officeDocument/2006/relationships/footer" Target="footer51.xml"/><Relationship Id="rId85" Type="http://schemas.openxmlformats.org/officeDocument/2006/relationships/footer" Target="footer52.xml"/><Relationship Id="rId86" Type="http://schemas.openxmlformats.org/officeDocument/2006/relationships/header" Target="header20.xml"/><Relationship Id="rId87" Type="http://schemas.openxmlformats.org/officeDocument/2006/relationships/footer" Target="footer53.xml"/><Relationship Id="rId88" Type="http://schemas.openxmlformats.org/officeDocument/2006/relationships/footer" Target="footer54.xml"/><Relationship Id="rId89" Type="http://schemas.openxmlformats.org/officeDocument/2006/relationships/header" Target="header21.xml"/><Relationship Id="rId90" Type="http://schemas.openxmlformats.org/officeDocument/2006/relationships/footer" Target="footer55.xml"/><Relationship Id="rId91" Type="http://schemas.openxmlformats.org/officeDocument/2006/relationships/footer" Target="footer56.xml"/><Relationship Id="rId92" Type="http://schemas.openxmlformats.org/officeDocument/2006/relationships/header" Target="header22.xml"/><Relationship Id="rId93" Type="http://schemas.openxmlformats.org/officeDocument/2006/relationships/footer" Target="footer57.xml"/><Relationship Id="rId94" Type="http://schemas.openxmlformats.org/officeDocument/2006/relationships/footer" Target="footer5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2020-05-05T00:00:43Z</dcterms:created>
  <dcterms:modified xsi:type="dcterms:W3CDTF">2020-05-05T00:00:43Z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Creator">
    <vt:lpwstr>Microsoft® Office Word 2007</vt:lpwstr>
  </property>
  <property fmtid="{D5CDD505-2E9C-101B-9397-08002B2CF9AE}" pid="4" name="LastSaved">
    <vt:filetime>2020-05-04T00:00:00Z</vt:filetime>
  </property>
</Properties>
</file>