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821" w:val="left"/>
        </w:tabs>
        <w:bidi w:val="0"/>
        <w:spacing w:before="0" w:after="2840" w:line="240" w:lineRule="auto"/>
        <w:ind w:left="0" w:right="0" w:firstLine="0"/>
        <w:jc w:val="center"/>
      </w:pPr>
      <w:r>
        <w:rPr>
          <w:color w:val="000000"/>
          <w:spacing w:val="0"/>
          <w:w w:val="100"/>
          <w:position w:val="0"/>
        </w:rPr>
        <w:t>公司代码：</w:t>
      </w:r>
      <w:r>
        <w:rPr>
          <w:rFonts w:ascii="Times New Roman" w:eastAsia="Times New Roman" w:hAnsi="Times New Roman" w:cs="Times New Roman"/>
          <w:color w:val="000000"/>
          <w:spacing w:val="0"/>
          <w:w w:val="100"/>
          <w:position w:val="0"/>
        </w:rPr>
        <w:t>688012</w:t>
        <w:tab/>
      </w:r>
      <w:r>
        <w:rPr>
          <w:color w:val="000000"/>
          <w:spacing w:val="0"/>
          <w:w w:val="100"/>
          <w:position w:val="0"/>
        </w:rPr>
        <w:t>公司简称：中微公司</w:t>
      </w:r>
    </w:p>
    <w:p>
      <w:pPr>
        <w:widowControl w:val="0"/>
        <w:jc w:val="center"/>
        <w:rPr>
          <w:sz w:val="2"/>
          <w:szCs w:val="2"/>
        </w:rPr>
      </w:pPr>
      <w:r>
        <w:drawing>
          <wp:inline>
            <wp:extent cx="2060575" cy="463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60575" cy="463550"/>
                    </a:xfrm>
                    <a:prstGeom prst="rect"/>
                  </pic:spPr>
                </pic:pic>
              </a:graphicData>
            </a:graphic>
          </wp:inline>
        </w:drawing>
      </w:r>
    </w:p>
    <w:p>
      <w:pPr>
        <w:widowControl w:val="0"/>
        <w:spacing w:after="1659" w:line="1" w:lineRule="exact"/>
      </w:pPr>
    </w:p>
    <w:p>
      <w:pPr>
        <w:pStyle w:val="Style10"/>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中微半导体设备（上海）股份有限公司</w:t>
      </w:r>
      <w:bookmarkEnd w:id="0"/>
      <w:bookmarkEnd w:id="1"/>
      <w:bookmarkEnd w:id="2"/>
    </w:p>
    <w:p>
      <w:pPr>
        <w:pStyle w:val="Style10"/>
        <w:keepNext/>
        <w:keepLines/>
        <w:widowControl w:val="0"/>
        <w:shd w:val="clear" w:color="auto" w:fill="auto"/>
        <w:bidi w:val="0"/>
        <w:spacing w:before="0" w:after="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657" w:right="1369" w:bottom="1657" w:left="1785"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3"/>
        <w:keepNext/>
        <w:keepLines/>
        <w:widowControl w:val="0"/>
        <w:shd w:val="clear" w:color="auto" w:fill="auto"/>
        <w:bidi w:val="0"/>
        <w:spacing w:before="580" w:after="18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478" w:val="left"/>
        </w:tabs>
        <w:bidi w:val="0"/>
        <w:spacing w:before="0" w:after="260" w:line="403" w:lineRule="exact"/>
        <w:ind w:left="380" w:right="0" w:hanging="380"/>
        <w:jc w:val="both"/>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638" w:val="left"/>
        </w:tabs>
        <w:bidi w:val="0"/>
        <w:spacing w:before="0" w:after="0" w:line="408"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重大风险提示</w:t>
      </w:r>
    </w:p>
    <w:p>
      <w:pPr>
        <w:pStyle w:val="Style2"/>
        <w:keepNext w:val="0"/>
        <w:keepLines w:val="0"/>
        <w:widowControl w:val="0"/>
        <w:shd w:val="clear" w:color="auto" w:fill="auto"/>
        <w:bidi w:val="0"/>
        <w:spacing w:before="0" w:after="440" w:line="408" w:lineRule="exact"/>
        <w:ind w:left="0" w:right="0" w:firstLine="420"/>
        <w:jc w:val="both"/>
      </w:pPr>
      <w:r>
        <w:rPr>
          <w:color w:val="000000"/>
          <w:spacing w:val="0"/>
          <w:w w:val="100"/>
          <w:position w:val="0"/>
        </w:rPr>
        <w:t>报告期内，不存在对公司生产经营产生实质性影响的特别重大风险。公司已在报告中详细描 述可能存在的相关风险，敬请查阅第四节经营情况讨论与分析“二、风险因素”部分内容。</w:t>
      </w:r>
    </w:p>
    <w:p>
      <w:pPr>
        <w:pStyle w:val="Style2"/>
        <w:keepNext w:val="0"/>
        <w:keepLines w:val="0"/>
        <w:widowControl w:val="0"/>
        <w:shd w:val="clear" w:color="auto" w:fill="auto"/>
        <w:tabs>
          <w:tab w:pos="483" w:val="left"/>
        </w:tabs>
        <w:bidi w:val="0"/>
        <w:spacing w:before="0" w:after="440" w:line="240" w:lineRule="auto"/>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公司全体董事出席董事会会议。</w:t>
      </w:r>
    </w:p>
    <w:p>
      <w:pPr>
        <w:pStyle w:val="Style2"/>
        <w:keepNext w:val="0"/>
        <w:keepLines w:val="0"/>
        <w:widowControl w:val="0"/>
        <w:shd w:val="clear" w:color="auto" w:fill="auto"/>
        <w:tabs>
          <w:tab w:pos="483" w:val="left"/>
        </w:tabs>
        <w:bidi w:val="0"/>
        <w:spacing w:before="0" w:after="180" w:line="240" w:lineRule="auto"/>
        <w:ind w:left="0" w:right="0" w:firstLine="0"/>
        <w:jc w:val="left"/>
      </w:pPr>
      <w:bookmarkStart w:id="10" w:name="bookmark10"/>
      <w:r>
        <w:rPr>
          <w:b/>
          <w:bCs/>
          <w:color w:val="000000"/>
          <w:spacing w:val="0"/>
          <w:w w:val="100"/>
          <w:position w:val="0"/>
        </w:rPr>
        <w:t>四</w:t>
      </w:r>
      <w:bookmarkEnd w:id="10"/>
      <w:r>
        <w:rPr>
          <w:b/>
          <w:bCs/>
          <w:color w:val="000000"/>
          <w:spacing w:val="0"/>
          <w:w w:val="100"/>
          <w:position w:val="0"/>
        </w:rPr>
        <w:t>、</w:t>
        <w:tab/>
        <w:t>普华永道中天会计师事务所（特殊普通合伙）为本公司出具了标准无保留意见的审计报</w:t>
      </w:r>
    </w:p>
    <w:p>
      <w:pPr>
        <w:pStyle w:val="Style2"/>
        <w:keepNext w:val="0"/>
        <w:keepLines w:val="0"/>
        <w:widowControl w:val="0"/>
        <w:shd w:val="clear" w:color="auto" w:fill="auto"/>
        <w:bidi w:val="0"/>
        <w:spacing w:before="0" w:after="260" w:line="240" w:lineRule="auto"/>
        <w:ind w:left="0" w:right="0" w:firstLine="380"/>
        <w:jc w:val="both"/>
      </w:pPr>
      <w:r>
        <w:rPr>
          <w:b/>
          <w:bCs/>
          <w:color w:val="000000"/>
          <w:spacing w:val="0"/>
          <w:w w:val="100"/>
          <w:position w:val="0"/>
        </w:rPr>
        <w:t>告。</w:t>
      </w:r>
    </w:p>
    <w:p>
      <w:pPr>
        <w:pStyle w:val="Style2"/>
        <w:keepNext w:val="0"/>
        <w:keepLines w:val="0"/>
        <w:widowControl w:val="0"/>
        <w:shd w:val="clear" w:color="auto" w:fill="auto"/>
        <w:bidi w:val="0"/>
        <w:spacing w:before="0" w:after="260" w:line="403" w:lineRule="exact"/>
        <w:ind w:left="380" w:right="0" w:hanging="380"/>
        <w:jc w:val="both"/>
      </w:pPr>
      <w:bookmarkStart w:id="11" w:name="bookmark11"/>
      <w:r>
        <w:rPr>
          <w:b/>
          <w:bCs/>
          <w:color w:val="000000"/>
          <w:spacing w:val="0"/>
          <w:w w:val="100"/>
          <w:position w:val="0"/>
        </w:rPr>
        <w:t>五</w:t>
      </w:r>
      <w:bookmarkEnd w:id="11"/>
      <w:r>
        <w:rPr>
          <w:b/>
          <w:bCs/>
          <w:color w:val="000000"/>
          <w:spacing w:val="0"/>
          <w:w w:val="100"/>
          <w:position w:val="0"/>
        </w:rPr>
        <w:t>、公司负责人尹志尧、主管会计工作负责人陈伟文及会计机构负责人（会计主管人员）陈伟文 声明：保证年度报告中财务报告的真实、准确、完整。</w:t>
      </w:r>
    </w:p>
    <w:p>
      <w:pPr>
        <w:pStyle w:val="Style2"/>
        <w:keepNext w:val="0"/>
        <w:keepLines w:val="0"/>
        <w:widowControl w:val="0"/>
        <w:shd w:val="clear" w:color="auto" w:fill="auto"/>
        <w:bidi w:val="0"/>
        <w:spacing w:before="0" w:after="0" w:line="394"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、经董事会审议的报告期利润分配预案或公积金转增股本预案</w:t>
      </w:r>
    </w:p>
    <w:p>
      <w:pPr>
        <w:pStyle w:val="Style2"/>
        <w:keepNext w:val="0"/>
        <w:keepLines w:val="0"/>
        <w:widowControl w:val="0"/>
        <w:shd w:val="clear" w:color="auto" w:fill="auto"/>
        <w:bidi w:val="0"/>
        <w:spacing w:before="0" w:after="380" w:line="394" w:lineRule="exact"/>
        <w:ind w:left="0" w:right="0" w:firstLine="420"/>
        <w:jc w:val="both"/>
      </w:pPr>
      <w:r>
        <w:rPr>
          <w:color w:val="000000"/>
          <w:spacing w:val="0"/>
          <w:w w:val="100"/>
          <w:position w:val="0"/>
        </w:rPr>
        <w:t>充分考虑到公司目前处于发展投入期，资金需求较大，为更好地维护全体股东的长远利益, 公司</w:t>
      </w:r>
      <w:r>
        <w:rPr>
          <w:rFonts w:ascii="Times New Roman" w:eastAsia="Times New Roman" w:hAnsi="Times New Roman" w:cs="Times New Roman"/>
          <w:color w:val="000000"/>
          <w:spacing w:val="0"/>
          <w:w w:val="100"/>
          <w:position w:val="0"/>
        </w:rPr>
        <w:t>2020</w:t>
      </w:r>
      <w:r>
        <w:rPr>
          <w:color w:val="000000"/>
          <w:spacing w:val="0"/>
          <w:w w:val="100"/>
          <w:position w:val="0"/>
        </w:rPr>
        <w:t>年度不分配利润，资本公积不转增。</w:t>
      </w:r>
    </w:p>
    <w:p>
      <w:pPr>
        <w:pStyle w:val="Style2"/>
        <w:keepNext w:val="0"/>
        <w:keepLines w:val="0"/>
        <w:widowControl w:val="0"/>
        <w:shd w:val="clear" w:color="auto" w:fill="auto"/>
        <w:tabs>
          <w:tab w:pos="483" w:val="left"/>
        </w:tabs>
        <w:bidi w:val="0"/>
        <w:spacing w:before="0" w:after="0" w:line="410" w:lineRule="exact"/>
        <w:ind w:left="0" w:right="0" w:firstLine="0"/>
        <w:jc w:val="both"/>
      </w:pPr>
      <w:bookmarkStart w:id="13" w:name="bookmark13"/>
      <w:r>
        <w:rPr>
          <w:b/>
          <w:bCs/>
          <w:color w:val="000000"/>
          <w:spacing w:val="0"/>
          <w:w w:val="100"/>
          <w:position w:val="0"/>
        </w:rPr>
        <w:t>七</w:t>
      </w:r>
      <w:bookmarkEnd w:id="13"/>
      <w:r>
        <w:rPr>
          <w:b/>
          <w:bCs/>
          <w:color w:val="000000"/>
          <w:spacing w:val="0"/>
          <w:w w:val="100"/>
          <w:position w:val="0"/>
        </w:rPr>
        <w:t>、</w:t>
        <w:tab/>
        <w:t>是否存在公司治理特殊安排等重要事项</w:t>
      </w:r>
    </w:p>
    <w:p>
      <w:pPr>
        <w:pStyle w:val="Style2"/>
        <w:keepNext w:val="0"/>
        <w:keepLines w:val="0"/>
        <w:widowControl w:val="0"/>
        <w:shd w:val="clear" w:color="auto" w:fill="auto"/>
        <w:bidi w:val="0"/>
        <w:spacing w:before="0" w:after="180" w:line="410"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80" w:line="410" w:lineRule="exact"/>
        <w:ind w:left="0" w:right="0" w:firstLine="0"/>
        <w:jc w:val="both"/>
      </w:pPr>
      <w:bookmarkStart w:id="14" w:name="bookmark14"/>
      <w:r>
        <w:rPr>
          <w:b/>
          <w:bCs/>
          <w:color w:val="000000"/>
          <w:spacing w:val="0"/>
          <w:w w:val="100"/>
          <w:position w:val="0"/>
        </w:rPr>
        <w:t>八</w:t>
      </w:r>
      <w:bookmarkEnd w:id="14"/>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60" w:line="410" w:lineRule="exact"/>
        <w:ind w:left="0" w:right="0" w:firstLine="420"/>
        <w:jc w:val="both"/>
      </w:pPr>
      <w:r>
        <w:rPr>
          <w:color w:val="000000"/>
          <w:spacing w:val="0"/>
          <w:w w:val="100"/>
          <w:position w:val="0"/>
        </w:rPr>
        <w:t>本年度报告中涉及的未来计划、发展战略等前瞻性陈述不构成公司对投资者的实质承诺，投 资者及相关人士均应当对此保持足够的风险认识，并且应当理解计划、预测与承诺之间的差异， 敬请投资者注意投资风险。</w:t>
      </w:r>
    </w:p>
    <w:p>
      <w:pPr>
        <w:pStyle w:val="Style2"/>
        <w:keepNext w:val="0"/>
        <w:keepLines w:val="0"/>
        <w:widowControl w:val="0"/>
        <w:shd w:val="clear" w:color="auto" w:fill="auto"/>
        <w:bidi w:val="0"/>
        <w:spacing w:before="0" w:after="260" w:line="240" w:lineRule="auto"/>
        <w:ind w:left="0" w:right="0" w:firstLine="0"/>
        <w:jc w:val="both"/>
      </w:pPr>
      <w:bookmarkStart w:id="15" w:name="bookmark15"/>
      <w:r>
        <w:rPr>
          <w:b/>
          <w:bCs/>
          <w:color w:val="000000"/>
          <w:spacing w:val="0"/>
          <w:w w:val="100"/>
          <w:position w:val="0"/>
        </w:rPr>
        <w:t>九</w:t>
      </w:r>
      <w:bookmarkEnd w:id="15"/>
      <w:r>
        <w:rPr>
          <w:b/>
          <w:bCs/>
          <w:color w:val="000000"/>
          <w:spacing w:val="0"/>
          <w:w w:val="100"/>
          <w:position w:val="0"/>
        </w:rPr>
        <w:t>、是否存在被控股股东及其关联方非经营性占用资金情况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2"/>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rPr>
        <w:t>十、是否存在违反规定决策程序对外提供担保的情况？</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否</w:t>
      </w:r>
    </w:p>
    <w:p>
      <w:pPr>
        <w:pStyle w:val="Style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十一、是否存在半数以上董事无法保证公司所披露年度报告的真实性、准确性和完整性</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十二、</w:t>
      </w:r>
      <w:r>
        <w:rPr>
          <w:b/>
          <w:bCs/>
          <w:color w:val="000000"/>
          <w:spacing w:val="0"/>
          <w:w w:val="100"/>
          <w:position w:val="0"/>
          <w:sz w:val="24"/>
          <w:szCs w:val="24"/>
        </w:rPr>
        <w:t>其他</w:t>
      </w:r>
    </w:p>
    <w:p>
      <w:pPr>
        <w:pStyle w:val="Style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532" w:right="1249" w:bottom="1916" w:left="1771"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2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5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17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24</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415"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596"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688" w:tooltip="Current Document">
        <w:r>
          <w:rPr>
            <w:color w:val="000000"/>
            <w:spacing w:val="0"/>
            <w:w w:val="100"/>
            <w:position w:val="0"/>
          </w:rPr>
          <w:t>第七节</w:t>
          <w:tab/>
          <w:t>优先股相关情况优先股相关情况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691"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724"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754"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757"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19"/>
        <w:keepNext w:val="0"/>
        <w:keepLines w:val="0"/>
        <w:widowControl w:val="0"/>
        <w:shd w:val="clear" w:color="auto" w:fill="auto"/>
        <w:tabs>
          <w:tab w:pos="1234" w:val="left"/>
          <w:tab w:leader="dot" w:pos="8798" w:val="right"/>
        </w:tabs>
        <w:bidi w:val="0"/>
        <w:spacing w:before="0" w:line="240" w:lineRule="auto"/>
        <w:ind w:left="0" w:right="0" w:firstLine="0"/>
        <w:jc w:val="both"/>
      </w:pPr>
      <w:hyperlink w:anchor="bookmark2066"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193</w:t>
        </w:r>
      </w:hyperlink>
      <w:r>
        <w:br w:type="page"/>
      </w:r>
      <w:r>
        <w:fldChar w:fldCharType="end"/>
      </w:r>
    </w:p>
    <w:p>
      <w:pPr>
        <w:pStyle w:val="Style13"/>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2"/>
        <w:keepNext w:val="0"/>
        <w:keepLines w:val="0"/>
        <w:widowControl w:val="0"/>
        <w:shd w:val="clear" w:color="auto" w:fill="auto"/>
        <w:bidi w:val="0"/>
        <w:spacing w:before="0" w:after="100" w:line="240" w:lineRule="auto"/>
        <w:ind w:left="0" w:right="0" w:firstLine="0"/>
        <w:jc w:val="left"/>
      </w:pPr>
      <w:bookmarkStart w:id="22" w:name="bookmark22"/>
      <w:r>
        <w:rPr>
          <w:b/>
          <w:bCs/>
          <w:color w:val="000000"/>
          <w:spacing w:val="0"/>
          <w:w w:val="100"/>
          <w:position w:val="0"/>
        </w:rPr>
        <w:t>一、释义</w:t>
      </w:r>
      <w:bookmarkEnd w:id="2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126"/>
        <w:gridCol w:w="710"/>
        <w:gridCol w:w="6000"/>
      </w:tblGrid>
      <w:tr>
        <w:trPr>
          <w:trHeight w:val="283"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公司、本公司、中微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中微半导体设备（上海）股份有限公司股东大会</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中微半导体设备（上海）股份有限公司董事会</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中微半导体设备（上海）股份有限公司监事会</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中微开曼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Inc.</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中微亚洲</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Inc. Asia</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中微国际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Advanced Micro-Fabrication Equipment International Pte. Ltd.</w:t>
            </w:r>
            <w:r>
              <w:rPr>
                <w:color w:val="000000"/>
                <w:spacing w:val="0"/>
                <w:w w:val="100"/>
                <w:position w:val="0"/>
              </w:rPr>
              <w:t xml:space="preserve">， </w:t>
            </w:r>
            <w:r>
              <w:rPr>
                <w:color w:val="000000"/>
                <w:spacing w:val="0"/>
                <w:w w:val="100"/>
                <w:position w:val="0"/>
              </w:rPr>
              <w:t>中 微公司在新加坡设立的子公司</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中微国际台湾分公司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新加坡商中微半导体设备股份有限公司台湾分公司，中微国际在 中国台湾设立的分支机构</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中微北美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 North America, Inc.</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中微日本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 Japan Co., Inc.,</w:t>
            </w:r>
            <w:r>
              <w:rPr>
                <w:color w:val="000000"/>
                <w:spacing w:val="0"/>
                <w:w w:val="100"/>
                <w:position w:val="0"/>
              </w:rPr>
              <w:t>中微国际在日本设立的分支机构</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中微韩国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Advanced Micro-Fabrication Equipment Korea Ltd.</w:t>
            </w:r>
            <w:r>
              <w:rPr>
                <w:color w:val="000000"/>
                <w:spacing w:val="0"/>
                <w:w w:val="100"/>
                <w:position w:val="0"/>
              </w:rPr>
              <w:t xml:space="preserve">， </w:t>
            </w:r>
            <w:r>
              <w:rPr>
                <w:color w:val="000000"/>
                <w:spacing w:val="0"/>
                <w:w w:val="100"/>
                <w:position w:val="0"/>
              </w:rPr>
              <w:t>中微国际在韩 国设立的分支机构</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中微惠创科技（上海）有限公司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中微厦门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中微半导体设备（厦门）有限公司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中微南昌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南昌中微半导体设备有限公司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中微汇链科技（上海）有限公司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中微惠创科技（上海）有限公司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上海创业投资有限公司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上海科创集团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上海科技创业投资（集团）有限公司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巽鑫（上海）投资有限公司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置都投资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置都（上海）投资中心（有限合伙）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上海自贸区基金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上海自贸试验区智芯投资中心（有限合伙）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悦橙投资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嘉兴悦橙投资合伙企业（有限合伙）</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橙色海岸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嘉兴橙色海岸投资合伙企业（有限合伙）</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君邦投资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嘉兴君邦投资管理合伙企业（有限合伙）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南昌智微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南昌智微企业管理合伙企业（有限合伙）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国开创新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国开创新资本投资有限责任公司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Primrose</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Primrose Capital Limited</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 Pte. Ltd.</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Futago</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Futago Pte. Ltd.</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Grenade</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Grenade Pte. Ltd.</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美国高通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QUALCOMM Incorporated</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创橙投资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嘉兴创橙投资合伙企业（有限合伙）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和谐锦弘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义乌和谐锦弘股权投资合伙企业（有限合伙）</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兴橙投资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共青城兴橙投资合伙企业（有限合伙）</w:t>
            </w:r>
          </w:p>
        </w:tc>
      </w:tr>
    </w:tbl>
    <w:p>
      <w:pPr>
        <w:spacing w:lineRule="exact" w:line="1"/>
        <w:rPr>
          <w:sz w:val="2"/>
          <w:szCs w:val="2"/>
        </w:rPr>
      </w:pPr>
      <w:r>
        <w:br w:type="page"/>
      </w:r>
    </w:p>
    <w:tbl>
      <w:tblPr>
        <w:tblOverlap w:val="never"/>
        <w:jc w:val="center"/>
        <w:tblLayout w:type="fixed"/>
      </w:tblPr>
      <w:tblGrid>
        <w:gridCol w:w="2126"/>
        <w:gridCol w:w="710"/>
        <w:gridCol w:w="600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君鹏投资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嘉兴君鹏投资合伙企业（有限合伙）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茂流投资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合肥茂流投资中心合伙企业（有限合伙）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励微投资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上海励微投资管理合伙企业（有限合伙）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苴徽投资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上海苴徽投资管理合伙企业（有限合伙）</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上海浦东新兴产业投资有限公司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协鑫创展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协鑫创展控股有限公司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亮橙投资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嘉兴亮橙投资合伙企业（有限合伙）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沈阳拓荆科技有限公司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上海创徒</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上海创徒光电技术服务有限公司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上海芯元基半导体科技有限公司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睿励仪器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睿励科学仪器（上海）有限公司</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 GmbH</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洪朴科技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上海洪朴信息科技有限公司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聚源芯星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青岛聚源芯星股权投资合伙企业（有限合伙）</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博日科技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杭州博日科技股份有限公司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山东天岳先进科技股份有限公司</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理想万里晖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上海理想万里晖薄膜设备有限公司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中欣晶圆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杭州中欣晶圆半导体股份有限公司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昂坤视觉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昂坤视觉（北京）科技有限公司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德龙激光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苏州德龙激光股份有限公司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泛林半导体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Lam Research Corp.</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东京电子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Tokyo Electron Ltd.</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应用材料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Applied Materials, Inc.</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维易科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Veeco Instruments Inc.</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（尹志尧），公司的董事长兼总经理</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ZHIYOU DU </w:t>
            </w:r>
            <w:r>
              <w:rPr>
                <w:color w:val="000000"/>
                <w:spacing w:val="0"/>
                <w:w w:val="100"/>
                <w:position w:val="0"/>
              </w:rPr>
              <w:t>（杜志游），公司的董事、副总经理</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LIP-BU TAN </w:t>
            </w:r>
            <w:r>
              <w:rPr>
                <w:color w:val="000000"/>
                <w:spacing w:val="0"/>
                <w:w w:val="100"/>
                <w:position w:val="0"/>
              </w:rPr>
              <w:t>（陈立武），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日离任公司董事</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Hing Wong </w:t>
            </w:r>
            <w:r>
              <w:rPr>
                <w:color w:val="000000"/>
                <w:spacing w:val="0"/>
                <w:w w:val="100"/>
                <w:position w:val="0"/>
              </w:rPr>
              <w:t>（黄庆），公司的董事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SHIMIN CHEN </w:t>
            </w:r>
            <w:r>
              <w:rPr>
                <w:color w:val="000000"/>
                <w:spacing w:val="0"/>
                <w:w w:val="100"/>
                <w:position w:val="0"/>
              </w:rPr>
              <w:t>（陈世敏），公司的独立董事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FENG YU </w:t>
            </w:r>
            <w:r>
              <w:rPr>
                <w:color w:val="000000"/>
                <w:spacing w:val="0"/>
                <w:w w:val="100"/>
                <w:position w:val="0"/>
              </w:rPr>
              <w:t>（余峰），公司的监事</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HSIN-PING CHU </w:t>
            </w:r>
            <w:r>
              <w:rPr>
                <w:color w:val="000000"/>
                <w:spacing w:val="0"/>
                <w:w w:val="100"/>
                <w:position w:val="0"/>
              </w:rPr>
              <w:t>（朱新萍），公司的副总经理</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倪图强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TUQIANG NI </w:t>
            </w:r>
            <w:r>
              <w:rPr>
                <w:color w:val="000000"/>
                <w:spacing w:val="0"/>
                <w:w w:val="100"/>
                <w:position w:val="0"/>
              </w:rPr>
              <w:t>（倪图强），公司的副总经理</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WEIWEN CHEN </w:t>
            </w:r>
            <w:r>
              <w:rPr>
                <w:color w:val="000000"/>
                <w:spacing w:val="0"/>
                <w:w w:val="100"/>
                <w:position w:val="0"/>
              </w:rPr>
              <w:t>（陈伟文），公司的副总经理、财务负责人</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麦仕义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STEVE SZE-YEE MAK </w:t>
            </w:r>
            <w:r>
              <w:rPr>
                <w:color w:val="000000"/>
                <w:spacing w:val="0"/>
                <w:w w:val="100"/>
                <w:position w:val="0"/>
              </w:rPr>
              <w:t>（麦仕义），公司的核心技术人员</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JAMES WEI YANG </w:t>
            </w:r>
            <w:r>
              <w:rPr>
                <w:color w:val="000000"/>
                <w:spacing w:val="0"/>
                <w:w w:val="100"/>
                <w:position w:val="0"/>
              </w:rPr>
              <w:t>（杨伟），发行人的核心技术人员</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STEVEN TIANXIAO LEE </w:t>
            </w:r>
            <w:r>
              <w:rPr>
                <w:color w:val="000000"/>
                <w:spacing w:val="0"/>
                <w:w w:val="100"/>
                <w:position w:val="0"/>
              </w:rPr>
              <w:t>（李天笑），公司的核心技术人员</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吴乾英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VIGON MEKSAVAN </w:t>
            </w:r>
            <w:r>
              <w:rPr>
                <w:color w:val="000000"/>
                <w:spacing w:val="0"/>
                <w:w w:val="100"/>
                <w:position w:val="0"/>
              </w:rPr>
              <w:t>（吴乾英），公司的员工</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WSTS</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World Semiconductor Trade Statistic</w:t>
            </w:r>
            <w:r>
              <w:rPr>
                <w:color w:val="000000"/>
                <w:spacing w:val="0"/>
                <w:w w:val="100"/>
                <w:position w:val="0"/>
              </w:rPr>
              <w:t>，</w:t>
            </w:r>
            <w:r>
              <w:rPr>
                <w:color w:val="000000"/>
                <w:spacing w:val="0"/>
                <w:w w:val="100"/>
                <w:position w:val="0"/>
              </w:rPr>
              <w:t>世界半导体贸易统计，一家 半导体行业数据统计公司，成员包括全球主要的半导体制造企业</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CCP</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Capacitively Coupled Plasma</w:t>
            </w:r>
            <w:r>
              <w:rPr>
                <w:color w:val="000000"/>
                <w:spacing w:val="0"/>
                <w:w w:val="100"/>
                <w:position w:val="0"/>
              </w:rPr>
              <w:t>，</w:t>
            </w:r>
            <w:r>
              <w:rPr>
                <w:color w:val="000000"/>
                <w:spacing w:val="0"/>
                <w:w w:val="100"/>
                <w:position w:val="0"/>
              </w:rPr>
              <w:t>电容性耦合的等离子体源</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CMOS</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Complementary Metal Oxide Semiconductor</w:t>
            </w:r>
            <w:r>
              <w:rPr>
                <w:color w:val="000000"/>
                <w:spacing w:val="0"/>
                <w:w w:val="100"/>
                <w:position w:val="0"/>
              </w:rPr>
              <w:t>，</w:t>
            </w:r>
            <w:r>
              <w:rPr>
                <w:color w:val="000000"/>
                <w:spacing w:val="0"/>
                <w:w w:val="100"/>
                <w:position w:val="0"/>
              </w:rPr>
              <w:t>互补金属氧化物半导 体，指制造大规模集成电路芯片用的一种器件结构</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CVD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Chemical Vapor Deposition</w:t>
            </w:r>
            <w:r>
              <w:rPr>
                <w:color w:val="000000"/>
                <w:spacing w:val="0"/>
                <w:w w:val="100"/>
                <w:position w:val="0"/>
              </w:rPr>
              <w:t>，化学气相沉积</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DRAM</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Dynamic Random Access Memory</w:t>
            </w:r>
            <w:r>
              <w:rPr>
                <w:color w:val="000000"/>
                <w:spacing w:val="0"/>
                <w:w w:val="100"/>
                <w:position w:val="0"/>
              </w:rPr>
              <w:t>，动态随机存取存储器</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ETCH</w:t>
            </w:r>
            <w:r>
              <w:rPr>
                <w:color w:val="000000"/>
                <w:spacing w:val="0"/>
                <w:w w:val="100"/>
                <w:position w:val="0"/>
              </w:rPr>
              <w:t>、</w:t>
            </w:r>
            <w:r>
              <w:rPr>
                <w:color w:val="000000"/>
                <w:spacing w:val="0"/>
                <w:w w:val="100"/>
                <w:position w:val="0"/>
              </w:rPr>
              <w:t>亥</w:t>
            </w:r>
            <w:r>
              <w:rPr>
                <w:rFonts w:ascii="Times New Roman" w:eastAsia="Times New Roman" w:hAnsi="Times New Roman" w:cs="Times New Roman"/>
                <w:color w:val="000000"/>
                <w:spacing w:val="0"/>
                <w:w w:val="100"/>
                <w:position w:val="0"/>
              </w:rPr>
              <w:t>ij</w:t>
            </w:r>
            <w:r>
              <w:rPr>
                <w:color w:val="000000"/>
                <w:spacing w:val="0"/>
                <w:w w:val="100"/>
                <w:position w:val="0"/>
              </w:rPr>
              <w:t>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用化学或物理方法有选择地在硅片表面去除不需要的材料的过 程，是与光刻相联系的图形化处理的一种主要工艺，是半导体制 造工艺的关键步骤</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GaN</w:t>
            </w:r>
            <w:r>
              <w:rPr>
                <w:color w:val="000000"/>
                <w:spacing w:val="0"/>
                <w:w w:val="100"/>
                <w:position w:val="0"/>
              </w:rPr>
              <w:t>、</w:t>
            </w:r>
            <w:r>
              <w:rPr>
                <w:color w:val="000000"/>
                <w:spacing w:val="0"/>
                <w:w w:val="100"/>
                <w:position w:val="0"/>
              </w:rPr>
              <w:t>氮化镓</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Gallium Nitride</w:t>
            </w:r>
            <w:r>
              <w:rPr>
                <w:color w:val="000000"/>
                <w:spacing w:val="0"/>
                <w:w w:val="100"/>
                <w:position w:val="0"/>
              </w:rPr>
              <w:t>，氮和镓的化合物，一种第三代半导体，主要应 用为半导体照明和显示、电力电子器件、激光器和探测器等领域</w:t>
            </w:r>
          </w:p>
        </w:tc>
      </w:tr>
    </w:tbl>
    <w:p>
      <w:pPr>
        <w:spacing w:lineRule="exact" w:line="1"/>
        <w:rPr>
          <w:sz w:val="2"/>
          <w:szCs w:val="2"/>
        </w:rPr>
      </w:pPr>
      <w:r>
        <w:br w:type="page"/>
      </w:r>
    </w:p>
    <w:tbl>
      <w:tblPr>
        <w:tblOverlap w:val="never"/>
        <w:jc w:val="center"/>
        <w:tblLayout w:type="fixed"/>
      </w:tblPr>
      <w:tblGrid>
        <w:gridCol w:w="2126"/>
        <w:gridCol w:w="710"/>
        <w:gridCol w:w="6000"/>
      </w:tblGrid>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Gartner</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领域领先的研究与顾问公司，研究范围覆盖从最上游的硬件 设计、制造到最下游终端应用的</w:t>
            </w:r>
            <w:r>
              <w:rPr>
                <w:rFonts w:ascii="Times New Roman" w:eastAsia="Times New Roman" w:hAnsi="Times New Roman" w:cs="Times New Roman"/>
                <w:color w:val="000000"/>
                <w:spacing w:val="0"/>
                <w:w w:val="100"/>
                <w:position w:val="0"/>
              </w:rPr>
              <w:t>IT</w:t>
            </w:r>
            <w:r>
              <w:rPr>
                <w:color w:val="000000"/>
                <w:spacing w:val="0"/>
                <w:w w:val="100"/>
                <w:position w:val="0"/>
              </w:rPr>
              <w:t>产业全环节</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w:t>
            </w:r>
            <w:r>
              <w:rPr>
                <w:color w:val="000000"/>
                <w:spacing w:val="0"/>
                <w:w w:val="100"/>
                <w:position w:val="0"/>
              </w:rPr>
              <w:t>、</w:t>
            </w:r>
            <w:r>
              <w:rPr>
                <w:color w:val="000000"/>
                <w:spacing w:val="0"/>
                <w:w w:val="100"/>
                <w:position w:val="0"/>
              </w:rPr>
              <w:t>集成电路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Integrated Circuit</w:t>
            </w:r>
            <w:r>
              <w:rPr>
                <w:color w:val="000000"/>
                <w:spacing w:val="0"/>
                <w:w w:val="100"/>
                <w:position w:val="0"/>
              </w:rPr>
              <w:t>,</w:t>
            </w:r>
            <w:r>
              <w:rPr>
                <w:color w:val="000000"/>
                <w:spacing w:val="0"/>
                <w:w w:val="100"/>
                <w:position w:val="0"/>
              </w:rPr>
              <w:t>指通过一系列特定的加工工艺，将晶体管、二 极管等有源器件和电阻器、电容器等无源原件按一定的电路互联 并集成在半导体晶片上，封装在一个外壳内，实现特定功能的电 路或系统</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 Insights</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知名的半导体行业研究机构</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ICP</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Inductive Coupled Plasma</w:t>
            </w:r>
            <w:r>
              <w:rPr>
                <w:color w:val="000000"/>
                <w:spacing w:val="0"/>
                <w:w w:val="100"/>
                <w:position w:val="0"/>
              </w:rPr>
              <w:t>，</w:t>
            </w:r>
            <w:r>
              <w:rPr>
                <w:color w:val="000000"/>
                <w:spacing w:val="0"/>
                <w:w w:val="100"/>
                <w:position w:val="0"/>
              </w:rPr>
              <w:t>电感性耦合的等离子体源</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IHS Markit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IHS Markit Ltd. </w:t>
            </w:r>
            <w:r>
              <w:rPr>
                <w:color w:val="000000"/>
                <w:spacing w:val="0"/>
                <w:w w:val="100"/>
                <w:position w:val="0"/>
              </w:rPr>
              <w:t>（</w:t>
            </w:r>
            <w:r>
              <w:rPr>
                <w:rFonts w:ascii="Times New Roman" w:eastAsia="Times New Roman" w:hAnsi="Times New Roman" w:cs="Times New Roman"/>
                <w:color w:val="000000"/>
                <w:spacing w:val="0"/>
                <w:w w:val="100"/>
                <w:position w:val="0"/>
              </w:rPr>
              <w:t>NASDAQ:INFO</w:t>
            </w:r>
            <w:r>
              <w:rPr>
                <w:color w:val="000000"/>
                <w:spacing w:val="0"/>
                <w:w w:val="100"/>
                <w:position w:val="0"/>
              </w:rPr>
              <w:t>）</w:t>
            </w:r>
            <w:r>
              <w:rPr>
                <w:color w:val="000000"/>
                <w:spacing w:val="0"/>
                <w:w w:val="100"/>
                <w:position w:val="0"/>
              </w:rPr>
              <w:t xml:space="preserve">创立于 </w:t>
            </w:r>
            <w:r>
              <w:rPr>
                <w:rFonts w:ascii="Times New Roman" w:eastAsia="Times New Roman" w:hAnsi="Times New Roman" w:cs="Times New Roman"/>
                <w:color w:val="000000"/>
                <w:spacing w:val="0"/>
                <w:w w:val="100"/>
                <w:position w:val="0"/>
              </w:rPr>
              <w:t xml:space="preserve">1959 </w:t>
            </w:r>
            <w:r>
              <w:rPr>
                <w:color w:val="000000"/>
                <w:spacing w:val="0"/>
                <w:w w:val="100"/>
                <w:position w:val="0"/>
              </w:rPr>
              <w:t>年，总部位于英 国伦敦，是一家全球商业资讯服务的多元化供应商，在全球范围 内为推动经济发展的各个行业和市场提供关键信息、分析和解决 方案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Light-Emitting Diode</w:t>
            </w:r>
            <w:r>
              <w:rPr>
                <w:color w:val="000000"/>
                <w:spacing w:val="0"/>
                <w:w w:val="100"/>
                <w:position w:val="0"/>
              </w:rPr>
              <w:t>，发光二极管</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外延片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LED</w:t>
            </w:r>
            <w:r>
              <w:rPr>
                <w:color w:val="000000"/>
                <w:spacing w:val="0"/>
                <w:w w:val="100"/>
                <w:position w:val="0"/>
              </w:rPr>
              <w:t>外延片是指在一块加热至适当温度的衬底基片（主要有蓝 宝石、</w:t>
            </w:r>
            <w:r>
              <w:rPr>
                <w:rFonts w:ascii="Times New Roman" w:eastAsia="Times New Roman" w:hAnsi="Times New Roman" w:cs="Times New Roman"/>
                <w:color w:val="000000"/>
                <w:spacing w:val="0"/>
                <w:w w:val="100"/>
                <w:position w:val="0"/>
              </w:rPr>
              <w:t>SiC</w:t>
            </w:r>
            <w:r>
              <w:rPr>
                <w:color w:val="000000"/>
                <w:spacing w:val="0"/>
                <w:w w:val="100"/>
                <w:position w:val="0"/>
              </w:rPr>
              <w:t>、</w:t>
            </w:r>
            <w:r>
              <w:rPr>
                <w:rFonts w:ascii="Times New Roman" w:eastAsia="Times New Roman" w:hAnsi="Times New Roman" w:cs="Times New Roman"/>
                <w:color w:val="000000"/>
                <w:spacing w:val="0"/>
                <w:w w:val="100"/>
                <w:position w:val="0"/>
              </w:rPr>
              <w:t>Si</w:t>
            </w:r>
            <w:r>
              <w:rPr>
                <w:color w:val="000000"/>
                <w:spacing w:val="0"/>
                <w:w w:val="100"/>
                <w:position w:val="0"/>
              </w:rPr>
              <w:t>等）上所生长出的特定单晶薄膜</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MEMS</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Micro-Electro-Mechanical System</w:t>
            </w:r>
            <w:r>
              <w:rPr>
                <w:color w:val="000000"/>
                <w:spacing w:val="0"/>
                <w:w w:val="100"/>
                <w:position w:val="0"/>
              </w:rPr>
              <w:t>，微机电系统</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Mini LED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介于传统</w:t>
            </w:r>
            <w:r>
              <w:rPr>
                <w:rFonts w:ascii="Times New Roman" w:eastAsia="Times New Roman" w:hAnsi="Times New Roman" w:cs="Times New Roman"/>
                <w:color w:val="000000"/>
                <w:spacing w:val="0"/>
                <w:w w:val="100"/>
                <w:position w:val="0"/>
              </w:rPr>
              <w:t>LED</w:t>
            </w:r>
            <w:r>
              <w:rPr>
                <w:color w:val="000000"/>
                <w:spacing w:val="0"/>
                <w:w w:val="100"/>
                <w:position w:val="0"/>
              </w:rPr>
              <w:t>与</w:t>
            </w:r>
            <w:r>
              <w:rPr>
                <w:rFonts w:ascii="Times New Roman" w:eastAsia="Times New Roman" w:hAnsi="Times New Roman" w:cs="Times New Roman"/>
                <w:color w:val="000000"/>
                <w:spacing w:val="0"/>
                <w:w w:val="100"/>
                <w:position w:val="0"/>
              </w:rPr>
              <w:t>Micro LED</w:t>
            </w:r>
            <w:r>
              <w:rPr>
                <w:color w:val="000000"/>
                <w:spacing w:val="0"/>
                <w:w w:val="100"/>
                <w:position w:val="0"/>
              </w:rPr>
              <w:t>之间的次毫米发光二极管，意指晶 粒尺寸约在</w:t>
            </w:r>
            <w:r>
              <w:rPr>
                <w:rFonts w:ascii="Times New Roman" w:eastAsia="Times New Roman" w:hAnsi="Times New Roman" w:cs="Times New Roman"/>
                <w:color w:val="000000"/>
                <w:spacing w:val="0"/>
                <w:w w:val="100"/>
                <w:position w:val="0"/>
              </w:rPr>
              <w:t>100</w:t>
            </w:r>
            <w:r>
              <w:rPr>
                <w:color w:val="000000"/>
                <w:spacing w:val="0"/>
                <w:w w:val="100"/>
                <w:position w:val="0"/>
              </w:rPr>
              <w:t>微米的</w:t>
            </w:r>
            <w:r>
              <w:rPr>
                <w:rFonts w:ascii="Times New Roman" w:eastAsia="Times New Roman" w:hAnsi="Times New Roman" w:cs="Times New Roman"/>
                <w:color w:val="000000"/>
                <w:spacing w:val="0"/>
                <w:w w:val="100"/>
                <w:position w:val="0"/>
              </w:rPr>
              <w:t>LED</w:t>
            </w: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Micro LED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LED</w:t>
            </w:r>
            <w:r>
              <w:rPr>
                <w:color w:val="000000"/>
                <w:spacing w:val="0"/>
                <w:w w:val="100"/>
                <w:position w:val="0"/>
              </w:rPr>
              <w:t>微缩化和矩阵化技术，将</w:t>
            </w:r>
            <w:r>
              <w:rPr>
                <w:rFonts w:ascii="Times New Roman" w:eastAsia="Times New Roman" w:hAnsi="Times New Roman" w:cs="Times New Roman"/>
                <w:color w:val="000000"/>
                <w:spacing w:val="0"/>
                <w:w w:val="100"/>
                <w:position w:val="0"/>
              </w:rPr>
              <w:t>LED</w:t>
            </w:r>
            <w:r>
              <w:rPr>
                <w:color w:val="000000"/>
                <w:spacing w:val="0"/>
                <w:w w:val="100"/>
                <w:position w:val="0"/>
              </w:rPr>
              <w:t>背光源进行薄膜化、微小化、 阵列化，可以让</w:t>
            </w:r>
            <w:r>
              <w:rPr>
                <w:rFonts w:ascii="Times New Roman" w:eastAsia="Times New Roman" w:hAnsi="Times New Roman" w:cs="Times New Roman"/>
                <w:color w:val="000000"/>
                <w:spacing w:val="0"/>
                <w:w w:val="100"/>
                <w:position w:val="0"/>
              </w:rPr>
              <w:t>LED</w:t>
            </w:r>
            <w:r>
              <w:rPr>
                <w:color w:val="000000"/>
                <w:spacing w:val="0"/>
                <w:w w:val="100"/>
                <w:position w:val="0"/>
              </w:rPr>
              <w:t>单元小于</w:t>
            </w:r>
            <w:r>
              <w:rPr>
                <w:rFonts w:ascii="Times New Roman" w:eastAsia="Times New Roman" w:hAnsi="Times New Roman" w:cs="Times New Roman"/>
                <w:color w:val="000000"/>
                <w:spacing w:val="0"/>
                <w:w w:val="100"/>
                <w:position w:val="0"/>
              </w:rPr>
              <w:t>50</w:t>
            </w:r>
            <w:r>
              <w:rPr>
                <w:color w:val="000000"/>
                <w:spacing w:val="0"/>
                <w:w w:val="100"/>
                <w:position w:val="0"/>
              </w:rPr>
              <w:t>微米，与</w:t>
            </w:r>
            <w:r>
              <w:rPr>
                <w:rFonts w:ascii="Times New Roman" w:eastAsia="Times New Roman" w:hAnsi="Times New Roman" w:cs="Times New Roman"/>
                <w:color w:val="000000"/>
                <w:spacing w:val="0"/>
                <w:w w:val="100"/>
                <w:position w:val="0"/>
              </w:rPr>
              <w:t xml:space="preserve">OLED </w:t>
            </w:r>
            <w:r>
              <w:rPr>
                <w:color w:val="000000"/>
                <w:spacing w:val="0"/>
                <w:w w:val="100"/>
                <w:position w:val="0"/>
              </w:rPr>
              <w:t>（</w:t>
            </w:r>
            <w:r>
              <w:rPr>
                <w:rFonts w:ascii="Times New Roman" w:eastAsia="Times New Roman" w:hAnsi="Times New Roman" w:cs="Times New Roman"/>
                <w:color w:val="000000"/>
                <w:spacing w:val="0"/>
                <w:w w:val="100"/>
                <w:position w:val="0"/>
              </w:rPr>
              <w:t>Organic Light-Emitting Diode</w:t>
            </w:r>
            <w:r>
              <w:rPr>
                <w:color w:val="000000"/>
                <w:spacing w:val="0"/>
                <w:w w:val="100"/>
                <w:position w:val="0"/>
              </w:rPr>
              <w:t>，</w:t>
            </w:r>
            <w:r>
              <w:rPr>
                <w:color w:val="000000"/>
                <w:spacing w:val="0"/>
                <w:w w:val="100"/>
                <w:position w:val="0"/>
              </w:rPr>
              <w:t>有机发光二极管）一样能够实现每个像素 单独定址，单独驱动发光</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MOCVD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Metal-organic Chemical Vapor Deposition</w:t>
            </w:r>
            <w:r>
              <w:rPr>
                <w:color w:val="000000"/>
                <w:spacing w:val="0"/>
                <w:w w:val="100"/>
                <w:position w:val="0"/>
              </w:rPr>
              <w:t>，金属有机化合物化学 气相沉积，</w:t>
            </w:r>
            <w:r>
              <w:rPr>
                <w:rFonts w:ascii="Times New Roman" w:eastAsia="Times New Roman" w:hAnsi="Times New Roman" w:cs="Times New Roman"/>
                <w:color w:val="000000"/>
                <w:spacing w:val="0"/>
                <w:w w:val="100"/>
                <w:position w:val="0"/>
              </w:rPr>
              <w:t>MOCVD</w:t>
            </w:r>
            <w:r>
              <w:rPr>
                <w:color w:val="000000"/>
                <w:spacing w:val="0"/>
                <w:w w:val="100"/>
                <w:position w:val="0"/>
              </w:rPr>
              <w:t>设备是</w:t>
            </w:r>
            <w:r>
              <w:rPr>
                <w:rFonts w:ascii="Times New Roman" w:eastAsia="Times New Roman" w:hAnsi="Times New Roman" w:cs="Times New Roman"/>
                <w:color w:val="000000"/>
                <w:spacing w:val="0"/>
                <w:w w:val="100"/>
                <w:position w:val="0"/>
              </w:rPr>
              <w:t>LED</w:t>
            </w:r>
            <w:r>
              <w:rPr>
                <w:color w:val="000000"/>
                <w:spacing w:val="0"/>
                <w:w w:val="100"/>
                <w:position w:val="0"/>
              </w:rPr>
              <w:t>外延片生产过程中的关键设备</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SEMI</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国际半导体设备材料产业协会</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PVD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Physical Vapor Deposition</w:t>
            </w:r>
            <w:r>
              <w:rPr>
                <w:color w:val="000000"/>
                <w:spacing w:val="0"/>
                <w:w w:val="100"/>
                <w:position w:val="0"/>
              </w:rPr>
              <w:t>，物理气相沉积</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Random Access Memory</w:t>
            </w:r>
            <w:r>
              <w:rPr>
                <w:color w:val="000000"/>
                <w:spacing w:val="0"/>
                <w:w w:val="100"/>
                <w:position w:val="0"/>
              </w:rPr>
              <w:t>，</w:t>
            </w:r>
            <w:r>
              <w:rPr>
                <w:color w:val="000000"/>
                <w:spacing w:val="0"/>
                <w:w w:val="100"/>
                <w:position w:val="0"/>
              </w:rPr>
              <w:t>随机存储器，是一种半导体存储器</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TSV</w:t>
            </w:r>
            <w:r>
              <w:rPr>
                <w:color w:val="000000"/>
                <w:spacing w:val="0"/>
                <w:w w:val="100"/>
                <w:position w:val="0"/>
              </w:rPr>
              <w:t>、</w:t>
            </w:r>
            <w:r>
              <w:rPr>
                <w:color w:val="000000"/>
                <w:spacing w:val="0"/>
                <w:w w:val="100"/>
                <w:position w:val="0"/>
              </w:rPr>
              <w:t>硅通孔</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Through Silicon Via</w:t>
            </w:r>
            <w:r>
              <w:rPr>
                <w:color w:val="000000"/>
                <w:spacing w:val="0"/>
                <w:w w:val="100"/>
                <w:position w:val="0"/>
              </w:rPr>
              <w:t xml:space="preserve">， </w:t>
            </w:r>
            <w:r>
              <w:rPr>
                <w:color w:val="000000"/>
                <w:spacing w:val="0"/>
                <w:w w:val="100"/>
                <w:position w:val="0"/>
              </w:rPr>
              <w:t>一项高密度封装技术，在三维集成电路中 堆叠芯片实现互连的一种新的技术解决方案</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tabs>
                <w:tab w:pos="88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VLSI</w:t>
              <w:tab/>
              <w:t>Research</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集成电路和泛半导体领域领先的研究顾问公司，针对半导体产业 链提供技术、商业和经济方面市场调研和经济分析的公司。每年 对全球集成电路和泛半导体的制造和设备公司进行评比排序</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Volatile Organic Compounds</w:t>
            </w:r>
            <w:r>
              <w:rPr>
                <w:color w:val="000000"/>
                <w:spacing w:val="0"/>
                <w:w w:val="100"/>
                <w:position w:val="0"/>
              </w:rPr>
              <w:t>，</w:t>
            </w:r>
            <w:r>
              <w:rPr>
                <w:color w:val="000000"/>
                <w:spacing w:val="0"/>
                <w:w w:val="100"/>
                <w:position w:val="0"/>
              </w:rPr>
              <w:t>挥发性有机化合物</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分立器件、分立元件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单一封装的半导体组件，具备电子特性功能，常见的分立式半导 体器件有二极管、三极管、光电器件等</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封装技术的定义为，在半导体开发的最后阶段，将一小块材料（如 芯片）包裹在支撑外壳中，以防止物理损坏和腐蚀，并允许芯片 连接到电路板的工艺技术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反应台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反应腔中用于承载、冷却、吸附晶圆的装置</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利用光学</w:t>
            </w:r>
            <w:r>
              <w:rPr>
                <w:rFonts w:ascii="Times New Roman" w:eastAsia="Times New Roman" w:hAnsi="Times New Roman" w:cs="Times New Roman"/>
                <w:color w:val="000000"/>
                <w:spacing w:val="0"/>
                <w:w w:val="100"/>
                <w:position w:val="0"/>
              </w:rPr>
              <w:t>-</w:t>
            </w:r>
            <w:r>
              <w:rPr>
                <w:color w:val="000000"/>
                <w:spacing w:val="0"/>
                <w:w w:val="100"/>
                <w:position w:val="0"/>
              </w:rPr>
              <w:t>化学反应原理和化学、物理刻蚀方法，将电路图形传 递到单晶表面或介质层上，形成有效图形窗口或功能图形的工艺 技术</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r>
              <w:rPr>
                <w:rFonts w:ascii="Times New Roman" w:eastAsia="Times New Roman" w:hAnsi="Times New Roman" w:cs="Times New Roman"/>
                <w:color w:val="000000"/>
                <w:spacing w:val="0"/>
                <w:w w:val="100"/>
                <w:position w:val="0"/>
              </w:rPr>
              <w:t>Wafer</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用于制作芯片的圆形硅晶体半导体材料</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摩尔定律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当价格不变时，集成电路上可容纳的元器件的数目，约每隔</w:t>
            </w:r>
            <w:r>
              <w:rPr>
                <w:rFonts w:ascii="Times New Roman" w:eastAsia="Times New Roman" w:hAnsi="Times New Roman" w:cs="Times New Roman"/>
                <w:color w:val="000000"/>
                <w:spacing w:val="0"/>
                <w:w w:val="100"/>
                <w:position w:val="0"/>
              </w:rPr>
              <w:t xml:space="preserve">18- </w:t>
            </w:r>
            <w:r>
              <w:rPr>
                <w:rFonts w:ascii="Times New Roman" w:eastAsia="Times New Roman" w:hAnsi="Times New Roman" w:cs="Times New Roman"/>
                <w:color w:val="000000"/>
                <w:spacing w:val="0"/>
                <w:w w:val="100"/>
                <w:position w:val="0"/>
              </w:rPr>
              <w:t>24</w:t>
            </w:r>
            <w:r>
              <w:rPr>
                <w:color w:val="000000"/>
                <w:spacing w:val="0"/>
                <w:w w:val="100"/>
                <w:position w:val="0"/>
              </w:rPr>
              <w:t>个月便会增加一倍，性能也将提升一倍，由英特尔创始人之 一的戈登</w:t>
            </w:r>
            <w:r>
              <w:rPr>
                <w:rFonts w:ascii="Times New Roman" w:eastAsia="Times New Roman" w:hAnsi="Times New Roman" w:cs="Times New Roman"/>
                <w:color w:val="000000"/>
                <w:spacing w:val="0"/>
                <w:w w:val="100"/>
                <w:position w:val="0"/>
              </w:rPr>
              <w:t>•</w:t>
            </w:r>
            <w:r>
              <w:rPr>
                <w:color w:val="000000"/>
                <w:spacing w:val="0"/>
                <w:w w:val="100"/>
                <w:position w:val="0"/>
              </w:rPr>
              <w:t>摩尔提出</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tabs>
                <w:tab w:pos="770" w:val="left"/>
              </w:tabs>
              <w:bidi w:val="0"/>
              <w:spacing w:before="0" w:after="0" w:line="240" w:lineRule="auto"/>
              <w:ind w:left="0" w:right="0" w:firstLine="160"/>
              <w:jc w:val="left"/>
            </w:pPr>
            <w:r>
              <w:rPr>
                <w:color w:val="000000"/>
                <w:spacing w:val="0"/>
                <w:w w:val="100"/>
                <w:position w:val="0"/>
                <w:u w:val="single"/>
              </w:rPr>
              <w:t>、八</w:t>
            </w:r>
            <w:r>
              <w:rPr>
                <w:color w:val="000000"/>
                <w:spacing w:val="0"/>
                <w:w w:val="100"/>
                <w:position w:val="0"/>
              </w:rPr>
              <w:t xml:space="preserve"> 、</w:t>
            </w:r>
            <w:r>
              <w:rPr>
                <w:color w:val="000000"/>
                <w:spacing w:val="0"/>
                <w:w w:val="100"/>
                <w:position w:val="0"/>
                <w:u w:val="single"/>
              </w:rPr>
              <w:t>、,，.</w:t>
            </w:r>
            <w:r>
              <w:rPr>
                <w:color w:val="000000"/>
                <w:spacing w:val="0"/>
                <w:w w:val="100"/>
                <w:position w:val="0"/>
              </w:rPr>
              <w:tab/>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color w:val="000000"/>
                <w:spacing w:val="0"/>
                <w:w w:val="100"/>
                <w:position w:val="0"/>
                <w:u w:val="single"/>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刖道、后道</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半导体设备制造分为前道和后道工艺，前道主要是光刻、刻蚀、 清洗、离子注入、化学机械平坦等；后道主要有打线、</w:t>
            </w:r>
            <w:r>
              <w:rPr>
                <w:rFonts w:ascii="Times New Roman" w:eastAsia="Times New Roman" w:hAnsi="Times New Roman" w:cs="Times New Roman"/>
                <w:color w:val="000000"/>
                <w:spacing w:val="0"/>
                <w:w w:val="100"/>
                <w:position w:val="0"/>
              </w:rPr>
              <w:t>Bonder</w:t>
            </w:r>
            <w:r>
              <w:rPr>
                <w:color w:val="000000"/>
                <w:spacing w:val="0"/>
                <w:w w:val="100"/>
                <w:position w:val="0"/>
              </w:rPr>
              <w:t xml:space="preserve">、 </w:t>
            </w:r>
            <w:r>
              <w:rPr>
                <w:rFonts w:ascii="Times New Roman" w:eastAsia="Times New Roman" w:hAnsi="Times New Roman" w:cs="Times New Roman"/>
                <w:color w:val="000000"/>
                <w:spacing w:val="0"/>
                <w:w w:val="100"/>
                <w:position w:val="0"/>
              </w:rPr>
              <w:t>FCB</w:t>
            </w:r>
            <w:r>
              <w:rPr>
                <w:color w:val="000000"/>
                <w:spacing w:val="0"/>
                <w:w w:val="100"/>
                <w:position w:val="0"/>
              </w:rPr>
              <w:t>、</w:t>
            </w:r>
            <w:r>
              <w:rPr>
                <w:rFonts w:ascii="Times New Roman" w:eastAsia="Times New Roman" w:hAnsi="Times New Roman" w:cs="Times New Roman"/>
                <w:color w:val="000000"/>
                <w:spacing w:val="0"/>
                <w:w w:val="100"/>
                <w:position w:val="0"/>
              </w:rPr>
              <w:t>BGA</w:t>
            </w:r>
            <w:r>
              <w:rPr>
                <w:color w:val="000000"/>
                <w:spacing w:val="0"/>
                <w:w w:val="100"/>
                <w:position w:val="0"/>
              </w:rPr>
              <w:t>植球、检查、测试等</w:t>
            </w:r>
          </w:p>
        </w:tc>
      </w:tr>
    </w:tbl>
    <w:p>
      <w:pPr>
        <w:spacing w:lineRule="exact" w:line="1"/>
        <w:rPr>
          <w:sz w:val="2"/>
          <w:szCs w:val="2"/>
        </w:rPr>
      </w:pPr>
      <w:r>
        <w:br w:type="page"/>
      </w:r>
    </w:p>
    <w:tbl>
      <w:tblPr>
        <w:tblOverlap w:val="never"/>
        <w:jc w:val="center"/>
        <w:tblLayout w:type="fixed"/>
      </w:tblPr>
      <w:tblGrid>
        <w:gridCol w:w="2126"/>
        <w:gridCol w:w="710"/>
        <w:gridCol w:w="600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甚高频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Very high frequency</w:t>
            </w:r>
            <w:r>
              <w:rPr>
                <w:color w:val="000000"/>
                <w:spacing w:val="0"/>
                <w:w w:val="100"/>
                <w:position w:val="0"/>
              </w:rPr>
              <w:t xml:space="preserve">，频带由 </w:t>
            </w:r>
            <w:r>
              <w:rPr>
                <w:rFonts w:ascii="Times New Roman" w:eastAsia="Times New Roman" w:hAnsi="Times New Roman" w:cs="Times New Roman"/>
                <w:color w:val="000000"/>
                <w:spacing w:val="0"/>
                <w:w w:val="100"/>
                <w:position w:val="0"/>
              </w:rPr>
              <w:t xml:space="preserve">30MHz-300MHz </w:t>
            </w:r>
            <w:r>
              <w:rPr>
                <w:color w:val="000000"/>
                <w:spacing w:val="0"/>
                <w:w w:val="100"/>
                <w:position w:val="0"/>
              </w:rPr>
              <w:t>的无线电电波</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先进封装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最新的封装技术，例如</w:t>
            </w:r>
            <w:r>
              <w:rPr>
                <w:rFonts w:ascii="Times New Roman" w:eastAsia="Times New Roman" w:hAnsi="Times New Roman" w:cs="Times New Roman"/>
                <w:color w:val="000000"/>
                <w:spacing w:val="0"/>
                <w:w w:val="100"/>
                <w:position w:val="0"/>
              </w:rPr>
              <w:t>2.5D</w:t>
            </w:r>
            <w:r>
              <w:rPr>
                <w:color w:val="000000"/>
                <w:spacing w:val="0"/>
                <w:w w:val="100"/>
                <w:position w:val="0"/>
              </w:rPr>
              <w:t>及</w:t>
            </w:r>
            <w:r>
              <w:rPr>
                <w:rFonts w:ascii="Times New Roman" w:eastAsia="Times New Roman" w:hAnsi="Times New Roman" w:cs="Times New Roman"/>
                <w:color w:val="000000"/>
                <w:spacing w:val="0"/>
                <w:w w:val="100"/>
                <w:position w:val="0"/>
              </w:rPr>
              <w:t>3D</w:t>
            </w:r>
            <w:r>
              <w:rPr>
                <w:color w:val="000000"/>
                <w:spacing w:val="0"/>
                <w:w w:val="100"/>
                <w:position w:val="0"/>
              </w:rPr>
              <w:t>芯片技术、晶圆级封装、倒 装芯片封装和硅通孔技术等</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线宽、关键尺寸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集成电路生产工艺可达到的最小沟道长度，是集成电路生产工艺 先进水平的主要指标</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Yole Developpement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法国市场研究与战略咨询公司，专注于功率半导体与</w:t>
            </w:r>
            <w:r>
              <w:rPr>
                <w:rFonts w:ascii="Times New Roman" w:eastAsia="Times New Roman" w:hAnsi="Times New Roman" w:cs="Times New Roman"/>
                <w:color w:val="000000"/>
                <w:spacing w:val="0"/>
                <w:w w:val="100"/>
                <w:position w:val="0"/>
              </w:rPr>
              <w:t>MEMS</w:t>
            </w:r>
            <w:r>
              <w:rPr>
                <w:color w:val="000000"/>
                <w:spacing w:val="0"/>
                <w:w w:val="100"/>
                <w:position w:val="0"/>
              </w:rPr>
              <w:t>传 感器等领域</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bookmarkStart w:id="23" w:name="bookmark23"/>
            <w:r>
              <w:rPr>
                <w:color w:val="000000"/>
                <w:spacing w:val="0"/>
                <w:w w:val="100"/>
                <w:position w:val="0"/>
              </w:rPr>
              <w:t>《公司章程》</w:t>
            </w:r>
            <w:bookmarkEnd w:id="23"/>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《中微半导体设备（上海）股份有限公司章程》</w:t>
            </w:r>
          </w:p>
        </w:tc>
      </w:tr>
    </w:tbl>
    <w:p>
      <w:pPr>
        <w:widowControl w:val="0"/>
        <w:spacing w:after="579" w:line="1" w:lineRule="exact"/>
      </w:pPr>
    </w:p>
    <w:p>
      <w:pPr>
        <w:pStyle w:val="Style13"/>
        <w:keepNext/>
        <w:keepLines/>
        <w:widowControl w:val="0"/>
        <w:shd w:val="clear" w:color="auto" w:fill="auto"/>
        <w:bidi w:val="0"/>
        <w:spacing w:before="0" w:after="32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9"/>
        <w:keepNext w:val="0"/>
        <w:keepLines w:val="0"/>
        <w:widowControl w:val="0"/>
        <w:shd w:val="clear" w:color="auto" w:fill="auto"/>
        <w:bidi w:val="0"/>
        <w:spacing w:before="0" w:after="60" w:line="240" w:lineRule="auto"/>
        <w:ind w:left="0" w:right="0" w:firstLine="240"/>
        <w:jc w:val="left"/>
      </w:pPr>
      <w:r>
        <w:rPr>
          <w:color w:val="000000"/>
          <w:spacing w:val="0"/>
          <w:w w:val="100"/>
          <w:position w:val="0"/>
          <w:sz w:val="24"/>
          <w:szCs w:val="24"/>
        </w:rPr>
        <w:t>、公司基本情况</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中微半导体设备（上海）股份有限公司</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中微公司</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Advanced Micro-Fabrication Equipment Inc. China</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AMEC</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上海市浦东新区金桥出口加工区（南区）泰华路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201201</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上海市浦东新区金桥出口加工区（南区）泰华路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201201</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"http://www.amec-inc.com" </w:instrText>
            </w:r>
            <w:r>
              <w:fldChar w:fldCharType="separate"/>
            </w:r>
            <w:r>
              <w:rPr>
                <w:rFonts w:ascii="Times New Roman" w:eastAsia="Times New Roman" w:hAnsi="Times New Roman" w:cs="Times New Roman"/>
                <w:color w:val="000000"/>
                <w:spacing w:val="0"/>
                <w:w w:val="100"/>
                <w:position w:val="0"/>
              </w:rPr>
              <w:t>http://www.amec-inc.com</w:t>
            </w:r>
            <w:r>
              <w:fldChar w:fldCharType="end"/>
            </w:r>
          </w:p>
        </w:tc>
      </w:tr>
      <w:tr>
        <w:trPr>
          <w:trHeight w:val="31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"mailto:IR@amecnsh.com" </w:instrText>
            </w:r>
            <w:r>
              <w:fldChar w:fldCharType="separate"/>
            </w:r>
            <w:r>
              <w:rPr>
                <w:rFonts w:ascii="Times New Roman" w:eastAsia="Times New Roman" w:hAnsi="Times New Roman" w:cs="Times New Roman"/>
                <w:color w:val="000000"/>
                <w:spacing w:val="0"/>
                <w:w w:val="100"/>
                <w:position w:val="0"/>
              </w:rPr>
              <w:t>IR@amecnsh.com</w:t>
            </w:r>
            <w:r>
              <w:fldChar w:fldCharType="end"/>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80"/>
        <w:gridCol w:w="2947"/>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胡潇</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上海市浦东新区金桥出口加工区（南 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上海市浦东新区金桥出口加工 区（南区）泰华路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021-61001199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021-61001199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021-61002205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021-61002205</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"mailto:IR@amecnsh.com" </w:instrText>
            </w:r>
            <w:r>
              <w:fldChar w:fldCharType="separate"/>
            </w:r>
            <w:r>
              <w:rPr>
                <w:rFonts w:ascii="Times New Roman" w:eastAsia="Times New Roman" w:hAnsi="Times New Roman" w:cs="Times New Roman"/>
                <w:color w:val="000000"/>
                <w:spacing w:val="0"/>
                <w:w w:val="100"/>
                <w:position w:val="0"/>
              </w:rPr>
              <w:t>IR@amecnsh.com</w:t>
            </w:r>
            <w:r>
              <w:fldChar w:fldCharType="end"/>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"mailto:IR@amecnsh.com" </w:instrText>
            </w:r>
            <w:r>
              <w:fldChar w:fldCharType="separate"/>
            </w:r>
            <w:r>
              <w:rPr>
                <w:rFonts w:ascii="Times New Roman" w:eastAsia="Times New Roman" w:hAnsi="Times New Roman" w:cs="Times New Roman"/>
                <w:color w:val="000000"/>
                <w:spacing w:val="0"/>
                <w:w w:val="100"/>
                <w:position w:val="0"/>
              </w:rPr>
              <w:t>IR@amecnsh.com</w:t>
            </w:r>
            <w:r>
              <w:fldChar w:fldCharType="end"/>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上海市浦东新区金桥出口加工区（南区）泰华路</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w:t>
            </w:r>
            <w:r>
              <w:rPr>
                <w:color w:val="000000"/>
                <w:spacing w:val="0"/>
                <w:w w:val="100"/>
                <w:position w:val="0"/>
              </w:rPr>
              <w:t>号</w:t>
            </w:r>
          </w:p>
        </w:tc>
      </w:tr>
    </w:tbl>
    <w:p>
      <w:pPr>
        <w:widowControl w:val="0"/>
        <w:spacing w:after="319" w:line="1" w:lineRule="exact"/>
      </w:pP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2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1771"/>
        <w:gridCol w:w="1632"/>
        <w:gridCol w:w="1896"/>
        <w:gridCol w:w="1766"/>
        <w:gridCol w:w="1771"/>
      </w:tblGrid>
      <w:tr>
        <w:trPr>
          <w:trHeight w:val="307" w:hRule="exact"/>
        </w:trPr>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股票上市交易所 及板块</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bl>
    <w:p>
      <w:pPr>
        <w:spacing w:lineRule="exact" w:line="1"/>
        <w:rPr>
          <w:sz w:val="2"/>
          <w:szCs w:val="2"/>
        </w:rPr>
      </w:pPr>
      <w:r>
        <w:br w:type="page"/>
      </w:r>
    </w:p>
    <w:tbl>
      <w:tblPr>
        <w:tblOverlap w:val="never"/>
        <w:jc w:val="center"/>
        <w:tblLayout w:type="fixed"/>
      </w:tblPr>
      <w:tblGrid>
        <w:gridCol w:w="1771"/>
        <w:gridCol w:w="1632"/>
        <w:gridCol w:w="1896"/>
        <w:gridCol w:w="1766"/>
        <w:gridCol w:w="1771"/>
      </w:tblGrid>
      <w:tr>
        <w:trPr>
          <w:trHeight w:val="57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上海证券交易所 科创板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中微公司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688012</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5"/>
        <w:keepNext/>
        <w:keepLines/>
        <w:widowControl w:val="0"/>
        <w:shd w:val="clear" w:color="auto" w:fill="auto"/>
        <w:bidi w:val="0"/>
        <w:spacing w:before="0" w:after="80" w:line="240" w:lineRule="auto"/>
        <w:ind w:left="0" w:right="0" w:firstLine="0"/>
        <w:jc w:val="left"/>
      </w:pPr>
      <w:bookmarkStart w:id="27" w:name="bookmark27"/>
      <w:bookmarkStart w:id="28" w:name="bookmark28"/>
      <w:bookmarkStart w:id="29" w:name="bookmark29"/>
      <w:bookmarkStart w:id="30" w:name="bookmark30"/>
      <w:r>
        <w:rPr>
          <w:rFonts w:ascii="Calibri" w:eastAsia="Calibri" w:hAnsi="Calibri" w:cs="Calibri"/>
          <w:color w:val="000000"/>
          <w:spacing w:val="0"/>
          <w:w w:val="100"/>
          <w:position w:val="0"/>
          <w:sz w:val="20"/>
          <w:szCs w:val="20"/>
        </w:rPr>
        <w:t>（</w:t>
      </w:r>
      <w:bookmarkEnd w:id="29"/>
      <w:r>
        <w:rPr>
          <w:color w:val="000000"/>
          <w:spacing w:val="0"/>
          <w:w w:val="100"/>
          <w:position w:val="0"/>
        </w:rPr>
        <w:t>二</w:t>
      </w:r>
      <w:r>
        <w:rPr>
          <w:color w:val="000000"/>
          <w:spacing w:val="0"/>
          <w:w w:val="100"/>
          <w:position w:val="0"/>
          <w:sz w:val="22"/>
          <w:szCs w:val="22"/>
        </w:rPr>
        <w:t>）</w:t>
      </w:r>
      <w:r>
        <w:rPr>
          <w:color w:val="000000"/>
          <w:spacing w:val="0"/>
          <w:w w:val="100"/>
          <w:position w:val="0"/>
        </w:rPr>
        <w:t>公司存托凭证简况</w:t>
      </w:r>
      <w:bookmarkEnd w:id="27"/>
      <w:bookmarkEnd w:id="28"/>
      <w:bookmarkEnd w:id="3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31" w:name="bookmark31"/>
      <w:r>
        <w:rPr>
          <w:b/>
          <w:bCs/>
          <w:color w:val="000000"/>
          <w:spacing w:val="0"/>
          <w:w w:val="100"/>
          <w:position w:val="0"/>
        </w:rPr>
        <w:t>五</w:t>
      </w:r>
      <w:bookmarkEnd w:id="31"/>
      <w:r>
        <w:rPr>
          <w:b/>
          <w:bCs/>
          <w:color w:val="000000"/>
          <w:spacing w:val="0"/>
          <w:w w:val="100"/>
          <w:position w:val="0"/>
        </w:rPr>
        <w:t>、其他相关资料</w:t>
      </w:r>
    </w:p>
    <w:tbl>
      <w:tblPr>
        <w:tblOverlap w:val="never"/>
        <w:jc w:val="center"/>
        <w:tblLayout w:type="fixed"/>
      </w:tblPr>
      <w:tblGrid>
        <w:gridCol w:w="2923"/>
        <w:gridCol w:w="1752"/>
        <w:gridCol w:w="4162"/>
      </w:tblGrid>
      <w:tr>
        <w:trPr>
          <w:trHeight w:val="56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普华永道中天会计师事务所（特殊普通合 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上海市黄浦区湖滨路</w:t>
            </w:r>
            <w:r>
              <w:rPr>
                <w:rFonts w:ascii="Times New Roman" w:eastAsia="Times New Roman" w:hAnsi="Times New Roman" w:cs="Times New Roman"/>
                <w:color w:val="000000"/>
                <w:spacing w:val="0"/>
                <w:w w:val="100"/>
                <w:position w:val="0"/>
              </w:rPr>
              <w:t>202</w:t>
            </w:r>
            <w:r>
              <w:rPr>
                <w:color w:val="000000"/>
                <w:spacing w:val="0"/>
                <w:w w:val="100"/>
                <w:position w:val="0"/>
              </w:rPr>
              <w:t>号领展广场</w:t>
            </w:r>
            <w:r>
              <w:rPr>
                <w:rFonts w:ascii="Times New Roman" w:eastAsia="Times New Roman" w:hAnsi="Times New Roman" w:cs="Times New Roman"/>
                <w:color w:val="000000"/>
                <w:spacing w:val="0"/>
                <w:w w:val="100"/>
                <w:position w:val="0"/>
              </w:rPr>
              <w:t>2</w:t>
            </w:r>
            <w:r>
              <w:rPr>
                <w:color w:val="000000"/>
                <w:spacing w:val="0"/>
                <w:w w:val="100"/>
                <w:position w:val="0"/>
              </w:rPr>
              <w:t>号楼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普华永道中心</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赵波、孙吾伊</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rPr>
              <w:t>689</w:t>
            </w:r>
            <w:r>
              <w:rPr>
                <w:color w:val="000000"/>
                <w:spacing w:val="0"/>
                <w:w w:val="100"/>
                <w:position w:val="0"/>
              </w:rPr>
              <w:t>号</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吴志君、姜诚君</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319" w:line="1" w:lineRule="exact"/>
      </w:pPr>
    </w:p>
    <w:p>
      <w:pPr>
        <w:pStyle w:val="Style35"/>
        <w:keepNext/>
        <w:keepLines/>
        <w:widowControl w:val="0"/>
        <w:shd w:val="clear" w:color="auto" w:fill="auto"/>
        <w:bidi w:val="0"/>
        <w:spacing w:before="0" w:after="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、近三年主要会计数据和财务指标</w:t>
      </w:r>
      <w:bookmarkEnd w:id="32"/>
      <w:bookmarkEnd w:id="33"/>
      <w:bookmarkEnd w:id="35"/>
    </w:p>
    <w:p>
      <w:pPr>
        <w:pStyle w:val="Style35"/>
        <w:keepNext/>
        <w:keepLines/>
        <w:widowControl w:val="0"/>
        <w:shd w:val="clear" w:color="auto" w:fill="auto"/>
        <w:bidi w:val="0"/>
        <w:spacing w:before="0" w:after="80" w:line="240" w:lineRule="auto"/>
        <w:ind w:left="0" w:right="0" w:firstLine="0"/>
        <w:jc w:val="left"/>
      </w:pPr>
      <w:bookmarkStart w:id="32" w:name="bookmark32"/>
      <w:bookmarkStart w:id="33" w:name="bookmark33"/>
      <w:bookmarkStart w:id="36" w:name="bookmark36"/>
      <w:bookmarkStart w:id="37" w:name="bookmark37"/>
      <w:r>
        <w:rPr>
          <w:rFonts w:ascii="Calibri" w:eastAsia="Calibri" w:hAnsi="Calibri" w:cs="Calibri"/>
          <w:color w:val="000000"/>
          <w:spacing w:val="0"/>
          <w:w w:val="100"/>
          <w:position w:val="0"/>
          <w:sz w:val="20"/>
          <w:szCs w:val="20"/>
        </w:rPr>
        <w:t>（</w:t>
      </w:r>
      <w:bookmarkEnd w:id="36"/>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2"/>
      <w:bookmarkEnd w:id="33"/>
      <w:bookmarkEnd w:id="37"/>
    </w:p>
    <w:p>
      <w:pPr>
        <w:pStyle w:val="Style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44"/>
        <w:gridCol w:w="1800"/>
        <w:gridCol w:w="1685"/>
        <w:gridCol w:w="1714"/>
        <w:gridCol w:w="1694"/>
      </w:tblGrid>
      <w:tr>
        <w:trPr>
          <w:trHeight w:val="6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2,273,291,898.06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1,946,949,250.75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16.76%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1,639,288,330.40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492,199,161.31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188,564,219.09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90,869,243.54</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23,319,394.77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147,539,304.73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104,283,115.16</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846,292,855.04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133,270,991.54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261,107,142.05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本期末比上年同 期末增减（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4,369,057,694.76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3,751,076,960.24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16.47%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2,116,405,814.74</w:t>
            </w:r>
          </w:p>
        </w:tc>
      </w:tr>
      <w:tr>
        <w:trPr>
          <w:trHeight w:val="30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5,800,876,895.94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4,774,054,304.04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21.51%</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3,532,678,998.55</w:t>
            </w:r>
          </w:p>
        </w:tc>
      </w:tr>
    </w:tbl>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p>
      <w:pPr>
        <w:widowControl w:val="0"/>
        <w:spacing w:after="319" w:line="1" w:lineRule="exact"/>
      </w:pPr>
    </w:p>
    <w:tbl>
      <w:tblPr>
        <w:tblOverlap w:val="never"/>
        <w:jc w:val="center"/>
        <w:tblLayout w:type="fixed"/>
      </w:tblPr>
      <w:tblGrid>
        <w:gridCol w:w="3120"/>
        <w:gridCol w:w="1416"/>
        <w:gridCol w:w="1291"/>
        <w:gridCol w:w="1502"/>
        <w:gridCol w:w="1507"/>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148.65%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0.20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148.65%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0.20</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-86.21%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0.23</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5.40</w:t>
            </w:r>
            <w:r>
              <w:rPr>
                <w:color w:val="000000"/>
                <w:spacing w:val="0"/>
                <w:w w:val="100"/>
                <w:position w:val="0"/>
              </w:rPr>
              <w:t>个百</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bl>
    <w:tbl>
      <w:tblPr>
        <w:tblOverlap w:val="never"/>
        <w:jc w:val="center"/>
        <w:tblLayout w:type="fixed"/>
      </w:tblPr>
      <w:tblGrid>
        <w:gridCol w:w="3120"/>
        <w:gridCol w:w="1416"/>
        <w:gridCol w:w="1291"/>
        <w:gridCol w:w="1502"/>
        <w:gridCol w:w="1507"/>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减少</w:t>
            </w:r>
            <w:r>
              <w:rPr>
                <w:rFonts w:ascii="Times New Roman" w:eastAsia="Times New Roman" w:hAnsi="Times New Roman" w:cs="Times New Roman"/>
                <w:color w:val="000000"/>
                <w:spacing w:val="0"/>
                <w:w w:val="100"/>
                <w:position w:val="0"/>
              </w:rPr>
              <w:t>4.68</w:t>
            </w:r>
            <w:r>
              <w:rPr>
                <w:color w:val="000000"/>
                <w:spacing w:val="0"/>
                <w:w w:val="100"/>
                <w:position w:val="0"/>
              </w:rPr>
              <w:t>个百</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研发投入占营业收入的比例（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增加</w:t>
            </w:r>
            <w:r>
              <w:rPr>
                <w:rFonts w:ascii="Times New Roman" w:eastAsia="Times New Roman" w:hAnsi="Times New Roman" w:cs="Times New Roman"/>
                <w:color w:val="000000"/>
                <w:spacing w:val="0"/>
                <w:w w:val="100"/>
                <w:position w:val="0"/>
              </w:rPr>
              <w:t>6.33</w:t>
            </w:r>
            <w:r>
              <w:rPr>
                <w:color w:val="000000"/>
                <w:spacing w:val="0"/>
                <w:w w:val="100"/>
                <w:position w:val="0"/>
              </w:rPr>
              <w:t>个百</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w:t>
            </w:r>
          </w:p>
        </w:tc>
      </w:tr>
    </w:tbl>
    <w:p>
      <w:pPr>
        <w:widowControl w:val="0"/>
        <w:spacing w:after="239" w:line="1" w:lineRule="exact"/>
      </w:pPr>
    </w:p>
    <w:p>
      <w:pPr>
        <w:pStyle w:val="Style2"/>
        <w:keepNext w:val="0"/>
        <w:keepLines w:val="0"/>
        <w:widowControl w:val="0"/>
        <w:shd w:val="clear" w:color="auto" w:fill="auto"/>
        <w:bidi w:val="0"/>
        <w:spacing w:before="0" w:after="40" w:line="277" w:lineRule="exact"/>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年归属于上市公司股东的净利润较上年同期增长</w:t>
      </w:r>
      <w:r>
        <w:rPr>
          <w:rFonts w:ascii="Times New Roman" w:eastAsia="Times New Roman" w:hAnsi="Times New Roman" w:cs="Times New Roman"/>
          <w:color w:val="000000"/>
          <w:spacing w:val="0"/>
          <w:w w:val="100"/>
          <w:position w:val="0"/>
        </w:rPr>
        <w:t>161.02%</w:t>
      </w:r>
      <w:r>
        <w:rPr>
          <w:color w:val="000000"/>
          <w:spacing w:val="0"/>
          <w:w w:val="100"/>
          <w:position w:val="0"/>
        </w:rPr>
        <w:t>，主要系：（</w:t>
      </w:r>
      <w:r>
        <w:rPr>
          <w:rFonts w:ascii="Times New Roman" w:eastAsia="Times New Roman" w:hAnsi="Times New Roman" w:cs="Times New Roman"/>
          <w:color w:val="000000"/>
          <w:spacing w:val="0"/>
          <w:w w:val="100"/>
          <w:position w:val="0"/>
        </w:rPr>
        <w:t>1</w:t>
      </w:r>
      <w:r>
        <w:rPr>
          <w:color w:val="000000"/>
          <w:spacing w:val="0"/>
          <w:w w:val="100"/>
          <w:position w:val="0"/>
        </w:rPr>
        <w:t>）中芯国际科创板 股票投资公允价值变动收益约</w:t>
      </w:r>
      <w:r>
        <w:rPr>
          <w:rFonts w:ascii="Times New Roman" w:eastAsia="Times New Roman" w:hAnsi="Times New Roman" w:cs="Times New Roman"/>
          <w:color w:val="000000"/>
          <w:spacing w:val="0"/>
          <w:w w:val="100"/>
          <w:position w:val="0"/>
        </w:rPr>
        <w:t>2.62</w:t>
      </w:r>
      <w:r>
        <w:rPr>
          <w:color w:val="000000"/>
          <w:spacing w:val="0"/>
          <w:w w:val="100"/>
          <w:position w:val="0"/>
        </w:rPr>
        <w:t>亿元；（</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年计入非经常性损益的政府补助较 </w:t>
      </w:r>
      <w:r>
        <w:rPr>
          <w:rFonts w:ascii="Times New Roman" w:eastAsia="Times New Roman" w:hAnsi="Times New Roman" w:cs="Times New Roman"/>
          <w:color w:val="000000"/>
          <w:spacing w:val="0"/>
          <w:w w:val="100"/>
          <w:position w:val="0"/>
        </w:rPr>
        <w:t>2019</w:t>
      </w:r>
      <w:r>
        <w:rPr>
          <w:color w:val="000000"/>
          <w:spacing w:val="0"/>
          <w:w w:val="100"/>
          <w:position w:val="0"/>
        </w:rPr>
        <w:t>年增加约</w:t>
      </w:r>
      <w:r>
        <w:rPr>
          <w:rFonts w:ascii="Times New Roman" w:eastAsia="Times New Roman" w:hAnsi="Times New Roman" w:cs="Times New Roman"/>
          <w:color w:val="000000"/>
          <w:spacing w:val="0"/>
          <w:w w:val="100"/>
          <w:position w:val="0"/>
        </w:rPr>
        <w:t>2.26</w:t>
      </w:r>
      <w:r>
        <w:rPr>
          <w:color w:val="000000"/>
          <w:spacing w:val="0"/>
          <w:w w:val="100"/>
          <w:position w:val="0"/>
        </w:rPr>
        <w:t>亿元。</w:t>
      </w:r>
    </w:p>
    <w:p>
      <w:pPr>
        <w:pStyle w:val="Style2"/>
        <w:keepNext w:val="0"/>
        <w:keepLines w:val="0"/>
        <w:widowControl w:val="0"/>
        <w:shd w:val="clear" w:color="auto" w:fill="auto"/>
        <w:bidi w:val="0"/>
        <w:spacing w:before="0" w:after="320" w:line="28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年归属于母公司所有者的扣除非经常性损益的净利润较上年同期减少</w:t>
      </w:r>
      <w:r>
        <w:rPr>
          <w:rFonts w:ascii="Times New Roman" w:eastAsia="Times New Roman" w:hAnsi="Times New Roman" w:cs="Times New Roman"/>
          <w:color w:val="000000"/>
          <w:spacing w:val="0"/>
          <w:w w:val="100"/>
          <w:position w:val="0"/>
        </w:rPr>
        <w:t>84.19%</w:t>
      </w:r>
      <w:r>
        <w:rPr>
          <w:color w:val="000000"/>
          <w:spacing w:val="0"/>
          <w:w w:val="100"/>
          <w:position w:val="0"/>
        </w:rPr>
        <w:t xml:space="preserve">，主要系公司 </w:t>
      </w:r>
      <w:r>
        <w:rPr>
          <w:rFonts w:ascii="Times New Roman" w:eastAsia="Times New Roman" w:hAnsi="Times New Roman" w:cs="Times New Roman"/>
          <w:color w:val="000000"/>
          <w:spacing w:val="0"/>
          <w:w w:val="100"/>
          <w:position w:val="0"/>
        </w:rPr>
        <w:t>2020</w:t>
      </w:r>
      <w:r>
        <w:rPr>
          <w:color w:val="000000"/>
          <w:spacing w:val="0"/>
          <w:w w:val="100"/>
          <w:position w:val="0"/>
        </w:rPr>
        <w:t>年因实施股权激励计划产生股份支付费用约</w:t>
      </w:r>
      <w:r>
        <w:rPr>
          <w:rFonts w:ascii="Times New Roman" w:eastAsia="Times New Roman" w:hAnsi="Times New Roman" w:cs="Times New Roman"/>
          <w:color w:val="000000"/>
          <w:spacing w:val="0"/>
          <w:w w:val="100"/>
          <w:position w:val="0"/>
        </w:rPr>
        <w:t>1.24</w:t>
      </w:r>
      <w:r>
        <w:rPr>
          <w:color w:val="000000"/>
          <w:spacing w:val="0"/>
          <w:w w:val="100"/>
          <w:position w:val="0"/>
        </w:rPr>
        <w:t>亿元（属于经常性损益），</w:t>
      </w:r>
      <w:r>
        <w:rPr>
          <w:rFonts w:ascii="Times New Roman" w:eastAsia="Times New Roman" w:hAnsi="Times New Roman" w:cs="Times New Roman"/>
          <w:color w:val="000000"/>
          <w:spacing w:val="0"/>
          <w:w w:val="100"/>
          <w:position w:val="0"/>
        </w:rPr>
        <w:t>2019</w:t>
      </w:r>
      <w:r>
        <w:rPr>
          <w:color w:val="000000"/>
          <w:spacing w:val="0"/>
          <w:w w:val="100"/>
          <w:position w:val="0"/>
        </w:rPr>
        <w:t>年无该类 费用发生。</w:t>
      </w:r>
    </w:p>
    <w:p>
      <w:pPr>
        <w:pStyle w:val="Style2"/>
        <w:keepNext w:val="0"/>
        <w:keepLines w:val="0"/>
        <w:widowControl w:val="0"/>
        <w:shd w:val="clear" w:color="auto" w:fill="auto"/>
        <w:tabs>
          <w:tab w:pos="483" w:val="left"/>
        </w:tabs>
        <w:bidi w:val="0"/>
        <w:spacing w:before="0" w:after="100" w:line="277" w:lineRule="exact"/>
        <w:ind w:left="0" w:right="0" w:firstLine="0"/>
        <w:jc w:val="left"/>
      </w:pPr>
      <w:bookmarkStart w:id="38" w:name="bookmark38"/>
      <w:r>
        <w:rPr>
          <w:b/>
          <w:bCs/>
          <w:color w:val="000000"/>
          <w:spacing w:val="0"/>
          <w:w w:val="100"/>
          <w:position w:val="0"/>
        </w:rPr>
        <w:t>七</w:t>
      </w:r>
      <w:bookmarkEnd w:id="38"/>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40" w:line="269" w:lineRule="exact"/>
        <w:ind w:left="380" w:right="0" w:hanging="380"/>
        <w:jc w:val="left"/>
      </w:pPr>
      <w:bookmarkStart w:id="39" w:name="bookmark39"/>
      <w:r>
        <w:rPr>
          <w:rFonts w:ascii="Calibri" w:eastAsia="Calibri" w:hAnsi="Calibri" w:cs="Calibri"/>
          <w:b/>
          <w:bCs/>
          <w:color w:val="000000"/>
          <w:spacing w:val="0"/>
          <w:w w:val="100"/>
          <w:position w:val="0"/>
          <w:sz w:val="20"/>
          <w:szCs w:val="20"/>
        </w:rPr>
        <w:t>（</w:t>
      </w:r>
      <w:bookmarkEnd w:id="3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4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88" w:lineRule="exact"/>
        <w:ind w:left="380" w:right="0" w:hanging="38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10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69" w:lineRule="auto"/>
        <w:ind w:left="0" w:right="0" w:firstLine="0"/>
        <w:jc w:val="left"/>
      </w:pPr>
      <w:bookmarkStart w:id="41" w:name="bookmark41"/>
      <w:r>
        <w:rPr>
          <w:rFonts w:ascii="Calibri" w:eastAsia="Calibri" w:hAnsi="Calibri" w:cs="Calibri"/>
          <w:b/>
          <w:bCs/>
          <w:color w:val="000000"/>
          <w:spacing w:val="0"/>
          <w:w w:val="100"/>
          <w:position w:val="0"/>
          <w:sz w:val="20"/>
          <w:szCs w:val="20"/>
        </w:rPr>
        <w:t>（</w:t>
      </w:r>
      <w:bookmarkEnd w:id="4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2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83" w:val="left"/>
        </w:tabs>
        <w:bidi w:val="0"/>
        <w:spacing w:before="0" w:after="100" w:line="277" w:lineRule="exact"/>
        <w:ind w:left="0" w:right="0" w:firstLine="0"/>
        <w:jc w:val="left"/>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年分季度主要财务数据</w:t>
      </w:r>
      <w:bookmarkEnd w:id="42"/>
      <w:bookmarkEnd w:id="43"/>
      <w:bookmarkEnd w:id="45"/>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704"/>
        <w:gridCol w:w="1699"/>
        <w:gridCol w:w="1704"/>
        <w:gridCol w:w="183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第一季度</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412,585,985.95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565,818,298.69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497,904,503.13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796,983,110.29</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26,224,930.68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92,824,183.54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157,885,130.66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215,264,916.43</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-6,193,811.95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46,373,495.44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-85,652,566.38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68,792,277.66</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248,652,463.03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38,451,431.46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95,310,883.44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463,878,077.11</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季度数据与已披露定期报告数据差异说明 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、非经常性损益项目和金额</w:t>
      </w:r>
      <w:bookmarkEnd w:id="46"/>
      <w:bookmarkEnd w:id="47"/>
      <w:bookmarkEnd w:id="49"/>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1416"/>
        <w:gridCol w:w="912"/>
        <w:gridCol w:w="1426"/>
        <w:gridCol w:w="153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非经常性损益项目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附注 （如适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-42,372.67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-2,234,720.02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226,301.18</w:t>
            </w:r>
          </w:p>
        </w:tc>
      </w:tr>
    </w:tbl>
    <w:p>
      <w:pPr>
        <w:sectPr>
          <w:footnotePr>
            <w:pos w:val="pageBottom"/>
            <w:numFmt w:val="decimal"/>
            <w:numRestart w:val="continuous"/>
          </w:footnotePr>
          <w:pgSz w:w="11900" w:h="16840"/>
          <w:pgMar w:top="1522" w:right="1136" w:bottom="1517" w:left="1678" w:header="0" w:footer="3" w:gutter="0"/>
          <w:cols w:space="720"/>
          <w:noEndnote/>
          <w:rtlGutter w:val="0"/>
          <w:docGrid w:linePitch="360"/>
        </w:sectPr>
      </w:pPr>
    </w:p>
    <w:tbl>
      <w:tblPr>
        <w:tblOverlap w:val="never"/>
        <w:jc w:val="center"/>
        <w:tblLayout w:type="fixed"/>
      </w:tblPr>
      <w:tblGrid>
        <w:gridCol w:w="3547"/>
        <w:gridCol w:w="1416"/>
        <w:gridCol w:w="912"/>
        <w:gridCol w:w="1426"/>
        <w:gridCol w:w="1536"/>
      </w:tblGrid>
      <w:tr>
        <w:trPr>
          <w:trHeight w:val="9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253,376,660.22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26,937,464.91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100,679,543.91</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44,363,246.80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14,120,075.24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3,600,148.32</w:t>
            </w:r>
          </w:p>
        </w:tc>
      </w:tr>
      <w:tr>
        <w:trPr>
          <w:trHeight w:val="16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257,464,331.96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7,735,787.66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463,356.89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88,268.17</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-102,323,720.35</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-84,155,468.79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-5,961,900.32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-15,684,412.85</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468,879,766.54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41,024,914.36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-13,413,871.62</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50" w:name="bookmark50"/>
      <w:bookmarkStart w:id="51" w:name="bookmark51"/>
      <w:bookmarkStart w:id="52" w:name="bookmark52"/>
      <w:r>
        <w:rPr>
          <w:color w:val="000000"/>
          <w:spacing w:val="0"/>
          <w:w w:val="100"/>
          <w:position w:val="0"/>
        </w:rPr>
        <w:t>十、采用公允价值计量的项目</w:t>
      </w:r>
      <w:bookmarkEnd w:id="50"/>
      <w:bookmarkEnd w:id="51"/>
      <w:bookmarkEnd w:id="5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0"/>
        <w:gridCol w:w="1699"/>
        <w:gridCol w:w="1704"/>
        <w:gridCol w:w="1675"/>
        <w:gridCol w:w="1958"/>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1,367,735,787.66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1,505,200,119.62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137,464,331.96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257,464,331.96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235,055,000.00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235,055,000.00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1,367,735,787.66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1,740,255,119.62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372,519,331.96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257,464,331.96</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53" w:name="bookmark53"/>
      <w:bookmarkStart w:id="54" w:name="bookmark54"/>
      <w:bookmarkStart w:id="55" w:name="bookmark55"/>
      <w:r>
        <w:rPr>
          <w:color w:val="000000"/>
          <w:spacing w:val="0"/>
          <w:w w:val="100"/>
          <w:position w:val="0"/>
        </w:rPr>
        <w:t>十一、非企业会计准则业绩指标说明</w:t>
      </w:r>
      <w:bookmarkEnd w:id="53"/>
      <w:bookmarkEnd w:id="54"/>
      <w:bookmarkEnd w:id="5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76"/>
        <w:gridCol w:w="1987"/>
        <w:gridCol w:w="1718"/>
        <w:gridCol w:w="2155"/>
      </w:tblGrid>
      <w:tr>
        <w:trPr>
          <w:trHeight w:val="8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本期比上年同期增减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bookmarkStart w:id="56" w:name="bookmark56"/>
            <w:r>
              <w:rPr>
                <w:color w:val="000000"/>
                <w:spacing w:val="0"/>
                <w:w w:val="100"/>
                <w:position w:val="0"/>
              </w:rPr>
              <w:t>剔除股份支付费用影响后，归 属于上市公司股东的扣除非经 常性损益的净利润</w:t>
            </w:r>
            <w:bookmarkEnd w:id="56"/>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14,690.99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14,753.93</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bl>
    <w:p>
      <w:pPr>
        <w:widowControl w:val="0"/>
        <w:spacing w:after="339" w:line="1" w:lineRule="exact"/>
      </w:pPr>
    </w:p>
    <w:p>
      <w:pPr>
        <w:pStyle w:val="Style13"/>
        <w:keepNext/>
        <w:keepLines/>
        <w:widowControl w:val="0"/>
        <w:shd w:val="clear" w:color="auto" w:fill="auto"/>
        <w:bidi w:val="0"/>
        <w:spacing w:before="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35"/>
        <w:keepNext/>
        <w:keepLines/>
        <w:widowControl w:val="0"/>
        <w:shd w:val="clear" w:color="auto" w:fill="auto"/>
        <w:bidi w:val="0"/>
        <w:spacing w:before="0" w:after="10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、报告期内公司所从事的主要业务、经营模式、行业情况及研发情况说明</w:t>
      </w:r>
      <w:bookmarkEnd w:id="60"/>
      <w:bookmarkEnd w:id="61"/>
      <w:bookmarkEnd w:id="63"/>
    </w:p>
    <w:p>
      <w:pPr>
        <w:pStyle w:val="Style35"/>
        <w:keepNext/>
        <w:keepLines/>
        <w:widowControl w:val="0"/>
        <w:numPr>
          <w:ilvl w:val="0"/>
          <w:numId w:val="1"/>
        </w:numPr>
        <w:shd w:val="clear" w:color="auto" w:fill="auto"/>
        <w:bidi w:val="0"/>
        <w:spacing w:before="0" w:after="0" w:line="240" w:lineRule="auto"/>
        <w:ind w:left="0" w:right="0" w:firstLine="0"/>
        <w:jc w:val="left"/>
      </w:pPr>
      <w:bookmarkStart w:id="60" w:name="bookmark60"/>
      <w:bookmarkStart w:id="61" w:name="bookmark61"/>
      <w:bookmarkStart w:id="64" w:name="bookmark64"/>
      <w:bookmarkStart w:id="65" w:name="bookmark65"/>
      <w:bookmarkEnd w:id="64"/>
      <w:r>
        <w:rPr>
          <w:color w:val="000000"/>
          <w:spacing w:val="0"/>
          <w:w w:val="100"/>
          <w:position w:val="0"/>
        </w:rPr>
        <w:t>主要业务、主要产品或服务情况</w:t>
      </w:r>
      <w:bookmarkEnd w:id="60"/>
      <w:bookmarkEnd w:id="61"/>
      <w:bookmarkEnd w:id="65"/>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报告期内，公司主要从事高端半导体设备及泛半导体设备的研发、生产和销售。公司瞄准世 界科技前沿，基于在半导体设备制造产业多年积累的专业技术，涉足半导体集成电路制造、先进 封装、</w:t>
      </w:r>
      <w:r>
        <w:rPr>
          <w:rFonts w:ascii="Times New Roman" w:eastAsia="Times New Roman" w:hAnsi="Times New Roman" w:cs="Times New Roman"/>
          <w:color w:val="000000"/>
          <w:spacing w:val="0"/>
          <w:w w:val="100"/>
          <w:position w:val="0"/>
        </w:rPr>
        <w:t>LED</w:t>
      </w:r>
      <w:r>
        <w:rPr>
          <w:color w:val="000000"/>
          <w:spacing w:val="0"/>
          <w:w w:val="100"/>
          <w:position w:val="0"/>
        </w:rPr>
        <w:t>外延片生产、功率器件、</w:t>
      </w:r>
      <w:r>
        <w:rPr>
          <w:rFonts w:ascii="Times New Roman" w:eastAsia="Times New Roman" w:hAnsi="Times New Roman" w:cs="Times New Roman"/>
          <w:color w:val="000000"/>
          <w:spacing w:val="0"/>
          <w:w w:val="100"/>
          <w:position w:val="0"/>
        </w:rPr>
        <w:t>MEMS</w:t>
      </w:r>
      <w:r>
        <w:rPr>
          <w:color w:val="000000"/>
          <w:spacing w:val="0"/>
          <w:w w:val="100"/>
          <w:position w:val="0"/>
        </w:rPr>
        <w:t>制造以及其他微观工艺的高端设备领域。</w:t>
      </w:r>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公司的等离子体刻蚀设备已应用在国际一线客户从</w:t>
      </w:r>
      <w:r>
        <w:rPr>
          <w:rFonts w:ascii="Times New Roman" w:eastAsia="Times New Roman" w:hAnsi="Times New Roman" w:cs="Times New Roman"/>
          <w:color w:val="000000"/>
          <w:spacing w:val="0"/>
          <w:w w:val="100"/>
          <w:position w:val="0"/>
        </w:rPr>
        <w:t>65</w:t>
      </w:r>
      <w:r>
        <w:rPr>
          <w:color w:val="000000"/>
          <w:spacing w:val="0"/>
          <w:w w:val="100"/>
          <w:position w:val="0"/>
        </w:rPr>
        <w:t>纳米到</w:t>
      </w:r>
      <w:r>
        <w:rPr>
          <w:rFonts w:ascii="Times New Roman" w:eastAsia="Times New Roman" w:hAnsi="Times New Roman" w:cs="Times New Roman"/>
          <w:color w:val="000000"/>
          <w:spacing w:val="0"/>
          <w:w w:val="100"/>
          <w:position w:val="0"/>
        </w:rPr>
        <w:t>14</w:t>
      </w:r>
      <w:r>
        <w:rPr>
          <w:color w:val="000000"/>
          <w:spacing w:val="0"/>
          <w:w w:val="100"/>
          <w:position w:val="0"/>
        </w:rPr>
        <w:t>纳米、</w:t>
      </w:r>
      <w:r>
        <w:rPr>
          <w:rFonts w:ascii="Times New Roman" w:eastAsia="Times New Roman" w:hAnsi="Times New Roman" w:cs="Times New Roman"/>
          <w:color w:val="000000"/>
          <w:spacing w:val="0"/>
          <w:w w:val="100"/>
          <w:position w:val="0"/>
        </w:rPr>
        <w:t>7</w:t>
      </w:r>
      <w:r>
        <w:rPr>
          <w:color w:val="000000"/>
          <w:spacing w:val="0"/>
          <w:w w:val="100"/>
          <w:position w:val="0"/>
        </w:rPr>
        <w:t>纳米和</w:t>
      </w:r>
      <w:r>
        <w:rPr>
          <w:rFonts w:ascii="Times New Roman" w:eastAsia="Times New Roman" w:hAnsi="Times New Roman" w:cs="Times New Roman"/>
          <w:color w:val="000000"/>
          <w:spacing w:val="0"/>
          <w:w w:val="100"/>
          <w:position w:val="0"/>
        </w:rPr>
        <w:t>5</w:t>
      </w:r>
      <w:r>
        <w:rPr>
          <w:color w:val="000000"/>
          <w:spacing w:val="0"/>
          <w:w w:val="100"/>
          <w:position w:val="0"/>
        </w:rPr>
        <w:t>纳米及其 他先进的集成电路加工制造生产线及先进封装生产线。公司</w:t>
      </w:r>
      <w:r>
        <w:rPr>
          <w:rFonts w:ascii="Times New Roman" w:eastAsia="Times New Roman" w:hAnsi="Times New Roman" w:cs="Times New Roman"/>
          <w:color w:val="000000"/>
          <w:spacing w:val="0"/>
          <w:w w:val="100"/>
          <w:position w:val="0"/>
        </w:rPr>
        <w:t>MOCVD</w:t>
      </w:r>
      <w:r>
        <w:rPr>
          <w:color w:val="000000"/>
          <w:spacing w:val="0"/>
          <w:w w:val="100"/>
          <w:position w:val="0"/>
        </w:rPr>
        <w:t>设备在行业领先客户的生产 线上大规模投入量产，公司已成为世界排名前列的氮化镓基</w:t>
      </w:r>
      <w:r>
        <w:rPr>
          <w:rFonts w:ascii="Times New Roman" w:eastAsia="Times New Roman" w:hAnsi="Times New Roman" w:cs="Times New Roman"/>
          <w:color w:val="000000"/>
          <w:spacing w:val="0"/>
          <w:w w:val="100"/>
          <w:position w:val="0"/>
        </w:rPr>
        <w:t>LED</w:t>
      </w:r>
      <w:r>
        <w:rPr>
          <w:color w:val="000000"/>
          <w:spacing w:val="0"/>
          <w:w w:val="100"/>
          <w:position w:val="0"/>
        </w:rPr>
        <w:t>设备制造商。</w:t>
      </w:r>
    </w:p>
    <w:p>
      <w:pPr>
        <w:pStyle w:val="Style45"/>
        <w:keepNext w:val="0"/>
        <w:keepLines w:val="0"/>
        <w:widowControl w:val="0"/>
        <w:shd w:val="clear" w:color="auto" w:fill="auto"/>
        <w:bidi w:val="0"/>
        <w:spacing w:before="0" w:after="140" w:line="240" w:lineRule="auto"/>
        <w:ind w:left="0" w:right="0" w:firstLine="0"/>
        <w:jc w:val="cente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522" w:right="1250" w:bottom="1196" w:left="1776" w:header="0" w:footer="768" w:gutter="0"/>
          <w:cols w:space="720"/>
          <w:noEndnote/>
          <w:rtlGutter w:val="0"/>
          <w:docGrid w:linePitch="360"/>
        </w:sectPr>
      </w:pPr>
      <w:r>
        <w:rPr>
          <w:color w:val="000000"/>
          <w:spacing w:val="0"/>
          <w:w w:val="100"/>
          <w:position w:val="0"/>
        </w:rPr>
        <w:t xml:space="preserve">11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280" w:line="403" w:lineRule="exact"/>
        <w:ind w:left="0" w:right="0" w:firstLine="460"/>
        <w:jc w:val="left"/>
      </w:pPr>
      <w:r>
        <w:rPr>
          <w:color w:val="000000"/>
          <w:spacing w:val="0"/>
          <w:w w:val="100"/>
          <w:position w:val="0"/>
        </w:rPr>
        <w:t>公司主要为集成电路、</w:t>
      </w:r>
      <w:r>
        <w:rPr>
          <w:rFonts w:ascii="Times New Roman" w:eastAsia="Times New Roman" w:hAnsi="Times New Roman" w:cs="Times New Roman"/>
          <w:color w:val="000000"/>
          <w:spacing w:val="0"/>
          <w:w w:val="100"/>
          <w:position w:val="0"/>
        </w:rPr>
        <w:t>LED</w:t>
      </w:r>
      <w:r>
        <w:rPr>
          <w:color w:val="000000"/>
          <w:spacing w:val="0"/>
          <w:w w:val="100"/>
          <w:position w:val="0"/>
        </w:rPr>
        <w:t>外延片、功率器件、</w:t>
      </w:r>
      <w:r>
        <w:rPr>
          <w:rFonts w:ascii="Times New Roman" w:eastAsia="Times New Roman" w:hAnsi="Times New Roman" w:cs="Times New Roman"/>
          <w:color w:val="000000"/>
          <w:spacing w:val="0"/>
          <w:w w:val="100"/>
          <w:position w:val="0"/>
        </w:rPr>
        <w:t>MEMS</w:t>
      </w:r>
      <w:r>
        <w:rPr>
          <w:color w:val="000000"/>
          <w:spacing w:val="0"/>
          <w:w w:val="100"/>
          <w:position w:val="0"/>
        </w:rPr>
        <w:t>等半导体产品的制造企业提供刻蚀 设备、</w:t>
      </w:r>
      <w:r>
        <w:rPr>
          <w:rFonts w:ascii="Times New Roman" w:eastAsia="Times New Roman" w:hAnsi="Times New Roman" w:cs="Times New Roman"/>
          <w:color w:val="000000"/>
          <w:spacing w:val="0"/>
          <w:w w:val="100"/>
          <w:position w:val="0"/>
        </w:rPr>
        <w:t>MOCVD</w:t>
      </w:r>
      <w:r>
        <w:rPr>
          <w:color w:val="000000"/>
          <w:spacing w:val="0"/>
          <w:w w:val="100"/>
          <w:position w:val="0"/>
        </w:rPr>
        <w:t>设备及其他设备，其中主要产品的具体情况如下：</w:t>
      </w:r>
    </w:p>
    <w:p>
      <w:pPr>
        <w:pStyle w:val="Style2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、刻蚀设备</w:t>
      </w:r>
    </w:p>
    <w:tbl>
      <w:tblPr>
        <w:tblOverlap w:val="never"/>
        <w:jc w:val="center"/>
        <w:tblLayout w:type="fixed"/>
      </w:tblPr>
      <w:tblGrid>
        <w:gridCol w:w="1934"/>
        <w:gridCol w:w="3936"/>
        <w:gridCol w:w="2966"/>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应用领域</w:t>
            </w:r>
          </w:p>
        </w:tc>
      </w:tr>
      <w:tr>
        <w:trPr>
          <w:trHeight w:val="17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电容性等离子体刻 蚀设备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主要应用于集成电路制造中氧 化硅、氮化硅及低介电系数膜 层等电介质材料的刻蚀</w:t>
            </w:r>
          </w:p>
        </w:tc>
      </w:tr>
      <w:tr>
        <w:trPr>
          <w:trHeight w:val="21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电感性等离子体刻 蚀设备、深硅刻蚀 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92"/>
                <w:szCs w:val="92"/>
              </w:rPr>
            </w:pPr>
            <w:r>
              <w:rPr>
                <w:rFonts w:ascii="Times New Roman" w:eastAsia="Times New Roman" w:hAnsi="Times New Roman" w:cs="Times New Roman"/>
                <w:smallCaps/>
                <w:color w:val="9BA1AB"/>
                <w:spacing w:val="0"/>
                <w:w w:val="100"/>
                <w:position w:val="0"/>
                <w:sz w:val="92"/>
                <w:szCs w:val="92"/>
              </w:rPr>
              <w:t>jTBJ</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left"/>
            </w:pPr>
            <w:r>
              <w:rPr>
                <w:color w:val="000000"/>
                <w:spacing w:val="0"/>
                <w:w w:val="100"/>
                <w:position w:val="0"/>
              </w:rPr>
              <w:t>主要应用于在集成电路制造中 单晶硅、多晶硅以及多种介质 等材料的刻蚀</w:t>
            </w:r>
          </w:p>
        </w:tc>
      </w:tr>
      <w:tr>
        <w:trPr>
          <w:trHeight w:val="189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主要应用于</w:t>
            </w:r>
            <w:r>
              <w:rPr>
                <w:rFonts w:ascii="Times New Roman" w:eastAsia="Times New Roman" w:hAnsi="Times New Roman" w:cs="Times New Roman"/>
                <w:color w:val="000000"/>
                <w:spacing w:val="0"/>
                <w:w w:val="100"/>
                <w:position w:val="0"/>
              </w:rPr>
              <w:t>CMOS</w:t>
            </w:r>
            <w:r>
              <w:rPr>
                <w:color w:val="000000"/>
                <w:spacing w:val="0"/>
                <w:w w:val="100"/>
                <w:position w:val="0"/>
              </w:rPr>
              <w:t>图像传感</w:t>
            </w:r>
          </w:p>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器、</w:t>
            </w:r>
            <w:r>
              <w:rPr>
                <w:rFonts w:ascii="Times New Roman" w:eastAsia="Times New Roman" w:hAnsi="Times New Roman" w:cs="Times New Roman"/>
                <w:color w:val="000000"/>
                <w:spacing w:val="0"/>
                <w:w w:val="100"/>
                <w:position w:val="0"/>
              </w:rPr>
              <w:t>MEMS</w:t>
            </w:r>
            <w:r>
              <w:rPr>
                <w:color w:val="000000"/>
                <w:spacing w:val="0"/>
                <w:w w:val="100"/>
                <w:position w:val="0"/>
              </w:rPr>
              <w:t>芯片、</w:t>
            </w:r>
            <w:r>
              <w:rPr>
                <w:rFonts w:ascii="Times New Roman" w:eastAsia="Times New Roman" w:hAnsi="Times New Roman" w:cs="Times New Roman"/>
                <w:color w:val="000000"/>
                <w:spacing w:val="0"/>
                <w:w w:val="100"/>
                <w:position w:val="0"/>
              </w:rPr>
              <w:t>2.5D</w:t>
            </w:r>
            <w:r>
              <w:rPr>
                <w:color w:val="000000"/>
                <w:spacing w:val="0"/>
                <w:w w:val="100"/>
                <w:position w:val="0"/>
              </w:rPr>
              <w:t>芯 片、</w:t>
            </w:r>
            <w:r>
              <w:rPr>
                <w:rFonts w:ascii="Times New Roman" w:eastAsia="Times New Roman" w:hAnsi="Times New Roman" w:cs="Times New Roman"/>
                <w:color w:val="000000"/>
                <w:spacing w:val="0"/>
                <w:w w:val="100"/>
                <w:position w:val="0"/>
              </w:rPr>
              <w:t>3D</w:t>
            </w:r>
            <w:r>
              <w:rPr>
                <w:color w:val="000000"/>
                <w:spacing w:val="0"/>
                <w:w w:val="100"/>
                <w:position w:val="0"/>
              </w:rPr>
              <w:t>芯片等通孔及沟槽的 刻蚀</w:t>
            </w:r>
          </w:p>
        </w:tc>
      </w:tr>
    </w:tbl>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 xml:space="preserve">MOCVD </w:t>
      </w:r>
      <w:r>
        <w:rPr>
          <w:b/>
          <w:bCs/>
          <w:color w:val="000000"/>
          <w:spacing w:val="0"/>
          <w:w w:val="100"/>
          <w:position w:val="0"/>
          <w:sz w:val="24"/>
          <w:szCs w:val="24"/>
        </w:rPr>
        <w:t>设备</w:t>
      </w:r>
    </w:p>
    <w:p>
      <w:pPr>
        <w:widowControl w:val="0"/>
        <w:spacing w:after="279" w:line="1" w:lineRule="exact"/>
      </w:pPr>
    </w:p>
    <w:tbl>
      <w:tblPr>
        <w:tblOverlap w:val="never"/>
        <w:jc w:val="center"/>
        <w:tblLayout w:type="fixed"/>
      </w:tblPr>
      <w:tblGrid>
        <w:gridCol w:w="1939"/>
        <w:gridCol w:w="3931"/>
        <w:gridCol w:w="2966"/>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应用领域</w:t>
            </w:r>
          </w:p>
        </w:tc>
      </w:tr>
      <w:tr>
        <w:trPr>
          <w:trHeight w:val="179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MOCVD</w:t>
            </w:r>
            <w:r>
              <w:rPr>
                <w:color w:val="000000"/>
                <w:spacing w:val="0"/>
                <w:w w:val="100"/>
                <w:position w:val="0"/>
              </w:rPr>
              <w:t>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蓝绿光及紫外</w:t>
            </w:r>
            <w:r>
              <w:rPr>
                <w:rFonts w:ascii="Times New Roman" w:eastAsia="Times New Roman" w:hAnsi="Times New Roman" w:cs="Times New Roman"/>
                <w:color w:val="000000"/>
                <w:spacing w:val="0"/>
                <w:w w:val="100"/>
                <w:position w:val="0"/>
              </w:rPr>
              <w:t>LED</w:t>
            </w:r>
            <w:r>
              <w:rPr>
                <w:color w:val="000000"/>
                <w:spacing w:val="0"/>
                <w:w w:val="100"/>
                <w:position w:val="0"/>
              </w:rPr>
              <w:t>外延片和 功率器件的生产</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、其他设备</w:t>
      </w:r>
    </w:p>
    <w:tbl>
      <w:tblPr>
        <w:tblOverlap w:val="never"/>
        <w:jc w:val="center"/>
        <w:tblLayout w:type="fixed"/>
      </w:tblPr>
      <w:tblGrid>
        <w:gridCol w:w="1939"/>
        <w:gridCol w:w="2429"/>
        <w:gridCol w:w="1502"/>
        <w:gridCol w:w="2966"/>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应用领域</w:t>
            </w:r>
          </w:p>
        </w:tc>
      </w:tr>
      <w:tr>
        <w:trPr>
          <w:trHeight w:val="180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VOC</w:t>
            </w:r>
            <w:r>
              <w:rPr>
                <w:color w:val="000000"/>
                <w:spacing w:val="0"/>
                <w:w w:val="100"/>
                <w:position w:val="0"/>
              </w:rPr>
              <w:t>设备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1520" w:right="0" w:firstLine="0"/>
              <w:jc w:val="left"/>
              <w:rPr>
                <w:sz w:val="12"/>
                <w:szCs w:val="12"/>
              </w:rPr>
            </w:pPr>
            <w:r>
              <w:rPr>
                <w:rFonts w:ascii="Times New Roman" w:eastAsia="Times New Roman" w:hAnsi="Times New Roman" w:cs="Times New Roman"/>
                <w:color w:val="6E8952"/>
                <w:spacing w:val="0"/>
                <w:w w:val="100"/>
                <w:position w:val="0"/>
                <w:sz w:val="8"/>
                <w:szCs w:val="8"/>
              </w:rPr>
              <w:t xml:space="preserve">g </w:t>
            </w:r>
            <w:r>
              <w:rPr>
                <w:rFonts w:ascii="Times New Roman" w:eastAsia="Times New Roman" w:hAnsi="Times New Roman" w:cs="Times New Roman"/>
                <w:color w:val="6779AD"/>
                <w:spacing w:val="0"/>
                <w:w w:val="100"/>
                <w:position w:val="0"/>
                <w:sz w:val="8"/>
                <w:szCs w:val="8"/>
              </w:rPr>
              <w:t xml:space="preserve">Sb.lUM </w:t>
            </w:r>
            <w:r>
              <w:rPr>
                <w:rFonts w:ascii="SimHei" w:eastAsia="SimHei" w:hAnsi="SimHei" w:cs="SimHei"/>
                <w:color w:val="86878B"/>
                <w:spacing w:val="0"/>
                <w:w w:val="100"/>
                <w:position w:val="0"/>
                <w:sz w:val="12"/>
                <w:szCs w:val="12"/>
              </w:rPr>
              <w:t>多：</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200" w:after="0" w:line="240" w:lineRule="auto"/>
              <w:ind w:left="0" w:right="0" w:firstLine="0"/>
              <w:jc w:val="left"/>
              <w:rPr>
                <w:sz w:val="56"/>
                <w:szCs w:val="56"/>
              </w:rPr>
            </w:pPr>
            <w:r>
              <w:rPr>
                <w:rFonts w:ascii="Arial" w:eastAsia="Arial" w:hAnsi="Arial" w:cs="Arial"/>
                <w:color w:val="71757E"/>
                <w:spacing w:val="0"/>
                <w:w w:val="100"/>
                <w:position w:val="0"/>
                <w:sz w:val="56"/>
                <w:szCs w:val="56"/>
              </w:rPr>
              <w:t>hp'j</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平板显示生产线等工业用的空 气净化</w:t>
            </w:r>
          </w:p>
        </w:tc>
      </w:tr>
    </w:tbl>
    <w:p>
      <w:pPr>
        <w:pStyle w:val="Style35"/>
        <w:keepNext/>
        <w:keepLines/>
        <w:widowControl w:val="0"/>
        <w:shd w:val="clear" w:color="auto" w:fill="auto"/>
        <w:tabs>
          <w:tab w:pos="516" w:val="left"/>
        </w:tabs>
        <w:bidi w:val="0"/>
        <w:spacing w:before="0" w:after="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w:t>
      </w:r>
      <w:bookmarkEnd w:id="6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主要经营模式</w:t>
      </w:r>
      <w:bookmarkEnd w:id="66"/>
      <w:bookmarkEnd w:id="67"/>
      <w:bookmarkEnd w:id="69"/>
    </w:p>
    <w:p>
      <w:pPr>
        <w:pStyle w:val="Style35"/>
        <w:keepNext/>
        <w:keepLines/>
        <w:widowControl w:val="0"/>
        <w:shd w:val="clear" w:color="auto" w:fill="auto"/>
        <w:tabs>
          <w:tab w:pos="768" w:val="left"/>
        </w:tabs>
        <w:bidi w:val="0"/>
        <w:spacing w:before="0" w:after="0" w:line="410" w:lineRule="exact"/>
        <w:ind w:left="0" w:right="0"/>
        <w:jc w:val="both"/>
      </w:pPr>
      <w:bookmarkStart w:id="66" w:name="bookmark66"/>
      <w:bookmarkStart w:id="67" w:name="bookmark67"/>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w:t>
        <w:tab/>
        <w:t>盈利模式</w:t>
      </w:r>
      <w:bookmarkEnd w:id="66"/>
      <w:bookmarkEnd w:id="67"/>
      <w:bookmarkEnd w:id="71"/>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公司主要从事半导体设备的研发、生产和销售，通过向下游集成电路、</w:t>
      </w:r>
      <w:r>
        <w:rPr>
          <w:rFonts w:ascii="Times New Roman" w:eastAsia="Times New Roman" w:hAnsi="Times New Roman" w:cs="Times New Roman"/>
          <w:color w:val="000000"/>
          <w:spacing w:val="0"/>
          <w:w w:val="100"/>
          <w:position w:val="0"/>
        </w:rPr>
        <w:t>LED</w:t>
      </w:r>
      <w:r>
        <w:rPr>
          <w:color w:val="000000"/>
          <w:spacing w:val="0"/>
          <w:w w:val="100"/>
          <w:position w:val="0"/>
        </w:rPr>
        <w:t>外延片、先进 封装、</w:t>
      </w:r>
      <w:r>
        <w:rPr>
          <w:rFonts w:ascii="Times New Roman" w:eastAsia="Times New Roman" w:hAnsi="Times New Roman" w:cs="Times New Roman"/>
          <w:color w:val="000000"/>
          <w:spacing w:val="0"/>
          <w:w w:val="100"/>
          <w:position w:val="0"/>
        </w:rPr>
        <w:t>MEMS</w:t>
      </w:r>
      <w:r>
        <w:rPr>
          <w:color w:val="000000"/>
          <w:spacing w:val="0"/>
          <w:w w:val="100"/>
          <w:position w:val="0"/>
        </w:rPr>
        <w:t>等半导体产品的制造公司销售刻蚀设备和</w:t>
      </w:r>
      <w:r>
        <w:rPr>
          <w:rFonts w:ascii="Times New Roman" w:eastAsia="Times New Roman" w:hAnsi="Times New Roman" w:cs="Times New Roman"/>
          <w:color w:val="000000"/>
          <w:spacing w:val="0"/>
          <w:w w:val="100"/>
          <w:position w:val="0"/>
        </w:rPr>
        <w:t>MOCVD</w:t>
      </w:r>
      <w:r>
        <w:rPr>
          <w:color w:val="000000"/>
          <w:spacing w:val="0"/>
          <w:w w:val="100"/>
          <w:position w:val="0"/>
        </w:rPr>
        <w:t>设备、提供配件及服务实现收 入和利润。报告期内，公司主营业务收入来源于半导体设备产品的销售，其他收入来源于设备相 关配件销售及设备支持服务等。</w:t>
      </w:r>
    </w:p>
    <w:p>
      <w:pPr>
        <w:pStyle w:val="Style35"/>
        <w:keepNext/>
        <w:keepLines/>
        <w:widowControl w:val="0"/>
        <w:shd w:val="clear" w:color="auto" w:fill="auto"/>
        <w:tabs>
          <w:tab w:pos="778" w:val="left"/>
        </w:tabs>
        <w:bidi w:val="0"/>
        <w:spacing w:before="0" w:after="0" w:line="410" w:lineRule="exact"/>
        <w:ind w:left="0" w:right="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w:t>
        <w:tab/>
        <w:t>研发模式</w:t>
      </w:r>
      <w:bookmarkEnd w:id="72"/>
      <w:bookmarkEnd w:id="73"/>
      <w:bookmarkEnd w:id="75"/>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公司主要采取自主研发的模式。根据公司产品成熟度，公司的研发流程主要包括概念与可行 性阶段、</w:t>
      </w:r>
      <w:r>
        <w:rPr>
          <w:rFonts w:ascii="Times New Roman" w:eastAsia="Times New Roman" w:hAnsi="Times New Roman" w:cs="Times New Roman"/>
          <w:color w:val="000000"/>
          <w:spacing w:val="0"/>
          <w:w w:val="100"/>
          <w:position w:val="0"/>
        </w:rPr>
        <w:t>Alpha</w:t>
      </w:r>
      <w:r>
        <w:rPr>
          <w:color w:val="000000"/>
          <w:spacing w:val="0"/>
          <w:w w:val="100"/>
          <w:position w:val="0"/>
        </w:rPr>
        <w:t>阶段、</w:t>
      </w:r>
      <w:r>
        <w:rPr>
          <w:rFonts w:ascii="Times New Roman" w:eastAsia="Times New Roman" w:hAnsi="Times New Roman" w:cs="Times New Roman"/>
          <w:color w:val="000000"/>
          <w:spacing w:val="0"/>
          <w:w w:val="100"/>
          <w:position w:val="0"/>
        </w:rPr>
        <w:t>Beta</w:t>
      </w:r>
      <w:r>
        <w:rPr>
          <w:color w:val="000000"/>
          <w:spacing w:val="0"/>
          <w:w w:val="100"/>
          <w:position w:val="0"/>
        </w:rPr>
        <w:t>阶段、量产阶段。</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公司按照刻蚀设备、</w:t>
      </w:r>
      <w:r>
        <w:rPr>
          <w:rFonts w:ascii="Times New Roman" w:eastAsia="Times New Roman" w:hAnsi="Times New Roman" w:cs="Times New Roman"/>
          <w:color w:val="000000"/>
          <w:spacing w:val="0"/>
          <w:w w:val="100"/>
          <w:position w:val="0"/>
        </w:rPr>
        <w:t>MOCVD</w:t>
      </w:r>
      <w:r>
        <w:rPr>
          <w:color w:val="000000"/>
          <w:spacing w:val="0"/>
          <w:w w:val="100"/>
          <w:position w:val="0"/>
        </w:rPr>
        <w:t>设备等不同研发对象和项目产品，组成了相对独立的研发团 队。不同产品研发团队拥有各自独立的机械设计、工艺开发、产品管理和技术支持团队，而在电 气工程、平台工程、软件工程等方面则采用共享的方式进行研发支持。通过这种矩阵管理的方 法，实现了人才、营运等资源在不同的产品及技术服务之间灵活分配，实现共享经验知识，优化 资源使用效率，使公司能够快速响应不断变化的研发要求，进行持续的技术创新。</w:t>
      </w:r>
    </w:p>
    <w:p>
      <w:pPr>
        <w:pStyle w:val="Style35"/>
        <w:keepNext/>
        <w:keepLines/>
        <w:widowControl w:val="0"/>
        <w:shd w:val="clear" w:color="auto" w:fill="auto"/>
        <w:tabs>
          <w:tab w:pos="778" w:val="left"/>
        </w:tabs>
        <w:bidi w:val="0"/>
        <w:spacing w:before="0" w:after="0" w:line="410" w:lineRule="exact"/>
        <w:ind w:left="0" w:right="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3</w:t>
      </w:r>
      <w:bookmarkEnd w:id="78"/>
      <w:r>
        <w:rPr>
          <w:color w:val="000000"/>
          <w:spacing w:val="0"/>
          <w:w w:val="100"/>
          <w:position w:val="0"/>
        </w:rPr>
        <w:t>、</w:t>
        <w:tab/>
        <w:t>采购模式</w:t>
      </w:r>
      <w:bookmarkEnd w:id="76"/>
      <w:bookmarkEnd w:id="77"/>
      <w:bookmarkEnd w:id="79"/>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为保证公司产品的质量和性能，公司制定了严格的供应商选择和审核制度。达到经营资质、 研发和设计能力、技术水平、质量管控能力、生产能力、产品价格、交货周期及付款周期等众多 标准要求的供应商，才可以被考虑纳入公司合格供应商名录，并定期审核。目前，公司已经与全 球众多供应商建立了长期、稳定的合作关系。</w:t>
      </w:r>
    </w:p>
    <w:p>
      <w:pPr>
        <w:pStyle w:val="Style35"/>
        <w:keepNext/>
        <w:keepLines/>
        <w:widowControl w:val="0"/>
        <w:shd w:val="clear" w:color="auto" w:fill="auto"/>
        <w:tabs>
          <w:tab w:pos="778" w:val="left"/>
        </w:tabs>
        <w:bidi w:val="0"/>
        <w:spacing w:before="0" w:after="0" w:line="410" w:lineRule="exact"/>
        <w:ind w:left="0" w:right="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4</w:t>
      </w:r>
      <w:bookmarkEnd w:id="82"/>
      <w:r>
        <w:rPr>
          <w:color w:val="000000"/>
          <w:spacing w:val="0"/>
          <w:w w:val="100"/>
          <w:position w:val="0"/>
        </w:rPr>
        <w:t>、</w:t>
        <w:tab/>
        <w:t>生产模式</w:t>
      </w:r>
      <w:bookmarkEnd w:id="80"/>
      <w:bookmarkEnd w:id="81"/>
      <w:bookmarkEnd w:id="83"/>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公司主要采用以销定产的生产模式，实行订单式生产为主，结合少量库存式生产为辅的生产 方式。订单式生产是指公司在与客户签订订单后，根据订单情况进行定制化设计及生产制造，以 应对客户的差异化需求。库存式生产是指公司对设备通用组件或成批量出货设备常用组件根据内 部需求及生产计划进行预生产，主要为快速响应交期及平衡产能。</w:t>
      </w:r>
    </w:p>
    <w:p>
      <w:pPr>
        <w:pStyle w:val="Style35"/>
        <w:keepNext/>
        <w:keepLines/>
        <w:widowControl w:val="0"/>
        <w:shd w:val="clear" w:color="auto" w:fill="auto"/>
        <w:tabs>
          <w:tab w:pos="778" w:val="left"/>
        </w:tabs>
        <w:bidi w:val="0"/>
        <w:spacing w:before="0" w:after="0" w:line="410" w:lineRule="exact"/>
        <w:ind w:left="0" w:right="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5</w:t>
      </w:r>
      <w:bookmarkEnd w:id="86"/>
      <w:r>
        <w:rPr>
          <w:color w:val="000000"/>
          <w:spacing w:val="0"/>
          <w:w w:val="100"/>
          <w:position w:val="0"/>
        </w:rPr>
        <w:t>、</w:t>
        <w:tab/>
        <w:t>营销及销售模式</w:t>
      </w:r>
      <w:bookmarkEnd w:id="84"/>
      <w:bookmarkEnd w:id="85"/>
      <w:bookmarkEnd w:id="87"/>
    </w:p>
    <w:p>
      <w:pPr>
        <w:pStyle w:val="Style2"/>
        <w:keepNext w:val="0"/>
        <w:keepLines w:val="0"/>
        <w:widowControl w:val="0"/>
        <w:shd w:val="clear" w:color="auto" w:fill="auto"/>
        <w:bidi w:val="0"/>
        <w:spacing w:before="0" w:after="220" w:line="410" w:lineRule="exact"/>
        <w:ind w:left="0" w:right="0" w:firstLine="420"/>
        <w:jc w:val="both"/>
      </w:pPr>
      <w:r>
        <w:rPr>
          <w:color w:val="000000"/>
          <w:spacing w:val="0"/>
          <w:w w:val="100"/>
          <w:position w:val="0"/>
        </w:rPr>
        <w:t>公司采取直销为主的销售模式，因欧洲市场的客户较为分散，公司在该区域通过代理商模式 进行销售。公司设有全球业务部负责公司所有产品的销售管理，下设中国大陆、中国台湾、韩 国、日本、新加坡、美国等国家或者地区的区域销售部门。</w:t>
      </w:r>
    </w:p>
    <w:p>
      <w:pPr>
        <w:pStyle w:val="Style35"/>
        <w:keepNext/>
        <w:keepLines/>
        <w:widowControl w:val="0"/>
        <w:shd w:val="clear" w:color="auto" w:fill="auto"/>
        <w:tabs>
          <w:tab w:pos="516" w:val="left"/>
        </w:tabs>
        <w:bidi w:val="0"/>
        <w:spacing w:before="0" w:after="8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w:t>
      </w:r>
      <w:bookmarkEnd w:id="9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所处行业情况</w:t>
      </w:r>
      <w:bookmarkEnd w:id="88"/>
      <w:bookmarkEnd w:id="89"/>
      <w:bookmarkEnd w:id="91"/>
    </w:p>
    <w:p>
      <w:pPr>
        <w:pStyle w:val="Style35"/>
        <w:keepNext/>
        <w:keepLines/>
        <w:widowControl w:val="0"/>
        <w:numPr>
          <w:ilvl w:val="0"/>
          <w:numId w:val="3"/>
        </w:numPr>
        <w:shd w:val="clear" w:color="auto" w:fill="auto"/>
        <w:bidi w:val="0"/>
        <w:spacing w:before="0" w:after="0" w:line="240" w:lineRule="auto"/>
        <w:ind w:left="0" w:right="0" w:firstLine="0"/>
        <w:jc w:val="left"/>
      </w:pPr>
      <w:bookmarkStart w:id="88" w:name="bookmark88"/>
      <w:bookmarkStart w:id="89" w:name="bookmark89"/>
      <w:bookmarkStart w:id="92" w:name="bookmark92"/>
      <w:bookmarkStart w:id="93" w:name="bookmark93"/>
      <w:bookmarkEnd w:id="92"/>
      <w:r>
        <w:rPr>
          <w:color w:val="000000"/>
          <w:spacing w:val="0"/>
          <w:w w:val="100"/>
          <w:position w:val="0"/>
        </w:rPr>
        <w:t>行业的发展阶段、基本特点、主要技术门槛</w:t>
      </w:r>
      <w:bookmarkEnd w:id="88"/>
      <w:bookmarkEnd w:id="89"/>
      <w:bookmarkEnd w:id="93"/>
    </w:p>
    <w:p>
      <w:pPr>
        <w:pStyle w:val="Style2"/>
        <w:keepNext w:val="0"/>
        <w:keepLines w:val="0"/>
        <w:widowControl w:val="0"/>
        <w:shd w:val="clear" w:color="auto" w:fill="auto"/>
        <w:bidi w:val="0"/>
        <w:spacing w:before="0" w:after="40" w:line="408" w:lineRule="exact"/>
        <w:ind w:left="0" w:right="0" w:firstLine="42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83" w:right="1261" w:bottom="1647" w:left="1773" w:header="0" w:footer="3" w:gutter="0"/>
          <w:cols w:space="720"/>
          <w:noEndnote/>
          <w:rtlGutter w:val="0"/>
          <w:docGrid w:linePitch="360"/>
        </w:sectPr>
      </w:pPr>
      <w:r>
        <w:rPr>
          <w:color w:val="000000"/>
          <w:spacing w:val="0"/>
          <w:w w:val="100"/>
          <w:position w:val="0"/>
        </w:rPr>
        <w:t>半导体设备行业是一个全球化程度较高的行业，受国际经济波动、半导体市场、终端消费市 场需求影响，其发展呈现一定的周期性波动。当宏观经济和终端消费市场需求变化较大时，半导</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体生产厂商会调整其资本性支出规模和对半导体设备的采购计划，从而对公司的营业收入和盈利 产生影响。</w:t>
      </w:r>
    </w:p>
    <w:p>
      <w:pPr>
        <w:pStyle w:val="Style2"/>
        <w:keepNext w:val="0"/>
        <w:keepLines w:val="0"/>
        <w:widowControl w:val="0"/>
        <w:shd w:val="clear" w:color="auto" w:fill="auto"/>
        <w:bidi w:val="0"/>
        <w:spacing w:before="0" w:after="160" w:line="409" w:lineRule="exact"/>
        <w:ind w:left="0" w:right="0" w:firstLine="440"/>
        <w:jc w:val="left"/>
      </w:pPr>
      <w:r>
        <w:rPr>
          <w:color w:val="000000"/>
          <w:spacing w:val="0"/>
          <w:w w:val="100"/>
          <w:position w:val="0"/>
        </w:rPr>
        <w:t>全球集成电路和以</w:t>
      </w:r>
      <w:r>
        <w:rPr>
          <w:rFonts w:ascii="Times New Roman" w:eastAsia="Times New Roman" w:hAnsi="Times New Roman" w:cs="Times New Roman"/>
          <w:color w:val="000000"/>
          <w:spacing w:val="0"/>
          <w:w w:val="100"/>
          <w:position w:val="0"/>
        </w:rPr>
        <w:t>LED</w:t>
      </w:r>
      <w:r>
        <w:rPr>
          <w:color w:val="000000"/>
          <w:spacing w:val="0"/>
          <w:w w:val="100"/>
          <w:position w:val="0"/>
        </w:rPr>
        <w:t>为代表的光电子器件的销售额合计占所有半导体产品销售额的</w:t>
      </w:r>
      <w:r>
        <w:rPr>
          <w:rFonts w:ascii="Times New Roman" w:eastAsia="Times New Roman" w:hAnsi="Times New Roman" w:cs="Times New Roman"/>
          <w:color w:val="000000"/>
          <w:spacing w:val="0"/>
          <w:w w:val="100"/>
          <w:position w:val="0"/>
        </w:rPr>
        <w:t xml:space="preserve">90% </w:t>
      </w:r>
      <w:r>
        <w:rPr>
          <w:color w:val="000000"/>
          <w:spacing w:val="0"/>
          <w:w w:val="100"/>
          <w:position w:val="0"/>
        </w:rPr>
        <w:t xml:space="preserve">以上，是半导体产品最重要的组成部分。受终端芯片价格下降及生产产能持续释放等因素影响， </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LED</w:t>
      </w:r>
      <w:r>
        <w:rPr>
          <w:color w:val="000000"/>
          <w:spacing w:val="0"/>
          <w:w w:val="100"/>
          <w:position w:val="0"/>
        </w:rPr>
        <w:t>设备市场仍呈现下滑态势。</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年，全球半导体设备采购支出预计将 保持温和增长态势。根据</w:t>
      </w:r>
      <w:r>
        <w:rPr>
          <w:rFonts w:ascii="Times New Roman" w:eastAsia="Times New Roman" w:hAnsi="Times New Roman" w:cs="Times New Roman"/>
          <w:color w:val="000000"/>
          <w:spacing w:val="0"/>
          <w:w w:val="100"/>
          <w:position w:val="0"/>
        </w:rPr>
        <w:t>Gartner</w:t>
      </w:r>
      <w:r>
        <w:rPr>
          <w:color w:val="000000"/>
          <w:spacing w:val="0"/>
          <w:w w:val="100"/>
          <w:position w:val="0"/>
        </w:rPr>
        <w:t>的预测，刻蚀设备市场规模将由</w:t>
      </w:r>
      <w:r>
        <w:rPr>
          <w:rFonts w:ascii="Times New Roman" w:eastAsia="Times New Roman" w:hAnsi="Times New Roman" w:cs="Times New Roman"/>
          <w:color w:val="000000"/>
          <w:spacing w:val="0"/>
          <w:w w:val="100"/>
          <w:position w:val="0"/>
        </w:rPr>
        <w:t>2020</w:t>
      </w:r>
      <w:r>
        <w:rPr>
          <w:color w:val="000000"/>
          <w:spacing w:val="0"/>
          <w:w w:val="100"/>
          <w:position w:val="0"/>
        </w:rPr>
        <w:t>年约</w:t>
      </w:r>
      <w:r>
        <w:rPr>
          <w:rFonts w:ascii="Times New Roman" w:eastAsia="Times New Roman" w:hAnsi="Times New Roman" w:cs="Times New Roman"/>
          <w:color w:val="000000"/>
          <w:spacing w:val="0"/>
          <w:w w:val="100"/>
          <w:position w:val="0"/>
        </w:rPr>
        <w:t>123</w:t>
      </w:r>
      <w:r>
        <w:rPr>
          <w:color w:val="000000"/>
          <w:spacing w:val="0"/>
          <w:w w:val="100"/>
          <w:position w:val="0"/>
        </w:rPr>
        <w:t xml:space="preserve">亿美元增长至 </w:t>
      </w:r>
      <w:r>
        <w:rPr>
          <w:rFonts w:ascii="Times New Roman" w:eastAsia="Times New Roman" w:hAnsi="Times New Roman" w:cs="Times New Roman"/>
          <w:color w:val="000000"/>
          <w:spacing w:val="0"/>
          <w:w w:val="100"/>
          <w:position w:val="0"/>
        </w:rPr>
        <w:t>2024</w:t>
      </w:r>
      <w:r>
        <w:rPr>
          <w:color w:val="000000"/>
          <w:spacing w:val="0"/>
          <w:w w:val="100"/>
          <w:position w:val="0"/>
        </w:rPr>
        <w:t>年约</w:t>
      </w:r>
      <w:r>
        <w:rPr>
          <w:rFonts w:ascii="Times New Roman" w:eastAsia="Times New Roman" w:hAnsi="Times New Roman" w:cs="Times New Roman"/>
          <w:color w:val="000000"/>
          <w:spacing w:val="0"/>
          <w:w w:val="100"/>
          <w:position w:val="0"/>
        </w:rPr>
        <w:t>152</w:t>
      </w:r>
      <w:r>
        <w:rPr>
          <w:color w:val="000000"/>
          <w:spacing w:val="0"/>
          <w:w w:val="100"/>
          <w:position w:val="0"/>
        </w:rPr>
        <w:t>亿美元。公司所处的细分行业为半导体设备行业中的刻蚀设备行业和</w:t>
      </w:r>
      <w:r>
        <w:rPr>
          <w:rFonts w:ascii="Times New Roman" w:eastAsia="Times New Roman" w:hAnsi="Times New Roman" w:cs="Times New Roman"/>
          <w:color w:val="000000"/>
          <w:spacing w:val="0"/>
          <w:w w:val="100"/>
          <w:position w:val="0"/>
        </w:rPr>
        <w:t>LED</w:t>
      </w:r>
      <w:r>
        <w:rPr>
          <w:color w:val="000000"/>
          <w:spacing w:val="0"/>
          <w:w w:val="100"/>
          <w:position w:val="0"/>
        </w:rPr>
        <w:t>设备行 业中的</w:t>
      </w:r>
      <w:r>
        <w:rPr>
          <w:rFonts w:ascii="Times New Roman" w:eastAsia="Times New Roman" w:hAnsi="Times New Roman" w:cs="Times New Roman"/>
          <w:color w:val="000000"/>
          <w:spacing w:val="0"/>
          <w:w w:val="100"/>
          <w:position w:val="0"/>
        </w:rPr>
        <w:t>MOCVD</w:t>
      </w:r>
      <w:r>
        <w:rPr>
          <w:color w:val="000000"/>
          <w:spacing w:val="0"/>
          <w:w w:val="100"/>
          <w:position w:val="0"/>
        </w:rPr>
        <w:t>设备行业。</w:t>
      </w:r>
    </w:p>
    <w:p>
      <w:pPr>
        <w:pStyle w:val="Style35"/>
        <w:keepNext/>
        <w:keepLines/>
        <w:widowControl w:val="0"/>
        <w:shd w:val="clear" w:color="auto" w:fill="auto"/>
        <w:tabs>
          <w:tab w:pos="752" w:val="left"/>
        </w:tabs>
        <w:bidi w:val="0"/>
        <w:spacing w:before="0" w:after="0" w:line="427" w:lineRule="auto"/>
        <w:ind w:left="0" w:right="0" w:firstLine="44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刻蚀设备</w:t>
      </w:r>
      <w:bookmarkEnd w:id="94"/>
      <w:bookmarkEnd w:id="95"/>
      <w:bookmarkEnd w:id="97"/>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集成电路设备包括晶圆制造设备、封装设备和测试设备等，晶圆制造设备的市场规模约占集 成电路设备整体市场规模的约</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 xml:space="preserve">晶圆制造设备从类别上讲可以分为刻蚀、薄膜沉积、光刻、检测、离子掺杂等十多类，其中 刻蚀设备、薄膜沉积、光刻设备设备是集成电路前道生产工艺中最重要的三类设备。根据 </w:t>
      </w:r>
      <w:r>
        <w:rPr>
          <w:rFonts w:ascii="Times New Roman" w:eastAsia="Times New Roman" w:hAnsi="Times New Roman" w:cs="Times New Roman"/>
          <w:color w:val="000000"/>
          <w:spacing w:val="0"/>
          <w:w w:val="100"/>
          <w:position w:val="0"/>
        </w:rPr>
        <w:t>Gartner</w:t>
      </w:r>
      <w:r>
        <w:rPr>
          <w:color w:val="000000"/>
          <w:spacing w:val="0"/>
          <w:w w:val="100"/>
          <w:position w:val="0"/>
        </w:rPr>
        <w:t>分析，</w:t>
      </w:r>
      <w:r>
        <w:rPr>
          <w:rFonts w:ascii="Times New Roman" w:eastAsia="Times New Roman" w:hAnsi="Times New Roman" w:cs="Times New Roman"/>
          <w:color w:val="000000"/>
          <w:spacing w:val="0"/>
          <w:w w:val="100"/>
          <w:position w:val="0"/>
        </w:rPr>
        <w:t>2020</w:t>
      </w:r>
      <w:r>
        <w:rPr>
          <w:color w:val="000000"/>
          <w:spacing w:val="0"/>
          <w:w w:val="100"/>
          <w:position w:val="0"/>
        </w:rPr>
        <w:t>年按全球晶圆制造设备销售金额占比类推，目前刻蚀设备（包含清洗设 备）、薄膜沉积和光刻设备分别占晶圆制造设备价值量约</w:t>
      </w:r>
      <w:r>
        <w:rPr>
          <w:rFonts w:ascii="Times New Roman" w:eastAsia="Times New Roman" w:hAnsi="Times New Roman" w:cs="Times New Roman"/>
          <w:color w:val="000000"/>
          <w:spacing w:val="0"/>
          <w:w w:val="100"/>
          <w:position w:val="0"/>
        </w:rPr>
        <w:t>29%</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和</w:t>
      </w:r>
      <w:r>
        <w:rPr>
          <w:rFonts w:ascii="Times New Roman" w:eastAsia="Times New Roman" w:hAnsi="Times New Roman" w:cs="Times New Roman"/>
          <w:color w:val="000000"/>
          <w:spacing w:val="0"/>
          <w:w w:val="100"/>
          <w:position w:val="0"/>
        </w:rPr>
        <w:t>21%</w:t>
      </w:r>
      <w:r>
        <w:rPr>
          <w:color w:val="000000"/>
          <w:spacing w:val="0"/>
          <w:w w:val="100"/>
          <w:position w:val="0"/>
        </w:rPr>
        <w:t>。</w:t>
      </w:r>
    </w:p>
    <w:p>
      <w:pPr>
        <w:pStyle w:val="Style2"/>
        <w:keepNext w:val="0"/>
        <w:keepLines w:val="0"/>
        <w:widowControl w:val="0"/>
        <w:shd w:val="clear" w:color="auto" w:fill="auto"/>
        <w:bidi w:val="0"/>
        <w:spacing w:before="0" w:after="160" w:line="409" w:lineRule="exact"/>
        <w:ind w:left="0" w:right="0" w:firstLine="440"/>
        <w:jc w:val="left"/>
      </w:pPr>
      <w:r>
        <w:rPr>
          <w:color w:val="000000"/>
          <w:spacing w:val="0"/>
          <w:w w:val="100"/>
          <w:position w:val="0"/>
        </w:rPr>
        <w:t>随着集成电路芯片制造工艺的进步，线宽不断缩小、芯片结构</w:t>
      </w:r>
      <w:r>
        <w:rPr>
          <w:rFonts w:ascii="Times New Roman" w:eastAsia="Times New Roman" w:hAnsi="Times New Roman" w:cs="Times New Roman"/>
          <w:color w:val="000000"/>
          <w:spacing w:val="0"/>
          <w:w w:val="100"/>
          <w:position w:val="0"/>
        </w:rPr>
        <w:t>3D</w:t>
      </w:r>
      <w:r>
        <w:rPr>
          <w:color w:val="000000"/>
          <w:spacing w:val="0"/>
          <w:w w:val="100"/>
          <w:position w:val="0"/>
        </w:rPr>
        <w:t>化，晶圆制造向</w:t>
      </w:r>
      <w:r>
        <w:rPr>
          <w:rFonts w:ascii="Times New Roman" w:eastAsia="Times New Roman" w:hAnsi="Times New Roman" w:cs="Times New Roman"/>
          <w:color w:val="000000"/>
          <w:spacing w:val="0"/>
          <w:w w:val="100"/>
          <w:position w:val="0"/>
        </w:rPr>
        <w:t>7</w:t>
      </w:r>
      <w:r>
        <w:rPr>
          <w:color w:val="000000"/>
          <w:spacing w:val="0"/>
          <w:w w:val="100"/>
          <w:position w:val="0"/>
        </w:rPr>
        <w:t xml:space="preserve">纳米、 </w:t>
      </w:r>
      <w:r>
        <w:rPr>
          <w:rFonts w:ascii="Times New Roman" w:eastAsia="Times New Roman" w:hAnsi="Times New Roman" w:cs="Times New Roman"/>
          <w:color w:val="000000"/>
          <w:spacing w:val="0"/>
          <w:w w:val="100"/>
          <w:position w:val="0"/>
        </w:rPr>
        <w:t>5</w:t>
      </w:r>
      <w:r>
        <w:rPr>
          <w:color w:val="000000"/>
          <w:spacing w:val="0"/>
          <w:w w:val="100"/>
          <w:position w:val="0"/>
        </w:rPr>
        <w:t xml:space="preserve">纳米以及更先进的工艺发展。由于目前先进工艺芯片加工使用的浸没式光刻机受到波长限制， </w:t>
      </w:r>
      <w:r>
        <w:rPr>
          <w:rFonts w:ascii="Times New Roman" w:eastAsia="Times New Roman" w:hAnsi="Times New Roman" w:cs="Times New Roman"/>
          <w:color w:val="000000"/>
          <w:spacing w:val="0"/>
          <w:w w:val="100"/>
          <w:position w:val="0"/>
        </w:rPr>
        <w:t>14</w:t>
      </w:r>
      <w:r>
        <w:rPr>
          <w:color w:val="000000"/>
          <w:spacing w:val="0"/>
          <w:w w:val="100"/>
          <w:position w:val="0"/>
        </w:rPr>
        <w:t>纳米及以下的逻辑器件微观结构的加工多通过等离子体刻蚀和薄膜沉积的工艺组合一多重 模板工艺来实现，使得刻蚀等相关设备的加工步骤增多。</w:t>
      </w:r>
    </w:p>
    <w:p>
      <w:pPr>
        <w:pStyle w:val="Style58"/>
        <w:keepNext w:val="0"/>
        <w:keepLines w:val="0"/>
        <w:widowControl w:val="0"/>
        <w:shd w:val="clear" w:color="auto" w:fill="auto"/>
        <w:tabs>
          <w:tab w:pos="758" w:val="left"/>
        </w:tabs>
        <w:bidi w:val="0"/>
        <w:spacing w:before="0" w:after="0" w:line="427" w:lineRule="auto"/>
        <w:ind w:left="0" w:right="0" w:firstLine="440"/>
        <w:jc w:val="left"/>
      </w:pPr>
      <w:bookmarkStart w:id="98" w:name="bookmark98"/>
      <w:r>
        <w:rPr>
          <w:b/>
          <w:bCs/>
          <w:color w:val="000000"/>
          <w:spacing w:val="0"/>
          <w:w w:val="100"/>
          <w:position w:val="0"/>
        </w:rPr>
        <w:t>2</w:t>
      </w:r>
      <w:bookmarkEnd w:id="98"/>
      <w:r>
        <w:rPr>
          <w:rFonts w:ascii="SimSun" w:eastAsia="SimSun" w:hAnsi="SimSun" w:cs="SimSun"/>
          <w:b/>
          <w:bCs/>
          <w:color w:val="000000"/>
          <w:spacing w:val="0"/>
          <w:w w:val="100"/>
          <w:position w:val="0"/>
        </w:rPr>
        <w:t>、</w:t>
        <w:tab/>
      </w:r>
      <w:r>
        <w:rPr>
          <w:b/>
          <w:bCs/>
          <w:color w:val="000000"/>
          <w:spacing w:val="0"/>
          <w:w w:val="100"/>
          <w:position w:val="0"/>
        </w:rPr>
        <w:t xml:space="preserve">MOCVD </w:t>
      </w:r>
      <w:r>
        <w:rPr>
          <w:rFonts w:ascii="SimSun" w:eastAsia="SimSun" w:hAnsi="SimSun" w:cs="SimSun"/>
          <w:b/>
          <w:bCs/>
          <w:color w:val="000000"/>
          <w:spacing w:val="0"/>
          <w:w w:val="100"/>
          <w:position w:val="0"/>
        </w:rPr>
        <w:t>设备</w:t>
      </w:r>
    </w:p>
    <w:p>
      <w:pPr>
        <w:pStyle w:val="Style2"/>
        <w:keepNext w:val="0"/>
        <w:keepLines w:val="0"/>
        <w:widowControl w:val="0"/>
        <w:shd w:val="clear" w:color="auto" w:fill="auto"/>
        <w:bidi w:val="0"/>
        <w:spacing w:before="0" w:after="0" w:line="409" w:lineRule="exact"/>
        <w:ind w:left="0" w:right="0" w:firstLine="440"/>
        <w:jc w:val="left"/>
      </w:pPr>
      <w:r>
        <w:rPr>
          <w:rFonts w:ascii="Times New Roman" w:eastAsia="Times New Roman" w:hAnsi="Times New Roman" w:cs="Times New Roman"/>
          <w:color w:val="000000"/>
          <w:spacing w:val="0"/>
          <w:w w:val="100"/>
          <w:position w:val="0"/>
        </w:rPr>
        <w:t>LED</w:t>
      </w:r>
      <w:r>
        <w:rPr>
          <w:color w:val="000000"/>
          <w:spacing w:val="0"/>
          <w:w w:val="100"/>
          <w:position w:val="0"/>
        </w:rPr>
        <w:t>产业链由衬底加工、</w:t>
      </w:r>
      <w:r>
        <w:rPr>
          <w:rFonts w:ascii="Times New Roman" w:eastAsia="Times New Roman" w:hAnsi="Times New Roman" w:cs="Times New Roman"/>
          <w:color w:val="000000"/>
          <w:spacing w:val="0"/>
          <w:w w:val="100"/>
          <w:position w:val="0"/>
        </w:rPr>
        <w:t>LED</w:t>
      </w:r>
      <w:r>
        <w:rPr>
          <w:color w:val="000000"/>
          <w:spacing w:val="0"/>
          <w:w w:val="100"/>
          <w:position w:val="0"/>
        </w:rPr>
        <w:t>外延片生产、芯片制造和器件封装组成。该产业链中主要涉 及的设备包括：衬底加工需要的单晶炉、多线切割机；制造外延片需要的</w:t>
      </w:r>
      <w:r>
        <w:rPr>
          <w:rFonts w:ascii="Times New Roman" w:eastAsia="Times New Roman" w:hAnsi="Times New Roman" w:cs="Times New Roman"/>
          <w:color w:val="000000"/>
          <w:spacing w:val="0"/>
          <w:w w:val="100"/>
          <w:position w:val="0"/>
        </w:rPr>
        <w:t>MOCVD</w:t>
      </w:r>
      <w:r>
        <w:rPr>
          <w:color w:val="000000"/>
          <w:spacing w:val="0"/>
          <w:w w:val="100"/>
          <w:position w:val="0"/>
        </w:rPr>
        <w:t>设备；制造 芯片需要的光刻、刻蚀、清洗、检测设备；封装需要的贴片机、固晶机、焊线台和灌胶机等。</w:t>
      </w:r>
    </w:p>
    <w:p>
      <w:pPr>
        <w:pStyle w:val="Style2"/>
        <w:keepNext w:val="0"/>
        <w:keepLines w:val="0"/>
        <w:widowControl w:val="0"/>
        <w:shd w:val="clear" w:color="auto" w:fill="auto"/>
        <w:bidi w:val="0"/>
        <w:spacing w:before="0" w:after="0" w:line="409" w:lineRule="exact"/>
        <w:ind w:left="0" w:right="0" w:firstLine="440"/>
        <w:jc w:val="left"/>
      </w:pPr>
      <w:r>
        <w:rPr>
          <w:rFonts w:ascii="Times New Roman" w:eastAsia="Times New Roman" w:hAnsi="Times New Roman" w:cs="Times New Roman"/>
          <w:color w:val="000000"/>
          <w:spacing w:val="0"/>
          <w:w w:val="100"/>
          <w:position w:val="0"/>
        </w:rPr>
        <w:t>LED</w:t>
      </w:r>
      <w:r>
        <w:rPr>
          <w:color w:val="000000"/>
          <w:spacing w:val="0"/>
          <w:w w:val="100"/>
          <w:position w:val="0"/>
        </w:rPr>
        <w:t>外延片的制备是</w:t>
      </w:r>
      <w:r>
        <w:rPr>
          <w:rFonts w:ascii="Times New Roman" w:eastAsia="Times New Roman" w:hAnsi="Times New Roman" w:cs="Times New Roman"/>
          <w:color w:val="000000"/>
          <w:spacing w:val="0"/>
          <w:w w:val="100"/>
          <w:position w:val="0"/>
        </w:rPr>
        <w:t>LED</w:t>
      </w:r>
      <w:r>
        <w:rPr>
          <w:color w:val="000000"/>
          <w:spacing w:val="0"/>
          <w:w w:val="100"/>
          <w:position w:val="0"/>
        </w:rPr>
        <w:t>外延片生产的重要步骤，与集成电路在多种核心设备间循环的制 造工艺不同，</w:t>
      </w:r>
      <w:r>
        <w:rPr>
          <w:rFonts w:ascii="Times New Roman" w:eastAsia="Times New Roman" w:hAnsi="Times New Roman" w:cs="Times New Roman"/>
          <w:color w:val="000000"/>
          <w:spacing w:val="0"/>
          <w:w w:val="100"/>
          <w:position w:val="0"/>
        </w:rPr>
        <w:t>LED</w:t>
      </w:r>
      <w:r>
        <w:rPr>
          <w:color w:val="000000"/>
          <w:spacing w:val="0"/>
          <w:w w:val="100"/>
          <w:position w:val="0"/>
        </w:rPr>
        <w:t>外延片主要通过</w:t>
      </w:r>
      <w:r>
        <w:rPr>
          <w:rFonts w:ascii="Times New Roman" w:eastAsia="Times New Roman" w:hAnsi="Times New Roman" w:cs="Times New Roman"/>
          <w:color w:val="000000"/>
          <w:spacing w:val="0"/>
          <w:w w:val="100"/>
          <w:position w:val="0"/>
        </w:rPr>
        <w:t>MOCVD</w:t>
      </w:r>
      <w:r>
        <w:rPr>
          <w:color w:val="000000"/>
          <w:spacing w:val="0"/>
          <w:w w:val="100"/>
          <w:position w:val="0"/>
        </w:rPr>
        <w:t>单种设备实现。</w:t>
      </w:r>
      <w:r>
        <w:rPr>
          <w:rFonts w:ascii="Times New Roman" w:eastAsia="Times New Roman" w:hAnsi="Times New Roman" w:cs="Times New Roman"/>
          <w:color w:val="000000"/>
          <w:spacing w:val="0"/>
          <w:w w:val="100"/>
          <w:position w:val="0"/>
        </w:rPr>
        <w:t>MOCVD</w:t>
      </w:r>
      <w:r>
        <w:rPr>
          <w:color w:val="000000"/>
          <w:spacing w:val="0"/>
          <w:w w:val="100"/>
          <w:position w:val="0"/>
        </w:rPr>
        <w:t>设备采购金额一般占</w:t>
      </w:r>
      <w:r>
        <w:rPr>
          <w:rFonts w:ascii="Times New Roman" w:eastAsia="Times New Roman" w:hAnsi="Times New Roman" w:cs="Times New Roman"/>
          <w:color w:val="000000"/>
          <w:spacing w:val="0"/>
          <w:w w:val="100"/>
          <w:position w:val="0"/>
        </w:rPr>
        <w:t xml:space="preserve">LED </w:t>
      </w:r>
      <w:r>
        <w:rPr>
          <w:color w:val="000000"/>
          <w:spacing w:val="0"/>
          <w:w w:val="100"/>
          <w:position w:val="0"/>
        </w:rPr>
        <w:t>生产线总投入的一半以上，是</w:t>
      </w:r>
      <w:r>
        <w:rPr>
          <w:rFonts w:ascii="Times New Roman" w:eastAsia="Times New Roman" w:hAnsi="Times New Roman" w:cs="Times New Roman"/>
          <w:color w:val="000000"/>
          <w:spacing w:val="0"/>
          <w:w w:val="100"/>
          <w:position w:val="0"/>
        </w:rPr>
        <w:t>LED</w:t>
      </w:r>
      <w:r>
        <w:rPr>
          <w:color w:val="000000"/>
          <w:spacing w:val="0"/>
          <w:w w:val="100"/>
          <w:position w:val="0"/>
        </w:rPr>
        <w:t>外延片制造中最重要的设备。</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目前</w:t>
      </w:r>
      <w:r>
        <w:rPr>
          <w:rFonts w:ascii="Times New Roman" w:eastAsia="Times New Roman" w:hAnsi="Times New Roman" w:cs="Times New Roman"/>
          <w:color w:val="000000"/>
          <w:spacing w:val="0"/>
          <w:w w:val="100"/>
          <w:position w:val="0"/>
        </w:rPr>
        <w:t>MOCVD</w:t>
      </w:r>
      <w:r>
        <w:rPr>
          <w:color w:val="000000"/>
          <w:spacing w:val="0"/>
          <w:w w:val="100"/>
          <w:position w:val="0"/>
        </w:rPr>
        <w:t>设备主要用于氮化镓基及砷化镓基半导体材料外延生长，其中氮化镓基</w:t>
      </w:r>
      <w:r>
        <w:rPr>
          <w:rFonts w:ascii="Times New Roman" w:eastAsia="Times New Roman" w:hAnsi="Times New Roman" w:cs="Times New Roman"/>
          <w:color w:val="000000"/>
          <w:spacing w:val="0"/>
          <w:w w:val="100"/>
          <w:position w:val="0"/>
        </w:rPr>
        <w:t>LED MOCVD</w:t>
      </w:r>
      <w:r>
        <w:rPr>
          <w:color w:val="000000"/>
          <w:spacing w:val="0"/>
          <w:w w:val="100"/>
          <w:position w:val="0"/>
        </w:rPr>
        <w:t>主要用于生产氮化镓基</w:t>
      </w:r>
      <w:r>
        <w:rPr>
          <w:rFonts w:ascii="Times New Roman" w:eastAsia="Times New Roman" w:hAnsi="Times New Roman" w:cs="Times New Roman"/>
          <w:color w:val="000000"/>
          <w:spacing w:val="0"/>
          <w:w w:val="100"/>
          <w:position w:val="0"/>
        </w:rPr>
        <w:t>LED</w:t>
      </w:r>
      <w:r>
        <w:rPr>
          <w:color w:val="000000"/>
          <w:spacing w:val="0"/>
          <w:w w:val="100"/>
          <w:position w:val="0"/>
        </w:rPr>
        <w:t>和功率器件的外延片。</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除用于制造通用照明和背光显示的蓝光</w:t>
      </w:r>
      <w:r>
        <w:rPr>
          <w:rFonts w:ascii="Times New Roman" w:eastAsia="Times New Roman" w:hAnsi="Times New Roman" w:cs="Times New Roman"/>
          <w:color w:val="000000"/>
          <w:spacing w:val="0"/>
          <w:w w:val="100"/>
          <w:position w:val="0"/>
        </w:rPr>
        <w:t>LED</w:t>
      </w:r>
      <w:r>
        <w:rPr>
          <w:color w:val="000000"/>
          <w:spacing w:val="0"/>
          <w:w w:val="100"/>
          <w:position w:val="0"/>
        </w:rPr>
        <w:t>，</w:t>
      </w:r>
      <w:r>
        <w:rPr>
          <w:rFonts w:ascii="Times New Roman" w:eastAsia="Times New Roman" w:hAnsi="Times New Roman" w:cs="Times New Roman"/>
          <w:color w:val="000000"/>
          <w:spacing w:val="0"/>
          <w:w w:val="100"/>
          <w:position w:val="0"/>
        </w:rPr>
        <w:t>MOCVD</w:t>
      </w:r>
      <w:r>
        <w:rPr>
          <w:color w:val="000000"/>
          <w:spacing w:val="0"/>
          <w:w w:val="100"/>
          <w:position w:val="0"/>
        </w:rPr>
        <w:t xml:space="preserve">设备还可制造应用于高端显示的 </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w:t>
      </w:r>
      <w:r>
        <w:rPr>
          <w:color w:val="000000"/>
          <w:spacing w:val="0"/>
          <w:w w:val="100"/>
          <w:position w:val="0"/>
        </w:rPr>
        <w:t>用于杀菌消毒和空气净化的紫外</w:t>
      </w:r>
      <w:r>
        <w:rPr>
          <w:rFonts w:ascii="Times New Roman" w:eastAsia="Times New Roman" w:hAnsi="Times New Roman" w:cs="Times New Roman"/>
          <w:color w:val="000000"/>
          <w:spacing w:val="0"/>
          <w:w w:val="100"/>
          <w:position w:val="0"/>
        </w:rPr>
        <w:t>LED</w:t>
      </w:r>
      <w:r>
        <w:rPr>
          <w:color w:val="000000"/>
          <w:spacing w:val="0"/>
          <w:w w:val="100"/>
          <w:position w:val="0"/>
        </w:rPr>
        <w:t>、</w:t>
      </w:r>
      <w:r>
        <w:rPr>
          <w:color w:val="000000"/>
          <w:spacing w:val="0"/>
          <w:w w:val="100"/>
          <w:position w:val="0"/>
        </w:rPr>
        <w:t>应用于电力电子的功率器件， 随着这些新兴领域的应用拓展及逐步推广，氮化镓基</w:t>
      </w:r>
      <w:r>
        <w:rPr>
          <w:rFonts w:ascii="Times New Roman" w:eastAsia="Times New Roman" w:hAnsi="Times New Roman" w:cs="Times New Roman"/>
          <w:color w:val="000000"/>
          <w:spacing w:val="0"/>
          <w:w w:val="100"/>
          <w:position w:val="0"/>
        </w:rPr>
        <w:t>MOCVD</w:t>
      </w:r>
      <w:r>
        <w:rPr>
          <w:color w:val="000000"/>
          <w:spacing w:val="0"/>
          <w:w w:val="100"/>
          <w:position w:val="0"/>
        </w:rPr>
        <w:t>设备的市场规模有望进一步扩 大。</w:t>
      </w:r>
    </w:p>
    <w:p>
      <w:pPr>
        <w:pStyle w:val="Style2"/>
        <w:keepNext w:val="0"/>
        <w:keepLines w:val="0"/>
        <w:widowControl w:val="0"/>
        <w:shd w:val="clear" w:color="auto" w:fill="auto"/>
        <w:bidi w:val="0"/>
        <w:spacing w:before="0" w:after="160" w:line="409" w:lineRule="exact"/>
        <w:ind w:left="0" w:right="0" w:firstLine="440"/>
        <w:jc w:val="left"/>
      </w:pPr>
      <w:r>
        <w:rPr>
          <w:color w:val="000000"/>
          <w:spacing w:val="0"/>
          <w:w w:val="100"/>
          <w:position w:val="0"/>
        </w:rPr>
        <w:t>过去几年，</w:t>
      </w:r>
      <w:r>
        <w:rPr>
          <w:rFonts w:ascii="Times New Roman" w:eastAsia="Times New Roman" w:hAnsi="Times New Roman" w:cs="Times New Roman"/>
          <w:color w:val="000000"/>
          <w:spacing w:val="0"/>
          <w:w w:val="100"/>
          <w:position w:val="0"/>
        </w:rPr>
        <w:t>LED</w:t>
      </w:r>
      <w:r>
        <w:rPr>
          <w:color w:val="000000"/>
          <w:spacing w:val="0"/>
          <w:w w:val="100"/>
          <w:position w:val="0"/>
        </w:rPr>
        <w:t>客户扩产的主要方向为蓝绿光外延片，应用领域也主要在照明市场。照明 目前依然是</w:t>
      </w:r>
      <w:r>
        <w:rPr>
          <w:rFonts w:ascii="Times New Roman" w:eastAsia="Times New Roman" w:hAnsi="Times New Roman" w:cs="Times New Roman"/>
          <w:color w:val="000000"/>
          <w:spacing w:val="0"/>
          <w:w w:val="100"/>
          <w:position w:val="0"/>
        </w:rPr>
        <w:t>LED</w:t>
      </w:r>
      <w:r>
        <w:rPr>
          <w:color w:val="000000"/>
          <w:spacing w:val="0"/>
          <w:w w:val="100"/>
          <w:position w:val="0"/>
        </w:rPr>
        <w:t>行业发展需求最大的应用市场。在</w:t>
      </w:r>
      <w:r>
        <w:rPr>
          <w:rFonts w:ascii="Times New Roman" w:eastAsia="Times New Roman" w:hAnsi="Times New Roman" w:cs="Times New Roman"/>
          <w:color w:val="000000"/>
          <w:spacing w:val="0"/>
          <w:w w:val="100"/>
          <w:position w:val="0"/>
        </w:rPr>
        <w:t>Mini LED</w:t>
      </w:r>
      <w:r>
        <w:rPr>
          <w:color w:val="000000"/>
          <w:spacing w:val="0"/>
          <w:w w:val="100"/>
          <w:position w:val="0"/>
        </w:rPr>
        <w:t>背光及直接显示市场需求的推动</w:t>
      </w:r>
    </w:p>
    <w:p>
      <w:pPr>
        <w:pStyle w:val="Style45"/>
        <w:keepNext w:val="0"/>
        <w:keepLines w:val="0"/>
        <w:widowControl w:val="0"/>
        <w:shd w:val="clear" w:color="auto" w:fill="auto"/>
        <w:bidi w:val="0"/>
        <w:spacing w:before="0" w:line="240" w:lineRule="auto"/>
        <w:ind w:left="0" w:right="0" w:firstLine="0"/>
        <w:jc w:val="cente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69" w:right="1259" w:bottom="1196" w:left="1771" w:header="0" w:footer="3" w:gutter="0"/>
          <w:cols w:space="720"/>
          <w:noEndnote/>
          <w:rtlGutter w:val="0"/>
          <w:docGrid w:linePitch="360"/>
        </w:sectPr>
      </w:pPr>
      <w:r>
        <w:rPr>
          <w:color w:val="000000"/>
          <w:spacing w:val="0"/>
          <w:w w:val="100"/>
          <w:position w:val="0"/>
        </w:rPr>
        <w:t xml:space="preserve">14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下，近两年高端显示类的</w:t>
      </w:r>
      <w:r>
        <w:rPr>
          <w:rFonts w:ascii="Times New Roman" w:eastAsia="Times New Roman" w:hAnsi="Times New Roman" w:cs="Times New Roman"/>
          <w:color w:val="000000"/>
          <w:spacing w:val="0"/>
          <w:w w:val="100"/>
          <w:position w:val="0"/>
        </w:rPr>
        <w:t>LED</w:t>
      </w:r>
      <w:r>
        <w:rPr>
          <w:color w:val="000000"/>
          <w:spacing w:val="0"/>
          <w:w w:val="100"/>
          <w:position w:val="0"/>
        </w:rPr>
        <w:t>外延片需求量增加明显。基于</w:t>
      </w:r>
      <w:r>
        <w:rPr>
          <w:rFonts w:ascii="Times New Roman" w:eastAsia="Times New Roman" w:hAnsi="Times New Roman" w:cs="Times New Roman"/>
          <w:color w:val="000000"/>
          <w:spacing w:val="0"/>
          <w:w w:val="100"/>
          <w:position w:val="0"/>
        </w:rPr>
        <w:t>Micro LED</w:t>
      </w:r>
      <w:r>
        <w:rPr>
          <w:color w:val="000000"/>
          <w:spacing w:val="0"/>
          <w:w w:val="100"/>
          <w:position w:val="0"/>
        </w:rPr>
        <w:t>的高端显示应用也开始 小规模试生产，预计在未来几年将会有更多的市场需求。根据</w:t>
      </w:r>
      <w:r>
        <w:rPr>
          <w:rFonts w:ascii="Times New Roman" w:eastAsia="Times New Roman" w:hAnsi="Times New Roman" w:cs="Times New Roman"/>
          <w:color w:val="000000"/>
          <w:spacing w:val="0"/>
          <w:w w:val="100"/>
          <w:position w:val="0"/>
        </w:rPr>
        <w:t>TrendForce</w:t>
      </w:r>
      <w:r>
        <w:rPr>
          <w:color w:val="000000"/>
          <w:spacing w:val="0"/>
          <w:w w:val="100"/>
          <w:position w:val="0"/>
        </w:rPr>
        <w:t xml:space="preserve">集邦咨询报道，随着 </w:t>
      </w:r>
      <w:r>
        <w:rPr>
          <w:rFonts w:ascii="Times New Roman" w:eastAsia="Times New Roman" w:hAnsi="Times New Roman" w:cs="Times New Roman"/>
          <w:color w:val="000000"/>
          <w:spacing w:val="0"/>
          <w:w w:val="100"/>
          <w:position w:val="0"/>
        </w:rPr>
        <w:t>Mini LED</w:t>
      </w:r>
      <w:r>
        <w:rPr>
          <w:color w:val="000000"/>
          <w:spacing w:val="0"/>
          <w:w w:val="100"/>
          <w:position w:val="0"/>
        </w:rPr>
        <w:t>背光显示渗透率的提升，以及</w:t>
      </w:r>
      <w:r>
        <w:rPr>
          <w:rFonts w:ascii="Times New Roman" w:eastAsia="Times New Roman" w:hAnsi="Times New Roman" w:cs="Times New Roman"/>
          <w:color w:val="000000"/>
          <w:spacing w:val="0"/>
          <w:w w:val="100"/>
          <w:position w:val="0"/>
        </w:rPr>
        <w:t>Mini LED</w:t>
      </w:r>
      <w:r>
        <w:rPr>
          <w:color w:val="000000"/>
          <w:spacing w:val="0"/>
          <w:w w:val="100"/>
          <w:position w:val="0"/>
        </w:rPr>
        <w:t>直接显示逐渐进入商显等市场，</w:t>
      </w:r>
      <w:r>
        <w:rPr>
          <w:rFonts w:ascii="Times New Roman" w:eastAsia="Times New Roman" w:hAnsi="Times New Roman" w:cs="Times New Roman"/>
          <w:color w:val="000000"/>
          <w:spacing w:val="0"/>
          <w:w w:val="100"/>
          <w:position w:val="0"/>
        </w:rPr>
        <w:t>Mini/Micro LED</w:t>
      </w:r>
      <w:r>
        <w:rPr>
          <w:color w:val="000000"/>
          <w:spacing w:val="0"/>
          <w:w w:val="100"/>
          <w:position w:val="0"/>
        </w:rPr>
        <w:t>新型显示带来的</w:t>
      </w:r>
      <w:r>
        <w:rPr>
          <w:rFonts w:ascii="Times New Roman" w:eastAsia="Times New Roman" w:hAnsi="Times New Roman" w:cs="Times New Roman"/>
          <w:color w:val="000000"/>
          <w:spacing w:val="0"/>
          <w:w w:val="100"/>
          <w:position w:val="0"/>
        </w:rPr>
        <w:t>LED</w:t>
      </w:r>
      <w:r>
        <w:rPr>
          <w:color w:val="000000"/>
          <w:spacing w:val="0"/>
          <w:w w:val="100"/>
          <w:position w:val="0"/>
        </w:rPr>
        <w:t>外延片需求量将快速增长。</w:t>
      </w:r>
    </w:p>
    <w:p>
      <w:pPr>
        <w:pStyle w:val="Style2"/>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除了新型显示应用，紫外</w:t>
      </w:r>
      <w:r>
        <w:rPr>
          <w:rFonts w:ascii="Times New Roman" w:eastAsia="Times New Roman" w:hAnsi="Times New Roman" w:cs="Times New Roman"/>
          <w:color w:val="000000"/>
          <w:spacing w:val="0"/>
          <w:w w:val="100"/>
          <w:position w:val="0"/>
        </w:rPr>
        <w:t>LED</w:t>
      </w:r>
      <w:r>
        <w:rPr>
          <w:color w:val="000000"/>
          <w:spacing w:val="0"/>
          <w:w w:val="100"/>
          <w:position w:val="0"/>
        </w:rPr>
        <w:t>亦是未来</w:t>
      </w:r>
      <w:r>
        <w:rPr>
          <w:rFonts w:ascii="Times New Roman" w:eastAsia="Times New Roman" w:hAnsi="Times New Roman" w:cs="Times New Roman"/>
          <w:color w:val="000000"/>
          <w:spacing w:val="0"/>
          <w:w w:val="100"/>
          <w:position w:val="0"/>
        </w:rPr>
        <w:t>LED</w:t>
      </w:r>
      <w:r>
        <w:rPr>
          <w:color w:val="000000"/>
          <w:spacing w:val="0"/>
          <w:w w:val="100"/>
          <w:position w:val="0"/>
        </w:rPr>
        <w:t>应用的重点方向。近期受新冠疫情影响，大众 杀菌、消毒意识明显上升，正极大地促进紫外</w:t>
      </w:r>
      <w:r>
        <w:rPr>
          <w:rFonts w:ascii="Times New Roman" w:eastAsia="Times New Roman" w:hAnsi="Times New Roman" w:cs="Times New Roman"/>
          <w:color w:val="000000"/>
          <w:spacing w:val="0"/>
          <w:w w:val="100"/>
          <w:position w:val="0"/>
        </w:rPr>
        <w:t>LED</w:t>
      </w:r>
      <w:r>
        <w:rPr>
          <w:color w:val="000000"/>
          <w:spacing w:val="0"/>
          <w:w w:val="100"/>
          <w:position w:val="0"/>
        </w:rPr>
        <w:t>产业的发展。</w:t>
      </w:r>
    </w:p>
    <w:p>
      <w:pPr>
        <w:pStyle w:val="Style35"/>
        <w:keepNext/>
        <w:keepLines/>
        <w:widowControl w:val="0"/>
        <w:numPr>
          <w:ilvl w:val="0"/>
          <w:numId w:val="3"/>
        </w:numPr>
        <w:shd w:val="clear" w:color="auto" w:fill="auto"/>
        <w:tabs>
          <w:tab w:pos="422" w:val="left"/>
        </w:tabs>
        <w:bidi w:val="0"/>
        <w:spacing w:before="0" w:after="0" w:line="240" w:lineRule="auto"/>
        <w:ind w:left="0" w:right="0" w:firstLine="0"/>
        <w:jc w:val="both"/>
      </w:pPr>
      <w:bookmarkStart w:id="100" w:name="bookmark100"/>
      <w:bookmarkStart w:id="101" w:name="bookmark101"/>
      <w:bookmarkStart w:id="102" w:name="bookmark102"/>
      <w:bookmarkStart w:id="99" w:name="bookmark99"/>
      <w:bookmarkEnd w:id="101"/>
      <w:r>
        <w:rPr>
          <w:color w:val="000000"/>
          <w:spacing w:val="0"/>
          <w:w w:val="100"/>
          <w:position w:val="0"/>
        </w:rPr>
        <w:t>公司所处的行业地位分析及其变化情况</w:t>
      </w:r>
      <w:bookmarkEnd w:id="100"/>
      <w:bookmarkEnd w:id="102"/>
      <w:bookmarkEnd w:id="99"/>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目前半导体设备市场主要由欧美、日本等国家的企业所占据。近年来我国半导体设备行业整 体水平不断提高。</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在刻蚀设备方面，全球刻蚀设备市场呈现垄断格局，泛林半导体、东京电子、应用材料占据 主要市场份额；公司刻蚀设备已应用于全球先进的</w:t>
      </w:r>
      <w:r>
        <w:rPr>
          <w:rFonts w:ascii="Times New Roman" w:eastAsia="Times New Roman" w:hAnsi="Times New Roman" w:cs="Times New Roman"/>
          <w:color w:val="000000"/>
          <w:spacing w:val="0"/>
          <w:w w:val="100"/>
          <w:position w:val="0"/>
        </w:rPr>
        <w:t>7</w:t>
      </w:r>
      <w:r>
        <w:rPr>
          <w:color w:val="000000"/>
          <w:spacing w:val="0"/>
          <w:w w:val="100"/>
          <w:position w:val="0"/>
        </w:rPr>
        <w:t>纳米和</w:t>
      </w:r>
      <w:r>
        <w:rPr>
          <w:rFonts w:ascii="Times New Roman" w:eastAsia="Times New Roman" w:hAnsi="Times New Roman" w:cs="Times New Roman"/>
          <w:color w:val="000000"/>
          <w:spacing w:val="0"/>
          <w:w w:val="100"/>
          <w:position w:val="0"/>
        </w:rPr>
        <w:t>5</w:t>
      </w:r>
      <w:r>
        <w:rPr>
          <w:color w:val="000000"/>
          <w:spacing w:val="0"/>
          <w:w w:val="100"/>
          <w:position w:val="0"/>
        </w:rPr>
        <w:t>纳米集成电路加工制造生产线。虽 然公司在主要客户的市场占有率稳步提升，但目前在销售规模上与全球巨头尚有差距。</w:t>
      </w:r>
    </w:p>
    <w:p>
      <w:pPr>
        <w:pStyle w:val="Style2"/>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MOCVD</w:t>
      </w:r>
      <w:r>
        <w:rPr>
          <w:color w:val="000000"/>
          <w:spacing w:val="0"/>
          <w:w w:val="100"/>
          <w:position w:val="0"/>
        </w:rPr>
        <w:t>设备领域，公司</w:t>
      </w:r>
      <w:r>
        <w:rPr>
          <w:rFonts w:ascii="Times New Roman" w:eastAsia="Times New Roman" w:hAnsi="Times New Roman" w:cs="Times New Roman"/>
          <w:color w:val="000000"/>
          <w:spacing w:val="0"/>
          <w:w w:val="100"/>
          <w:position w:val="0"/>
        </w:rPr>
        <w:t>MOCVD</w:t>
      </w:r>
      <w:r>
        <w:rPr>
          <w:color w:val="000000"/>
          <w:spacing w:val="0"/>
          <w:w w:val="100"/>
          <w:position w:val="0"/>
        </w:rPr>
        <w:t>设备已在行业领先客户生产线上大规模投入量产，持 续保持在行业内的领先地位。</w:t>
      </w:r>
    </w:p>
    <w:p>
      <w:pPr>
        <w:pStyle w:val="Style35"/>
        <w:keepNext/>
        <w:keepLines/>
        <w:widowControl w:val="0"/>
        <w:numPr>
          <w:ilvl w:val="0"/>
          <w:numId w:val="3"/>
        </w:numPr>
        <w:shd w:val="clear" w:color="auto" w:fill="auto"/>
        <w:tabs>
          <w:tab w:pos="422" w:val="left"/>
        </w:tabs>
        <w:bidi w:val="0"/>
        <w:spacing w:before="0" w:after="80" w:line="240" w:lineRule="auto"/>
        <w:ind w:left="0" w:right="0" w:firstLine="0"/>
        <w:jc w:val="both"/>
      </w:pPr>
      <w:bookmarkStart w:id="103" w:name="bookmark103"/>
      <w:bookmarkStart w:id="104" w:name="bookmark104"/>
      <w:bookmarkStart w:id="105" w:name="bookmark105"/>
      <w:bookmarkStart w:id="106" w:name="bookmark106"/>
      <w:bookmarkEnd w:id="105"/>
      <w:r>
        <w:rPr>
          <w:color w:val="000000"/>
          <w:spacing w:val="0"/>
          <w:w w:val="100"/>
          <w:position w:val="0"/>
        </w:rPr>
        <w:t>报告期内新技术、新产业、新业态、新模式的发展情况和未来发展趋势</w:t>
      </w:r>
      <w:bookmarkEnd w:id="103"/>
      <w:bookmarkEnd w:id="104"/>
      <w:bookmarkEnd w:id="106"/>
    </w:p>
    <w:p>
      <w:pPr>
        <w:pStyle w:val="Style35"/>
        <w:keepNext/>
        <w:keepLines/>
        <w:widowControl w:val="0"/>
        <w:shd w:val="clear" w:color="auto" w:fill="auto"/>
        <w:bidi w:val="0"/>
        <w:spacing w:before="0" w:after="0" w:line="427" w:lineRule="auto"/>
        <w:ind w:left="0" w:right="0" w:firstLine="440"/>
        <w:jc w:val="both"/>
      </w:pPr>
      <w:bookmarkStart w:id="103" w:name="bookmark103"/>
      <w:bookmarkStart w:id="104" w:name="bookmark104"/>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、等离子体刻蚀技术</w:t>
      </w:r>
      <w:bookmarkEnd w:id="103"/>
      <w:bookmarkEnd w:id="104"/>
      <w:bookmarkEnd w:id="108"/>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刻蚀可以分为湿法刻蚀和干法刻蚀，湿法刻蚀各向异性较差，侧壁容易产生横向刻蚀造成刻 蚀偏差，通常用于工艺尺寸较大的应用，或用于干法刻蚀后清洗残留物等。干法刻蚀是目前主流 的刻蚀技术，其中以等离子体干法刻蚀为主导。</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等离子体刻蚀设备是一种大型真空的全自动的加工设备，一般由多个真空等离子体反应腔和 主机传递系统构成。等离子体刻蚀设备的分类与刻蚀工艺密切相关，其原理是利用等离子体放电 产生的带化学活性的粒子，在离子的轰击下，与表面的材料发生化学反应，产生可挥发的气体， 从而在表面的材料上加工出微观结构。</w:t>
      </w:r>
    </w:p>
    <w:p>
      <w:pPr>
        <w:pStyle w:val="Style2"/>
        <w:keepNext w:val="0"/>
        <w:keepLines w:val="0"/>
        <w:widowControl w:val="0"/>
        <w:shd w:val="clear" w:color="auto" w:fill="auto"/>
        <w:bidi w:val="0"/>
        <w:spacing w:before="0" w:after="160" w:line="408" w:lineRule="exact"/>
        <w:ind w:left="0" w:right="0" w:firstLine="440"/>
        <w:jc w:val="both"/>
        <w:sectPr>
          <w:footnotePr>
            <w:pos w:val="pageBottom"/>
            <w:numFmt w:val="decimal"/>
            <w:numRestart w:val="continuous"/>
          </w:footnotePr>
          <w:pgSz w:w="11900" w:h="16840"/>
          <w:pgMar w:top="1374" w:right="1259" w:bottom="1393" w:left="1771" w:header="0" w:footer="3" w:gutter="0"/>
          <w:cols w:space="720"/>
          <w:noEndnote/>
          <w:rtlGutter w:val="0"/>
          <w:docGrid w:linePitch="360"/>
        </w:sectPr>
      </w:pPr>
      <w:r>
        <w:rPr>
          <w:color w:val="000000"/>
          <w:spacing w:val="0"/>
          <w:w w:val="100"/>
          <w:position w:val="0"/>
        </w:rPr>
        <w:t>根据产生等离子体方法的不同，干法刻蚀主要分为电容性等离子体刻蚀和电感性等离子体刻 蚀；根据被刻蚀材料类型的不同，干法刻蚀主要是刻蚀介质材料、硅材料和金属材料。电容性等 离子体刻蚀主要是以高能离子在较硬的介质材料上，刻蚀高深宽比的深孔、沟槽等微观结构；而 电感性等离子体刻蚀主要是以较低的离子能量和极均匀的离子浓度刻蚀较软的或较薄的材料。这 两种刻蚀设备涵盖了主要的刻蚀应用。</w:t>
      </w:r>
    </w:p>
    <w:p>
      <w:pPr>
        <w:widowControl w:val="0"/>
        <w:spacing w:line="1" w:lineRule="exact"/>
      </w:pPr>
      <w:r>
        <mc:AlternateContent>
          <mc:Choice Requires="wps">
            <w:drawing>
              <wp:anchor distT="0" distB="2027555" distL="0" distR="0" simplePos="0" relativeHeight="125829378" behindDoc="0" locked="0" layoutInCell="1" allowOverlap="1">
                <wp:simplePos x="0" y="0"/>
                <wp:positionH relativeFrom="page">
                  <wp:posOffset>1209675</wp:posOffset>
                </wp:positionH>
                <wp:positionV relativeFrom="paragraph">
                  <wp:posOffset>0</wp:posOffset>
                </wp:positionV>
                <wp:extent cx="1615440" cy="167640"/>
                <wp:wrapTopAndBottom/>
                <wp:docPr id="36" name="Shape 36"/>
                <a:graphic xmlns:a="http://schemas.openxmlformats.org/drawingml/2006/main">
                  <a:graphicData uri="http://schemas.microsoft.com/office/word/2010/wordprocessingShape">
                    <wps:wsp>
                      <wps:cNvSpPr txBox="1"/>
                      <wps:spPr>
                        <a:xfrm>
                          <a:ext cx="1615440" cy="16764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电容性等离子体刻蚀反应腔</w:t>
                            </w:r>
                          </w:p>
                        </w:txbxContent>
                      </wps:txbx>
                      <wps:bodyPr wrap="none" lIns="0" tIns="0" rIns="0" bIns="0">
                        <a:noAutoFit/>
                      </wps:bodyPr>
                    </wps:wsp>
                  </a:graphicData>
                </a:graphic>
              </wp:anchor>
            </w:drawing>
          </mc:Choice>
          <mc:Fallback>
            <w:pict>
              <v:shape id="_x0000_s1062" type="#_x0000_t202" style="position:absolute;margin-left:95.25pt;margin-top:0;width:127.2pt;height:13.200000000000001pt;z-index:-125829375;mso-wrap-distance-left:0;mso-wrap-distance-right:0;mso-wrap-distance-bottom:159.65000000000001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电容性等离子体刻蚀反应腔</w:t>
                      </w:r>
                    </w:p>
                  </w:txbxContent>
                </v:textbox>
                <w10:wrap type="topAndBottom" anchorx="page"/>
              </v:shape>
            </w:pict>
          </mc:Fallback>
        </mc:AlternateContent>
      </w:r>
      <w:r>
        <mc:AlternateContent>
          <mc:Choice Requires="wps">
            <w:drawing>
              <wp:anchor distT="0" distB="2033905" distL="0" distR="0" simplePos="0" relativeHeight="125829380" behindDoc="0" locked="0" layoutInCell="1" allowOverlap="1">
                <wp:simplePos x="0" y="0"/>
                <wp:positionH relativeFrom="page">
                  <wp:posOffset>4059555</wp:posOffset>
                </wp:positionH>
                <wp:positionV relativeFrom="paragraph">
                  <wp:posOffset>0</wp:posOffset>
                </wp:positionV>
                <wp:extent cx="1612265" cy="161290"/>
                <wp:wrapTopAndBottom/>
                <wp:docPr id="38" name="Shape 38"/>
                <a:graphic xmlns:a="http://schemas.openxmlformats.org/drawingml/2006/main">
                  <a:graphicData uri="http://schemas.microsoft.com/office/word/2010/wordprocessingShape">
                    <wps:wsp>
                      <wps:cNvSpPr txBox="1"/>
                      <wps:spPr>
                        <a:xfrm>
                          <a:ext cx="1612265" cy="16129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电感性等离子体刻蚀反应腔</w:t>
                            </w:r>
                          </w:p>
                        </w:txbxContent>
                      </wps:txbx>
                      <wps:bodyPr wrap="none" lIns="0" tIns="0" rIns="0" bIns="0">
                        <a:noAutoFit/>
                      </wps:bodyPr>
                    </wps:wsp>
                  </a:graphicData>
                </a:graphic>
              </wp:anchor>
            </w:drawing>
          </mc:Choice>
          <mc:Fallback>
            <w:pict>
              <v:shape id="_x0000_s1064" type="#_x0000_t202" style="position:absolute;margin-left:319.65000000000003pt;margin-top:0;width:126.95pt;height:12.700000000000001pt;z-index:-125829373;mso-wrap-distance-left:0;mso-wrap-distance-right:0;mso-wrap-distance-bottom:160.15000000000001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电感性等离子体刻蚀反应腔</w:t>
                      </w:r>
                    </w:p>
                  </w:txbxContent>
                </v:textbox>
                <w10:wrap type="topAndBottom" anchorx="page"/>
              </v:shape>
            </w:pict>
          </mc:Fallback>
        </mc:AlternateContent>
      </w:r>
      <w:r>
        <w:drawing>
          <wp:anchor distT="499745" distB="680085" distL="0" distR="0" simplePos="0" relativeHeight="125829382" behindDoc="0" locked="0" layoutInCell="1" allowOverlap="1">
            <wp:simplePos x="0" y="0"/>
            <wp:positionH relativeFrom="page">
              <wp:posOffset>1319530</wp:posOffset>
            </wp:positionH>
            <wp:positionV relativeFrom="paragraph">
              <wp:posOffset>499745</wp:posOffset>
            </wp:positionV>
            <wp:extent cx="2255520" cy="101790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3"/>
                    <a:stretch/>
                  </pic:blipFill>
                  <pic:spPr>
                    <a:xfrm>
                      <a:ext cx="2255520" cy="1017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1407795</wp:posOffset>
                </wp:positionH>
                <wp:positionV relativeFrom="paragraph">
                  <wp:posOffset>301625</wp:posOffset>
                </wp:positionV>
                <wp:extent cx="527050" cy="125095"/>
                <wp:wrapNone/>
                <wp:docPr id="42" name="Shape 42"/>
                <a:graphic xmlns:a="http://schemas.openxmlformats.org/drawingml/2006/main">
                  <a:graphicData uri="http://schemas.microsoft.com/office/word/2010/wordprocessingShape">
                    <wps:wsp>
                      <wps:cNvSpPr txBox="1"/>
                      <wps:spPr>
                        <a:xfrm>
                          <a:ext cx="527050" cy="12509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rPr>
                                <w:sz w:val="15"/>
                                <w:szCs w:val="15"/>
                              </w:rPr>
                            </w:pPr>
                            <w:r>
                              <w:rPr>
                                <w:color w:val="371604"/>
                                <w:spacing w:val="0"/>
                                <w:w w:val="100"/>
                                <w:position w:val="0"/>
                                <w:sz w:val="15"/>
                                <w:szCs w:val="15"/>
                              </w:rPr>
                              <w:t>导线里电流</w:t>
                            </w:r>
                          </w:p>
                        </w:txbxContent>
                      </wps:txbx>
                      <wps:bodyPr lIns="0" tIns="0" rIns="0" bIns="0">
                        <a:noAutoFit/>
                      </wps:bodyPr>
                    </wps:wsp>
                  </a:graphicData>
                </a:graphic>
              </wp:anchor>
            </w:drawing>
          </mc:Choice>
          <mc:Fallback>
            <w:pict>
              <v:shape id="_x0000_s1068" type="#_x0000_t202" style="position:absolute;margin-left:110.85000000000001pt;margin-top:23.75pt;width:41.5pt;height:9.8499999999999996pt;z-index:251657729;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both"/>
                        <w:rPr>
                          <w:sz w:val="15"/>
                          <w:szCs w:val="15"/>
                        </w:rPr>
                      </w:pPr>
                      <w:r>
                        <w:rPr>
                          <w:color w:val="371604"/>
                          <w:spacing w:val="0"/>
                          <w:w w:val="100"/>
                          <w:position w:val="0"/>
                          <w:sz w:val="15"/>
                          <w:szCs w:val="15"/>
                        </w:rPr>
                        <w:t>导线里电流</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2965450</wp:posOffset>
                </wp:positionH>
                <wp:positionV relativeFrom="paragraph">
                  <wp:posOffset>1341120</wp:posOffset>
                </wp:positionV>
                <wp:extent cx="521335" cy="240665"/>
                <wp:wrapNone/>
                <wp:docPr id="44" name="Shape 44"/>
                <a:graphic xmlns:a="http://schemas.openxmlformats.org/drawingml/2006/main">
                  <a:graphicData uri="http://schemas.microsoft.com/office/word/2010/wordprocessingShape">
                    <wps:wsp>
                      <wps:cNvSpPr txBox="1"/>
                      <wps:spPr>
                        <a:xfrm>
                          <a:ext cx="521335" cy="240665"/>
                        </a:xfrm>
                        <a:prstGeom prst="rect"/>
                        <a:noFill/>
                      </wps:spPr>
                      <wps:txbx>
                        <w:txbxContent>
                          <w:p>
                            <w:pPr>
                              <w:pStyle w:val="Style62"/>
                              <w:keepNext w:val="0"/>
                              <w:keepLines w:val="0"/>
                              <w:widowControl w:val="0"/>
                              <w:shd w:val="clear" w:color="auto" w:fill="auto"/>
                              <w:bidi w:val="0"/>
                              <w:spacing w:before="0" w:after="0"/>
                              <w:ind w:left="0" w:right="0" w:firstLine="0"/>
                              <w:jc w:val="center"/>
                              <w:rPr>
                                <w:sz w:val="15"/>
                                <w:szCs w:val="15"/>
                              </w:rPr>
                            </w:pPr>
                            <w:r>
                              <w:rPr>
                                <w:color w:val="1B141D"/>
                                <w:spacing w:val="0"/>
                                <w:w w:val="100"/>
                                <w:position w:val="0"/>
                                <w:sz w:val="15"/>
                                <w:szCs w:val="15"/>
                              </w:rPr>
                              <w:t>低频交流 功率发生器</w:t>
                            </w:r>
                          </w:p>
                        </w:txbxContent>
                      </wps:txbx>
                      <wps:bodyPr lIns="0" tIns="0" rIns="0" bIns="0">
                        <a:noAutoFit/>
                      </wps:bodyPr>
                    </wps:wsp>
                  </a:graphicData>
                </a:graphic>
              </wp:anchor>
            </w:drawing>
          </mc:Choice>
          <mc:Fallback>
            <w:pict>
              <v:shape id="_x0000_s1070" type="#_x0000_t202" style="position:absolute;margin-left:233.5pt;margin-top:105.60000000000001pt;width:41.050000000000004pt;height:18.949999999999999pt;z-index:251657731;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ind w:left="0" w:right="0" w:firstLine="0"/>
                        <w:jc w:val="center"/>
                        <w:rPr>
                          <w:sz w:val="15"/>
                          <w:szCs w:val="15"/>
                        </w:rPr>
                      </w:pPr>
                      <w:r>
                        <w:rPr>
                          <w:color w:val="1B141D"/>
                          <w:spacing w:val="0"/>
                          <w:w w:val="100"/>
                          <w:position w:val="0"/>
                          <w:sz w:val="15"/>
                          <w:szCs w:val="15"/>
                        </w:rPr>
                        <w:t>低频交流 功率发生器</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2965450</wp:posOffset>
                </wp:positionH>
                <wp:positionV relativeFrom="paragraph">
                  <wp:posOffset>1791970</wp:posOffset>
                </wp:positionV>
                <wp:extent cx="521335" cy="237490"/>
                <wp:wrapNone/>
                <wp:docPr id="46" name="Shape 46"/>
                <a:graphic xmlns:a="http://schemas.openxmlformats.org/drawingml/2006/main">
                  <a:graphicData uri="http://schemas.microsoft.com/office/word/2010/wordprocessingShape">
                    <wps:wsp>
                      <wps:cNvSpPr txBox="1"/>
                      <wps:spPr>
                        <a:xfrm>
                          <a:ext cx="521335" cy="237490"/>
                        </a:xfrm>
                        <a:prstGeom prst="rect"/>
                        <a:noFill/>
                      </wps:spPr>
                      <wps:txbx>
                        <w:txbxContent>
                          <w:p>
                            <w:pPr>
                              <w:pStyle w:val="Style62"/>
                              <w:keepNext w:val="0"/>
                              <w:keepLines w:val="0"/>
                              <w:widowControl w:val="0"/>
                              <w:shd w:val="clear" w:color="auto" w:fill="auto"/>
                              <w:bidi w:val="0"/>
                              <w:spacing w:before="0" w:after="0" w:line="168" w:lineRule="exact"/>
                              <w:ind w:left="0" w:right="0" w:firstLine="0"/>
                              <w:jc w:val="center"/>
                              <w:rPr>
                                <w:sz w:val="15"/>
                                <w:szCs w:val="15"/>
                              </w:rPr>
                            </w:pPr>
                            <w:r>
                              <w:rPr>
                                <w:color w:val="1B141D"/>
                                <w:spacing w:val="0"/>
                                <w:w w:val="100"/>
                                <w:position w:val="0"/>
                                <w:sz w:val="15"/>
                                <w:szCs w:val="15"/>
                              </w:rPr>
                              <w:t xml:space="preserve">高频交流 </w:t>
                            </w:r>
                            <w:r>
                              <w:rPr>
                                <w:color w:val="320003"/>
                                <w:spacing w:val="0"/>
                                <w:w w:val="100"/>
                                <w:position w:val="0"/>
                                <w:sz w:val="15"/>
                                <w:szCs w:val="15"/>
                              </w:rPr>
                              <w:t>功率</w:t>
                            </w:r>
                            <w:r>
                              <w:rPr>
                                <w:color w:val="1B141D"/>
                                <w:spacing w:val="0"/>
                                <w:w w:val="100"/>
                                <w:position w:val="0"/>
                                <w:sz w:val="15"/>
                                <w:szCs w:val="15"/>
                              </w:rPr>
                              <w:t>发生器</w:t>
                            </w:r>
                          </w:p>
                        </w:txbxContent>
                      </wps:txbx>
                      <wps:bodyPr lIns="0" tIns="0" rIns="0" bIns="0">
                        <a:noAutoFit/>
                      </wps:bodyPr>
                    </wps:wsp>
                  </a:graphicData>
                </a:graphic>
              </wp:anchor>
            </w:drawing>
          </mc:Choice>
          <mc:Fallback>
            <w:pict>
              <v:shape id="_x0000_s1072" type="#_x0000_t202" style="position:absolute;margin-left:233.5pt;margin-top:141.09999999999999pt;width:41.050000000000004pt;height:18.699999999999999pt;z-index:251657733;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168" w:lineRule="exact"/>
                        <w:ind w:left="0" w:right="0" w:firstLine="0"/>
                        <w:jc w:val="center"/>
                        <w:rPr>
                          <w:sz w:val="15"/>
                          <w:szCs w:val="15"/>
                        </w:rPr>
                      </w:pPr>
                      <w:r>
                        <w:rPr>
                          <w:color w:val="1B141D"/>
                          <w:spacing w:val="0"/>
                          <w:w w:val="100"/>
                          <w:position w:val="0"/>
                          <w:sz w:val="15"/>
                          <w:szCs w:val="15"/>
                        </w:rPr>
                        <w:t xml:space="preserve">高频交流 </w:t>
                      </w:r>
                      <w:r>
                        <w:rPr>
                          <w:color w:val="320003"/>
                          <w:spacing w:val="0"/>
                          <w:w w:val="100"/>
                          <w:position w:val="0"/>
                          <w:sz w:val="15"/>
                          <w:szCs w:val="15"/>
                        </w:rPr>
                        <w:t>功率</w:t>
                      </w:r>
                      <w:r>
                        <w:rPr>
                          <w:color w:val="1B141D"/>
                          <w:spacing w:val="0"/>
                          <w:w w:val="100"/>
                          <w:position w:val="0"/>
                          <w:sz w:val="15"/>
                          <w:szCs w:val="15"/>
                        </w:rPr>
                        <w:t>发生器</w:t>
                      </w:r>
                    </w:p>
                  </w:txbxContent>
                </v:textbox>
                <w10:wrap anchorx="page"/>
              </v:shape>
            </w:pict>
          </mc:Fallback>
        </mc:AlternateContent>
      </w:r>
      <w:r>
        <w:drawing>
          <wp:anchor distT="441960" distB="1207770" distL="0" distR="0" simplePos="0" relativeHeight="125829383" behindDoc="0" locked="0" layoutInCell="1" allowOverlap="1">
            <wp:simplePos x="0" y="0"/>
            <wp:positionH relativeFrom="page">
              <wp:posOffset>4550410</wp:posOffset>
            </wp:positionH>
            <wp:positionV relativeFrom="paragraph">
              <wp:posOffset>441960</wp:posOffset>
            </wp:positionV>
            <wp:extent cx="1755775" cy="54864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5"/>
                    <a:stretch/>
                  </pic:blipFill>
                  <pic:spPr>
                    <a:xfrm>
                      <a:ext cx="1755775" cy="548640"/>
                    </a:xfrm>
                    <a:prstGeom prst="rect"/>
                  </pic:spPr>
                </pic:pic>
              </a:graphicData>
            </a:graphic>
          </wp:anchor>
        </w:drawing>
      </w:r>
      <w:r>
        <w:drawing>
          <wp:anchor distT="999490" distB="223520" distL="0" distR="0" simplePos="0" relativeHeight="125829384" behindDoc="0" locked="0" layoutInCell="1" allowOverlap="1">
            <wp:simplePos x="0" y="0"/>
            <wp:positionH relativeFrom="page">
              <wp:posOffset>4129405</wp:posOffset>
            </wp:positionH>
            <wp:positionV relativeFrom="paragraph">
              <wp:posOffset>999490</wp:posOffset>
            </wp:positionV>
            <wp:extent cx="2133600" cy="97536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7"/>
                    <a:stretch/>
                  </pic:blipFill>
                  <pic:spPr>
                    <a:xfrm>
                      <a:ext cx="2133600" cy="975360"/>
                    </a:xfrm>
                    <a:prstGeom prst="rect"/>
                  </pic:spPr>
                </pic:pic>
              </a:graphicData>
            </a:graphic>
          </wp:anchor>
        </w:drawing>
      </w:r>
    </w:p>
    <w:p>
      <w:pPr>
        <w:pStyle w:val="Style35"/>
        <w:keepNext/>
        <w:keepLines/>
        <w:widowControl w:val="0"/>
        <w:shd w:val="clear" w:color="auto" w:fill="auto"/>
        <w:bidi w:val="0"/>
        <w:spacing w:before="0" w:after="0" w:line="413" w:lineRule="exact"/>
        <w:ind w:left="0" w:right="0" w:firstLine="44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、刻蚀技术水平发展状况及未来发展趋势</w:t>
      </w:r>
      <w:bookmarkEnd w:id="109"/>
      <w:bookmarkEnd w:id="110"/>
      <w:bookmarkEnd w:id="112"/>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随着国际上先进芯片从</w:t>
      </w:r>
      <w:r>
        <w:rPr>
          <w:rFonts w:ascii="Times New Roman" w:eastAsia="Times New Roman" w:hAnsi="Times New Roman" w:cs="Times New Roman"/>
          <w:color w:val="000000"/>
          <w:spacing w:val="0"/>
          <w:w w:val="100"/>
          <w:position w:val="0"/>
        </w:rPr>
        <w:t>14</w:t>
      </w:r>
      <w:r>
        <w:rPr>
          <w:color w:val="000000"/>
          <w:spacing w:val="0"/>
          <w:w w:val="100"/>
          <w:position w:val="0"/>
        </w:rPr>
        <w:t>纳米到</w:t>
      </w:r>
      <w:r>
        <w:rPr>
          <w:rFonts w:ascii="Times New Roman" w:eastAsia="Times New Roman" w:hAnsi="Times New Roman" w:cs="Times New Roman"/>
          <w:color w:val="000000"/>
          <w:spacing w:val="0"/>
          <w:w w:val="100"/>
          <w:position w:val="0"/>
        </w:rPr>
        <w:t>10</w:t>
      </w:r>
      <w:r>
        <w:rPr>
          <w:color w:val="000000"/>
          <w:spacing w:val="0"/>
          <w:w w:val="100"/>
          <w:position w:val="0"/>
        </w:rPr>
        <w:t>纳米阶段向</w:t>
      </w:r>
      <w:r>
        <w:rPr>
          <w:rFonts w:ascii="Times New Roman" w:eastAsia="Times New Roman" w:hAnsi="Times New Roman" w:cs="Times New Roman"/>
          <w:color w:val="000000"/>
          <w:spacing w:val="0"/>
          <w:w w:val="100"/>
          <w:position w:val="0"/>
        </w:rPr>
        <w:t>7</w:t>
      </w:r>
      <w:r>
        <w:rPr>
          <w:color w:val="000000"/>
          <w:spacing w:val="0"/>
          <w:w w:val="100"/>
          <w:position w:val="0"/>
        </w:rPr>
        <w:t>纳米、</w:t>
      </w:r>
      <w:r>
        <w:rPr>
          <w:rFonts w:ascii="Times New Roman" w:eastAsia="Times New Roman" w:hAnsi="Times New Roman" w:cs="Times New Roman"/>
          <w:color w:val="000000"/>
          <w:spacing w:val="0"/>
          <w:w w:val="100"/>
          <w:position w:val="0"/>
        </w:rPr>
        <w:t>5</w:t>
      </w:r>
      <w:r>
        <w:rPr>
          <w:color w:val="000000"/>
          <w:spacing w:val="0"/>
          <w:w w:val="100"/>
          <w:position w:val="0"/>
        </w:rPr>
        <w:t>纳米及更先进工艺的方向发展， 当前浸没式光刻机受光波长的限制，需要结合刻蚀和薄膜设备，采用多重模板工艺，利用刻蚀工 艺实现更小的尺寸，使得刻蚀技术及相关设备的重要性进一步提升。下图展示</w:t>
      </w:r>
      <w:r>
        <w:rPr>
          <w:rFonts w:ascii="Times New Roman" w:eastAsia="Times New Roman" w:hAnsi="Times New Roman" w:cs="Times New Roman"/>
          <w:color w:val="000000"/>
          <w:spacing w:val="0"/>
          <w:w w:val="100"/>
          <w:position w:val="0"/>
        </w:rPr>
        <w:t>10</w:t>
      </w:r>
      <w:r>
        <w:rPr>
          <w:color w:val="000000"/>
          <w:spacing w:val="0"/>
          <w:w w:val="100"/>
          <w:position w:val="0"/>
        </w:rPr>
        <w:t>纳米多重模板 工艺原理，涉及多次刻蚀：</w:t>
      </w:r>
    </w:p>
    <w:p>
      <w:pPr>
        <w:widowControl w:val="0"/>
        <w:spacing w:line="1" w:lineRule="exact"/>
      </w:pPr>
      <w:r>
        <w:drawing>
          <wp:anchor distT="269240" distB="0" distL="0" distR="0" simplePos="0" relativeHeight="125829385" behindDoc="0" locked="0" layoutInCell="1" allowOverlap="1">
            <wp:simplePos x="0" y="0"/>
            <wp:positionH relativeFrom="page">
              <wp:posOffset>1252220</wp:posOffset>
            </wp:positionH>
            <wp:positionV relativeFrom="paragraph">
              <wp:posOffset>269240</wp:posOffset>
            </wp:positionV>
            <wp:extent cx="5388610" cy="2792095"/>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9"/>
                    <a:stretch/>
                  </pic:blipFill>
                  <pic:spPr>
                    <a:xfrm>
                      <a:ext cx="5388610" cy="279209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1319530</wp:posOffset>
                </wp:positionH>
                <wp:positionV relativeFrom="paragraph">
                  <wp:posOffset>25400</wp:posOffset>
                </wp:positionV>
                <wp:extent cx="2450465" cy="167640"/>
                <wp:wrapNone/>
                <wp:docPr id="54" name="Shape 54"/>
                <a:graphic xmlns:a="http://schemas.openxmlformats.org/drawingml/2006/main">
                  <a:graphicData uri="http://schemas.microsoft.com/office/word/2010/wordprocessingShape">
                    <wps:wsp>
                      <wps:cNvSpPr txBox="1"/>
                      <wps:spPr>
                        <a:xfrm>
                          <a:ext cx="2450465" cy="1676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纳米多重模板工艺原理，涉及多次刻蚀</w:t>
                            </w:r>
                          </w:p>
                        </w:txbxContent>
                      </wps:txbx>
                      <wps:bodyPr lIns="0" tIns="0" rIns="0" bIns="0">
                        <a:noAutoFit/>
                      </wps:bodyPr>
                    </wps:wsp>
                  </a:graphicData>
                </a:graphic>
              </wp:anchor>
            </w:drawing>
          </mc:Choice>
          <mc:Fallback>
            <w:pict>
              <v:shape id="_x0000_s1080" type="#_x0000_t202" style="position:absolute;margin-left:103.90000000000001pt;margin-top:2.pt;width:192.95000000000002pt;height:13.200000000000001pt;z-index:251657735;mso-wrap-distance-left:0;mso-wrap-distance-right:0;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纳米多重模板工艺原理，涉及多次刻蚀</w:t>
                      </w:r>
                    </w:p>
                  </w:txbxContent>
                </v:textbox>
                <w10:wrap anchorx="page"/>
              </v:shape>
            </w:pict>
          </mc:Fallback>
        </mc:AlternateConten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芯片线宽的缩小及多重模板工艺等新制造工艺的采用，对刻蚀技术的精确度和重复性要求更 高。刻蚀技术需要在刻蚀速率、各向异性、刻蚀偏差、选择比、深宽比、均匀性、残留物、等离 子体引起的敏感器件损伤、颗粒沾污等指标上满足更高的要求，刻蚀设备随之更新进步，例如： 刻蚀设备的静电吸盘从原来的</w:t>
      </w:r>
      <w:r>
        <w:rPr>
          <w:rFonts w:ascii="Times New Roman" w:eastAsia="Times New Roman" w:hAnsi="Times New Roman" w:cs="Times New Roman"/>
          <w:color w:val="000000"/>
          <w:spacing w:val="0"/>
          <w:w w:val="100"/>
          <w:position w:val="0"/>
        </w:rPr>
        <w:t>4</w:t>
      </w:r>
      <w:r>
        <w:rPr>
          <w:color w:val="000000"/>
          <w:spacing w:val="0"/>
          <w:w w:val="100"/>
          <w:position w:val="0"/>
        </w:rPr>
        <w:t>个分区扩展到超过</w:t>
      </w:r>
      <w:r>
        <w:rPr>
          <w:rFonts w:ascii="Times New Roman" w:eastAsia="Times New Roman" w:hAnsi="Times New Roman" w:cs="Times New Roman"/>
          <w:color w:val="000000"/>
          <w:spacing w:val="0"/>
          <w:w w:val="100"/>
          <w:position w:val="0"/>
        </w:rPr>
        <w:t>20</w:t>
      </w:r>
      <w:r>
        <w:rPr>
          <w:color w:val="000000"/>
          <w:spacing w:val="0"/>
          <w:w w:val="100"/>
          <w:position w:val="0"/>
        </w:rPr>
        <w:t>个分区，以实现更高要求的均匀性；更好 的腔体温度控制提高生产重复性。</w:t>
      </w:r>
    </w:p>
    <w:p>
      <w:pPr>
        <w:pStyle w:val="Style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集成电路</w:t>
      </w:r>
      <w:r>
        <w:rPr>
          <w:rFonts w:ascii="Times New Roman" w:eastAsia="Times New Roman" w:hAnsi="Times New Roman" w:cs="Times New Roman"/>
          <w:color w:val="000000"/>
          <w:spacing w:val="0"/>
          <w:w w:val="100"/>
          <w:position w:val="0"/>
        </w:rPr>
        <w:t>2D</w:t>
      </w:r>
      <w:r>
        <w:rPr>
          <w:color w:val="000000"/>
          <w:spacing w:val="0"/>
          <w:w w:val="100"/>
          <w:position w:val="0"/>
        </w:rPr>
        <w:t>存储器件的线宽已接近物理极限，</w:t>
      </w:r>
      <w:r>
        <w:rPr>
          <w:rFonts w:ascii="Times New Roman" w:eastAsia="Times New Roman" w:hAnsi="Times New Roman" w:cs="Times New Roman"/>
          <w:color w:val="000000"/>
          <w:spacing w:val="0"/>
          <w:w w:val="100"/>
          <w:position w:val="0"/>
        </w:rPr>
        <w:t>NAND</w:t>
      </w:r>
      <w:r>
        <w:rPr>
          <w:color w:val="000000"/>
          <w:spacing w:val="0"/>
          <w:w w:val="100"/>
          <w:position w:val="0"/>
        </w:rPr>
        <w:t>闪存已进入</w:t>
      </w:r>
      <w:r>
        <w:rPr>
          <w:rFonts w:ascii="Times New Roman" w:eastAsia="Times New Roman" w:hAnsi="Times New Roman" w:cs="Times New Roman"/>
          <w:color w:val="000000"/>
          <w:spacing w:val="0"/>
          <w:w w:val="100"/>
          <w:position w:val="0"/>
        </w:rPr>
        <w:t>3D</w:t>
      </w:r>
      <w:r>
        <w:rPr>
          <w:color w:val="000000"/>
          <w:spacing w:val="0"/>
          <w:w w:val="100"/>
          <w:position w:val="0"/>
        </w:rPr>
        <w:t>时代。目前</w:t>
      </w:r>
      <w:r>
        <w:rPr>
          <w:rFonts w:ascii="Times New Roman" w:eastAsia="Times New Roman" w:hAnsi="Times New Roman" w:cs="Times New Roman"/>
          <w:color w:val="000000"/>
          <w:spacing w:val="0"/>
          <w:w w:val="100"/>
          <w:position w:val="0"/>
        </w:rPr>
        <w:t>64</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闪存已进入大生产，</w:t>
      </w:r>
      <w:r>
        <w:rPr>
          <w:rFonts w:ascii="Times New Roman" w:eastAsia="Times New Roman" w:hAnsi="Times New Roman" w:cs="Times New Roman"/>
          <w:color w:val="000000"/>
          <w:spacing w:val="0"/>
          <w:w w:val="100"/>
          <w:position w:val="0"/>
        </w:rPr>
        <w:t>96</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层闪存已处于批量生产阶段。</w:t>
      </w:r>
      <w:r>
        <w:rPr>
          <w:rFonts w:ascii="Times New Roman" w:eastAsia="Times New Roman" w:hAnsi="Times New Roman" w:cs="Times New Roman"/>
          <w:color w:val="000000"/>
          <w:spacing w:val="0"/>
          <w:w w:val="100"/>
          <w:position w:val="0"/>
        </w:rPr>
        <w:t>3D NAND</w:t>
      </w:r>
      <w:r>
        <w:rPr>
          <w:color w:val="000000"/>
          <w:spacing w:val="0"/>
          <w:w w:val="100"/>
          <w:position w:val="0"/>
        </w:rPr>
        <w:t>制造工艺中，增</w:t>
      </w: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加集成度的主要方法不再是缩小单层上线宽而是增加堆叠的层数。刻蚀要在氧化硅和氮化硅的叠</w:t>
      </w:r>
    </w:p>
    <w:p>
      <w:pPr>
        <w:pStyle w:val="Style2"/>
        <w:keepNext w:val="0"/>
        <w:keepLines w:val="0"/>
        <w:widowControl w:val="0"/>
        <w:shd w:val="clear" w:color="auto" w:fill="auto"/>
        <w:tabs>
          <w:tab w:pos="1977" w:val="left"/>
          <w:tab w:pos="2817" w:val="left"/>
        </w:tabs>
        <w:bidi w:val="0"/>
        <w:spacing w:before="0" w:after="160" w:line="240" w:lineRule="auto"/>
        <w:ind w:left="0" w:right="0" w:firstLine="0"/>
        <w:jc w:val="both"/>
      </w:pPr>
      <w:r>
        <w:rPr>
          <w:color w:val="000000"/>
          <w:spacing w:val="0"/>
          <w:w w:val="100"/>
          <w:position w:val="0"/>
        </w:rPr>
        <w:t>层结构上，加工</w:t>
      </w:r>
      <w:r>
        <w:rPr>
          <w:rFonts w:ascii="Times New Roman" w:eastAsia="Times New Roman" w:hAnsi="Times New Roman" w:cs="Times New Roman"/>
          <w:color w:val="000000"/>
          <w:spacing w:val="0"/>
          <w:w w:val="100"/>
          <w:position w:val="0"/>
        </w:rPr>
        <w:t>40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60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的极深孔或极深的沟槽。</w:t>
      </w:r>
      <w:r>
        <w:rPr>
          <w:rFonts w:ascii="Times New Roman" w:eastAsia="Times New Roman" w:hAnsi="Times New Roman" w:cs="Times New Roman"/>
          <w:color w:val="000000"/>
          <w:spacing w:val="0"/>
          <w:w w:val="100"/>
          <w:position w:val="0"/>
        </w:rPr>
        <w:t>3D NAND</w:t>
      </w:r>
      <w:r>
        <w:rPr>
          <w:color w:val="000000"/>
          <w:spacing w:val="0"/>
          <w:w w:val="100"/>
          <w:position w:val="0"/>
        </w:rPr>
        <w:t>层数的增加要求刻蚀技术实</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现更高的深宽比。</w:t>
      </w:r>
    </w:p>
    <w:p>
      <w:pPr>
        <w:pStyle w:val="Style6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2D NAND</w:t>
      </w:r>
      <w:r>
        <w:rPr>
          <w:color w:val="000000"/>
          <w:spacing w:val="0"/>
          <w:w w:val="100"/>
          <w:position w:val="0"/>
        </w:rPr>
        <w:t>及</w:t>
      </w:r>
      <w:r>
        <w:rPr>
          <w:rFonts w:ascii="Times New Roman" w:eastAsia="Times New Roman" w:hAnsi="Times New Roman" w:cs="Times New Roman"/>
          <w:color w:val="000000"/>
          <w:spacing w:val="0"/>
          <w:w w:val="100"/>
          <w:position w:val="0"/>
        </w:rPr>
        <w:t>3D NAND</w:t>
      </w:r>
      <w:r>
        <w:rPr>
          <w:color w:val="000000"/>
          <w:spacing w:val="0"/>
          <w:w w:val="100"/>
          <w:position w:val="0"/>
        </w:rPr>
        <w:t>示意图</w:t>
      </w:r>
    </w:p>
    <w:p>
      <w:pPr>
        <w:widowControl w:val="0"/>
        <w:jc w:val="center"/>
        <w:rPr>
          <w:sz w:val="2"/>
          <w:szCs w:val="2"/>
        </w:rPr>
      </w:pPr>
      <w:r>
        <w:drawing>
          <wp:inline>
            <wp:extent cx="3816350" cy="204851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1"/>
                    <a:stretch/>
                  </pic:blipFill>
                  <pic:spPr>
                    <a:xfrm>
                      <a:ext cx="3816350" cy="2048510"/>
                    </a:xfrm>
                    <a:prstGeom prst="rect"/>
                  </pic:spPr>
                </pic:pic>
              </a:graphicData>
            </a:graphic>
          </wp:inline>
        </w:drawing>
      </w:r>
    </w:p>
    <w:p>
      <w:pPr>
        <w:widowControl w:val="0"/>
        <w:spacing w:after="479" w:line="1" w:lineRule="exact"/>
      </w:pPr>
    </w:p>
    <w:p>
      <w:pPr>
        <w:pStyle w:val="Style35"/>
        <w:keepNext/>
        <w:keepLines/>
        <w:widowControl w:val="0"/>
        <w:shd w:val="clear" w:color="auto" w:fill="auto"/>
        <w:tabs>
          <w:tab w:pos="789" w:val="left"/>
        </w:tabs>
        <w:bidi w:val="0"/>
        <w:spacing w:before="0" w:after="0" w:line="409" w:lineRule="exact"/>
        <w:ind w:left="0" w:right="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3</w:t>
      </w:r>
      <w:bookmarkEnd w:id="115"/>
      <w:r>
        <w:rPr>
          <w:color w:val="000000"/>
          <w:spacing w:val="0"/>
          <w:w w:val="100"/>
          <w:position w:val="0"/>
        </w:rPr>
        <w:t>、</w:t>
        <w:tab/>
      </w:r>
      <w:r>
        <w:rPr>
          <w:rFonts w:ascii="Times New Roman" w:eastAsia="Times New Roman" w:hAnsi="Times New Roman" w:cs="Times New Roman"/>
          <w:color w:val="000000"/>
          <w:spacing w:val="0"/>
          <w:w w:val="100"/>
          <w:position w:val="0"/>
        </w:rPr>
        <w:t>MOCVD</w:t>
      </w:r>
      <w:r>
        <w:rPr>
          <w:color w:val="000000"/>
          <w:spacing w:val="0"/>
          <w:w w:val="100"/>
          <w:position w:val="0"/>
        </w:rPr>
        <w:t>设备行业在新技术方面近年来的发展情况与未来发展趋势</w:t>
      </w:r>
      <w:bookmarkEnd w:id="113"/>
      <w:bookmarkEnd w:id="114"/>
      <w:bookmarkEnd w:id="116"/>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制造蓝光</w:t>
      </w:r>
      <w:r>
        <w:rPr>
          <w:rFonts w:ascii="Times New Roman" w:eastAsia="Times New Roman" w:hAnsi="Times New Roman" w:cs="Times New Roman"/>
          <w:color w:val="000000"/>
          <w:spacing w:val="0"/>
          <w:w w:val="100"/>
          <w:position w:val="0"/>
        </w:rPr>
        <w:t>LED</w:t>
      </w:r>
      <w:r>
        <w:rPr>
          <w:color w:val="000000"/>
          <w:spacing w:val="0"/>
          <w:w w:val="100"/>
          <w:position w:val="0"/>
        </w:rPr>
        <w:t>外延片的</w:t>
      </w:r>
      <w:r>
        <w:rPr>
          <w:rFonts w:ascii="Times New Roman" w:eastAsia="Times New Roman" w:hAnsi="Times New Roman" w:cs="Times New Roman"/>
          <w:color w:val="000000"/>
          <w:spacing w:val="0"/>
          <w:w w:val="100"/>
          <w:position w:val="0"/>
        </w:rPr>
        <w:t>MOCVD</w:t>
      </w:r>
      <w:r>
        <w:rPr>
          <w:color w:val="000000"/>
          <w:spacing w:val="0"/>
          <w:w w:val="100"/>
          <w:position w:val="0"/>
        </w:rPr>
        <w:t>技术已达到较为成熟的阶段，</w:t>
      </w:r>
      <w:r>
        <w:rPr>
          <w:rFonts w:ascii="Times New Roman" w:eastAsia="Times New Roman" w:hAnsi="Times New Roman" w:cs="Times New Roman"/>
          <w:color w:val="000000"/>
          <w:spacing w:val="0"/>
          <w:w w:val="100"/>
          <w:position w:val="0"/>
        </w:rPr>
        <w:t>MOCVD</w:t>
      </w:r>
      <w:r>
        <w:rPr>
          <w:color w:val="000000"/>
          <w:spacing w:val="0"/>
          <w:w w:val="100"/>
          <w:position w:val="0"/>
        </w:rPr>
        <w:t>设备企业目前主要 在提高大规模外延生产所需的性能、降低生产成本、具备大尺寸衬底外延能力等方面进行技术开 发，以满足下游应用市场的需求。</w:t>
      </w:r>
    </w:p>
    <w:p>
      <w:pPr>
        <w:pStyle w:val="Style2"/>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MOCVD</w:t>
      </w:r>
      <w:r>
        <w:rPr>
          <w:color w:val="000000"/>
          <w:spacing w:val="0"/>
          <w:w w:val="100"/>
          <w:position w:val="0"/>
        </w:rPr>
        <w:t>设备还可制造应用于高端显示用</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w:t>
      </w:r>
      <w:r>
        <w:rPr>
          <w:color w:val="000000"/>
          <w:spacing w:val="0"/>
          <w:w w:val="100"/>
          <w:position w:val="0"/>
        </w:rPr>
        <w:t>消毒和促进植物生长用 的紫外</w:t>
      </w:r>
      <w:r>
        <w:rPr>
          <w:rFonts w:ascii="Times New Roman" w:eastAsia="Times New Roman" w:hAnsi="Times New Roman" w:cs="Times New Roman"/>
          <w:color w:val="000000"/>
          <w:spacing w:val="0"/>
          <w:w w:val="100"/>
          <w:position w:val="0"/>
        </w:rPr>
        <w:t>LED</w:t>
      </w:r>
      <w:r>
        <w:rPr>
          <w:color w:val="000000"/>
          <w:spacing w:val="0"/>
          <w:w w:val="100"/>
          <w:position w:val="0"/>
        </w:rPr>
        <w:t>、</w:t>
      </w:r>
      <w:r>
        <w:rPr>
          <w:color w:val="000000"/>
          <w:spacing w:val="0"/>
          <w:w w:val="100"/>
          <w:position w:val="0"/>
        </w:rPr>
        <w:t>用于电力电子领域的功率器件等。</w:t>
      </w:r>
    </w:p>
    <w:p>
      <w:pPr>
        <w:pStyle w:val="Style35"/>
        <w:keepNext/>
        <w:keepLines/>
        <w:widowControl w:val="0"/>
        <w:shd w:val="clear" w:color="auto" w:fill="auto"/>
        <w:tabs>
          <w:tab w:pos="789" w:val="left"/>
        </w:tabs>
        <w:bidi w:val="0"/>
        <w:spacing w:before="0" w:after="0" w:line="409" w:lineRule="exact"/>
        <w:ind w:left="0" w:right="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4</w:t>
      </w:r>
      <w:bookmarkEnd w:id="119"/>
      <w:r>
        <w:rPr>
          <w:color w:val="000000"/>
          <w:spacing w:val="0"/>
          <w:w w:val="100"/>
          <w:position w:val="0"/>
        </w:rPr>
        <w:t>、</w:t>
        <w:tab/>
        <w:t>所属行业在新产业、新业态、新模式方面近年来的发展情况与未来发展趋势</w:t>
      </w:r>
      <w:bookmarkEnd w:id="117"/>
      <w:bookmarkEnd w:id="118"/>
      <w:bookmarkEnd w:id="120"/>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半导体在技术上的不断突破所带来的应用迭代，改变了许多传统行业亦催生出众多应用，如 互联网、智能手机、人工智能、</w:t>
      </w:r>
      <w:r>
        <w:rPr>
          <w:rFonts w:ascii="Times New Roman" w:eastAsia="Times New Roman" w:hAnsi="Times New Roman" w:cs="Times New Roman"/>
          <w:color w:val="000000"/>
          <w:spacing w:val="0"/>
          <w:w w:val="100"/>
          <w:position w:val="0"/>
        </w:rPr>
        <w:t>5G</w:t>
      </w:r>
      <w:r>
        <w:rPr>
          <w:color w:val="000000"/>
          <w:spacing w:val="0"/>
          <w:w w:val="100"/>
          <w:position w:val="0"/>
        </w:rPr>
        <w:t>等新兴产业。半导体的制造离不开半导体设备，半导体设备 行业的持续发展间接地促进了各类新产业的诞生。</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集成电路应用领域中，以物联网为代表的新兴产业，在可预见的未来内发展趋势明朗。人工 智能、大数据、可穿戴设备、自动驾驶汽车、智能机器人、等应用的发展将释放出大量芯片制造 的需求，进一步推动上游半导体设备行业的稳步增长。</w:t>
      </w:r>
    </w:p>
    <w:p>
      <w:pPr>
        <w:pStyle w:val="Style2"/>
        <w:keepNext w:val="0"/>
        <w:keepLines w:val="0"/>
        <w:widowControl w:val="0"/>
        <w:shd w:val="clear" w:color="auto" w:fill="auto"/>
        <w:bidi w:val="0"/>
        <w:spacing w:before="0" w:after="160" w:line="409" w:lineRule="exact"/>
        <w:ind w:left="0" w:right="0" w:firstLine="420"/>
        <w:jc w:val="both"/>
        <w:sectPr>
          <w:footnotePr>
            <w:pos w:val="pageBottom"/>
            <w:numFmt w:val="decimal"/>
            <w:numRestart w:val="continuous"/>
          </w:footnotePr>
          <w:pgSz w:w="11900" w:h="16840"/>
          <w:pgMar w:top="1178" w:right="1254" w:bottom="1387" w:left="1766" w:header="0" w:footer="3" w:gutter="0"/>
          <w:cols w:space="720"/>
          <w:noEndnote/>
          <w:rtlGutter w:val="0"/>
          <w:docGrid w:linePitch="360"/>
        </w:sectPr>
      </w:pPr>
      <w:r>
        <w:rPr>
          <w:color w:val="000000"/>
          <w:spacing w:val="0"/>
          <w:w w:val="100"/>
          <w:position w:val="0"/>
        </w:rPr>
        <w:t>光电子</w:t>
      </w:r>
      <w:r>
        <w:rPr>
          <w:rFonts w:ascii="Times New Roman" w:eastAsia="Times New Roman" w:hAnsi="Times New Roman" w:cs="Times New Roman"/>
          <w:color w:val="000000"/>
          <w:spacing w:val="0"/>
          <w:w w:val="100"/>
          <w:position w:val="0"/>
        </w:rPr>
        <w:t>LED</w:t>
      </w:r>
      <w:r>
        <w:rPr>
          <w:color w:val="000000"/>
          <w:spacing w:val="0"/>
          <w:w w:val="100"/>
          <w:position w:val="0"/>
        </w:rPr>
        <w:t>产业中，以</w:t>
      </w:r>
      <w:r>
        <w:rPr>
          <w:rFonts w:ascii="Times New Roman" w:eastAsia="Times New Roman" w:hAnsi="Times New Roman" w:cs="Times New Roman"/>
          <w:color w:val="000000"/>
          <w:spacing w:val="0"/>
          <w:w w:val="100"/>
          <w:position w:val="0"/>
        </w:rPr>
        <w:t>LED</w:t>
      </w:r>
      <w:r>
        <w:rPr>
          <w:color w:val="000000"/>
          <w:spacing w:val="0"/>
          <w:w w:val="100"/>
          <w:position w:val="0"/>
        </w:rPr>
        <w:t>新型显示为代表的新兴产业，逐渐成为显示行业追逐的热点。 当前新兴的小间距</w:t>
      </w:r>
      <w:r>
        <w:rPr>
          <w:rFonts w:ascii="Times New Roman" w:eastAsia="Times New Roman" w:hAnsi="Times New Roman" w:cs="Times New Roman"/>
          <w:color w:val="000000"/>
          <w:spacing w:val="0"/>
          <w:w w:val="100"/>
          <w:position w:val="0"/>
        </w:rPr>
        <w:t>LED</w:t>
      </w:r>
      <w:r>
        <w:rPr>
          <w:color w:val="000000"/>
          <w:spacing w:val="0"/>
          <w:w w:val="100"/>
          <w:position w:val="0"/>
        </w:rPr>
        <w:t>显示在物理拼缝、显示效果、功耗、使用寿命方面均有优越表现，未来 随着</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技术的进一步发展和完善，</w:t>
      </w:r>
      <w:r>
        <w:rPr>
          <w:rFonts w:ascii="Times New Roman" w:eastAsia="Times New Roman" w:hAnsi="Times New Roman" w:cs="Times New Roman"/>
          <w:color w:val="000000"/>
          <w:spacing w:val="0"/>
          <w:w w:val="100"/>
          <w:position w:val="0"/>
        </w:rPr>
        <w:t>LED</w:t>
      </w:r>
      <w:r>
        <w:rPr>
          <w:color w:val="000000"/>
          <w:spacing w:val="0"/>
          <w:w w:val="100"/>
          <w:position w:val="0"/>
        </w:rPr>
        <w:t>新型显示产业有望成为继</w:t>
      </w:r>
      <w:r>
        <w:rPr>
          <w:rFonts w:ascii="Times New Roman" w:eastAsia="Times New Roman" w:hAnsi="Times New Roman" w:cs="Times New Roman"/>
          <w:color w:val="000000"/>
          <w:spacing w:val="0"/>
          <w:w w:val="100"/>
          <w:position w:val="0"/>
        </w:rPr>
        <w:t>LED</w:t>
      </w:r>
      <w:r>
        <w:rPr>
          <w:color w:val="000000"/>
          <w:spacing w:val="0"/>
          <w:w w:val="100"/>
          <w:position w:val="0"/>
        </w:rPr>
        <w:t>照 明产业后</w:t>
      </w:r>
      <w:r>
        <w:rPr>
          <w:rFonts w:ascii="Times New Roman" w:eastAsia="Times New Roman" w:hAnsi="Times New Roman" w:cs="Times New Roman"/>
          <w:color w:val="000000"/>
          <w:spacing w:val="0"/>
          <w:w w:val="100"/>
          <w:position w:val="0"/>
        </w:rPr>
        <w:t>MOCVD</w:t>
      </w:r>
      <w:r>
        <w:rPr>
          <w:color w:val="000000"/>
          <w:spacing w:val="0"/>
          <w:w w:val="100"/>
          <w:position w:val="0"/>
        </w:rPr>
        <w:t>应用产业发展最迅速的版块之一。</w:t>
      </w:r>
    </w:p>
    <w:p>
      <w:pPr>
        <w:pStyle w:val="Style2"/>
        <w:keepNext w:val="0"/>
        <w:keepLines w:val="0"/>
        <w:widowControl w:val="0"/>
        <w:numPr>
          <w:ilvl w:val="0"/>
          <w:numId w:val="5"/>
        </w:numPr>
        <w:shd w:val="clear" w:color="auto" w:fill="auto"/>
        <w:bidi w:val="0"/>
        <w:spacing w:before="0" w:after="80" w:line="240" w:lineRule="auto"/>
        <w:ind w:left="0" w:right="0" w:firstLine="0"/>
        <w:jc w:val="left"/>
      </w:pPr>
      <w:bookmarkStart w:id="121" w:name="bookmark121"/>
      <w:bookmarkEnd w:id="121"/>
      <w:r>
        <w:rPr>
          <w:b/>
          <w:bCs/>
          <w:color w:val="000000"/>
          <w:spacing w:val="0"/>
          <w:w w:val="100"/>
          <w:position w:val="0"/>
        </w:rPr>
        <w:t>核心技术与研发进展</w:t>
      </w:r>
    </w:p>
    <w:p>
      <w:pPr>
        <w:pStyle w:val="Style2"/>
        <w:keepNext w:val="0"/>
        <w:keepLines w:val="0"/>
        <w:widowControl w:val="0"/>
        <w:numPr>
          <w:ilvl w:val="0"/>
          <w:numId w:val="7"/>
        </w:numPr>
        <w:shd w:val="clear" w:color="auto" w:fill="auto"/>
        <w:tabs>
          <w:tab w:pos="415" w:val="left"/>
        </w:tabs>
        <w:bidi w:val="0"/>
        <w:spacing w:before="0" w:after="0" w:line="240" w:lineRule="auto"/>
        <w:ind w:left="0" w:right="0" w:firstLine="0"/>
        <w:jc w:val="left"/>
      </w:pPr>
      <w:bookmarkStart w:id="122" w:name="bookmark122"/>
      <w:bookmarkEnd w:id="122"/>
      <w:r>
        <w:rPr>
          <w:b/>
          <w:bCs/>
          <w:color w:val="000000"/>
          <w:spacing w:val="0"/>
          <w:w w:val="100"/>
          <w:position w:val="0"/>
        </w:rPr>
        <w:t>核心技术及其先进性以及报告期内的变化情况</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公司特别重视核心技术的创新。在开发、设计和制造刻蚀设备和</w:t>
      </w:r>
      <w:r>
        <w:rPr>
          <w:rFonts w:ascii="Times New Roman" w:eastAsia="Times New Roman" w:hAnsi="Times New Roman" w:cs="Times New Roman"/>
          <w:color w:val="000000"/>
          <w:spacing w:val="0"/>
          <w:w w:val="100"/>
          <w:position w:val="0"/>
        </w:rPr>
        <w:t>MOCVD</w:t>
      </w:r>
      <w:r>
        <w:rPr>
          <w:color w:val="000000"/>
          <w:spacing w:val="0"/>
          <w:w w:val="100"/>
          <w:position w:val="0"/>
        </w:rPr>
        <w:t>等设备的过程 中，始终强调创新和差异化并保持高强度的研发投入。通过核心技术的创新，公司的产品已达到 国际先进水平。</w:t>
      </w:r>
    </w:p>
    <w:p>
      <w:pPr>
        <w:pStyle w:val="Style2"/>
        <w:keepNext w:val="0"/>
        <w:keepLines w:val="0"/>
        <w:widowControl w:val="0"/>
        <w:shd w:val="clear" w:color="auto" w:fill="auto"/>
        <w:tabs>
          <w:tab w:pos="765" w:val="left"/>
        </w:tabs>
        <w:bidi w:val="0"/>
        <w:spacing w:before="0" w:after="0" w:line="410" w:lineRule="exact"/>
        <w:ind w:left="0" w:right="0" w:firstLine="440"/>
        <w:jc w:val="left"/>
      </w:pPr>
      <w:bookmarkStart w:id="123" w:name="bookmark123"/>
      <w:r>
        <w:rPr>
          <w:rFonts w:ascii="Times New Roman" w:eastAsia="Times New Roman" w:hAnsi="Times New Roman" w:cs="Times New Roman"/>
          <w:b/>
          <w:bCs/>
          <w:color w:val="000000"/>
          <w:spacing w:val="0"/>
          <w:w w:val="100"/>
          <w:position w:val="0"/>
        </w:rPr>
        <w:t>1</w:t>
      </w:r>
      <w:bookmarkEnd w:id="123"/>
      <w:r>
        <w:rPr>
          <w:b/>
          <w:bCs/>
          <w:color w:val="000000"/>
          <w:spacing w:val="0"/>
          <w:w w:val="100"/>
          <w:position w:val="0"/>
        </w:rPr>
        <w:t>、</w:t>
        <w:tab/>
        <w:t>刻蚀设备技术</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在逻辑集成电路制造环节，公司开发的</w:t>
      </w:r>
      <w:r>
        <w:rPr>
          <w:rFonts w:ascii="Times New Roman" w:eastAsia="Times New Roman" w:hAnsi="Times New Roman" w:cs="Times New Roman"/>
          <w:color w:val="000000"/>
          <w:spacing w:val="0"/>
          <w:w w:val="100"/>
          <w:position w:val="0"/>
        </w:rPr>
        <w:t>12</w:t>
      </w:r>
      <w:r>
        <w:rPr>
          <w:color w:val="000000"/>
          <w:spacing w:val="0"/>
          <w:w w:val="100"/>
          <w:position w:val="0"/>
        </w:rPr>
        <w:t>英寸高端刻蚀设备已运用在国际知名客户</w:t>
      </w:r>
      <w:r>
        <w:rPr>
          <w:rFonts w:ascii="Times New Roman" w:eastAsia="Times New Roman" w:hAnsi="Times New Roman" w:cs="Times New Roman"/>
          <w:color w:val="000000"/>
          <w:spacing w:val="0"/>
          <w:w w:val="100"/>
          <w:position w:val="0"/>
        </w:rPr>
        <w:t>65</w:t>
      </w:r>
      <w:r>
        <w:rPr>
          <w:color w:val="000000"/>
          <w:spacing w:val="0"/>
          <w:w w:val="100"/>
          <w:position w:val="0"/>
        </w:rPr>
        <w:t>纳米 到</w:t>
      </w:r>
      <w:r>
        <w:rPr>
          <w:rFonts w:ascii="Times New Roman" w:eastAsia="Times New Roman" w:hAnsi="Times New Roman" w:cs="Times New Roman"/>
          <w:color w:val="000000"/>
          <w:spacing w:val="0"/>
          <w:w w:val="100"/>
          <w:position w:val="0"/>
        </w:rPr>
        <w:t>5</w:t>
      </w:r>
      <w:r>
        <w:rPr>
          <w:color w:val="000000"/>
          <w:spacing w:val="0"/>
          <w:w w:val="100"/>
          <w:position w:val="0"/>
        </w:rPr>
        <w:t>纳米等先进的芯片生产线上；同时，公司根据先进集成电路厂商的需求，已开发出小于</w:t>
      </w:r>
      <w:r>
        <w:rPr>
          <w:rFonts w:ascii="Times New Roman" w:eastAsia="Times New Roman" w:hAnsi="Times New Roman" w:cs="Times New Roman"/>
          <w:color w:val="000000"/>
          <w:spacing w:val="0"/>
          <w:w w:val="100"/>
          <w:position w:val="0"/>
        </w:rPr>
        <w:t>5</w:t>
      </w:r>
      <w:r>
        <w:rPr>
          <w:color w:val="000000"/>
          <w:spacing w:val="0"/>
          <w:w w:val="100"/>
          <w:position w:val="0"/>
        </w:rPr>
        <w:t>纳 米刻蚀设备用于若干关键步骤的加工，并已获得行业领先客户的批量订单。公司目前正在配合客 户需求，开发新一代刻蚀设备和包括更先进大马士革在内的刻蚀工艺，能够涵盖</w:t>
      </w:r>
      <w:r>
        <w:rPr>
          <w:rFonts w:ascii="Times New Roman" w:eastAsia="Times New Roman" w:hAnsi="Times New Roman" w:cs="Times New Roman"/>
          <w:color w:val="000000"/>
          <w:spacing w:val="0"/>
          <w:w w:val="100"/>
          <w:position w:val="0"/>
        </w:rPr>
        <w:t>5</w:t>
      </w:r>
      <w:r>
        <w:rPr>
          <w:color w:val="000000"/>
          <w:spacing w:val="0"/>
          <w:w w:val="100"/>
          <w:position w:val="0"/>
        </w:rPr>
        <w:t>纳米以下更多 刻蚀需求和更多不同关键应用的设备。</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w:t>
      </w:r>
      <w:r>
        <w:rPr>
          <w:rFonts w:ascii="Times New Roman" w:eastAsia="Times New Roman" w:hAnsi="Times New Roman" w:cs="Times New Roman"/>
          <w:color w:val="000000"/>
          <w:spacing w:val="0"/>
          <w:w w:val="100"/>
          <w:position w:val="0"/>
        </w:rPr>
        <w:t>3D NAND</w:t>
      </w:r>
      <w:r>
        <w:rPr>
          <w:color w:val="000000"/>
          <w:spacing w:val="0"/>
          <w:w w:val="100"/>
          <w:position w:val="0"/>
        </w:rPr>
        <w:t>芯片制造环节，公司的电容性等离子体刻蚀设备可应用于</w:t>
      </w:r>
      <w:r>
        <w:rPr>
          <w:rFonts w:ascii="Times New Roman" w:eastAsia="Times New Roman" w:hAnsi="Times New Roman" w:cs="Times New Roman"/>
          <w:color w:val="000000"/>
          <w:spacing w:val="0"/>
          <w:w w:val="100"/>
          <w:position w:val="0"/>
        </w:rPr>
        <w:t>64</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层的量 产，同时公司根据存储器厂商的需求正在开发新一代能够涵盖</w:t>
      </w:r>
      <w:r>
        <w:rPr>
          <w:rFonts w:ascii="Times New Roman" w:eastAsia="Times New Roman" w:hAnsi="Times New Roman" w:cs="Times New Roman"/>
          <w:color w:val="000000"/>
          <w:spacing w:val="0"/>
          <w:w w:val="100"/>
          <w:position w:val="0"/>
        </w:rPr>
        <w:t>128</w:t>
      </w:r>
      <w:r>
        <w:rPr>
          <w:color w:val="000000"/>
          <w:spacing w:val="0"/>
          <w:w w:val="100"/>
          <w:position w:val="0"/>
        </w:rPr>
        <w:t>层及以上关键刻蚀应用以及相 对应的极高深宽比的刻蚀设备和工艺。</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此外，公司的电感性等离子刻蚀设备已经在多个逻辑芯片和存储芯片厂商的生产线上量产， 根据客户的技术发展需求，正在进行下一代产品的技术研发，以满足</w:t>
      </w:r>
      <w:r>
        <w:rPr>
          <w:rFonts w:ascii="Times New Roman" w:eastAsia="Times New Roman" w:hAnsi="Times New Roman" w:cs="Times New Roman"/>
          <w:color w:val="000000"/>
          <w:spacing w:val="0"/>
          <w:w w:val="100"/>
          <w:position w:val="0"/>
        </w:rPr>
        <w:t>5</w:t>
      </w:r>
      <w:r>
        <w:rPr>
          <w:color w:val="000000"/>
          <w:spacing w:val="0"/>
          <w:w w:val="100"/>
          <w:position w:val="0"/>
        </w:rPr>
        <w:t xml:space="preserve">纳米以下的逻辑芯片、 </w:t>
      </w:r>
      <w:r>
        <w:rPr>
          <w:rFonts w:ascii="Times New Roman" w:eastAsia="Times New Roman" w:hAnsi="Times New Roman" w:cs="Times New Roman"/>
          <w:color w:val="000000"/>
          <w:spacing w:val="0"/>
          <w:w w:val="100"/>
          <w:position w:val="0"/>
        </w:rPr>
        <w:t>1X</w:t>
      </w:r>
      <w:r>
        <w:rPr>
          <w:color w:val="000000"/>
          <w:spacing w:val="0"/>
          <w:w w:val="100"/>
          <w:position w:val="0"/>
        </w:rPr>
        <w:t>纳米的</w:t>
      </w:r>
      <w:r>
        <w:rPr>
          <w:rFonts w:ascii="Times New Roman" w:eastAsia="Times New Roman" w:hAnsi="Times New Roman" w:cs="Times New Roman"/>
          <w:color w:val="000000"/>
          <w:spacing w:val="0"/>
          <w:w w:val="100"/>
          <w:position w:val="0"/>
        </w:rPr>
        <w:t>DRAM</w:t>
      </w:r>
      <w:r>
        <w:rPr>
          <w:color w:val="000000"/>
          <w:spacing w:val="0"/>
          <w:w w:val="100"/>
          <w:position w:val="0"/>
        </w:rPr>
        <w:t>芯片和</w:t>
      </w:r>
      <w:r>
        <w:rPr>
          <w:rFonts w:ascii="Times New Roman" w:eastAsia="Times New Roman" w:hAnsi="Times New Roman" w:cs="Times New Roman"/>
          <w:color w:val="000000"/>
          <w:spacing w:val="0"/>
          <w:w w:val="100"/>
          <w:position w:val="0"/>
        </w:rPr>
        <w:t>128</w:t>
      </w:r>
      <w:r>
        <w:rPr>
          <w:color w:val="000000"/>
          <w:spacing w:val="0"/>
          <w:w w:val="100"/>
          <w:position w:val="0"/>
        </w:rPr>
        <w:t>层以上的</w:t>
      </w:r>
      <w:r>
        <w:rPr>
          <w:rFonts w:ascii="Times New Roman" w:eastAsia="Times New Roman" w:hAnsi="Times New Roman" w:cs="Times New Roman"/>
          <w:color w:val="000000"/>
          <w:spacing w:val="0"/>
          <w:w w:val="100"/>
          <w:position w:val="0"/>
        </w:rPr>
        <w:t>3D NAND</w:t>
      </w:r>
      <w:r>
        <w:rPr>
          <w:color w:val="000000"/>
          <w:spacing w:val="0"/>
          <w:w w:val="100"/>
          <w:position w:val="0"/>
        </w:rPr>
        <w:t>芯片等产品的</w:t>
      </w:r>
      <w:r>
        <w:rPr>
          <w:rFonts w:ascii="Times New Roman" w:eastAsia="Times New Roman" w:hAnsi="Times New Roman" w:cs="Times New Roman"/>
          <w:color w:val="000000"/>
          <w:spacing w:val="0"/>
          <w:w w:val="100"/>
          <w:position w:val="0"/>
        </w:rPr>
        <w:t>ICP</w:t>
      </w:r>
      <w:r>
        <w:rPr>
          <w:color w:val="000000"/>
          <w:spacing w:val="0"/>
          <w:w w:val="100"/>
          <w:position w:val="0"/>
        </w:rPr>
        <w:t xml:space="preserve">刻蚀需求，并进行高产出的 </w:t>
      </w:r>
      <w:r>
        <w:rPr>
          <w:rFonts w:ascii="Times New Roman" w:eastAsia="Times New Roman" w:hAnsi="Times New Roman" w:cs="Times New Roman"/>
          <w:color w:val="000000"/>
          <w:spacing w:val="0"/>
          <w:w w:val="100"/>
          <w:position w:val="0"/>
        </w:rPr>
        <w:t>ICP</w:t>
      </w:r>
      <w:r>
        <w:rPr>
          <w:color w:val="000000"/>
          <w:spacing w:val="0"/>
          <w:w w:val="100"/>
          <w:position w:val="0"/>
        </w:rPr>
        <w:t>刻蚀设备的研发。</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公司的刻蚀设备技术处于世界先进水平，符合产业发展趋势。</w:t>
      </w:r>
    </w:p>
    <w:p>
      <w:pPr>
        <w:pStyle w:val="Style35"/>
        <w:keepNext/>
        <w:keepLines/>
        <w:widowControl w:val="0"/>
        <w:shd w:val="clear" w:color="auto" w:fill="auto"/>
        <w:tabs>
          <w:tab w:pos="774" w:val="left"/>
        </w:tabs>
        <w:bidi w:val="0"/>
        <w:spacing w:before="0" w:after="0" w:line="410" w:lineRule="exact"/>
        <w:ind w:left="0" w:right="0" w:firstLine="44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r>
      <w:r>
        <w:rPr>
          <w:rFonts w:ascii="Times New Roman" w:eastAsia="Times New Roman" w:hAnsi="Times New Roman" w:cs="Times New Roman"/>
          <w:color w:val="000000"/>
          <w:spacing w:val="0"/>
          <w:w w:val="100"/>
          <w:position w:val="0"/>
        </w:rPr>
        <w:t>MOCVD</w:t>
      </w:r>
      <w:r>
        <w:rPr>
          <w:color w:val="000000"/>
          <w:spacing w:val="0"/>
          <w:w w:val="100"/>
          <w:position w:val="0"/>
        </w:rPr>
        <w:t>设备技术</w:t>
      </w:r>
      <w:bookmarkEnd w:id="124"/>
      <w:bookmarkEnd w:id="125"/>
      <w:bookmarkEnd w:id="127"/>
    </w:p>
    <w:p>
      <w:pPr>
        <w:pStyle w:val="Style2"/>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公司的</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Prismo D-Blue</w:t>
      </w:r>
      <w:r>
        <w:rPr>
          <w:color w:val="000000"/>
          <w:spacing w:val="0"/>
          <w:w w:val="100"/>
          <w:position w:val="0"/>
        </w:rPr>
        <w:t>、</w:t>
      </w:r>
      <w:r>
        <w:rPr>
          <w:rFonts w:ascii="Times New Roman" w:eastAsia="Times New Roman" w:hAnsi="Times New Roman" w:cs="Times New Roman"/>
          <w:color w:val="000000"/>
          <w:spacing w:val="0"/>
          <w:w w:val="100"/>
          <w:position w:val="0"/>
        </w:rPr>
        <w:t>Prismo A7</w:t>
      </w:r>
      <w:r>
        <w:rPr>
          <w:color w:val="000000"/>
          <w:spacing w:val="0"/>
          <w:w w:val="100"/>
          <w:position w:val="0"/>
        </w:rPr>
        <w:t>能分别实现单腔</w:t>
      </w:r>
      <w:r>
        <w:rPr>
          <w:rFonts w:ascii="Times New Roman" w:eastAsia="Times New Roman" w:hAnsi="Times New Roman" w:cs="Times New Roman"/>
          <w:color w:val="000000"/>
          <w:spacing w:val="0"/>
          <w:w w:val="100"/>
          <w:position w:val="0"/>
        </w:rPr>
        <w:t>14</w:t>
      </w:r>
      <w:r>
        <w:rPr>
          <w:color w:val="000000"/>
          <w:spacing w:val="0"/>
          <w:w w:val="100"/>
          <w:position w:val="0"/>
        </w:rPr>
        <w:t>片</w:t>
      </w:r>
      <w:r>
        <w:rPr>
          <w:rFonts w:ascii="Times New Roman" w:eastAsia="Times New Roman" w:hAnsi="Times New Roman" w:cs="Times New Roman"/>
          <w:color w:val="000000"/>
          <w:spacing w:val="0"/>
          <w:w w:val="100"/>
          <w:position w:val="0"/>
        </w:rPr>
        <w:t>4</w:t>
      </w:r>
      <w:r>
        <w:rPr>
          <w:color w:val="000000"/>
          <w:spacing w:val="0"/>
          <w:w w:val="100"/>
          <w:position w:val="0"/>
        </w:rPr>
        <w:t>英寸和单腔</w:t>
      </w:r>
      <w:r>
        <w:rPr>
          <w:rFonts w:ascii="Times New Roman" w:eastAsia="Times New Roman" w:hAnsi="Times New Roman" w:cs="Times New Roman"/>
          <w:color w:val="000000"/>
          <w:spacing w:val="0"/>
          <w:w w:val="100"/>
          <w:position w:val="0"/>
        </w:rPr>
        <w:t>34</w:t>
      </w:r>
      <w:r>
        <w:rPr>
          <w:color w:val="000000"/>
          <w:spacing w:val="0"/>
          <w:w w:val="100"/>
          <w:position w:val="0"/>
        </w:rPr>
        <w:t>片</w:t>
      </w:r>
      <w:r>
        <w:rPr>
          <w:rFonts w:ascii="Times New Roman" w:eastAsia="Times New Roman" w:hAnsi="Times New Roman" w:cs="Times New Roman"/>
          <w:color w:val="000000"/>
          <w:spacing w:val="0"/>
          <w:w w:val="100"/>
          <w:position w:val="0"/>
        </w:rPr>
        <w:t xml:space="preserve">4 </w:t>
      </w:r>
      <w:r>
        <w:rPr>
          <w:color w:val="000000"/>
          <w:spacing w:val="0"/>
          <w:w w:val="100"/>
          <w:position w:val="0"/>
        </w:rPr>
        <w:t>英寸外延片加工能力。公司的</w:t>
      </w:r>
      <w:r>
        <w:rPr>
          <w:rFonts w:ascii="Times New Roman" w:eastAsia="Times New Roman" w:hAnsi="Times New Roman" w:cs="Times New Roman"/>
          <w:color w:val="000000"/>
          <w:spacing w:val="0"/>
          <w:w w:val="100"/>
          <w:position w:val="0"/>
        </w:rPr>
        <w:t>Prismo A7</w:t>
      </w:r>
      <w:r>
        <w:rPr>
          <w:color w:val="000000"/>
          <w:spacing w:val="0"/>
          <w:w w:val="100"/>
          <w:position w:val="0"/>
        </w:rPr>
        <w:t>设备已在全球氮化镓基</w:t>
      </w:r>
      <w:r>
        <w:rPr>
          <w:rFonts w:ascii="Times New Roman" w:eastAsia="Times New Roman" w:hAnsi="Times New Roman" w:cs="Times New Roman"/>
          <w:color w:val="000000"/>
          <w:spacing w:val="0"/>
          <w:w w:val="100"/>
          <w:position w:val="0"/>
        </w:rPr>
        <w:t>LED MOCVD</w:t>
      </w:r>
      <w:r>
        <w:rPr>
          <w:color w:val="000000"/>
          <w:spacing w:val="0"/>
          <w:w w:val="100"/>
          <w:position w:val="0"/>
        </w:rPr>
        <w:t>市场中占据领先 地位。公司研发了用于制造深紫外光</w:t>
      </w:r>
      <w:r>
        <w:rPr>
          <w:rFonts w:ascii="Times New Roman" w:eastAsia="Times New Roman" w:hAnsi="Times New Roman" w:cs="Times New Roman"/>
          <w:color w:val="000000"/>
          <w:spacing w:val="0"/>
          <w:w w:val="100"/>
          <w:position w:val="0"/>
        </w:rPr>
        <w:t>LED</w:t>
      </w:r>
      <w:r>
        <w:rPr>
          <w:color w:val="000000"/>
          <w:spacing w:val="0"/>
          <w:w w:val="100"/>
          <w:position w:val="0"/>
        </w:rPr>
        <w:t>的高温</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Prismo HiT3</w:t>
      </w:r>
      <w:r>
        <w:rPr>
          <w:color w:val="000000"/>
          <w:spacing w:val="0"/>
          <w:w w:val="100"/>
          <w:position w:val="0"/>
        </w:rPr>
        <w:t>,</w:t>
      </w:r>
      <w:r>
        <w:rPr>
          <w:color w:val="000000"/>
          <w:spacing w:val="0"/>
          <w:w w:val="100"/>
          <w:position w:val="0"/>
        </w:rPr>
        <w:t>已在行业领先客 户端用于深紫外</w:t>
      </w:r>
      <w:r>
        <w:rPr>
          <w:rFonts w:ascii="Times New Roman" w:eastAsia="Times New Roman" w:hAnsi="Times New Roman" w:cs="Times New Roman"/>
          <w:color w:val="000000"/>
          <w:spacing w:val="0"/>
          <w:w w:val="100"/>
          <w:position w:val="0"/>
        </w:rPr>
        <w:t>LED</w:t>
      </w:r>
      <w:r>
        <w:rPr>
          <w:color w:val="000000"/>
          <w:spacing w:val="0"/>
          <w:w w:val="100"/>
          <w:position w:val="0"/>
        </w:rPr>
        <w:t>的生产验证并获得重复订单；制造功率器件用</w:t>
      </w:r>
      <w:r>
        <w:rPr>
          <w:rFonts w:ascii="Times New Roman" w:eastAsia="Times New Roman" w:hAnsi="Times New Roman" w:cs="Times New Roman"/>
          <w:color w:val="000000"/>
          <w:spacing w:val="0"/>
          <w:w w:val="100"/>
          <w:position w:val="0"/>
        </w:rPr>
        <w:t>MOCVD</w:t>
      </w:r>
      <w:r>
        <w:rPr>
          <w:color w:val="000000"/>
          <w:spacing w:val="0"/>
          <w:w w:val="100"/>
          <w:position w:val="0"/>
        </w:rPr>
        <w:t>已在客户芯片生产 线上投入试用；用于</w:t>
      </w:r>
      <w:r>
        <w:rPr>
          <w:rFonts w:ascii="Times New Roman" w:eastAsia="Times New Roman" w:hAnsi="Times New Roman" w:cs="Times New Roman"/>
          <w:color w:val="000000"/>
          <w:spacing w:val="0"/>
          <w:w w:val="100"/>
          <w:position w:val="0"/>
        </w:rPr>
        <w:t>Mini LED</w:t>
      </w:r>
      <w:r>
        <w:rPr>
          <w:color w:val="000000"/>
          <w:spacing w:val="0"/>
          <w:w w:val="100"/>
          <w:position w:val="0"/>
        </w:rPr>
        <w:t>生产的</w:t>
      </w:r>
      <w:r>
        <w:rPr>
          <w:rFonts w:ascii="Times New Roman" w:eastAsia="Times New Roman" w:hAnsi="Times New Roman" w:cs="Times New Roman"/>
          <w:color w:val="000000"/>
          <w:spacing w:val="0"/>
          <w:w w:val="100"/>
          <w:position w:val="0"/>
        </w:rPr>
        <w:t>MOCVD</w:t>
      </w:r>
      <w:r>
        <w:rPr>
          <w:color w:val="000000"/>
          <w:spacing w:val="0"/>
          <w:w w:val="100"/>
          <w:position w:val="0"/>
        </w:rPr>
        <w:t>设备的研发工作进展顺利，已有设备在领先客户 端开始进行生产验证；此外，制造</w:t>
      </w:r>
      <w:r>
        <w:rPr>
          <w:rFonts w:ascii="Times New Roman" w:eastAsia="Times New Roman" w:hAnsi="Times New Roman" w:cs="Times New Roman"/>
          <w:color w:val="000000"/>
          <w:spacing w:val="0"/>
          <w:w w:val="100"/>
          <w:position w:val="0"/>
        </w:rPr>
        <w:t>Micro LED</w:t>
      </w:r>
      <w:r>
        <w:rPr>
          <w:color w:val="000000"/>
          <w:spacing w:val="0"/>
          <w:w w:val="100"/>
          <w:position w:val="0"/>
        </w:rPr>
        <w:t>等应用的新型</w:t>
      </w:r>
      <w:r>
        <w:rPr>
          <w:rFonts w:ascii="Times New Roman" w:eastAsia="Times New Roman" w:hAnsi="Times New Roman" w:cs="Times New Roman"/>
          <w:color w:val="000000"/>
          <w:spacing w:val="0"/>
          <w:w w:val="100"/>
          <w:position w:val="0"/>
        </w:rPr>
        <w:t>MOCVD</w:t>
      </w:r>
      <w:r>
        <w:rPr>
          <w:color w:val="000000"/>
          <w:spacing w:val="0"/>
          <w:w w:val="100"/>
          <w:position w:val="0"/>
        </w:rPr>
        <w:t>设备也正在开发中。</w:t>
      </w:r>
    </w:p>
    <w:p>
      <w:pPr>
        <w:pStyle w:val="Style35"/>
        <w:keepNext/>
        <w:keepLines/>
        <w:widowControl w:val="0"/>
        <w:numPr>
          <w:ilvl w:val="0"/>
          <w:numId w:val="7"/>
        </w:numPr>
        <w:shd w:val="clear" w:color="auto" w:fill="auto"/>
        <w:tabs>
          <w:tab w:pos="415" w:val="left"/>
        </w:tabs>
        <w:bidi w:val="0"/>
        <w:spacing w:before="0" w:after="160" w:line="410" w:lineRule="exact"/>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报告期内获得的研发成果</w:t>
      </w:r>
      <w:bookmarkEnd w:id="128"/>
      <w:bookmarkEnd w:id="129"/>
      <w:bookmarkEnd w:id="131"/>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年公司获得的主要奖项:</w:t>
      </w:r>
    </w:p>
    <w:tbl>
      <w:tblPr>
        <w:tblOverlap w:val="never"/>
        <w:jc w:val="center"/>
        <w:tblLayout w:type="fixed"/>
      </w:tblPr>
      <w:tblGrid>
        <w:gridCol w:w="701"/>
        <w:gridCol w:w="1267"/>
        <w:gridCol w:w="3706"/>
        <w:gridCol w:w="3163"/>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奖项名称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授予方</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上海贸易自主品牌示范企业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上海进出口商会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科创之星最佳科创板上市公司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财联社</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年中国半导体设备五强企业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中国半导体行业协会</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中国上市公司科技创新</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新浪财经</w:t>
            </w:r>
          </w:p>
        </w:tc>
      </w:tr>
    </w:tbl>
    <w:p>
      <w:pPr>
        <w:widowControl w:val="0"/>
        <w:spacing w:line="1" w:lineRule="exact"/>
      </w:pPr>
      <w:r>
        <w:br w:type="page"/>
      </w:r>
    </w:p>
    <w:tbl>
      <w:tblPr>
        <w:tblOverlap w:val="never"/>
        <w:jc w:val="center"/>
        <w:tblLayout w:type="fixed"/>
      </w:tblPr>
      <w:tblGrid>
        <w:gridCol w:w="701"/>
        <w:gridCol w:w="1267"/>
        <w:gridCol w:w="3706"/>
        <w:gridCol w:w="3163"/>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奖项名称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授予方</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福布斯中国最具创新力企业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福布斯中国</w:t>
            </w:r>
          </w:p>
        </w:tc>
      </w:tr>
      <w:tr>
        <w:trPr>
          <w:trHeight w:val="48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品牌力量奖</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国家半导体照明工程研发及产业联盟 组委会</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国家企业技术中心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称号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国家发改委、科技部、财政部等部</w:t>
            </w:r>
          </w:p>
        </w:tc>
      </w:tr>
      <w:tr>
        <w:trPr>
          <w:trHeight w:val="4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年标准化工作突出贡献单位</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7"/>
                <w:szCs w:val="17"/>
              </w:rPr>
              <w:t xml:space="preserve">全国半导体设备和材料标准化技术委 员会 </w:t>
            </w:r>
            <w:r>
              <w:rPr>
                <w:rFonts w:ascii="Times New Roman" w:eastAsia="Times New Roman" w:hAnsi="Times New Roman" w:cs="Times New Roman"/>
                <w:color w:val="000000"/>
                <w:spacing w:val="0"/>
                <w:w w:val="100"/>
                <w:position w:val="0"/>
                <w:sz w:val="18"/>
                <w:szCs w:val="18"/>
              </w:rPr>
              <w:t>SACTC203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报告期内获得的知识产权列表</w:t>
      </w:r>
    </w:p>
    <w:p>
      <w:pPr>
        <w:widowControl w:val="0"/>
        <w:spacing w:after="239" w:line="1" w:lineRule="exact"/>
      </w:pPr>
    </w:p>
    <w:p>
      <w:pPr>
        <w:widowControl w:val="0"/>
        <w:spacing w:line="1" w:lineRule="exact"/>
      </w:pPr>
    </w:p>
    <w:tbl>
      <w:tblPr>
        <w:tblOverlap w:val="never"/>
        <w:jc w:val="center"/>
        <w:tblLayout w:type="fixed"/>
      </w:tblPr>
      <w:tblGrid>
        <w:gridCol w:w="1771"/>
        <w:gridCol w:w="1762"/>
        <w:gridCol w:w="1766"/>
        <w:gridCol w:w="1766"/>
        <w:gridCol w:w="177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申请数（个）</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获得数（个）</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1,763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w:t>
            </w: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研发投入情况表</w:t>
      </w:r>
    </w:p>
    <w:p>
      <w:pPr>
        <w:widowControl w:val="0"/>
        <w:spacing w:after="3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707"/>
        <w:gridCol w:w="2256"/>
        <w:gridCol w:w="1982"/>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本年度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上年度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变化幅度</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562,580,385.67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249,224,371.96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77,206,285.08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175,348,015.32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639,786,670.75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424,572,387.28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研发投入总额占营业收入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28.14%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21.81%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rFonts w:ascii="Times New Roman" w:eastAsia="Times New Roman" w:hAnsi="Times New Roman" w:cs="Times New Roman"/>
                <w:color w:val="000000"/>
                <w:spacing w:val="0"/>
                <w:w w:val="100"/>
                <w:position w:val="0"/>
              </w:rPr>
              <w:t>6.33</w:t>
            </w:r>
            <w:r>
              <w:rPr>
                <w:color w:val="000000"/>
                <w:spacing w:val="0"/>
                <w:w w:val="100"/>
                <w:position w:val="0"/>
              </w:rPr>
              <w:t>个百分</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研发投入资本化的比重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29.23</w:t>
            </w:r>
            <w:r>
              <w:rPr>
                <w:color w:val="000000"/>
                <w:spacing w:val="0"/>
                <w:w w:val="100"/>
                <w:position w:val="0"/>
              </w:rPr>
              <w:t>个百分</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28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年度，本集团研究开</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发支出共计</w:t>
            </w:r>
            <w:r>
              <w:rPr>
                <w:rFonts w:ascii="Times New Roman" w:eastAsia="Times New Roman" w:hAnsi="Times New Roman" w:cs="Times New Roman"/>
                <w:color w:val="000000"/>
                <w:spacing w:val="0"/>
                <w:w w:val="100"/>
                <w:position w:val="0"/>
              </w:rPr>
              <w:t>639,786,670.75</w:t>
            </w:r>
            <w:r>
              <w:rPr>
                <w:color w:val="000000"/>
                <w:spacing w:val="0"/>
                <w:w w:val="100"/>
                <w:position w:val="0"/>
              </w:rPr>
              <w:t>元，政府补助抵减研发费用</w:t>
            </w:r>
          </w:p>
        </w:tc>
      </w:tr>
    </w:tbl>
    <w:p>
      <w:pPr>
        <w:pStyle w:val="Style58"/>
        <w:keepNext w:val="0"/>
        <w:keepLines w:val="0"/>
        <w:widowControl w:val="0"/>
        <w:shd w:val="clear" w:color="auto" w:fill="auto"/>
        <w:bidi w:val="0"/>
        <w:spacing w:before="0"/>
        <w:ind w:left="0" w:right="0" w:firstLine="0"/>
        <w:jc w:val="left"/>
      </w:pPr>
      <w:r>
        <w:rPr>
          <w:color w:val="000000"/>
          <w:spacing w:val="0"/>
          <w:w w:val="100"/>
          <w:position w:val="0"/>
        </w:rPr>
        <w:t>231,858,983.60</w:t>
      </w:r>
      <w:r>
        <w:rPr>
          <w:rFonts w:ascii="SimSun" w:eastAsia="SimSun" w:hAnsi="SimSun" w:cs="SimSun"/>
          <w:color w:val="000000"/>
          <w:spacing w:val="0"/>
          <w:w w:val="100"/>
          <w:position w:val="0"/>
        </w:rPr>
        <w:t>元，研究开发支出净额为</w:t>
      </w:r>
      <w:r>
        <w:rPr>
          <w:color w:val="000000"/>
          <w:spacing w:val="0"/>
          <w:w w:val="100"/>
          <w:position w:val="0"/>
        </w:rPr>
        <w:t>407,927,687.15</w:t>
      </w:r>
      <w:r>
        <w:rPr>
          <w:rFonts w:ascii="SimSun" w:eastAsia="SimSun" w:hAnsi="SimSun" w:cs="SimSun"/>
          <w:color w:val="000000"/>
          <w:spacing w:val="0"/>
          <w:w w:val="100"/>
          <w:position w:val="0"/>
        </w:rPr>
        <w:t>元；其中，计入研发费用</w:t>
      </w:r>
      <w:r>
        <w:rPr>
          <w:color w:val="000000"/>
          <w:spacing w:val="0"/>
          <w:w w:val="100"/>
          <w:position w:val="0"/>
        </w:rPr>
        <w:t xml:space="preserve">330,721,402.07 </w:t>
      </w:r>
      <w:r>
        <w:rPr>
          <w:rFonts w:ascii="SimSun" w:eastAsia="SimSun" w:hAnsi="SimSun" w:cs="SimSun"/>
          <w:color w:val="000000"/>
          <w:spacing w:val="0"/>
          <w:w w:val="100"/>
          <w:position w:val="0"/>
        </w:rPr>
        <w:t>元，开发支出资本化</w:t>
      </w:r>
      <w:r>
        <w:rPr>
          <w:color w:val="000000"/>
          <w:spacing w:val="0"/>
          <w:w w:val="100"/>
          <w:position w:val="0"/>
        </w:rPr>
        <w:t>77,206,285.08</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年度，本集团研究开发支出共计</w:t>
      </w:r>
      <w:r>
        <w:rPr>
          <w:color w:val="000000"/>
          <w:spacing w:val="0"/>
          <w:w w:val="100"/>
          <w:position w:val="0"/>
        </w:rPr>
        <w:t>424,572,387.28</w:t>
      </w:r>
      <w:r>
        <w:rPr>
          <w:rFonts w:ascii="SimSun" w:eastAsia="SimSun" w:hAnsi="SimSun" w:cs="SimSun"/>
          <w:color w:val="000000"/>
          <w:spacing w:val="0"/>
          <w:w w:val="100"/>
          <w:position w:val="0"/>
        </w:rPr>
        <w:t>元， 政府补助抵减研发费用</w:t>
      </w:r>
      <w:r>
        <w:rPr>
          <w:color w:val="000000"/>
          <w:spacing w:val="0"/>
          <w:w w:val="100"/>
          <w:position w:val="0"/>
        </w:rPr>
        <w:t>15,494,724.39</w:t>
      </w:r>
      <w:r>
        <w:rPr>
          <w:rFonts w:ascii="SimSun" w:eastAsia="SimSun" w:hAnsi="SimSun" w:cs="SimSun"/>
          <w:color w:val="000000"/>
          <w:spacing w:val="0"/>
          <w:w w:val="100"/>
          <w:position w:val="0"/>
        </w:rPr>
        <w:t>元，研究开发支出净额为</w:t>
      </w:r>
      <w:r>
        <w:rPr>
          <w:color w:val="000000"/>
          <w:spacing w:val="0"/>
          <w:w w:val="100"/>
          <w:position w:val="0"/>
        </w:rPr>
        <w:t>409,077,662.89</w:t>
      </w:r>
      <w:r>
        <w:rPr>
          <w:rFonts w:ascii="SimSun" w:eastAsia="SimSun" w:hAnsi="SimSun" w:cs="SimSun"/>
          <w:color w:val="000000"/>
          <w:spacing w:val="0"/>
          <w:w w:val="100"/>
          <w:position w:val="0"/>
        </w:rPr>
        <w:t>元；其中，计入研 发费用</w:t>
      </w:r>
      <w:r>
        <w:rPr>
          <w:color w:val="000000"/>
          <w:spacing w:val="0"/>
          <w:w w:val="100"/>
          <w:position w:val="0"/>
        </w:rPr>
        <w:t>233,729,647.57</w:t>
      </w:r>
      <w:r>
        <w:rPr>
          <w:rFonts w:ascii="SimSun" w:eastAsia="SimSun" w:hAnsi="SimSun" w:cs="SimSun"/>
          <w:color w:val="000000"/>
          <w:spacing w:val="0"/>
          <w:w w:val="100"/>
          <w:position w:val="0"/>
        </w:rPr>
        <w:t>元，开发支出资本化</w:t>
      </w:r>
      <w:r>
        <w:rPr>
          <w:color w:val="000000"/>
          <w:spacing w:val="0"/>
          <w:w w:val="100"/>
          <w:position w:val="0"/>
        </w:rPr>
        <w:t>175,348,015.32</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35"/>
        <w:keepNext/>
        <w:keepLines/>
        <w:widowControl w:val="0"/>
        <w:shd w:val="clear" w:color="auto" w:fill="auto"/>
        <w:bidi w:val="0"/>
        <w:spacing w:before="0" w:after="40" w:line="240" w:lineRule="auto"/>
        <w:ind w:left="0" w:right="0" w:firstLine="0"/>
        <w:jc w:val="left"/>
      </w:pPr>
      <w:bookmarkStart w:id="132" w:name="bookmark132"/>
      <w:bookmarkStart w:id="133" w:name="bookmark133"/>
      <w:bookmarkStart w:id="134" w:name="bookmark134"/>
      <w:r>
        <w:rPr>
          <w:color w:val="000000"/>
          <w:spacing w:val="0"/>
          <w:w w:val="100"/>
          <w:position w:val="0"/>
        </w:rPr>
        <w:t>研发投入总额较上年发生重大变化的原因</w:t>
      </w:r>
      <w:bookmarkEnd w:id="132"/>
      <w:bookmarkEnd w:id="133"/>
      <w:bookmarkEnd w:id="134"/>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40" w:line="40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年研发投入总额为</w:t>
      </w:r>
      <w:r>
        <w:rPr>
          <w:rFonts w:ascii="Times New Roman" w:eastAsia="Times New Roman" w:hAnsi="Times New Roman" w:cs="Times New Roman"/>
          <w:color w:val="000000"/>
          <w:spacing w:val="0"/>
          <w:w w:val="100"/>
          <w:position w:val="0"/>
        </w:rPr>
        <w:t>6.40</w:t>
      </w:r>
      <w:r>
        <w:rPr>
          <w:color w:val="000000"/>
          <w:spacing w:val="0"/>
          <w:w w:val="100"/>
          <w:position w:val="0"/>
        </w:rPr>
        <w:t>亿元，其中包含股份支付费用</w:t>
      </w:r>
      <w:r>
        <w:rPr>
          <w:rFonts w:ascii="Times New Roman" w:eastAsia="Times New Roman" w:hAnsi="Times New Roman" w:cs="Times New Roman"/>
          <w:color w:val="000000"/>
          <w:spacing w:val="0"/>
          <w:w w:val="100"/>
          <w:position w:val="0"/>
        </w:rPr>
        <w:t>0.49</w:t>
      </w:r>
      <w:r>
        <w:rPr>
          <w:color w:val="000000"/>
          <w:spacing w:val="0"/>
          <w:w w:val="100"/>
          <w:position w:val="0"/>
        </w:rPr>
        <w:t>亿元。若剔除股份支付费用 的影响，</w:t>
      </w:r>
      <w:r>
        <w:rPr>
          <w:rFonts w:ascii="Times New Roman" w:eastAsia="Times New Roman" w:hAnsi="Times New Roman" w:cs="Times New Roman"/>
          <w:color w:val="000000"/>
          <w:spacing w:val="0"/>
          <w:w w:val="100"/>
          <w:position w:val="0"/>
        </w:rPr>
        <w:t>2020</w:t>
      </w:r>
      <w:r>
        <w:rPr>
          <w:color w:val="000000"/>
          <w:spacing w:val="0"/>
          <w:w w:val="100"/>
          <w:position w:val="0"/>
        </w:rPr>
        <w:t>年全年研发投入总额为</w:t>
      </w:r>
      <w:r>
        <w:rPr>
          <w:rFonts w:ascii="Times New Roman" w:eastAsia="Times New Roman" w:hAnsi="Times New Roman" w:cs="Times New Roman"/>
          <w:color w:val="000000"/>
          <w:spacing w:val="0"/>
          <w:w w:val="100"/>
          <w:position w:val="0"/>
        </w:rPr>
        <w:t>5.91</w:t>
      </w:r>
      <w:r>
        <w:rPr>
          <w:color w:val="000000"/>
          <w:spacing w:val="0"/>
          <w:w w:val="100"/>
          <w:position w:val="0"/>
        </w:rPr>
        <w:t>亿元，较</w:t>
      </w:r>
      <w:r>
        <w:rPr>
          <w:rFonts w:ascii="Times New Roman" w:eastAsia="Times New Roman" w:hAnsi="Times New Roman" w:cs="Times New Roman"/>
          <w:color w:val="000000"/>
          <w:spacing w:val="0"/>
          <w:w w:val="100"/>
          <w:position w:val="0"/>
        </w:rPr>
        <w:t>2019</w:t>
      </w:r>
      <w:r>
        <w:rPr>
          <w:color w:val="000000"/>
          <w:spacing w:val="0"/>
          <w:w w:val="100"/>
          <w:position w:val="0"/>
        </w:rPr>
        <w:t>年的研发投入总额增长</w:t>
      </w:r>
      <w:r>
        <w:rPr>
          <w:rFonts w:ascii="Times New Roman" w:eastAsia="Times New Roman" w:hAnsi="Times New Roman" w:cs="Times New Roman"/>
          <w:color w:val="000000"/>
          <w:spacing w:val="0"/>
          <w:w w:val="100"/>
          <w:position w:val="0"/>
        </w:rPr>
        <w:t>39.16%</w:t>
      </w:r>
      <w:r>
        <w:rPr>
          <w:color w:val="000000"/>
          <w:spacing w:val="0"/>
          <w:w w:val="100"/>
          <w:position w:val="0"/>
        </w:rPr>
        <w:t>，这主 要是由于本期用于研究开发新的工艺，主要包括存储器刻蚀的</w:t>
      </w:r>
      <w:r>
        <w:rPr>
          <w:rFonts w:ascii="Times New Roman" w:eastAsia="Times New Roman" w:hAnsi="Times New Roman" w:cs="Times New Roman"/>
          <w:color w:val="000000"/>
          <w:spacing w:val="0"/>
          <w:w w:val="100"/>
          <w:position w:val="0"/>
        </w:rPr>
        <w:t>CCP</w:t>
      </w:r>
      <w:r>
        <w:rPr>
          <w:color w:val="000000"/>
          <w:spacing w:val="0"/>
          <w:w w:val="100"/>
          <w:position w:val="0"/>
        </w:rPr>
        <w:t>和</w:t>
      </w:r>
      <w:r>
        <w:rPr>
          <w:rFonts w:ascii="Times New Roman" w:eastAsia="Times New Roman" w:hAnsi="Times New Roman" w:cs="Times New Roman"/>
          <w:color w:val="000000"/>
          <w:spacing w:val="0"/>
          <w:w w:val="100"/>
          <w:position w:val="0"/>
        </w:rPr>
        <w:t>ICP</w:t>
      </w:r>
      <w:r>
        <w:rPr>
          <w:color w:val="000000"/>
          <w:spacing w:val="0"/>
          <w:w w:val="100"/>
          <w:position w:val="0"/>
        </w:rPr>
        <w:t>刻蚀设备、</w:t>
      </w:r>
      <w:r>
        <w:rPr>
          <w:rFonts w:ascii="Times New Roman" w:eastAsia="Times New Roman" w:hAnsi="Times New Roman" w:cs="Times New Roman"/>
          <w:color w:val="000000"/>
          <w:spacing w:val="0"/>
          <w:w w:val="100"/>
          <w:position w:val="0"/>
        </w:rPr>
        <w:t xml:space="preserve">Mini-LED </w:t>
      </w:r>
      <w:r>
        <w:rPr>
          <w:color w:val="000000"/>
          <w:spacing w:val="0"/>
          <w:w w:val="100"/>
          <w:position w:val="0"/>
        </w:rPr>
        <w:t>大规模生产的高输出量</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Micro-LED</w:t>
      </w:r>
      <w:r>
        <w:rPr>
          <w:color w:val="000000"/>
          <w:spacing w:val="0"/>
          <w:w w:val="100"/>
          <w:position w:val="0"/>
        </w:rPr>
        <w:t>应用的新型</w:t>
      </w:r>
      <w:r>
        <w:rPr>
          <w:rFonts w:ascii="Times New Roman" w:eastAsia="Times New Roman" w:hAnsi="Times New Roman" w:cs="Times New Roman"/>
          <w:color w:val="000000"/>
          <w:spacing w:val="0"/>
          <w:w w:val="100"/>
          <w:position w:val="0"/>
        </w:rPr>
        <w:t>MOCVD</w:t>
      </w:r>
      <w:r>
        <w:rPr>
          <w:color w:val="000000"/>
          <w:spacing w:val="0"/>
          <w:w w:val="100"/>
          <w:position w:val="0"/>
        </w:rPr>
        <w:t>设备等。</w:t>
      </w:r>
    </w:p>
    <w:p>
      <w:pPr>
        <w:pStyle w:val="Style35"/>
        <w:keepNext/>
        <w:keepLines/>
        <w:widowControl w:val="0"/>
        <w:shd w:val="clear" w:color="auto" w:fill="auto"/>
        <w:bidi w:val="0"/>
        <w:spacing w:before="0" w:after="40" w:line="240" w:lineRule="auto"/>
        <w:ind w:left="0" w:right="0" w:firstLine="0"/>
        <w:jc w:val="left"/>
      </w:pPr>
      <w:bookmarkStart w:id="135" w:name="bookmark135"/>
      <w:bookmarkStart w:id="136" w:name="bookmark136"/>
      <w:bookmarkStart w:id="137" w:name="bookmark137"/>
      <w:r>
        <w:rPr>
          <w:color w:val="000000"/>
          <w:spacing w:val="0"/>
          <w:w w:val="100"/>
          <w:position w:val="0"/>
        </w:rPr>
        <w:t>研发投入资本化的比重大幅变动的原因及其合理性说明</w:t>
      </w:r>
      <w:bookmarkEnd w:id="135"/>
      <w:bookmarkEnd w:id="136"/>
      <w:bookmarkEnd w:id="137"/>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公司依据企业会计准则的规定，在研发项目满足特定条件后将相关研发投入予以资本化。本 期研发投入资本化的比重较上年同期减少</w:t>
      </w:r>
      <w:r>
        <w:rPr>
          <w:rFonts w:ascii="Times New Roman" w:eastAsia="Times New Roman" w:hAnsi="Times New Roman" w:cs="Times New Roman"/>
          <w:color w:val="000000"/>
          <w:spacing w:val="0"/>
          <w:w w:val="100"/>
          <w:position w:val="0"/>
        </w:rPr>
        <w:t>29.23%</w:t>
      </w:r>
      <w:r>
        <w:rPr>
          <w:color w:val="000000"/>
          <w:spacing w:val="0"/>
          <w:w w:val="100"/>
          <w:position w:val="0"/>
        </w:rPr>
        <w:t>，这主要系本期对新研发项目投入较多，而新 研发项目尚未达到可资本化条件，大部分仍处于费用化阶段。</w:t>
      </w:r>
    </w:p>
    <w:p>
      <w:pPr>
        <w:pStyle w:val="Style35"/>
        <w:keepNext/>
        <w:keepLines/>
        <w:widowControl w:val="0"/>
        <w:numPr>
          <w:ilvl w:val="0"/>
          <w:numId w:val="3"/>
        </w:numPr>
        <w:shd w:val="clear" w:color="auto" w:fill="auto"/>
        <w:bidi w:val="0"/>
        <w:spacing w:before="0" w:after="10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在研项目情况</w:t>
      </w:r>
      <w:bookmarkEnd w:id="138"/>
      <w:bookmarkEnd w:id="139"/>
      <w:bookmarkEnd w:id="141"/>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单位：亿元</w:t>
      </w:r>
    </w:p>
    <w:tbl>
      <w:tblPr>
        <w:tblOverlap w:val="never"/>
        <w:jc w:val="center"/>
        <w:tblLayout w:type="fixed"/>
      </w:tblPr>
      <w:tblGrid>
        <w:gridCol w:w="547"/>
        <w:gridCol w:w="1157"/>
        <w:gridCol w:w="850"/>
        <w:gridCol w:w="758"/>
        <w:gridCol w:w="658"/>
        <w:gridCol w:w="566"/>
        <w:gridCol w:w="2424"/>
        <w:gridCol w:w="566"/>
        <w:gridCol w:w="1310"/>
      </w:tblGrid>
      <w:tr>
        <w:trPr>
          <w:trHeight w:val="8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6"/>
                <w:szCs w:val="16"/>
              </w:rPr>
              <w:t>预计总 投资规 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本期投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累计 投入 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进展 或阶 段性 成果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拟达到目标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技术 水平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具体应用前景</w:t>
            </w:r>
          </w:p>
        </w:tc>
      </w:tr>
      <w:tr>
        <w:trPr>
          <w:trHeight w:val="125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用于存储器 刻蚀的</w:t>
            </w:r>
            <w:r>
              <w:rPr>
                <w:rFonts w:ascii="Times New Roman" w:eastAsia="Times New Roman" w:hAnsi="Times New Roman" w:cs="Times New Roman"/>
                <w:color w:val="000000"/>
                <w:spacing w:val="0"/>
                <w:w w:val="100"/>
                <w:position w:val="0"/>
                <w:sz w:val="16"/>
                <w:szCs w:val="16"/>
              </w:rPr>
              <w:t xml:space="preserve">CCP </w:t>
            </w:r>
            <w:r>
              <w:rPr>
                <w:color w:val="000000"/>
                <w:spacing w:val="0"/>
                <w:w w:val="100"/>
                <w:position w:val="0"/>
                <w:sz w:val="16"/>
                <w:szCs w:val="16"/>
              </w:rPr>
              <w:t>刻蚀设备</w:t>
            </w:r>
          </w:p>
          <w:p>
            <w:pPr>
              <w:pStyle w:val="Style25"/>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128P)</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2" w:lineRule="exact"/>
              <w:ind w:left="0" w:right="0" w:firstLine="0"/>
              <w:jc w:val="both"/>
              <w:rPr>
                <w:sz w:val="16"/>
                <w:szCs w:val="16"/>
              </w:rPr>
            </w:pPr>
            <w:r>
              <w:rPr>
                <w:color w:val="000000"/>
                <w:spacing w:val="0"/>
                <w:w w:val="100"/>
                <w:position w:val="0"/>
                <w:sz w:val="16"/>
                <w:szCs w:val="16"/>
              </w:rPr>
              <w:t>研究 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设计开发超低频和超大功率的 射频等离子系统及对应的静电 吸盘、多区控温性能的上电 极、温度可调节的边缘环系统 等，满足超高深宽比的刻蚀需 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5" w:lineRule="exact"/>
              <w:ind w:left="0" w:right="0" w:firstLine="0"/>
              <w:jc w:val="both"/>
              <w:rPr>
                <w:sz w:val="16"/>
                <w:szCs w:val="16"/>
              </w:rPr>
            </w:pPr>
            <w:r>
              <w:rPr>
                <w:color w:val="000000"/>
                <w:spacing w:val="0"/>
                <w:w w:val="100"/>
                <w:position w:val="0"/>
                <w:sz w:val="16"/>
                <w:szCs w:val="16"/>
              </w:rPr>
              <w:t>追赶 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3D NAND</w:t>
            </w:r>
            <w:r>
              <w:rPr>
                <w:color w:val="000000"/>
                <w:spacing w:val="0"/>
                <w:w w:val="100"/>
                <w:position w:val="0"/>
                <w:sz w:val="16"/>
                <w:szCs w:val="16"/>
              </w:rPr>
              <w:t>，</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&gt;128 </w:t>
            </w:r>
            <w:r>
              <w:rPr>
                <w:color w:val="000000"/>
                <w:spacing w:val="0"/>
                <w:w w:val="100"/>
                <w:position w:val="0"/>
                <w:sz w:val="16"/>
                <w:szCs w:val="16"/>
              </w:rPr>
              <w:t>层</w:t>
            </w:r>
          </w:p>
        </w:tc>
      </w:tr>
      <w:tr>
        <w:trPr>
          <w:trHeight w:val="16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8" w:lineRule="exact"/>
              <w:ind w:left="0" w:right="0" w:firstLine="0"/>
              <w:jc w:val="left"/>
              <w:rPr>
                <w:sz w:val="16"/>
                <w:szCs w:val="16"/>
              </w:rPr>
            </w:pPr>
            <w:r>
              <w:rPr>
                <w:color w:val="000000"/>
                <w:spacing w:val="0"/>
                <w:w w:val="100"/>
                <w:position w:val="0"/>
                <w:sz w:val="16"/>
                <w:szCs w:val="16"/>
              </w:rPr>
              <w:t>台阶及两次 图形曝光刻 蚀设备研发 及产业化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both"/>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0" w:lineRule="exact"/>
              <w:ind w:left="0" w:right="0" w:firstLine="0"/>
              <w:jc w:val="left"/>
              <w:rPr>
                <w:sz w:val="16"/>
                <w:szCs w:val="16"/>
              </w:rPr>
            </w:pPr>
            <w:r>
              <w:rPr>
                <w:color w:val="000000"/>
                <w:spacing w:val="0"/>
                <w:w w:val="100"/>
                <w:position w:val="0"/>
                <w:sz w:val="16"/>
                <w:szCs w:val="16"/>
              </w:rPr>
              <w:t>本项目面向</w:t>
            </w:r>
            <w:r>
              <w:rPr>
                <w:rFonts w:ascii="Times New Roman" w:eastAsia="Times New Roman" w:hAnsi="Times New Roman" w:cs="Times New Roman"/>
                <w:color w:val="000000"/>
                <w:spacing w:val="0"/>
                <w:w w:val="100"/>
                <w:position w:val="0"/>
                <w:sz w:val="16"/>
                <w:szCs w:val="16"/>
              </w:rPr>
              <w:t>300mm 3D NAND Flash</w:t>
            </w:r>
            <w:r>
              <w:rPr>
                <w:color w:val="000000"/>
                <w:spacing w:val="0"/>
                <w:w w:val="100"/>
                <w:position w:val="0"/>
                <w:sz w:val="16"/>
                <w:szCs w:val="16"/>
              </w:rPr>
              <w:t>和</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纳米以下</w:t>
            </w:r>
            <w:r>
              <w:rPr>
                <w:rFonts w:ascii="Times New Roman" w:eastAsia="Times New Roman" w:hAnsi="Times New Roman" w:cs="Times New Roman"/>
                <w:color w:val="000000"/>
                <w:spacing w:val="0"/>
                <w:w w:val="100"/>
                <w:position w:val="0"/>
                <w:sz w:val="16"/>
                <w:szCs w:val="16"/>
              </w:rPr>
              <w:t xml:space="preserve">FinFET </w:t>
            </w:r>
            <w:r>
              <w:rPr>
                <w:color w:val="000000"/>
                <w:spacing w:val="0"/>
                <w:w w:val="100"/>
                <w:position w:val="0"/>
                <w:sz w:val="16"/>
                <w:szCs w:val="16"/>
              </w:rPr>
              <w:t>工艺大生产线需求，开发分别 用于多层台阶刻蚀</w:t>
            </w:r>
            <w:r>
              <w:rPr>
                <w:rFonts w:ascii="Times New Roman" w:eastAsia="Times New Roman" w:hAnsi="Times New Roman" w:cs="Times New Roman"/>
                <w:color w:val="000000"/>
                <w:spacing w:val="0"/>
                <w:w w:val="100"/>
                <w:position w:val="0"/>
                <w:sz w:val="16"/>
                <w:szCs w:val="16"/>
              </w:rPr>
              <w:t xml:space="preserve">(S taircase Etch) </w:t>
            </w:r>
            <w:r>
              <w:rPr>
                <w:color w:val="000000"/>
                <w:spacing w:val="0"/>
                <w:w w:val="100"/>
                <w:position w:val="0"/>
                <w:sz w:val="16"/>
                <w:szCs w:val="16"/>
              </w:rPr>
              <w:t>和两次或多次图形曝光刻 蚀</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Double or Quadruple Patterning Etch)</w:t>
            </w:r>
            <w:r>
              <w:rPr>
                <w:color w:val="000000"/>
                <w:spacing w:val="0"/>
                <w:w w:val="100"/>
                <w:position w:val="0"/>
                <w:sz w:val="16"/>
                <w:szCs w:val="16"/>
              </w:rPr>
              <w:t>等关键工艺刻 蚀设备。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多层台阶刻和 两次或多次图 形曝光刻蚀</w:t>
            </w:r>
          </w:p>
        </w:tc>
      </w:tr>
      <w:tr>
        <w:trPr>
          <w:trHeight w:val="12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用于</w:t>
            </w:r>
            <w:r>
              <w:rPr>
                <w:rFonts w:ascii="Times New Roman" w:eastAsia="Times New Roman" w:hAnsi="Times New Roman" w:cs="Times New Roman"/>
                <w:color w:val="000000"/>
                <w:spacing w:val="0"/>
                <w:w w:val="100"/>
                <w:position w:val="0"/>
                <w:sz w:val="16"/>
                <w:szCs w:val="16"/>
              </w:rPr>
              <w:t>Mini</w:t>
              <w:softHyphen/>
            </w:r>
          </w:p>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LED </w:t>
            </w:r>
            <w:r>
              <w:rPr>
                <w:color w:val="000000"/>
                <w:spacing w:val="0"/>
                <w:w w:val="100"/>
                <w:position w:val="0"/>
                <w:sz w:val="16"/>
                <w:szCs w:val="16"/>
              </w:rPr>
              <w:t>大规模 生产的高输 出量</w:t>
            </w:r>
          </w:p>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2" w:lineRule="exact"/>
              <w:ind w:left="0" w:right="0" w:firstLine="0"/>
              <w:jc w:val="both"/>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研发</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设备，满足</w:t>
            </w:r>
            <w:r>
              <w:rPr>
                <w:rFonts w:ascii="Times New Roman" w:eastAsia="Times New Roman" w:hAnsi="Times New Roman" w:cs="Times New Roman"/>
                <w:color w:val="000000"/>
                <w:spacing w:val="0"/>
                <w:w w:val="100"/>
                <w:position w:val="0"/>
                <w:sz w:val="16"/>
                <w:szCs w:val="16"/>
              </w:rPr>
              <w:t>Mini</w:t>
            </w:r>
          </w:p>
          <w:p>
            <w:pPr>
              <w:pStyle w:val="Style25"/>
              <w:keepNext w:val="0"/>
              <w:keepLines w:val="0"/>
              <w:widowControl w:val="0"/>
              <w:shd w:val="clear" w:color="auto" w:fill="auto"/>
              <w:bidi w:val="0"/>
              <w:spacing w:before="0" w:after="0" w:line="21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6"/>
                <w:szCs w:val="16"/>
              </w:rPr>
              <w:t>生产对于外延设备的要 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Mini LED </w:t>
            </w:r>
            <w:r>
              <w:rPr>
                <w:color w:val="000000"/>
                <w:spacing w:val="0"/>
                <w:w w:val="100"/>
                <w:position w:val="0"/>
                <w:sz w:val="16"/>
                <w:szCs w:val="16"/>
              </w:rPr>
              <w:t>背光 显示屏、电视</w:t>
            </w:r>
          </w:p>
        </w:tc>
      </w:tr>
      <w:tr>
        <w:trPr>
          <w:trHeight w:val="62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先进逻辑电 路的</w:t>
            </w:r>
            <w:r>
              <w:rPr>
                <w:rFonts w:ascii="Times New Roman" w:eastAsia="Times New Roman" w:hAnsi="Times New Roman" w:cs="Times New Roman"/>
                <w:color w:val="000000"/>
                <w:spacing w:val="0"/>
                <w:w w:val="100"/>
                <w:position w:val="0"/>
                <w:sz w:val="16"/>
                <w:szCs w:val="16"/>
              </w:rPr>
              <w:t>CCP</w:t>
            </w:r>
            <w:r>
              <w:rPr>
                <w:color w:val="000000"/>
                <w:spacing w:val="0"/>
                <w:w w:val="100"/>
                <w:position w:val="0"/>
                <w:sz w:val="16"/>
                <w:szCs w:val="16"/>
              </w:rPr>
              <w:t>刻 蚀设备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研究 阶段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实现等离子体密度分布的可调 节，满足均匀性、减少金属污 染和颗粒物的要求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纳米以下逻辑 电路刻蚀</w:t>
            </w:r>
          </w:p>
        </w:tc>
      </w:tr>
      <w:tr>
        <w:trPr>
          <w:trHeight w:val="22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7-5nm ICP </w:t>
            </w:r>
            <w:r>
              <w:rPr>
                <w:color w:val="000000"/>
                <w:spacing w:val="0"/>
                <w:w w:val="100"/>
                <w:position w:val="0"/>
                <w:sz w:val="16"/>
                <w:szCs w:val="16"/>
              </w:rPr>
              <w:t>亥</w:t>
            </w:r>
            <w:r>
              <w:rPr>
                <w:rFonts w:ascii="Times New Roman" w:eastAsia="Times New Roman" w:hAnsi="Times New Roman" w:cs="Times New Roman"/>
                <w:color w:val="000000"/>
                <w:spacing w:val="0"/>
                <w:w w:val="100"/>
                <w:position w:val="0"/>
                <w:sz w:val="16"/>
                <w:szCs w:val="16"/>
              </w:rPr>
              <w:t xml:space="preserve">ij </w:t>
            </w:r>
            <w:r>
              <w:rPr>
                <w:color w:val="000000"/>
                <w:spacing w:val="0"/>
                <w:w w:val="100"/>
                <w:position w:val="0"/>
                <w:sz w:val="16"/>
                <w:szCs w:val="16"/>
              </w:rPr>
              <w:t>蚀机项目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both"/>
              <w:rPr>
                <w:sz w:val="16"/>
                <w:szCs w:val="16"/>
              </w:rPr>
            </w:pPr>
            <w:r>
              <w:rPr>
                <w:color w:val="000000"/>
                <w:spacing w:val="0"/>
                <w:w w:val="100"/>
                <w:position w:val="0"/>
                <w:sz w:val="16"/>
                <w:szCs w:val="16"/>
              </w:rPr>
              <w:t>研究 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8" w:lineRule="exact"/>
              <w:ind w:left="0" w:right="0" w:firstLine="0"/>
              <w:jc w:val="left"/>
              <w:rPr>
                <w:sz w:val="16"/>
                <w:szCs w:val="16"/>
              </w:rPr>
            </w:pPr>
            <w:r>
              <w:rPr>
                <w:color w:val="000000"/>
                <w:spacing w:val="0"/>
                <w:w w:val="100"/>
                <w:position w:val="0"/>
                <w:sz w:val="16"/>
                <w:szCs w:val="16"/>
              </w:rPr>
              <w:t>本项目针对</w:t>
            </w:r>
            <w:r>
              <w:rPr>
                <w:rFonts w:ascii="Times New Roman" w:eastAsia="Times New Roman" w:hAnsi="Times New Roman" w:cs="Times New Roman"/>
                <w:color w:val="000000"/>
                <w:spacing w:val="0"/>
                <w:w w:val="100"/>
                <w:position w:val="0"/>
                <w:sz w:val="16"/>
                <w:szCs w:val="16"/>
              </w:rPr>
              <w:t>7-5</w:t>
            </w:r>
            <w:r>
              <w:rPr>
                <w:color w:val="000000"/>
                <w:spacing w:val="0"/>
                <w:w w:val="100"/>
                <w:position w:val="0"/>
                <w:sz w:val="16"/>
                <w:szCs w:val="16"/>
              </w:rPr>
              <w:t xml:space="preserve">纳米节点 </w:t>
            </w:r>
            <w:r>
              <w:rPr>
                <w:rFonts w:ascii="Times New Roman" w:eastAsia="Times New Roman" w:hAnsi="Times New Roman" w:cs="Times New Roman"/>
                <w:color w:val="000000"/>
                <w:spacing w:val="0"/>
                <w:w w:val="100"/>
                <w:position w:val="0"/>
                <w:sz w:val="16"/>
                <w:szCs w:val="16"/>
              </w:rPr>
              <w:t>FinFET</w:t>
            </w:r>
            <w:r>
              <w:rPr>
                <w:color w:val="000000"/>
                <w:spacing w:val="0"/>
                <w:w w:val="100"/>
                <w:position w:val="0"/>
                <w:sz w:val="16"/>
                <w:szCs w:val="16"/>
              </w:rPr>
              <w:t>结构的逻辑芯片制造中 对电感式耦合</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刻蚀工艺的 要求，在</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纳米</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刻蚀机基 础上，将在腔体结构设计、硅 片周围及极边缘温度控制、射 频和匹配系统、零部件新材料 开发和表面处理等方面进行技 术升级开发，研制出</w:t>
            </w:r>
            <w:r>
              <w:rPr>
                <w:rFonts w:ascii="Times New Roman" w:eastAsia="Times New Roman" w:hAnsi="Times New Roman" w:cs="Times New Roman"/>
                <w:color w:val="000000"/>
                <w:spacing w:val="0"/>
                <w:w w:val="100"/>
                <w:position w:val="0"/>
                <w:sz w:val="16"/>
                <w:szCs w:val="16"/>
              </w:rPr>
              <w:t>7-5</w:t>
            </w:r>
            <w:r>
              <w:rPr>
                <w:color w:val="000000"/>
                <w:spacing w:val="0"/>
                <w:w w:val="100"/>
                <w:position w:val="0"/>
                <w:sz w:val="16"/>
                <w:szCs w:val="16"/>
              </w:rPr>
              <w:t xml:space="preserve">纳米 </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刻蚀机样机并制造工程机 在客户端验证。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先进逻辑和</w:t>
            </w:r>
          </w:p>
          <w:p>
            <w:pPr>
              <w:pStyle w:val="Style25"/>
              <w:keepNext w:val="0"/>
              <w:keepLines w:val="0"/>
              <w:widowControl w:val="0"/>
              <w:shd w:val="clear" w:color="auto" w:fill="auto"/>
              <w:bidi w:val="0"/>
              <w:spacing w:before="0" w:after="0" w:line="20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DRAM</w:t>
            </w:r>
            <w:r>
              <w:rPr>
                <w:color w:val="000000"/>
                <w:spacing w:val="0"/>
                <w:w w:val="100"/>
                <w:position w:val="0"/>
                <w:sz w:val="16"/>
                <w:szCs w:val="16"/>
              </w:rPr>
              <w:t>芯片制 造</w:t>
            </w:r>
          </w:p>
        </w:tc>
      </w:tr>
      <w:tr>
        <w:trPr>
          <w:trHeight w:val="16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8"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ICP 14-7 </w:t>
            </w:r>
            <w:r>
              <w:rPr>
                <w:color w:val="000000"/>
                <w:spacing w:val="0"/>
                <w:w w:val="100"/>
                <w:position w:val="0"/>
                <w:sz w:val="16"/>
                <w:szCs w:val="16"/>
              </w:rPr>
              <w:t>纳 米介质刻蚀 机研发及产 业化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2" w:lineRule="exact"/>
              <w:ind w:left="0" w:right="0" w:firstLine="0"/>
              <w:jc w:val="both"/>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8" w:lineRule="exact"/>
              <w:ind w:left="0" w:right="0" w:firstLine="0"/>
              <w:jc w:val="left"/>
              <w:rPr>
                <w:sz w:val="16"/>
                <w:szCs w:val="16"/>
              </w:rPr>
            </w:pPr>
            <w:r>
              <w:rPr>
                <w:color w:val="000000"/>
                <w:spacing w:val="0"/>
                <w:w w:val="100"/>
                <w:position w:val="0"/>
                <w:sz w:val="16"/>
                <w:szCs w:val="16"/>
              </w:rPr>
              <w:t>本项目针对</w:t>
            </w:r>
            <w:r>
              <w:rPr>
                <w:rFonts w:ascii="Times New Roman" w:eastAsia="Times New Roman" w:hAnsi="Times New Roman" w:cs="Times New Roman"/>
                <w:color w:val="000000"/>
                <w:spacing w:val="0"/>
                <w:w w:val="100"/>
                <w:position w:val="0"/>
                <w:sz w:val="16"/>
                <w:szCs w:val="16"/>
              </w:rPr>
              <w:t>14-7</w:t>
            </w:r>
            <w:r>
              <w:rPr>
                <w:color w:val="000000"/>
                <w:spacing w:val="0"/>
                <w:w w:val="100"/>
                <w:position w:val="0"/>
                <w:sz w:val="16"/>
                <w:szCs w:val="16"/>
              </w:rPr>
              <w:t>纳米节点逻辑 芯片制造涌现出的对刻蚀工艺 的新的要求，开发全新的电感 式耦合</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等离子体介质刻蚀 机，在结构设计、新材料、热 处理、表面处理等方面进行技 术升级开发，实现研发成果产 业化。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9" w:lineRule="exact"/>
              <w:ind w:left="0" w:right="0" w:firstLine="0"/>
              <w:jc w:val="both"/>
              <w:rPr>
                <w:sz w:val="16"/>
                <w:szCs w:val="16"/>
              </w:rPr>
            </w:pPr>
            <w:r>
              <w:rPr>
                <w:color w:val="000000"/>
                <w:spacing w:val="0"/>
                <w:w w:val="100"/>
                <w:position w:val="0"/>
                <w:sz w:val="16"/>
                <w:szCs w:val="16"/>
              </w:rPr>
              <w:t>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10" w:lineRule="exact"/>
              <w:ind w:left="0" w:right="0" w:firstLine="0"/>
              <w:jc w:val="left"/>
              <w:rPr>
                <w:sz w:val="16"/>
                <w:szCs w:val="16"/>
              </w:rPr>
            </w:pPr>
            <w:r>
              <w:rPr>
                <w:color w:val="000000"/>
                <w:spacing w:val="0"/>
                <w:w w:val="100"/>
                <w:position w:val="0"/>
                <w:sz w:val="16"/>
                <w:szCs w:val="16"/>
              </w:rPr>
              <w:t>逻辑芯片和存 储芯片的多重 图形刻蚀</w:t>
            </w:r>
          </w:p>
          <w:p>
            <w:pPr>
              <w:pStyle w:val="Style25"/>
              <w:keepNext w:val="0"/>
              <w:keepLines w:val="0"/>
              <w:widowControl w:val="0"/>
              <w:shd w:val="clear" w:color="auto" w:fill="auto"/>
              <w:bidi w:val="0"/>
              <w:spacing w:before="0" w:after="0" w:line="210" w:lineRule="exact"/>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DPT </w:t>
            </w:r>
            <w:r>
              <w:rPr>
                <w:color w:val="000000"/>
                <w:spacing w:val="0"/>
                <w:w w:val="100"/>
                <w:position w:val="0"/>
                <w:sz w:val="16"/>
                <w:szCs w:val="16"/>
              </w:rPr>
              <w:t xml:space="preserve">和 </w:t>
            </w:r>
            <w:r>
              <w:rPr>
                <w:rFonts w:ascii="Times New Roman" w:eastAsia="Times New Roman" w:hAnsi="Times New Roman" w:cs="Times New Roman"/>
                <w:color w:val="000000"/>
                <w:spacing w:val="0"/>
                <w:w w:val="100"/>
                <w:position w:val="0"/>
                <w:sz w:val="16"/>
                <w:szCs w:val="16"/>
              </w:rPr>
              <w:t>QPT</w:t>
            </w:r>
            <w:r>
              <w:rPr>
                <w:color w:val="000000"/>
                <w:spacing w:val="0"/>
                <w:w w:val="100"/>
                <w:position w:val="0"/>
                <w:sz w:val="16"/>
                <w:szCs w:val="16"/>
              </w:rPr>
              <w:t>)</w:t>
            </w:r>
            <w:r>
              <w:rPr>
                <w:color w:val="000000"/>
                <w:spacing w:val="0"/>
                <w:w w:val="100"/>
                <w:position w:val="0"/>
                <w:sz w:val="16"/>
                <w:szCs w:val="16"/>
              </w:rPr>
              <w:t>、侧墙 刻蚀</w:t>
            </w:r>
          </w:p>
        </w:tc>
      </w:tr>
      <w:tr>
        <w:trPr>
          <w:trHeight w:val="12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08" w:lineRule="exact"/>
              <w:ind w:left="0" w:right="0" w:firstLine="0"/>
              <w:jc w:val="left"/>
              <w:rPr>
                <w:sz w:val="16"/>
                <w:szCs w:val="16"/>
              </w:rPr>
            </w:pPr>
            <w:r>
              <w:rPr>
                <w:color w:val="000000"/>
                <w:spacing w:val="0"/>
                <w:w w:val="100"/>
                <w:position w:val="0"/>
                <w:sz w:val="16"/>
                <w:szCs w:val="16"/>
              </w:rPr>
              <w:t>用于</w:t>
            </w:r>
            <w:r>
              <w:rPr>
                <w:rFonts w:ascii="Times New Roman" w:eastAsia="Times New Roman" w:hAnsi="Times New Roman" w:cs="Times New Roman"/>
                <w:color w:val="000000"/>
                <w:spacing w:val="0"/>
                <w:w w:val="100"/>
                <w:position w:val="0"/>
                <w:sz w:val="16"/>
                <w:szCs w:val="16"/>
              </w:rPr>
              <w:t>5-3</w:t>
            </w:r>
            <w:r>
              <w:rPr>
                <w:color w:val="000000"/>
                <w:spacing w:val="0"/>
                <w:w w:val="100"/>
                <w:position w:val="0"/>
                <w:sz w:val="16"/>
                <w:szCs w:val="16"/>
              </w:rPr>
              <w:t>纳米 逻辑芯片制 造的</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 蚀机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0.47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0.27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0.30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192" w:lineRule="exact"/>
              <w:ind w:left="0" w:right="0" w:firstLine="0"/>
              <w:jc w:val="both"/>
              <w:rPr>
                <w:sz w:val="16"/>
                <w:szCs w:val="16"/>
              </w:rPr>
            </w:pPr>
            <w:r>
              <w:rPr>
                <w:color w:val="000000"/>
                <w:spacing w:val="0"/>
                <w:w w:val="100"/>
                <w:position w:val="0"/>
                <w:sz w:val="16"/>
                <w:szCs w:val="16"/>
              </w:rPr>
              <w:t>研究 阶段</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研制成功</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纳米的刻蚀设备并 完成在先进逻辑芯片生产厂家 的评估，并实现销售。完成</w:t>
            </w: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纳米刻蚀机</w:t>
            </w:r>
            <w:r>
              <w:rPr>
                <w:rFonts w:ascii="Times New Roman" w:eastAsia="Times New Roman" w:hAnsi="Times New Roman" w:cs="Times New Roman"/>
                <w:color w:val="000000"/>
                <w:spacing w:val="0"/>
                <w:w w:val="100"/>
                <w:position w:val="0"/>
                <w:sz w:val="16"/>
                <w:szCs w:val="16"/>
              </w:rPr>
              <w:t>Alpha</w:t>
            </w:r>
            <w:r>
              <w:rPr>
                <w:color w:val="000000"/>
                <w:spacing w:val="0"/>
                <w:w w:val="100"/>
                <w:position w:val="0"/>
                <w:sz w:val="16"/>
                <w:szCs w:val="16"/>
              </w:rPr>
              <w:t>原型机的设 计、制造、测试及初步的工艺 开发和评估。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199" w:lineRule="exact"/>
              <w:ind w:left="0" w:right="0" w:firstLine="0"/>
              <w:jc w:val="both"/>
              <w:rPr>
                <w:sz w:val="16"/>
                <w:szCs w:val="16"/>
              </w:rPr>
            </w:pPr>
            <w:r>
              <w:rPr>
                <w:color w:val="000000"/>
                <w:spacing w:val="0"/>
                <w:w w:val="100"/>
                <w:position w:val="0"/>
                <w:sz w:val="16"/>
                <w:szCs w:val="16"/>
              </w:rPr>
              <w:t>国际 先进 水平</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逻辑芯片制造</w:t>
            </w:r>
          </w:p>
        </w:tc>
      </w:tr>
    </w:tbl>
    <w:p>
      <w:pPr>
        <w:widowControl w:val="0"/>
        <w:spacing w:line="1" w:lineRule="exact"/>
      </w:pPr>
      <w:r>
        <w:br w:type="page"/>
      </w:r>
    </w:p>
    <w:tbl>
      <w:tblPr>
        <w:tblOverlap w:val="never"/>
        <w:jc w:val="center"/>
        <w:tblLayout w:type="fixed"/>
      </w:tblPr>
      <w:tblGrid>
        <w:gridCol w:w="547"/>
        <w:gridCol w:w="1157"/>
        <w:gridCol w:w="850"/>
        <w:gridCol w:w="758"/>
        <w:gridCol w:w="658"/>
        <w:gridCol w:w="566"/>
        <w:gridCol w:w="2424"/>
        <w:gridCol w:w="566"/>
        <w:gridCol w:w="1310"/>
      </w:tblGrid>
      <w:tr>
        <w:trPr>
          <w:trHeight w:val="105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4" w:lineRule="exact"/>
              <w:ind w:left="0" w:right="0" w:firstLine="0"/>
              <w:jc w:val="left"/>
              <w:rPr>
                <w:sz w:val="16"/>
                <w:szCs w:val="16"/>
              </w:rPr>
            </w:pPr>
            <w:r>
              <w:rPr>
                <w:color w:val="000000"/>
                <w:spacing w:val="0"/>
                <w:w w:val="100"/>
                <w:position w:val="0"/>
                <w:sz w:val="16"/>
                <w:szCs w:val="16"/>
              </w:rPr>
              <w:t>用于</w:t>
            </w:r>
            <w:r>
              <w:rPr>
                <w:rFonts w:ascii="Times New Roman" w:eastAsia="Times New Roman" w:hAnsi="Times New Roman" w:cs="Times New Roman"/>
                <w:color w:val="000000"/>
                <w:spacing w:val="0"/>
                <w:w w:val="100"/>
                <w:position w:val="0"/>
                <w:sz w:val="16"/>
                <w:szCs w:val="16"/>
              </w:rPr>
              <w:t>Micro</w:t>
              <w:softHyphen/>
              <w:t xml:space="preserve">LED </w:t>
            </w:r>
            <w:r>
              <w:rPr>
                <w:color w:val="000000"/>
                <w:spacing w:val="0"/>
                <w:w w:val="100"/>
                <w:position w:val="0"/>
                <w:sz w:val="16"/>
                <w:szCs w:val="16"/>
              </w:rPr>
              <w:t>应用的 新型</w:t>
            </w:r>
          </w:p>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研究 阶段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研发</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 xml:space="preserve">设备，满足 </w:t>
            </w:r>
            <w:r>
              <w:rPr>
                <w:rFonts w:ascii="Times New Roman" w:eastAsia="Times New Roman" w:hAnsi="Times New Roman" w:cs="Times New Roman"/>
                <w:color w:val="000000"/>
                <w:spacing w:val="0"/>
                <w:w w:val="100"/>
                <w:position w:val="0"/>
                <w:sz w:val="16"/>
                <w:szCs w:val="16"/>
              </w:rPr>
              <w:t>Micro LED</w:t>
            </w:r>
            <w:r>
              <w:rPr>
                <w:color w:val="000000"/>
                <w:spacing w:val="0"/>
                <w:w w:val="100"/>
                <w:position w:val="0"/>
                <w:sz w:val="16"/>
                <w:szCs w:val="16"/>
              </w:rPr>
              <w:t>生产对于外延设备 的要求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手表，</w:t>
            </w:r>
          </w:p>
          <w:p>
            <w:pPr>
              <w:pStyle w:val="Style25"/>
              <w:keepNext w:val="0"/>
              <w:keepLines w:val="0"/>
              <w:widowControl w:val="0"/>
              <w:shd w:val="clear" w:color="auto" w:fill="auto"/>
              <w:bidi w:val="0"/>
              <w:spacing w:before="0" w:after="0" w:line="21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AR/VR</w:t>
            </w:r>
            <w:r>
              <w:rPr>
                <w:color w:val="000000"/>
                <w:spacing w:val="0"/>
                <w:w w:val="100"/>
                <w:position w:val="0"/>
                <w:sz w:val="16"/>
                <w:szCs w:val="16"/>
              </w:rPr>
              <w:t>,</w:t>
            </w:r>
            <w:r>
              <w:rPr>
                <w:color w:val="000000"/>
                <w:spacing w:val="0"/>
                <w:w w:val="100"/>
                <w:position w:val="0"/>
                <w:sz w:val="16"/>
                <w:szCs w:val="16"/>
              </w:rPr>
              <w:t>电视 等用显示屏</w:t>
            </w:r>
          </w:p>
        </w:tc>
      </w:tr>
      <w:tr>
        <w:trPr>
          <w:trHeight w:val="10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 xml:space="preserve">用于硅基 </w:t>
            </w:r>
            <w:r>
              <w:rPr>
                <w:rFonts w:ascii="Times New Roman" w:eastAsia="Times New Roman" w:hAnsi="Times New Roman" w:cs="Times New Roman"/>
                <w:color w:val="000000"/>
                <w:spacing w:val="0"/>
                <w:w w:val="100"/>
                <w:position w:val="0"/>
                <w:sz w:val="16"/>
                <w:szCs w:val="16"/>
              </w:rPr>
              <w:t>GaN</w:t>
            </w:r>
            <w:r>
              <w:rPr>
                <w:color w:val="000000"/>
                <w:spacing w:val="0"/>
                <w:w w:val="100"/>
                <w:position w:val="0"/>
                <w:sz w:val="16"/>
                <w:szCs w:val="16"/>
              </w:rPr>
              <w:t>功率器 件生产的</w:t>
            </w:r>
          </w:p>
          <w:p>
            <w:pPr>
              <w:pStyle w:val="Style25"/>
              <w:keepNext w:val="0"/>
              <w:keepLines w:val="0"/>
              <w:widowControl w:val="0"/>
              <w:shd w:val="clear" w:color="auto" w:fill="auto"/>
              <w:bidi w:val="0"/>
              <w:spacing w:before="0" w:after="0" w:line="2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研发用于</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硅基氮化镓功率器 件大规模生产的</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设备 及外延生长工艺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9" w:lineRule="exact"/>
              <w:ind w:left="0" w:right="0" w:firstLine="0"/>
              <w:jc w:val="left"/>
              <w:rPr>
                <w:sz w:val="16"/>
                <w:szCs w:val="16"/>
              </w:rPr>
            </w:pPr>
            <w:r>
              <w:rPr>
                <w:color w:val="000000"/>
                <w:spacing w:val="0"/>
                <w:w w:val="100"/>
                <w:position w:val="0"/>
                <w:sz w:val="16"/>
                <w:szCs w:val="16"/>
              </w:rPr>
              <w:t>国际 先进 水平</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氮化镓功率元 件，电力电子 领域</w:t>
            </w:r>
          </w:p>
        </w:tc>
      </w:tr>
      <w:tr>
        <w:trPr>
          <w:trHeight w:val="2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15.03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239" w:line="1" w:lineRule="exact"/>
      </w:pPr>
    </w:p>
    <w:p>
      <w:pPr>
        <w:pStyle w:val="Style2"/>
        <w:keepNext w:val="0"/>
        <w:keepLines w:val="0"/>
        <w:widowControl w:val="0"/>
        <w:shd w:val="clear" w:color="auto" w:fill="auto"/>
        <w:bidi w:val="0"/>
        <w:spacing w:before="0" w:after="340" w:line="259" w:lineRule="exact"/>
        <w:ind w:left="0" w:right="0" w:firstLine="0"/>
        <w:jc w:val="left"/>
      </w:pPr>
      <w:r>
        <w:rPr>
          <w:b/>
          <w:bCs/>
          <w:color w:val="000000"/>
          <w:spacing w:val="0"/>
          <w:w w:val="100"/>
          <w:position w:val="0"/>
        </w:rPr>
        <w:t xml:space="preserve">情况说明 </w:t>
      </w:r>
      <w:r>
        <w:rPr>
          <w:color w:val="000000"/>
          <w:spacing w:val="0"/>
          <w:w w:val="100"/>
          <w:position w:val="0"/>
        </w:rPr>
        <w:t>无。</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研发人员情况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38.17</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18,965.68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16,771.58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60.77</w:t>
            </w:r>
          </w:p>
        </w:tc>
      </w:tr>
    </w:tbl>
    <w:p>
      <w:pPr>
        <w:widowControl w:val="0"/>
        <w:spacing w:after="239" w:line="1" w:lineRule="exact"/>
      </w:pPr>
    </w:p>
    <w:p>
      <w:pPr>
        <w:widowControl w:val="0"/>
        <w:spacing w:line="1" w:lineRule="exact"/>
      </w:pP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680" w:right="0" w:firstLine="0"/>
              <w:jc w:val="left"/>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学历构成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17.92</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30.64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3" w:hRule="exact"/>
        </w:trPr>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680" w:right="0" w:firstLine="0"/>
              <w:jc w:val="left"/>
            </w:pPr>
            <w:r>
              <w:rPr>
                <w:color w:val="000000"/>
                <w:spacing w:val="0"/>
                <w:w w:val="100"/>
                <w:position w:val="0"/>
              </w:rPr>
              <w:t>年龄结构</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年龄区间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岁及以下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32.08</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岁以上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39" w:line="1" w:lineRule="exact"/>
      </w:pPr>
    </w:p>
    <w:p>
      <w:pPr>
        <w:pStyle w:val="Style35"/>
        <w:keepNext/>
        <w:keepLines/>
        <w:widowControl w:val="0"/>
        <w:numPr>
          <w:ilvl w:val="0"/>
          <w:numId w:val="9"/>
        </w:numPr>
        <w:shd w:val="clear" w:color="auto" w:fill="auto"/>
        <w:bidi w:val="0"/>
        <w:spacing w:before="0" w:after="8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其他说明</w:t>
      </w:r>
      <w:bookmarkEnd w:id="142"/>
      <w:bookmarkEnd w:id="143"/>
      <w:bookmarkEnd w:id="14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146" w:name="bookmark146"/>
      <w:r>
        <w:rPr>
          <w:b/>
          <w:bCs/>
          <w:color w:val="000000"/>
          <w:spacing w:val="0"/>
          <w:w w:val="100"/>
          <w:position w:val="0"/>
        </w:rPr>
        <w:t>二</w:t>
      </w:r>
      <w:bookmarkEnd w:id="146"/>
      <w:r>
        <w:rPr>
          <w:b/>
          <w:bCs/>
          <w:color w:val="000000"/>
          <w:spacing w:val="0"/>
          <w:w w:val="100"/>
          <w:position w:val="0"/>
        </w:rPr>
        <w:t>、</w:t>
        <w:tab/>
        <w:t>报告期内公司主要资产发生重大变化情况的说明</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报告期内公司资产变动情况详见</w:t>
      </w:r>
      <w:r>
        <w:rPr>
          <w:rFonts w:ascii="Times New Roman" w:eastAsia="Times New Roman" w:hAnsi="Times New Roman" w:cs="Times New Roman"/>
          <w:color w:val="000000"/>
          <w:spacing w:val="0"/>
          <w:w w:val="100"/>
          <w:position w:val="0"/>
        </w:rPr>
        <w:t>“</w:t>
      </w:r>
      <w:r>
        <w:rPr>
          <w:color w:val="000000"/>
          <w:spacing w:val="0"/>
          <w:w w:val="100"/>
          <w:position w:val="0"/>
        </w:rPr>
        <w:t>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经营情况讨论与分析''之</w:t>
      </w: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资产、负债情况 分析</w:t>
      </w:r>
    </w:p>
    <w:p>
      <w:pPr>
        <w:pStyle w:val="Style2"/>
        <w:keepNext w:val="0"/>
        <w:keepLines w:val="0"/>
        <w:widowControl w:val="0"/>
        <w:shd w:val="clear" w:color="auto" w:fill="auto"/>
        <w:bidi w:val="0"/>
        <w:spacing w:before="0" w:after="240" w:line="418" w:lineRule="exact"/>
        <w:ind w:left="0" w:right="0" w:firstLine="44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2.30 </w:t>
      </w:r>
      <w:r>
        <w:rPr>
          <w:color w:val="000000"/>
          <w:spacing w:val="0"/>
          <w:w w:val="100"/>
          <w:position w:val="0"/>
        </w:rPr>
        <w:t>（单位：亿元 币种：人民币），占总资产的比例为</w:t>
      </w:r>
      <w:r>
        <w:rPr>
          <w:rFonts w:ascii="Times New Roman" w:eastAsia="Times New Roman" w:hAnsi="Times New Roman" w:cs="Times New Roman"/>
          <w:color w:val="000000"/>
          <w:spacing w:val="0"/>
          <w:w w:val="100"/>
          <w:position w:val="0"/>
        </w:rPr>
        <w:t>3.97%</w:t>
      </w:r>
      <w:r>
        <w:rPr>
          <w:color w:val="000000"/>
          <w:spacing w:val="0"/>
          <w:w w:val="100"/>
          <w:position w:val="0"/>
        </w:rPr>
        <w:t>。</w:t>
      </w:r>
    </w:p>
    <w:p>
      <w:pPr>
        <w:pStyle w:val="Style35"/>
        <w:keepNext/>
        <w:keepLines/>
        <w:widowControl w:val="0"/>
        <w:shd w:val="clear" w:color="auto" w:fill="auto"/>
        <w:tabs>
          <w:tab w:pos="483" w:val="left"/>
        </w:tabs>
        <w:bidi w:val="0"/>
        <w:spacing w:before="0" w:after="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三</w:t>
      </w:r>
      <w:bookmarkEnd w:id="149"/>
      <w:r>
        <w:rPr>
          <w:color w:val="000000"/>
          <w:spacing w:val="0"/>
          <w:w w:val="100"/>
          <w:position w:val="0"/>
        </w:rPr>
        <w:t>、</w:t>
        <w:tab/>
        <w:t>报告期内核心竞争力分析</w:t>
      </w:r>
      <w:bookmarkEnd w:id="147"/>
      <w:bookmarkEnd w:id="148"/>
      <w:bookmarkEnd w:id="150"/>
    </w:p>
    <w:p>
      <w:pPr>
        <w:pStyle w:val="Style35"/>
        <w:keepNext/>
        <w:keepLines/>
        <w:widowControl w:val="0"/>
        <w:shd w:val="clear" w:color="auto" w:fill="auto"/>
        <w:bidi w:val="0"/>
        <w:spacing w:before="0" w:after="80" w:line="240" w:lineRule="auto"/>
        <w:ind w:left="0" w:right="0" w:firstLine="0"/>
        <w:jc w:val="left"/>
      </w:pPr>
      <w:bookmarkStart w:id="147" w:name="bookmark147"/>
      <w:bookmarkStart w:id="148" w:name="bookmark148"/>
      <w:bookmarkStart w:id="151" w:name="bookmark151"/>
      <w:bookmarkStart w:id="152" w:name="bookmark152"/>
      <w:r>
        <w:rPr>
          <w:rFonts w:ascii="Calibri" w:eastAsia="Calibri" w:hAnsi="Calibri" w:cs="Calibri"/>
          <w:color w:val="000000"/>
          <w:spacing w:val="0"/>
          <w:w w:val="100"/>
          <w:position w:val="0"/>
          <w:sz w:val="20"/>
          <w:szCs w:val="20"/>
        </w:rPr>
        <w:t>（</w:t>
      </w:r>
      <w:bookmarkEnd w:id="151"/>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47"/>
      <w:bookmarkEnd w:id="148"/>
      <w:bookmarkEnd w:id="152"/>
    </w:p>
    <w:p>
      <w:pPr>
        <w:pStyle w:val="Style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公司主要从事半导体及泛半导体设备的研发、生产和销售，为全球半导体制造商及其相关的 高科技新兴产业公司提供加工设备和工艺技术解决方案，助力他们提升技术水平、提高生产效 率、降低生产成本。公司围绕这一目标，不断加强管理和研发能力，形成了优秀的技术和管理团 队持续研发创新并推出有技术和市场竞争力的产品。</w:t>
      </w:r>
    </w:p>
    <w:p>
      <w:pPr>
        <w:pStyle w:val="Style35"/>
        <w:keepNext/>
        <w:keepLines/>
        <w:widowControl w:val="0"/>
        <w:shd w:val="clear" w:color="auto" w:fill="auto"/>
        <w:tabs>
          <w:tab w:pos="974" w:val="left"/>
        </w:tabs>
        <w:bidi w:val="0"/>
        <w:spacing w:before="0" w:after="0" w:line="410" w:lineRule="exact"/>
        <w:ind w:left="0" w:right="0" w:firstLine="44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一）</w:t>
        <w:tab/>
        <w:t>突出的创始人及技术团队保证公司在高端半导体设备研发和运营的竞争优势</w:t>
      </w:r>
      <w:bookmarkEnd w:id="153"/>
      <w:bookmarkEnd w:id="154"/>
      <w:bookmarkEnd w:id="156"/>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中微公司的创始团队及技术人员拥有国际领先半导体设备公司的从业经验，是国内具有国际 化优势的半导体设备研发和运营团队之一。</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中微公司的创始人、董事长及总经理尹志尧博士在半导体芯片和设备产业有超过</w:t>
      </w:r>
      <w:r>
        <w:rPr>
          <w:rFonts w:ascii="Times New Roman" w:eastAsia="Times New Roman" w:hAnsi="Times New Roman" w:cs="Times New Roman"/>
          <w:color w:val="000000"/>
          <w:spacing w:val="0"/>
          <w:w w:val="100"/>
          <w:position w:val="0"/>
        </w:rPr>
        <w:t>30</w:t>
      </w:r>
      <w:r>
        <w:rPr>
          <w:color w:val="000000"/>
          <w:spacing w:val="0"/>
          <w:w w:val="100"/>
          <w:position w:val="0"/>
        </w:rPr>
        <w:t>年的行 业经验，是国际等离子体刻蚀技术发展和产业化的重要推动者之一。中微公司的其他联合创始 人、核心技术人员和重要的技术、工程人员，包括杜志游博士、倪图强博士、麦仕义博士、杨伟 先生、李天笑先生、郭世平博士、苏兴才博士和刘身健博士等各专业领域的专家，其中很多是在 国际半导体设备产业耕耘数十年，为行业发展做出杰出贡献的资深技术和管理专家。他们在参与 创立或后续加入中微公司后，不断创造新的技术、工艺和设计，为公司产品和技术发展做出了不 可替代的贡献。</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中微公司以合作共赢的团队精神和全员持股的激励制度，吸引了来自世界各地具有丰富经验 的半导体设备专家，形成了成熟的研发和工程技术团队。截至报告期末，公司共有研发人员</w:t>
      </w:r>
      <w:r>
        <w:rPr>
          <w:rFonts w:ascii="Times New Roman" w:eastAsia="Times New Roman" w:hAnsi="Times New Roman" w:cs="Times New Roman"/>
          <w:color w:val="000000"/>
          <w:spacing w:val="0"/>
          <w:w w:val="100"/>
          <w:position w:val="0"/>
        </w:rPr>
        <w:t xml:space="preserve">346 </w:t>
      </w:r>
      <w:r>
        <w:rPr>
          <w:color w:val="000000"/>
          <w:spacing w:val="0"/>
          <w:w w:val="100"/>
          <w:position w:val="0"/>
        </w:rPr>
        <w:t>名，占员工总数的</w:t>
      </w:r>
      <w:r>
        <w:rPr>
          <w:rFonts w:ascii="Times New Roman" w:eastAsia="Times New Roman" w:hAnsi="Times New Roman" w:cs="Times New Roman"/>
          <w:color w:val="000000"/>
          <w:spacing w:val="0"/>
          <w:w w:val="100"/>
          <w:position w:val="0"/>
        </w:rPr>
        <w:t>38.70%</w:t>
      </w:r>
      <w:r>
        <w:rPr>
          <w:color w:val="000000"/>
          <w:spacing w:val="0"/>
          <w:w w:val="100"/>
          <w:position w:val="0"/>
        </w:rPr>
        <w:t>，涵盖了等离子体物理、射频及微波学、结构化学、微观分子动力 学、光谱及能谱学、真空机械传输等相关学科的专业人员。凭借研发团队多年的努力以及持续不 断的研发投入，公司成功研发了具有市场竞争力的半导体刻蚀设备及</w:t>
      </w:r>
      <w:r>
        <w:rPr>
          <w:rFonts w:ascii="Times New Roman" w:eastAsia="Times New Roman" w:hAnsi="Times New Roman" w:cs="Times New Roman"/>
          <w:color w:val="000000"/>
          <w:spacing w:val="0"/>
          <w:w w:val="100"/>
          <w:position w:val="0"/>
        </w:rPr>
        <w:t>MOCVD</w:t>
      </w:r>
      <w:r>
        <w:rPr>
          <w:color w:val="000000"/>
          <w:spacing w:val="0"/>
          <w:w w:val="100"/>
          <w:position w:val="0"/>
        </w:rPr>
        <w:t>设备，并实现了 大规模产业化，积累了丰富的研发和产业化密切结合的经验和雄厚的技术、专利储备。</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公司成功打造了一支具有创造力和竞争力的技术和研发团队，有力地保障了公司产品和服务 不断创新改进。</w:t>
      </w:r>
    </w:p>
    <w:p>
      <w:pPr>
        <w:pStyle w:val="Style2"/>
        <w:keepNext w:val="0"/>
        <w:keepLines w:val="0"/>
        <w:widowControl w:val="0"/>
        <w:shd w:val="clear" w:color="auto" w:fill="auto"/>
        <w:tabs>
          <w:tab w:pos="974" w:val="left"/>
        </w:tabs>
        <w:bidi w:val="0"/>
        <w:spacing w:before="0" w:after="0" w:line="410" w:lineRule="exact"/>
        <w:ind w:left="0" w:right="0" w:firstLine="440"/>
        <w:jc w:val="left"/>
      </w:pPr>
      <w:bookmarkStart w:id="157" w:name="bookmark157"/>
      <w:r>
        <w:rPr>
          <w:b/>
          <w:bCs/>
          <w:color w:val="000000"/>
          <w:spacing w:val="0"/>
          <w:w w:val="100"/>
          <w:position w:val="0"/>
        </w:rPr>
        <w:t>（</w:t>
      </w:r>
      <w:bookmarkEnd w:id="157"/>
      <w:r>
        <w:rPr>
          <w:b/>
          <w:bCs/>
          <w:color w:val="000000"/>
          <w:spacing w:val="0"/>
          <w:w w:val="100"/>
          <w:position w:val="0"/>
        </w:rPr>
        <w:t>二）</w:t>
        <w:tab/>
        <w:t>持续高水平的研发投入，提前布局产业发展</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持续较高水平的研发投入是公司保持核心竞争力的关键。半导体制造对设备的可靠性、稳定 性和一致性提出了极高的要求，半导体设备行业技术门槛较高，行业新进入者需要经过较长时间 的技术积累才能进入该领域。</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 xml:space="preserve">公司面向世界先进技术前沿，以国际先进的研发理念为依托，专注于高端微观加工设备的自 主研发和创新。公司始终保持大额的研发投入和较高的研发投入占比，报告期内研发投入达到 </w:t>
      </w:r>
      <w:r>
        <w:rPr>
          <w:rFonts w:ascii="Times New Roman" w:eastAsia="Times New Roman" w:hAnsi="Times New Roman" w:cs="Times New Roman"/>
          <w:color w:val="000000"/>
          <w:spacing w:val="0"/>
          <w:w w:val="100"/>
          <w:position w:val="0"/>
        </w:rPr>
        <w:t>6.40</w:t>
      </w:r>
      <w:r>
        <w:rPr>
          <w:color w:val="000000"/>
          <w:spacing w:val="0"/>
          <w:w w:val="100"/>
          <w:position w:val="0"/>
        </w:rPr>
        <w:t>亿元，占营业收入的比重为</w:t>
      </w:r>
      <w:r>
        <w:rPr>
          <w:rFonts w:ascii="Times New Roman" w:eastAsia="Times New Roman" w:hAnsi="Times New Roman" w:cs="Times New Roman"/>
          <w:color w:val="000000"/>
          <w:spacing w:val="0"/>
          <w:w w:val="100"/>
          <w:position w:val="0"/>
        </w:rPr>
        <w:t>28.14%</w:t>
      </w:r>
      <w:r>
        <w:rPr>
          <w:color w:val="000000"/>
          <w:spacing w:val="0"/>
          <w:w w:val="100"/>
          <w:position w:val="0"/>
        </w:rPr>
        <w:t>。公司具有一支技术精湛、勇于创新的国际化人才研发 队伍，形成了良好的企业创新文化，为公司持续创新和研发提供保障力量。</w:t>
      </w:r>
    </w:p>
    <w:p>
      <w:pPr>
        <w:pStyle w:val="Style2"/>
        <w:keepNext w:val="0"/>
        <w:keepLines w:val="0"/>
        <w:widowControl w:val="0"/>
        <w:shd w:val="clear" w:color="auto" w:fill="auto"/>
        <w:bidi w:val="0"/>
        <w:spacing w:before="0" w:after="0" w:line="410" w:lineRule="exact"/>
        <w:ind w:left="0" w:right="0" w:firstLine="440"/>
        <w:jc w:val="left"/>
        <w:sectPr>
          <w:headerReference w:type="default" r:id="rId33"/>
          <w:footerReference w:type="default" r:id="rId34"/>
          <w:headerReference w:type="even" r:id="rId35"/>
          <w:footerReference w:type="even" r:id="rId36"/>
          <w:footnotePr>
            <w:pos w:val="pageBottom"/>
            <w:numFmt w:val="decimal"/>
            <w:numRestart w:val="continuous"/>
          </w:footnotePr>
          <w:type w:val="continuous"/>
          <w:pgSz w:w="11900" w:h="16840"/>
          <w:pgMar w:top="1178" w:right="1254" w:bottom="1387" w:left="1766" w:header="0" w:footer="3" w:gutter="0"/>
          <w:cols w:space="720"/>
          <w:noEndnote/>
          <w:rtlGutter w:val="0"/>
          <w:docGrid w:linePitch="360"/>
        </w:sectPr>
      </w:pPr>
      <w:r>
        <w:rPr>
          <w:color w:val="000000"/>
          <w:spacing w:val="0"/>
          <w:w w:val="100"/>
          <w:position w:val="0"/>
        </w:rPr>
        <w:t>公司积累了深厚的技术储备和丰富的研发经验，这一优势保证了公司产品和服务的不断进 步。公司拥有多项自主知识产权和核心技术，截至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日，公司已申请</w:t>
      </w:r>
      <w:r>
        <w:rPr>
          <w:rFonts w:ascii="Times New Roman" w:eastAsia="Times New Roman" w:hAnsi="Times New Roman" w:cs="Times New Roman"/>
          <w:color w:val="000000"/>
          <w:spacing w:val="0"/>
          <w:w w:val="100"/>
          <w:position w:val="0"/>
        </w:rPr>
        <w:t>1,755</w:t>
      </w:r>
      <w:r>
        <w:rPr>
          <w:color w:val="000000"/>
          <w:spacing w:val="0"/>
          <w:w w:val="100"/>
          <w:position w:val="0"/>
        </w:rPr>
        <w:t>项专 利，其中发明专利</w:t>
      </w:r>
      <w:r>
        <w:rPr>
          <w:rFonts w:ascii="Times New Roman" w:eastAsia="Times New Roman" w:hAnsi="Times New Roman" w:cs="Times New Roman"/>
          <w:color w:val="000000"/>
          <w:spacing w:val="0"/>
          <w:w w:val="100"/>
          <w:position w:val="0"/>
        </w:rPr>
        <w:t>1,517</w:t>
      </w:r>
      <w:r>
        <w:rPr>
          <w:color w:val="000000"/>
          <w:spacing w:val="0"/>
          <w:w w:val="100"/>
          <w:position w:val="0"/>
        </w:rPr>
        <w:t>项；已获授权专利</w:t>
      </w:r>
      <w:r>
        <w:rPr>
          <w:rFonts w:ascii="Times New Roman" w:eastAsia="Times New Roman" w:hAnsi="Times New Roman" w:cs="Times New Roman"/>
          <w:color w:val="000000"/>
          <w:spacing w:val="0"/>
          <w:w w:val="100"/>
          <w:position w:val="0"/>
        </w:rPr>
        <w:t>1,092</w:t>
      </w:r>
      <w:r>
        <w:rPr>
          <w:color w:val="000000"/>
          <w:spacing w:val="0"/>
          <w:w w:val="100"/>
          <w:position w:val="0"/>
        </w:rPr>
        <w:t>项，其中发明专利</w:t>
      </w:r>
      <w:r>
        <w:rPr>
          <w:rFonts w:ascii="Times New Roman" w:eastAsia="Times New Roman" w:hAnsi="Times New Roman" w:cs="Times New Roman"/>
          <w:color w:val="000000"/>
          <w:spacing w:val="0"/>
          <w:w w:val="100"/>
          <w:position w:val="0"/>
        </w:rPr>
        <w:t>917</w:t>
      </w:r>
      <w:r>
        <w:rPr>
          <w:color w:val="000000"/>
          <w:spacing w:val="0"/>
          <w:w w:val="100"/>
          <w:position w:val="0"/>
        </w:rPr>
        <w:t>项。</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在逻辑集成电路制造环节，公司开发的</w:t>
      </w:r>
      <w:r>
        <w:rPr>
          <w:rFonts w:ascii="Times New Roman" w:eastAsia="Times New Roman" w:hAnsi="Times New Roman" w:cs="Times New Roman"/>
          <w:color w:val="000000"/>
          <w:spacing w:val="0"/>
          <w:w w:val="100"/>
          <w:position w:val="0"/>
        </w:rPr>
        <w:t>12</w:t>
      </w:r>
      <w:r>
        <w:rPr>
          <w:color w:val="000000"/>
          <w:spacing w:val="0"/>
          <w:w w:val="100"/>
          <w:position w:val="0"/>
        </w:rPr>
        <w:t>英寸高端刻蚀设备已运用在国际知名客户最先进 的生产线上并用于</w:t>
      </w:r>
      <w:r>
        <w:rPr>
          <w:rFonts w:ascii="Times New Roman" w:eastAsia="Times New Roman" w:hAnsi="Times New Roman" w:cs="Times New Roman"/>
          <w:color w:val="000000"/>
          <w:spacing w:val="0"/>
          <w:w w:val="100"/>
          <w:position w:val="0"/>
        </w:rPr>
        <w:t>5</w:t>
      </w:r>
      <w:r>
        <w:rPr>
          <w:color w:val="000000"/>
          <w:spacing w:val="0"/>
          <w:w w:val="100"/>
          <w:position w:val="0"/>
        </w:rPr>
        <w:t>纳米、</w:t>
      </w:r>
      <w:r>
        <w:rPr>
          <w:rFonts w:ascii="Times New Roman" w:eastAsia="Times New Roman" w:hAnsi="Times New Roman" w:cs="Times New Roman"/>
          <w:color w:val="000000"/>
          <w:spacing w:val="0"/>
          <w:w w:val="100"/>
          <w:position w:val="0"/>
        </w:rPr>
        <w:t>5</w:t>
      </w:r>
      <w:r>
        <w:rPr>
          <w:color w:val="000000"/>
          <w:spacing w:val="0"/>
          <w:w w:val="100"/>
          <w:position w:val="0"/>
        </w:rPr>
        <w:t>纳米以下器件中若干关键步骤的加工；同时，公司根据先进集成电 路厂商的需求持续进行设备开发和工艺优化。在</w:t>
      </w:r>
      <w:r>
        <w:rPr>
          <w:rFonts w:ascii="Times New Roman" w:eastAsia="Times New Roman" w:hAnsi="Times New Roman" w:cs="Times New Roman"/>
          <w:color w:val="000000"/>
          <w:spacing w:val="0"/>
          <w:w w:val="100"/>
          <w:position w:val="0"/>
        </w:rPr>
        <w:t>3D NAND</w:t>
      </w:r>
      <w:r>
        <w:rPr>
          <w:color w:val="000000"/>
          <w:spacing w:val="0"/>
          <w:w w:val="100"/>
          <w:position w:val="0"/>
        </w:rPr>
        <w:t>芯片制造环节，公司的电容性等离子 体刻蚀设备技术已应用于</w:t>
      </w:r>
      <w:r>
        <w:rPr>
          <w:rFonts w:ascii="Times New Roman" w:eastAsia="Times New Roman" w:hAnsi="Times New Roman" w:cs="Times New Roman"/>
          <w:color w:val="000000"/>
          <w:spacing w:val="0"/>
          <w:w w:val="100"/>
          <w:position w:val="0"/>
        </w:rPr>
        <w:t>64</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层的量产，电感性等离子体刻蚀设备技术已应用于</w:t>
      </w:r>
      <w:r>
        <w:rPr>
          <w:rFonts w:ascii="Times New Roman" w:eastAsia="Times New Roman" w:hAnsi="Times New Roman" w:cs="Times New Roman"/>
          <w:color w:val="000000"/>
          <w:spacing w:val="0"/>
          <w:w w:val="100"/>
          <w:position w:val="0"/>
        </w:rPr>
        <w:t>64</w:t>
      </w:r>
      <w:r>
        <w:rPr>
          <w:color w:val="000000"/>
          <w:spacing w:val="0"/>
          <w:w w:val="100"/>
          <w:position w:val="0"/>
        </w:rPr>
        <w:t>层的 量产，同时公司根据存储器件客户的需求正在开发极高深宽比的刻蚀设备和工艺；公司也根据逻 辑器件客户的需求，正在开发更先进刻蚀应用的设备。公司的</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Prismo D-Blue</w:t>
      </w:r>
      <w:r>
        <w:rPr>
          <w:color w:val="000000"/>
          <w:spacing w:val="0"/>
          <w:w w:val="100"/>
          <w:position w:val="0"/>
        </w:rPr>
        <w:t xml:space="preserve">、 </w:t>
      </w:r>
      <w:r>
        <w:rPr>
          <w:rFonts w:ascii="Times New Roman" w:eastAsia="Times New Roman" w:hAnsi="Times New Roman" w:cs="Times New Roman"/>
          <w:color w:val="000000"/>
          <w:spacing w:val="0"/>
          <w:w w:val="100"/>
          <w:position w:val="0"/>
        </w:rPr>
        <w:t>Prismo A7</w:t>
      </w:r>
      <w:r>
        <w:rPr>
          <w:color w:val="000000"/>
          <w:spacing w:val="0"/>
          <w:w w:val="100"/>
          <w:position w:val="0"/>
        </w:rPr>
        <w:t>能分别实现单腔</w:t>
      </w:r>
      <w:r>
        <w:rPr>
          <w:rFonts w:ascii="Times New Roman" w:eastAsia="Times New Roman" w:hAnsi="Times New Roman" w:cs="Times New Roman"/>
          <w:color w:val="000000"/>
          <w:spacing w:val="0"/>
          <w:w w:val="100"/>
          <w:position w:val="0"/>
        </w:rPr>
        <w:t>14</w:t>
      </w:r>
      <w:r>
        <w:rPr>
          <w:color w:val="000000"/>
          <w:spacing w:val="0"/>
          <w:w w:val="100"/>
          <w:position w:val="0"/>
        </w:rPr>
        <w:t>片</w:t>
      </w:r>
      <w:r>
        <w:rPr>
          <w:rFonts w:ascii="Times New Roman" w:eastAsia="Times New Roman" w:hAnsi="Times New Roman" w:cs="Times New Roman"/>
          <w:color w:val="000000"/>
          <w:spacing w:val="0"/>
          <w:w w:val="100"/>
          <w:position w:val="0"/>
        </w:rPr>
        <w:t>4</w:t>
      </w:r>
      <w:r>
        <w:rPr>
          <w:color w:val="000000"/>
          <w:spacing w:val="0"/>
          <w:w w:val="100"/>
          <w:position w:val="0"/>
        </w:rPr>
        <w:t>英寸和单腔</w:t>
      </w:r>
      <w:r>
        <w:rPr>
          <w:rFonts w:ascii="Times New Roman" w:eastAsia="Times New Roman" w:hAnsi="Times New Roman" w:cs="Times New Roman"/>
          <w:color w:val="000000"/>
          <w:spacing w:val="0"/>
          <w:w w:val="100"/>
          <w:position w:val="0"/>
        </w:rPr>
        <w:t>34</w:t>
      </w:r>
      <w:r>
        <w:rPr>
          <w:color w:val="000000"/>
          <w:spacing w:val="0"/>
          <w:w w:val="100"/>
          <w:position w:val="0"/>
        </w:rPr>
        <w:t>片</w:t>
      </w:r>
      <w:r>
        <w:rPr>
          <w:rFonts w:ascii="Times New Roman" w:eastAsia="Times New Roman" w:hAnsi="Times New Roman" w:cs="Times New Roman"/>
          <w:color w:val="000000"/>
          <w:spacing w:val="0"/>
          <w:w w:val="100"/>
          <w:position w:val="0"/>
        </w:rPr>
        <w:t>4</w:t>
      </w:r>
      <w:r>
        <w:rPr>
          <w:color w:val="000000"/>
          <w:spacing w:val="0"/>
          <w:w w:val="100"/>
          <w:position w:val="0"/>
        </w:rPr>
        <w:t>英寸外延片加工能力。公司的</w:t>
      </w:r>
      <w:r>
        <w:rPr>
          <w:rFonts w:ascii="Times New Roman" w:eastAsia="Times New Roman" w:hAnsi="Times New Roman" w:cs="Times New Roman"/>
          <w:color w:val="000000"/>
          <w:spacing w:val="0"/>
          <w:w w:val="100"/>
          <w:position w:val="0"/>
        </w:rPr>
        <w:t xml:space="preserve">Prismo A7 </w:t>
      </w:r>
      <w:r>
        <w:rPr>
          <w:color w:val="000000"/>
          <w:spacing w:val="0"/>
          <w:w w:val="100"/>
          <w:position w:val="0"/>
        </w:rPr>
        <w:t>设备技术实力突出，已在全球氮化镓基</w:t>
      </w:r>
      <w:r>
        <w:rPr>
          <w:rFonts w:ascii="Times New Roman" w:eastAsia="Times New Roman" w:hAnsi="Times New Roman" w:cs="Times New Roman"/>
          <w:color w:val="000000"/>
          <w:spacing w:val="0"/>
          <w:w w:val="100"/>
          <w:position w:val="0"/>
        </w:rPr>
        <w:t>LED MOCVD</w:t>
      </w:r>
      <w:r>
        <w:rPr>
          <w:color w:val="000000"/>
          <w:spacing w:val="0"/>
          <w:w w:val="100"/>
          <w:position w:val="0"/>
        </w:rPr>
        <w:t xml:space="preserve">市场中占据领先地位。公司和诸多一流的 </w:t>
      </w:r>
      <w:r>
        <w:rPr>
          <w:rFonts w:ascii="Times New Roman" w:eastAsia="Times New Roman" w:hAnsi="Times New Roman" w:cs="Times New Roman"/>
          <w:color w:val="000000"/>
          <w:spacing w:val="0"/>
          <w:w w:val="100"/>
          <w:position w:val="0"/>
        </w:rPr>
        <w:t>LED</w:t>
      </w:r>
      <w:r>
        <w:rPr>
          <w:color w:val="000000"/>
          <w:spacing w:val="0"/>
          <w:w w:val="100"/>
          <w:position w:val="0"/>
        </w:rPr>
        <w:t>外延片厂商公司紧密合作，实现了产业深度融合。</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公司高端设备产品和技术处于世界先进水平，产品研发提前布局，符合行业发展趋势。</w:t>
      </w:r>
    </w:p>
    <w:p>
      <w:pPr>
        <w:pStyle w:val="Style35"/>
        <w:keepNext/>
        <w:keepLines/>
        <w:widowControl w:val="0"/>
        <w:shd w:val="clear" w:color="auto" w:fill="auto"/>
        <w:tabs>
          <w:tab w:pos="985" w:val="left"/>
        </w:tabs>
        <w:bidi w:val="0"/>
        <w:spacing w:before="0" w:after="0" w:line="409" w:lineRule="exact"/>
        <w:ind w:left="0" w:right="0" w:firstLine="44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三）</w:t>
        <w:tab/>
        <w:t>持续优化营销和服务网络，打造客户认证及服务优势</w:t>
      </w:r>
      <w:bookmarkEnd w:id="158"/>
      <w:bookmarkEnd w:id="159"/>
      <w:bookmarkEnd w:id="161"/>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经过多年的努力，公司凭借在刻蚀设备及</w:t>
      </w:r>
      <w:r>
        <w:rPr>
          <w:rFonts w:ascii="Times New Roman" w:eastAsia="Times New Roman" w:hAnsi="Times New Roman" w:cs="Times New Roman"/>
          <w:color w:val="000000"/>
          <w:spacing w:val="0"/>
          <w:w w:val="100"/>
          <w:position w:val="0"/>
        </w:rPr>
        <w:t>MOCVD</w:t>
      </w:r>
      <w:r>
        <w:rPr>
          <w:color w:val="000000"/>
          <w:spacing w:val="0"/>
          <w:w w:val="100"/>
          <w:position w:val="0"/>
        </w:rPr>
        <w:t>设备领域的技术和服务优势，产品已成 功进入了海内外半导体制造企业，形成了较强的客户资源优势。</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半导体设备制造商的售后服务尤为关键，关系到设备能否在客户生产线上正常、稳定地运 行。随着半导体制造环节向亚洲转移，相较于国际竞争对手，公司在地域上更接近主流客户，能 提供快捷的技术支持和客户维护。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公司专业售后服务能力已在业内树立了良好的品牌形象。</w:t>
      </w:r>
    </w:p>
    <w:p>
      <w:pPr>
        <w:pStyle w:val="Style35"/>
        <w:keepNext/>
        <w:keepLines/>
        <w:widowControl w:val="0"/>
        <w:shd w:val="clear" w:color="auto" w:fill="auto"/>
        <w:tabs>
          <w:tab w:pos="985" w:val="left"/>
        </w:tabs>
        <w:bidi w:val="0"/>
        <w:spacing w:before="0" w:after="0" w:line="409" w:lineRule="exact"/>
        <w:ind w:left="0" w:right="0" w:firstLine="44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四）</w:t>
        <w:tab/>
        <w:t>持续拓展泛半导体设备产品，扩大产品覆盖优势</w:t>
      </w:r>
      <w:bookmarkEnd w:id="162"/>
      <w:bookmarkEnd w:id="163"/>
      <w:bookmarkEnd w:id="165"/>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公司的设备产品覆盖集成电路、</w:t>
      </w:r>
      <w:r>
        <w:rPr>
          <w:rFonts w:ascii="Times New Roman" w:eastAsia="Times New Roman" w:hAnsi="Times New Roman" w:cs="Times New Roman"/>
          <w:color w:val="000000"/>
          <w:spacing w:val="0"/>
          <w:w w:val="100"/>
          <w:position w:val="0"/>
        </w:rPr>
        <w:t>MEMS</w:t>
      </w:r>
      <w:r>
        <w:rPr>
          <w:color w:val="000000"/>
          <w:spacing w:val="0"/>
          <w:w w:val="100"/>
          <w:position w:val="0"/>
        </w:rPr>
        <w:t>、</w:t>
      </w:r>
      <w:r>
        <w:rPr>
          <w:rFonts w:ascii="Times New Roman" w:eastAsia="Times New Roman" w:hAnsi="Times New Roman" w:cs="Times New Roman"/>
          <w:color w:val="000000"/>
          <w:spacing w:val="0"/>
          <w:w w:val="100"/>
          <w:position w:val="0"/>
        </w:rPr>
        <w:t>LED</w:t>
      </w:r>
      <w:r>
        <w:rPr>
          <w:color w:val="000000"/>
          <w:spacing w:val="0"/>
          <w:w w:val="100"/>
          <w:position w:val="0"/>
        </w:rPr>
        <w:t>、</w:t>
      </w:r>
      <w:r>
        <w:rPr>
          <w:color w:val="000000"/>
          <w:spacing w:val="0"/>
          <w:w w:val="100"/>
          <w:position w:val="0"/>
        </w:rPr>
        <w:t>平板显示等不同的下游半导体应用市场，具 有不同的周期性，多产品覆盖能够一定程度平抑各细分市场波动对公司业绩带来的影响。</w:t>
      </w:r>
    </w:p>
    <w:p>
      <w:pPr>
        <w:pStyle w:val="Style35"/>
        <w:keepNext/>
        <w:keepLines/>
        <w:widowControl w:val="0"/>
        <w:shd w:val="clear" w:color="auto" w:fill="auto"/>
        <w:tabs>
          <w:tab w:pos="985" w:val="left"/>
        </w:tabs>
        <w:bidi w:val="0"/>
        <w:spacing w:before="0" w:after="0" w:line="409" w:lineRule="exact"/>
        <w:ind w:left="0" w:right="0" w:firstLine="440"/>
        <w:jc w:val="both"/>
      </w:pPr>
      <w:bookmarkStart w:id="166" w:name="bookmark166"/>
      <w:bookmarkStart w:id="167" w:name="bookmark167"/>
      <w:bookmarkStart w:id="168" w:name="bookmark168"/>
      <w:bookmarkStart w:id="169" w:name="bookmark169"/>
      <w:r>
        <w:rPr>
          <w:color w:val="000000"/>
          <w:spacing w:val="0"/>
          <w:w w:val="100"/>
          <w:position w:val="0"/>
        </w:rPr>
        <w:t>（</w:t>
      </w:r>
      <w:bookmarkEnd w:id="168"/>
      <w:r>
        <w:rPr>
          <w:color w:val="000000"/>
          <w:spacing w:val="0"/>
          <w:w w:val="100"/>
          <w:position w:val="0"/>
        </w:rPr>
        <w:t>五）</w:t>
        <w:tab/>
        <w:t>建立全球化采购体系，持续提升公司生产交付的服务水平</w:t>
      </w:r>
      <w:bookmarkEnd w:id="166"/>
      <w:bookmarkEnd w:id="167"/>
      <w:bookmarkEnd w:id="169"/>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公司对于零部件供应商的选择十分慎重，对供应商的工艺经验、技术水平、商业信用进行严 格考核，并对零部件进行严格测试。公司建立了全球化的采购体系，与全球</w:t>
      </w:r>
      <w:r>
        <w:rPr>
          <w:rFonts w:ascii="Times New Roman" w:eastAsia="Times New Roman" w:hAnsi="Times New Roman" w:cs="Times New Roman"/>
          <w:color w:val="000000"/>
          <w:spacing w:val="0"/>
          <w:w w:val="100"/>
          <w:position w:val="0"/>
        </w:rPr>
        <w:t>400</w:t>
      </w:r>
      <w:r>
        <w:rPr>
          <w:color w:val="000000"/>
          <w:spacing w:val="0"/>
          <w:w w:val="100"/>
          <w:position w:val="0"/>
        </w:rPr>
        <w:t>多家供应商建立 了稳定的合作关系。同时，公司注重零部件的本土化，在国内培育了众多的本土零部件供应企 业，有力地保障了公司产品零部件供应和服务水平的持续提升。</w:t>
      </w:r>
    </w:p>
    <w:p>
      <w:pPr>
        <w:pStyle w:val="Style35"/>
        <w:keepNext/>
        <w:keepLines/>
        <w:widowControl w:val="0"/>
        <w:shd w:val="clear" w:color="auto" w:fill="auto"/>
        <w:tabs>
          <w:tab w:pos="985" w:val="left"/>
        </w:tabs>
        <w:bidi w:val="0"/>
        <w:spacing w:before="0" w:after="0" w:line="409" w:lineRule="exact"/>
        <w:ind w:left="0" w:right="0" w:firstLine="440"/>
        <w:jc w:val="both"/>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六）</w:t>
        <w:tab/>
        <w:t>充分发挥员工积极性，推动高效和谐的企业文化</w:t>
      </w:r>
      <w:bookmarkEnd w:id="170"/>
      <w:bookmarkEnd w:id="171"/>
      <w:bookmarkEnd w:id="173"/>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公司建立了充分发挥员工的积极性企业文化。公司强调发挥每一层级员工和每一个部门的积 极性。公司采用</w:t>
      </w:r>
      <w:r>
        <w:rPr>
          <w:rFonts w:ascii="Times New Roman" w:eastAsia="Times New Roman" w:hAnsi="Times New Roman" w:cs="Times New Roman"/>
          <w:color w:val="000000"/>
          <w:spacing w:val="0"/>
          <w:w w:val="100"/>
          <w:position w:val="0"/>
        </w:rPr>
        <w:t>360</w:t>
      </w:r>
      <w:r>
        <w:rPr>
          <w:color w:val="000000"/>
          <w:spacing w:val="0"/>
          <w:w w:val="100"/>
          <w:position w:val="0"/>
        </w:rPr>
        <w:t>度综合评分制度，鼓励各部门及员工的协作。创立以来，中微公司应用一系 列先进的管理理念和管理体系激励员工不断创新创造：（</w:t>
      </w:r>
      <w:r>
        <w:rPr>
          <w:rFonts w:ascii="Times New Roman" w:eastAsia="Times New Roman" w:hAnsi="Times New Roman" w:cs="Times New Roman"/>
          <w:color w:val="000000"/>
          <w:spacing w:val="0"/>
          <w:w w:val="100"/>
          <w:position w:val="0"/>
        </w:rPr>
        <w:t>1</w:t>
      </w:r>
      <w:r>
        <w:rPr>
          <w:color w:val="000000"/>
          <w:spacing w:val="0"/>
          <w:w w:val="100"/>
          <w:position w:val="0"/>
        </w:rPr>
        <w:t>）目标管理和综合评分制；（</w:t>
      </w:r>
      <w:r>
        <w:rPr>
          <w:rFonts w:ascii="Times New Roman" w:eastAsia="Times New Roman" w:hAnsi="Times New Roman" w:cs="Times New Roman"/>
          <w:color w:val="000000"/>
          <w:spacing w:val="0"/>
          <w:w w:val="100"/>
          <w:position w:val="0"/>
        </w:rPr>
        <w:t>2</w:t>
      </w:r>
      <w:r>
        <w:rPr>
          <w:color w:val="000000"/>
          <w:spacing w:val="0"/>
          <w:w w:val="100"/>
          <w:position w:val="0"/>
        </w:rPr>
        <w:t>）关键 指标管理；（</w:t>
      </w:r>
      <w:r>
        <w:rPr>
          <w:rFonts w:ascii="Times New Roman" w:eastAsia="Times New Roman" w:hAnsi="Times New Roman" w:cs="Times New Roman"/>
          <w:color w:val="000000"/>
          <w:spacing w:val="0"/>
          <w:w w:val="100"/>
          <w:position w:val="0"/>
        </w:rPr>
        <w:t>3</w:t>
      </w:r>
      <w:r>
        <w:rPr>
          <w:color w:val="000000"/>
          <w:spacing w:val="0"/>
          <w:w w:val="100"/>
          <w:position w:val="0"/>
        </w:rPr>
        <w:t>）矩阵管理；（</w:t>
      </w:r>
      <w:r>
        <w:rPr>
          <w:rFonts w:ascii="Times New Roman" w:eastAsia="Times New Roman" w:hAnsi="Times New Roman" w:cs="Times New Roman"/>
          <w:color w:val="000000"/>
          <w:spacing w:val="0"/>
          <w:w w:val="100"/>
          <w:position w:val="0"/>
        </w:rPr>
        <w:t>4</w:t>
      </w:r>
      <w:r>
        <w:rPr>
          <w:color w:val="000000"/>
          <w:spacing w:val="0"/>
          <w:w w:val="100"/>
          <w:position w:val="0"/>
        </w:rPr>
        <w:t>）全员持股激励制度；（</w:t>
      </w:r>
      <w:r>
        <w:rPr>
          <w:rFonts w:ascii="Times New Roman" w:eastAsia="Times New Roman" w:hAnsi="Times New Roman" w:cs="Times New Roman"/>
          <w:color w:val="000000"/>
          <w:spacing w:val="0"/>
          <w:w w:val="100"/>
          <w:position w:val="0"/>
        </w:rPr>
        <w:t>5</w:t>
      </w:r>
      <w:r>
        <w:rPr>
          <w:color w:val="000000"/>
          <w:spacing w:val="0"/>
          <w:w w:val="100"/>
          <w:position w:val="0"/>
        </w:rPr>
        <w:t>）充分发挥员工积极性；（</w:t>
      </w:r>
      <w:r>
        <w:rPr>
          <w:rFonts w:ascii="Times New Roman" w:eastAsia="Times New Roman" w:hAnsi="Times New Roman" w:cs="Times New Roman"/>
          <w:color w:val="000000"/>
          <w:spacing w:val="0"/>
          <w:w w:val="100"/>
          <w:position w:val="0"/>
        </w:rPr>
        <w:t>6</w:t>
      </w:r>
      <w:r>
        <w:rPr>
          <w:color w:val="000000"/>
          <w:spacing w:val="0"/>
          <w:w w:val="100"/>
          <w:position w:val="0"/>
        </w:rPr>
        <w:t>）兼顾各 方利益；（</w:t>
      </w:r>
      <w:r>
        <w:rPr>
          <w:rFonts w:ascii="Times New Roman" w:eastAsia="Times New Roman" w:hAnsi="Times New Roman" w:cs="Times New Roman"/>
          <w:color w:val="000000"/>
          <w:spacing w:val="0"/>
          <w:w w:val="100"/>
          <w:position w:val="0"/>
        </w:rPr>
        <w:t>7</w:t>
      </w:r>
      <w:r>
        <w:rPr>
          <w:color w:val="000000"/>
          <w:spacing w:val="0"/>
          <w:w w:val="100"/>
          <w:position w:val="0"/>
        </w:rPr>
        <w:t>）打造学习型组织。</w:t>
      </w:r>
    </w:p>
    <w:p>
      <w:pPr>
        <w:pStyle w:val="Style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同时，公司在成立初期就为设备的产业化确立了十项设计和开发的基本原则：（</w:t>
      </w:r>
      <w:r>
        <w:rPr>
          <w:rFonts w:ascii="Times New Roman" w:eastAsia="Times New Roman" w:hAnsi="Times New Roman" w:cs="Times New Roman"/>
          <w:color w:val="000000"/>
          <w:spacing w:val="0"/>
          <w:w w:val="100"/>
          <w:position w:val="0"/>
        </w:rPr>
        <w:t>1</w:t>
      </w:r>
      <w:r>
        <w:rPr>
          <w:color w:val="000000"/>
          <w:spacing w:val="0"/>
          <w:w w:val="100"/>
          <w:position w:val="0"/>
        </w:rPr>
        <w:t>）为达到 工艺加工的最高要求和产品的最好性能而设计；（</w:t>
      </w:r>
      <w:r>
        <w:rPr>
          <w:rFonts w:ascii="Times New Roman" w:eastAsia="Times New Roman" w:hAnsi="Times New Roman" w:cs="Times New Roman"/>
          <w:color w:val="000000"/>
          <w:spacing w:val="0"/>
          <w:w w:val="100"/>
          <w:position w:val="0"/>
        </w:rPr>
        <w:t>2</w:t>
      </w:r>
      <w:r>
        <w:rPr>
          <w:color w:val="000000"/>
          <w:spacing w:val="0"/>
          <w:w w:val="100"/>
          <w:position w:val="0"/>
        </w:rPr>
        <w:t>）为实现工艺过程的重复性和稳定性而设 计；（</w:t>
      </w:r>
      <w:r>
        <w:rPr>
          <w:rFonts w:ascii="Times New Roman" w:eastAsia="Times New Roman" w:hAnsi="Times New Roman" w:cs="Times New Roman"/>
          <w:color w:val="000000"/>
          <w:spacing w:val="0"/>
          <w:w w:val="100"/>
          <w:position w:val="0"/>
        </w:rPr>
        <w:t>3</w:t>
      </w:r>
      <w:r>
        <w:rPr>
          <w:color w:val="000000"/>
          <w:spacing w:val="0"/>
          <w:w w:val="100"/>
          <w:position w:val="0"/>
        </w:rPr>
        <w:t>）为确保设备的可靠性和耐用性而设计；（</w:t>
      </w:r>
      <w:r>
        <w:rPr>
          <w:rFonts w:ascii="Times New Roman" w:eastAsia="Times New Roman" w:hAnsi="Times New Roman" w:cs="Times New Roman"/>
          <w:color w:val="000000"/>
          <w:spacing w:val="0"/>
          <w:w w:val="100"/>
          <w:position w:val="0"/>
        </w:rPr>
        <w:t>4</w:t>
      </w:r>
      <w:r>
        <w:rPr>
          <w:color w:val="000000"/>
          <w:spacing w:val="0"/>
          <w:w w:val="100"/>
          <w:position w:val="0"/>
        </w:rPr>
        <w:t>）为保障设备的高输出量和高效率而设计；</w:t>
      </w:r>
    </w:p>
    <w:p>
      <w:pPr>
        <w:pStyle w:val="Style45"/>
        <w:keepNext w:val="0"/>
        <w:keepLines w:val="0"/>
        <w:widowControl w:val="0"/>
        <w:numPr>
          <w:ilvl w:val="0"/>
          <w:numId w:val="11"/>
        </w:numPr>
        <w:shd w:val="clear" w:color="auto" w:fill="auto"/>
        <w:tabs>
          <w:tab w:pos="319" w:val="left"/>
        </w:tabs>
        <w:bidi w:val="0"/>
        <w:spacing w:before="0" w:after="0" w:line="240" w:lineRule="auto"/>
        <w:ind w:left="0" w:right="0" w:firstLine="0"/>
        <w:jc w:val="center"/>
      </w:pPr>
      <w:bookmarkStart w:id="174" w:name="bookmark174"/>
      <w:bookmarkEnd w:id="174"/>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140" w:line="4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）为设备安全性和减少环境污染而设计；（</w:t>
      </w:r>
      <w:r>
        <w:rPr>
          <w:rFonts w:ascii="Times New Roman" w:eastAsia="Times New Roman" w:hAnsi="Times New Roman" w:cs="Times New Roman"/>
          <w:color w:val="000000"/>
          <w:spacing w:val="0"/>
          <w:w w:val="100"/>
          <w:position w:val="0"/>
        </w:rPr>
        <w:t>6</w:t>
      </w:r>
      <w:r>
        <w:rPr>
          <w:color w:val="000000"/>
          <w:spacing w:val="0"/>
          <w:w w:val="100"/>
          <w:position w:val="0"/>
        </w:rPr>
        <w:t>）为设备容易加工和容易制造而设计；（</w:t>
      </w:r>
      <w:r>
        <w:rPr>
          <w:rFonts w:ascii="Times New Roman" w:eastAsia="Times New Roman" w:hAnsi="Times New Roman" w:cs="Times New Roman"/>
          <w:color w:val="000000"/>
          <w:spacing w:val="0"/>
          <w:w w:val="100"/>
          <w:position w:val="0"/>
        </w:rPr>
        <w:t>7</w:t>
      </w:r>
      <w:r>
        <w:rPr>
          <w:color w:val="000000"/>
          <w:spacing w:val="0"/>
          <w:w w:val="100"/>
          <w:position w:val="0"/>
        </w:rPr>
        <w:t>）为 设备容易维修和容易服务而设计；（</w:t>
      </w:r>
      <w:r>
        <w:rPr>
          <w:rFonts w:ascii="Times New Roman" w:eastAsia="Times New Roman" w:hAnsi="Times New Roman" w:cs="Times New Roman"/>
          <w:color w:val="000000"/>
          <w:spacing w:val="0"/>
          <w:w w:val="100"/>
          <w:position w:val="0"/>
        </w:rPr>
        <w:t>8</w:t>
      </w:r>
      <w:r>
        <w:rPr>
          <w:color w:val="000000"/>
          <w:spacing w:val="0"/>
          <w:w w:val="100"/>
          <w:position w:val="0"/>
        </w:rPr>
        <w:t>）为设备模板化、容易更新和改进而设计；（</w:t>
      </w:r>
      <w:r>
        <w:rPr>
          <w:rFonts w:ascii="Times New Roman" w:eastAsia="Times New Roman" w:hAnsi="Times New Roman" w:cs="Times New Roman"/>
          <w:color w:val="000000"/>
          <w:spacing w:val="0"/>
          <w:w w:val="100"/>
          <w:position w:val="0"/>
        </w:rPr>
        <w:t>9</w:t>
      </w:r>
      <w:r>
        <w:rPr>
          <w:color w:val="000000"/>
          <w:spacing w:val="0"/>
          <w:w w:val="100"/>
          <w:position w:val="0"/>
        </w:rPr>
        <w:t>）为设备最 大程度的标准化和统一化而设计；（</w:t>
      </w:r>
      <w:r>
        <w:rPr>
          <w:rFonts w:ascii="Times New Roman" w:eastAsia="Times New Roman" w:hAnsi="Times New Roman" w:cs="Times New Roman"/>
          <w:color w:val="000000"/>
          <w:spacing w:val="0"/>
          <w:w w:val="100"/>
          <w:position w:val="0"/>
        </w:rPr>
        <w:t>10</w:t>
      </w:r>
      <w:r>
        <w:rPr>
          <w:color w:val="000000"/>
          <w:spacing w:val="0"/>
          <w:w w:val="100"/>
          <w:position w:val="0"/>
        </w:rPr>
        <w:t>）为设备运行低成本、低能耗、低损耗和高利润而设计。 遵循这十项原则，公司在最初开发和设计的阶段就充分考虑设备在生产线上可能出现的问题和解 决方案，使得公司开发的产品能较快地实现产业化，成为操作简单、性能可靠、好用耐用的设 备。</w:t>
      </w:r>
    </w:p>
    <w:p>
      <w:pPr>
        <w:pStyle w:val="Style2"/>
        <w:keepNext w:val="0"/>
        <w:keepLines w:val="0"/>
        <w:widowControl w:val="0"/>
        <w:shd w:val="clear" w:color="auto" w:fill="auto"/>
        <w:bidi w:val="0"/>
        <w:spacing w:before="0" w:after="100" w:line="331" w:lineRule="exact"/>
        <w:ind w:left="0" w:right="0" w:firstLine="0"/>
        <w:jc w:val="left"/>
      </w:pPr>
      <w:bookmarkStart w:id="175" w:name="bookmark175"/>
      <w:bookmarkStart w:id="176" w:name="bookmark176"/>
      <w:r>
        <w:rPr>
          <w:rFonts w:ascii="Calibri" w:eastAsia="Calibri" w:hAnsi="Calibri" w:cs="Calibri"/>
          <w:b/>
          <w:bCs/>
          <w:color w:val="000000"/>
          <w:spacing w:val="0"/>
          <w:w w:val="100"/>
          <w:position w:val="0"/>
          <w:sz w:val="20"/>
          <w:szCs w:val="20"/>
        </w:rPr>
        <w:t>（</w:t>
      </w:r>
      <w:bookmarkEnd w:id="176"/>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报告期内发生的导致公司核心竞争力受到严重影响的事件、影响分析及应对措施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bookmarkEnd w:id="175"/>
    </w:p>
    <w:p>
      <w:pPr>
        <w:pStyle w:val="Style13"/>
        <w:keepNext/>
        <w:keepLines/>
        <w:widowControl w:val="0"/>
        <w:shd w:val="clear" w:color="auto" w:fill="auto"/>
        <w:bidi w:val="0"/>
        <w:spacing w:before="0" w:line="240" w:lineRule="auto"/>
        <w:ind w:left="0" w:right="0" w:firstLine="0"/>
        <w:jc w:val="center"/>
      </w:pPr>
      <w:bookmarkStart w:id="177" w:name="bookmark177"/>
      <w:bookmarkStart w:id="178" w:name="bookmark178"/>
      <w:bookmarkStart w:id="179" w:name="bookmark179"/>
      <w:r>
        <w:rPr>
          <w:color w:val="000000"/>
          <w:spacing w:val="0"/>
          <w:w w:val="100"/>
          <w:position w:val="0"/>
        </w:rPr>
        <w:t>第四节经营情况讨论与分析</w:t>
      </w:r>
      <w:bookmarkEnd w:id="177"/>
      <w:bookmarkEnd w:id="178"/>
      <w:bookmarkEnd w:id="179"/>
    </w:p>
    <w:p>
      <w:pPr>
        <w:pStyle w:val="Style35"/>
        <w:keepNext/>
        <w:keepLines/>
        <w:widowControl w:val="0"/>
        <w:shd w:val="clear" w:color="auto" w:fill="auto"/>
        <w:bidi w:val="0"/>
        <w:spacing w:before="0" w:after="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rPr>
        <w:t>一</w:t>
      </w:r>
      <w:bookmarkEnd w:id="182"/>
      <w:r>
        <w:rPr>
          <w:color w:val="000000"/>
          <w:spacing w:val="0"/>
          <w:w w:val="100"/>
          <w:position w:val="0"/>
        </w:rPr>
        <w:t>、经营情况讨论与分析</w:t>
      </w:r>
      <w:bookmarkEnd w:id="180"/>
      <w:bookmarkEnd w:id="181"/>
      <w:bookmarkEnd w:id="183"/>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报告期内，在全球贸易争端不断、世界经济增长放缓、疫情影响持续在全球蔓延、国内经济 下行压力加大的背景下，全球半导体产业、</w:t>
      </w:r>
      <w:r>
        <w:rPr>
          <w:rFonts w:ascii="Times New Roman" w:eastAsia="Times New Roman" w:hAnsi="Times New Roman" w:cs="Times New Roman"/>
          <w:color w:val="000000"/>
          <w:spacing w:val="0"/>
          <w:w w:val="100"/>
          <w:position w:val="0"/>
        </w:rPr>
        <w:t>LED</w:t>
      </w:r>
      <w:r>
        <w:rPr>
          <w:color w:val="000000"/>
          <w:spacing w:val="0"/>
          <w:w w:val="100"/>
          <w:position w:val="0"/>
        </w:rPr>
        <w:t>产业及设备产业呈现震荡发展态势。与此同 时，在国家产业政策的支持下，中国集成电路及</w:t>
      </w:r>
      <w:r>
        <w:rPr>
          <w:rFonts w:ascii="Times New Roman" w:eastAsia="Times New Roman" w:hAnsi="Times New Roman" w:cs="Times New Roman"/>
          <w:color w:val="000000"/>
          <w:spacing w:val="0"/>
          <w:w w:val="100"/>
          <w:position w:val="0"/>
        </w:rPr>
        <w:t>LED</w:t>
      </w:r>
      <w:r>
        <w:rPr>
          <w:color w:val="000000"/>
          <w:spacing w:val="0"/>
          <w:w w:val="100"/>
          <w:position w:val="0"/>
        </w:rPr>
        <w:t>设备市场保持相对较高程度的投资规模， 但不同客户投资进度出现结构分化的差异。除海外原有供应商外，国内也有更多企业进入或更大 力度投入地到设备领域，海内外竞争进一步加剧。</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公司继续瞄准世界科技前沿，持续践行三维发展战略，深耕集成电路关键设备领域、扩展在 泛半导体关键设备领域应用并探索其他新兴领域的机会，推进公司实现高速、稳定、安全发展。 公司坚持以市场和客户需求为导向，积极应对复杂形势，继续加大研发投入和业务开拓力度，推 动以研发创新为驱动的高质量增长策略，抓住重点客户扩产投资机会，推进订制化精细化生产经 营，公司在刻蚀设备和</w:t>
      </w:r>
      <w:r>
        <w:rPr>
          <w:rFonts w:ascii="Times New Roman" w:eastAsia="Times New Roman" w:hAnsi="Times New Roman" w:cs="Times New Roman"/>
          <w:color w:val="000000"/>
          <w:spacing w:val="0"/>
          <w:w w:val="100"/>
          <w:position w:val="0"/>
        </w:rPr>
        <w:t>MOCVD</w:t>
      </w:r>
      <w:r>
        <w:rPr>
          <w:color w:val="000000"/>
          <w:spacing w:val="0"/>
          <w:w w:val="100"/>
          <w:position w:val="0"/>
        </w:rPr>
        <w:t>等设备产品研发、市场布局、新业务投资拓展等诸多方面取得 了较大的突破和进展，产品不断获得海内外客户的认可，为公司持续健康发展提供了有力支撑。</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公司同时兼顾外延性发展，在聚焦公司核心业务集成电路设备的同时积极探索布局包括健康 领域在内的新业绩增长点，子公司中微惠创、中微汇链及公司参与投资标的公司在各自细分领域 取得了卓有成效的进展，公司和国内外先进设备公司的合作也取得了突破进展。</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在不断获得客户高度认可的同时，报告期公司得到了广泛的业界赞誉，包括福布斯中国将公 司评选为</w:t>
      </w:r>
      <w:r>
        <w:rPr>
          <w:rFonts w:ascii="Times New Roman" w:eastAsia="Times New Roman" w:hAnsi="Times New Roman" w:cs="Times New Roman"/>
          <w:color w:val="000000"/>
          <w:spacing w:val="0"/>
          <w:w w:val="100"/>
          <w:position w:val="0"/>
        </w:rPr>
        <w:t>“2020</w:t>
      </w:r>
      <w:r>
        <w:rPr>
          <w:color w:val="000000"/>
          <w:spacing w:val="0"/>
          <w:w w:val="100"/>
          <w:position w:val="0"/>
        </w:rPr>
        <w:t>中国最具创新力企业</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新浪财经评选公司为</w:t>
      </w:r>
      <w:r>
        <w:rPr>
          <w:rFonts w:ascii="Times New Roman" w:eastAsia="Times New Roman" w:hAnsi="Times New Roman" w:cs="Times New Roman"/>
          <w:color w:val="000000"/>
          <w:spacing w:val="0"/>
          <w:w w:val="100"/>
          <w:position w:val="0"/>
        </w:rPr>
        <w:t>“</w:t>
      </w:r>
      <w:r>
        <w:rPr>
          <w:color w:val="000000"/>
          <w:spacing w:val="0"/>
          <w:w w:val="100"/>
          <w:position w:val="0"/>
        </w:rPr>
        <w:t>中国上市公司科技创新</w:t>
      </w:r>
      <w:r>
        <w:rPr>
          <w:rFonts w:ascii="Times New Roman" w:eastAsia="Times New Roman" w:hAnsi="Times New Roman" w:cs="Times New Roman"/>
          <w:color w:val="000000"/>
          <w:spacing w:val="0"/>
          <w:w w:val="100"/>
          <w:position w:val="0"/>
        </w:rPr>
        <w:t>60</w:t>
      </w:r>
      <w:r>
        <w:rPr>
          <w:color w:val="000000"/>
          <w:spacing w:val="0"/>
          <w:w w:val="100"/>
          <w:position w:val="0"/>
        </w:rPr>
        <w:t>强</w:t>
      </w:r>
      <w:r>
        <w:rPr>
          <w:rFonts w:ascii="Times New Roman" w:eastAsia="Times New Roman" w:hAnsi="Times New Roman" w:cs="Times New Roman"/>
          <w:color w:val="000000"/>
          <w:spacing w:val="0"/>
          <w:w w:val="100"/>
          <w:position w:val="0"/>
        </w:rPr>
        <w:t xml:space="preserve">” </w:t>
      </w:r>
      <w:r>
        <w:rPr>
          <w:color w:val="000000"/>
          <w:spacing w:val="0"/>
          <w:w w:val="100"/>
          <w:position w:val="0"/>
        </w:rPr>
        <w:t>等，国家发改委、科技部等部门认定公司为</w:t>
      </w:r>
      <w:r>
        <w:rPr>
          <w:rFonts w:ascii="Times New Roman" w:eastAsia="Times New Roman" w:hAnsi="Times New Roman" w:cs="Times New Roman"/>
          <w:color w:val="000000"/>
          <w:spacing w:val="0"/>
          <w:w w:val="100"/>
          <w:position w:val="0"/>
        </w:rPr>
        <w:t>“</w:t>
      </w:r>
      <w:r>
        <w:rPr>
          <w:color w:val="000000"/>
          <w:spacing w:val="0"/>
          <w:w w:val="100"/>
          <w:position w:val="0"/>
        </w:rPr>
        <w:t>国家企业技术中心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公司持续加强人才激励，在报告期内实施了限制性股票计划和股票增值权计划，对公司员工 和董事会认为需要激励的人员进行激励，充分调动员工的积极性。</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此外，为扩充资产规模、增强公司实力以持续做大做强主业，公司在报告期内申请向特定对 象发行股票，拟发行不超过</w:t>
      </w:r>
      <w:r>
        <w:rPr>
          <w:rFonts w:ascii="Times New Roman" w:eastAsia="Times New Roman" w:hAnsi="Times New Roman" w:cs="Times New Roman"/>
          <w:color w:val="000000"/>
          <w:spacing w:val="0"/>
          <w:w w:val="100"/>
          <w:position w:val="0"/>
        </w:rPr>
        <w:t>80,229,335</w:t>
      </w:r>
      <w:r>
        <w:rPr>
          <w:color w:val="000000"/>
          <w:spacing w:val="0"/>
          <w:w w:val="100"/>
          <w:position w:val="0"/>
        </w:rPr>
        <w:t>股票，募集不超过人民币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万元的资金。该等申 请已由上交所批准并经证监会注册。</w:t>
      </w:r>
    </w:p>
    <w:p>
      <w:pPr>
        <w:pStyle w:val="Style2"/>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报告期内公司持续提升综合竞争力，在技术进步、业务发展、业绩增长、规范治理等方面不 断向国际先进水平的方向努力，实现公司高速、稳定、安全发展。</w:t>
      </w:r>
    </w:p>
    <w:p>
      <w:pPr>
        <w:pStyle w:val="Style45"/>
        <w:keepNext w:val="0"/>
        <w:keepLines w:val="0"/>
        <w:widowControl w:val="0"/>
        <w:numPr>
          <w:ilvl w:val="0"/>
          <w:numId w:val="11"/>
        </w:numPr>
        <w:shd w:val="clear" w:color="auto" w:fill="auto"/>
        <w:tabs>
          <w:tab w:pos="313" w:val="left"/>
        </w:tabs>
        <w:bidi w:val="0"/>
        <w:spacing w:before="0" w:after="120" w:line="240" w:lineRule="auto"/>
        <w:ind w:left="0" w:right="0" w:firstLine="0"/>
        <w:jc w:val="center"/>
      </w:pPr>
      <w:bookmarkStart w:id="184" w:name="bookmark184"/>
      <w:bookmarkEnd w:id="184"/>
      <w:r>
        <w:rPr>
          <w:b w:val="0"/>
          <w:bCs w:val="0"/>
          <w:color w:val="000000"/>
          <w:spacing w:val="0"/>
          <w:w w:val="100"/>
          <w:position w:val="0"/>
        </w:rPr>
        <w:t xml:space="preserve">/ </w:t>
      </w:r>
      <w:r>
        <w:rPr>
          <w:color w:val="000000"/>
          <w:spacing w:val="0"/>
          <w:w w:val="100"/>
          <w:position w:val="0"/>
        </w:rPr>
        <w:t>193</w:t>
      </w:r>
    </w:p>
    <w:p>
      <w:pPr>
        <w:pStyle w:val="Style35"/>
        <w:keepNext/>
        <w:keepLines/>
        <w:widowControl w:val="0"/>
        <w:shd w:val="clear" w:color="auto" w:fill="auto"/>
        <w:tabs>
          <w:tab w:pos="999" w:val="left"/>
        </w:tabs>
        <w:bidi w:val="0"/>
        <w:spacing w:before="0" w:after="0" w:line="409" w:lineRule="exact"/>
        <w:ind w:left="0" w:right="0" w:firstLine="440"/>
        <w:jc w:val="both"/>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一）</w:t>
        <w:tab/>
        <w:t>报告期内主要经营情况</w:t>
      </w:r>
      <w:bookmarkEnd w:id="185"/>
      <w:bookmarkEnd w:id="186"/>
      <w:bookmarkEnd w:id="188"/>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rPr>
        <w:t>22.73</w:t>
      </w:r>
      <w:r>
        <w:rPr>
          <w:color w:val="000000"/>
          <w:spacing w:val="0"/>
          <w:w w:val="100"/>
          <w:position w:val="0"/>
        </w:rPr>
        <w:t>亿元，比上年增长</w:t>
      </w:r>
      <w:r>
        <w:rPr>
          <w:rFonts w:ascii="Times New Roman" w:eastAsia="Times New Roman" w:hAnsi="Times New Roman" w:cs="Times New Roman"/>
          <w:color w:val="000000"/>
          <w:spacing w:val="0"/>
          <w:w w:val="100"/>
          <w:position w:val="0"/>
        </w:rPr>
        <w:t>16.76%</w:t>
      </w:r>
      <w:r>
        <w:rPr>
          <w:color w:val="000000"/>
          <w:spacing w:val="0"/>
          <w:w w:val="100"/>
          <w:position w:val="0"/>
        </w:rPr>
        <w:t>；实现归属于上市公司股 东的净利润</w:t>
      </w:r>
      <w:r>
        <w:rPr>
          <w:rFonts w:ascii="Times New Roman" w:eastAsia="Times New Roman" w:hAnsi="Times New Roman" w:cs="Times New Roman"/>
          <w:color w:val="000000"/>
          <w:spacing w:val="0"/>
          <w:w w:val="100"/>
          <w:position w:val="0"/>
        </w:rPr>
        <w:t>4.92</w:t>
      </w:r>
      <w:r>
        <w:rPr>
          <w:color w:val="000000"/>
          <w:spacing w:val="0"/>
          <w:w w:val="100"/>
          <w:position w:val="0"/>
        </w:rPr>
        <w:t>亿元，比上年增长</w:t>
      </w:r>
      <w:r>
        <w:rPr>
          <w:rFonts w:ascii="Times New Roman" w:eastAsia="Times New Roman" w:hAnsi="Times New Roman" w:cs="Times New Roman"/>
          <w:color w:val="000000"/>
          <w:spacing w:val="0"/>
          <w:w w:val="100"/>
          <w:position w:val="0"/>
        </w:rPr>
        <w:t>161.02%</w:t>
      </w:r>
      <w:r>
        <w:rPr>
          <w:color w:val="000000"/>
          <w:spacing w:val="0"/>
          <w:w w:val="100"/>
          <w:position w:val="0"/>
        </w:rPr>
        <w:t>。</w:t>
      </w:r>
    </w:p>
    <w:p>
      <w:pPr>
        <w:pStyle w:val="Style2"/>
        <w:keepNext w:val="0"/>
        <w:keepLines w:val="0"/>
        <w:widowControl w:val="0"/>
        <w:shd w:val="clear" w:color="auto" w:fill="auto"/>
        <w:tabs>
          <w:tab w:pos="999" w:val="left"/>
        </w:tabs>
        <w:bidi w:val="0"/>
        <w:spacing w:before="0" w:after="0" w:line="409" w:lineRule="exact"/>
        <w:ind w:left="0" w:right="0" w:firstLine="440"/>
        <w:jc w:val="both"/>
      </w:pPr>
      <w:bookmarkStart w:id="189" w:name="bookmark189"/>
      <w:r>
        <w:rPr>
          <w:b/>
          <w:bCs/>
          <w:color w:val="000000"/>
          <w:spacing w:val="0"/>
          <w:w w:val="100"/>
          <w:position w:val="0"/>
        </w:rPr>
        <w:t>（</w:t>
      </w:r>
      <w:bookmarkEnd w:id="189"/>
      <w:r>
        <w:rPr>
          <w:b/>
          <w:bCs/>
          <w:color w:val="000000"/>
          <w:spacing w:val="0"/>
          <w:w w:val="100"/>
          <w:position w:val="0"/>
        </w:rPr>
        <w:t>二）</w:t>
        <w:tab/>
        <w:t>报告期内重点任务完成情况</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报告期内，公司在研发创新、知识产权体系建设、生产经营、外延式生长等方面取得了积极 成果：</w:t>
      </w:r>
    </w:p>
    <w:p>
      <w:pPr>
        <w:pStyle w:val="Style35"/>
        <w:keepNext/>
        <w:keepLines/>
        <w:widowControl w:val="0"/>
        <w:shd w:val="clear" w:color="auto" w:fill="auto"/>
        <w:bidi w:val="0"/>
        <w:spacing w:before="0" w:after="0" w:line="427" w:lineRule="auto"/>
        <w:ind w:left="0" w:right="0" w:firstLine="44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、产品研发及客户拓展方面</w:t>
      </w:r>
      <w:bookmarkEnd w:id="190"/>
      <w:bookmarkEnd w:id="191"/>
      <w:bookmarkEnd w:id="193"/>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公司坚持自主创新，产品布局及技术研发面向世界科技前沿。报告期内，公司继续保持较高 的研发投入，与国内外一流客户保持紧密合作，相关设备产品研发进展顺利、客户端验证情况良 好。</w:t>
      </w:r>
      <w:r>
        <w:rPr>
          <w:rFonts w:ascii="Times New Roman" w:eastAsia="Times New Roman" w:hAnsi="Times New Roman" w:cs="Times New Roman"/>
          <w:color w:val="000000"/>
          <w:spacing w:val="0"/>
          <w:w w:val="100"/>
          <w:position w:val="0"/>
        </w:rPr>
        <w:t>2020</w:t>
      </w:r>
      <w:r>
        <w:rPr>
          <w:color w:val="000000"/>
          <w:spacing w:val="0"/>
          <w:w w:val="100"/>
          <w:position w:val="0"/>
        </w:rPr>
        <w:t>年度公司研发投入为</w:t>
      </w:r>
      <w:r>
        <w:rPr>
          <w:rFonts w:ascii="Times New Roman" w:eastAsia="Times New Roman" w:hAnsi="Times New Roman" w:cs="Times New Roman"/>
          <w:color w:val="000000"/>
          <w:spacing w:val="0"/>
          <w:w w:val="100"/>
          <w:position w:val="0"/>
        </w:rPr>
        <w:t>6.4</w:t>
      </w:r>
      <w:r>
        <w:rPr>
          <w:rFonts w:ascii="Times New Roman" w:eastAsia="Times New Roman" w:hAnsi="Times New Roman" w:cs="Times New Roman"/>
          <w:color w:val="000000"/>
          <w:spacing w:val="0"/>
          <w:w w:val="100"/>
          <w:position w:val="0"/>
        </w:rPr>
        <w:t>0</w:t>
      </w:r>
      <w:r>
        <w:rPr>
          <w:color w:val="000000"/>
          <w:spacing w:val="0"/>
          <w:w w:val="100"/>
          <w:position w:val="0"/>
        </w:rPr>
        <w:t>亿元，占营业收入</w:t>
      </w:r>
      <w:r>
        <w:rPr>
          <w:rFonts w:ascii="Times New Roman" w:eastAsia="Times New Roman" w:hAnsi="Times New Roman" w:cs="Times New Roman"/>
          <w:color w:val="000000"/>
          <w:spacing w:val="0"/>
          <w:w w:val="100"/>
          <w:position w:val="0"/>
        </w:rPr>
        <w:t>28.14%</w:t>
      </w:r>
      <w:r>
        <w:rPr>
          <w:color w:val="000000"/>
          <w:spacing w:val="0"/>
          <w:w w:val="100"/>
          <w:position w:val="0"/>
        </w:rPr>
        <w:t>。</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公司持续打造领先设备公司市场形象，积极参与有影响力的市场活动，不断强化公司技术和 品牌优势。报告期内，公司发挥产品技术及销售服务竞争优势，持续深化同海内外客户的业务合 作，以更好的市场形象和更专业的服务为客户提供产品解决方案。在持续改善量产机台的运行时 间和生产效率的同时，研发团队和客户紧密合作，进行更多的关键制程的工艺开发和验证，进一 步提高产品的技术先进性和市场竞争力，以拓宽机台的生产能力并赢得更多的制程量产机会。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公司主要产品的进展情况如下：</w:t>
      </w:r>
    </w:p>
    <w:p>
      <w:pPr>
        <w:pStyle w:val="Style2"/>
        <w:keepNext w:val="0"/>
        <w:keepLines w:val="0"/>
        <w:widowControl w:val="0"/>
        <w:shd w:val="clear" w:color="auto" w:fill="auto"/>
        <w:tabs>
          <w:tab w:pos="902" w:val="left"/>
        </w:tabs>
        <w:bidi w:val="0"/>
        <w:spacing w:before="0" w:after="0" w:line="409" w:lineRule="exact"/>
        <w:ind w:left="0" w:right="0" w:firstLine="440"/>
        <w:jc w:val="both"/>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CCP</w:t>
      </w:r>
      <w:r>
        <w:rPr>
          <w:color w:val="000000"/>
          <w:spacing w:val="0"/>
          <w:w w:val="100"/>
          <w:position w:val="0"/>
        </w:rPr>
        <w:t>刻蚀设备</w:t>
      </w:r>
    </w:p>
    <w:p>
      <w:pPr>
        <w:pStyle w:val="Style58"/>
        <w:keepNext w:val="0"/>
        <w:keepLines w:val="0"/>
        <w:widowControl w:val="0"/>
        <w:shd w:val="clear" w:color="auto" w:fill="auto"/>
        <w:bidi w:val="0"/>
        <w:spacing w:before="0" w:after="0" w:line="409" w:lineRule="exact"/>
        <w:ind w:left="0" w:right="0" w:firstLine="440"/>
        <w:jc w:val="left"/>
      </w:pPr>
      <w:r>
        <w:rPr>
          <w:rFonts w:ascii="SimSun" w:eastAsia="SimSun" w:hAnsi="SimSun" w:cs="SimSun"/>
          <w:color w:val="000000"/>
          <w:spacing w:val="0"/>
          <w:w w:val="100"/>
          <w:position w:val="0"/>
        </w:rPr>
        <w:t>报告期内，公司</w:t>
      </w:r>
      <w:r>
        <w:rPr>
          <w:color w:val="000000"/>
          <w:spacing w:val="0"/>
          <w:w w:val="100"/>
          <w:position w:val="0"/>
        </w:rPr>
        <w:t>CCP</w:t>
      </w:r>
      <w:r>
        <w:rPr>
          <w:rFonts w:ascii="SimSun" w:eastAsia="SimSun" w:hAnsi="SimSun" w:cs="SimSun"/>
          <w:color w:val="000000"/>
          <w:spacing w:val="0"/>
          <w:w w:val="100"/>
          <w:position w:val="0"/>
        </w:rPr>
        <w:t>刻蚀设备产品保持竞争优势，</w:t>
      </w:r>
      <w:r>
        <w:rPr>
          <w:color w:val="000000"/>
          <w:spacing w:val="0"/>
          <w:w w:val="100"/>
          <w:position w:val="0"/>
        </w:rPr>
        <w:t>Primo AD-RIE®</w:t>
      </w:r>
      <w:r>
        <w:rPr>
          <w:rFonts w:ascii="SimSun" w:eastAsia="SimSun" w:hAnsi="SimSun" w:cs="SimSun"/>
          <w:color w:val="000000"/>
          <w:spacing w:val="0"/>
          <w:w w:val="100"/>
          <w:position w:val="0"/>
        </w:rPr>
        <w:t>、</w:t>
      </w:r>
      <w:r>
        <w:rPr>
          <w:color w:val="000000"/>
          <w:spacing w:val="0"/>
          <w:w w:val="100"/>
          <w:position w:val="0"/>
        </w:rPr>
        <w:t>Primo SSC AD</w:t>
        <w:softHyphen/>
      </w:r>
    </w:p>
    <w:p>
      <w:pPr>
        <w:pStyle w:val="Style2"/>
        <w:keepNext w:val="0"/>
        <w:keepLines w:val="0"/>
        <w:widowControl w:val="0"/>
        <w:shd w:val="clear" w:color="auto" w:fill="auto"/>
        <w:bidi w:val="0"/>
        <w:spacing w:before="0" w:after="0" w:line="409" w:lineRule="exact"/>
        <w:ind w:left="0" w:right="0" w:firstLine="0"/>
        <w:jc w:val="left"/>
      </w:pPr>
      <w:r>
        <w:rPr>
          <w:rFonts w:ascii="Times New Roman" w:eastAsia="Times New Roman" w:hAnsi="Times New Roman" w:cs="Times New Roman"/>
          <w:color w:val="000000"/>
          <w:spacing w:val="0"/>
          <w:w w:val="100"/>
          <w:position w:val="0"/>
        </w:rPr>
        <w:t>RIE™</w:t>
      </w:r>
      <w:r>
        <w:rPr>
          <w:color w:val="000000"/>
          <w:spacing w:val="0"/>
          <w:w w:val="100"/>
          <w:position w:val="0"/>
        </w:rPr>
        <w:t xml:space="preserve">, </w:t>
      </w:r>
      <w:r>
        <w:rPr>
          <w:rFonts w:ascii="Times New Roman" w:eastAsia="Times New Roman" w:hAnsi="Times New Roman" w:cs="Times New Roman"/>
          <w:color w:val="000000"/>
          <w:spacing w:val="0"/>
          <w:w w:val="100"/>
          <w:position w:val="0"/>
        </w:rPr>
        <w:t>Primo HD-RIE™</w:t>
      </w:r>
      <w:r>
        <w:rPr>
          <w:color w:val="000000"/>
          <w:spacing w:val="0"/>
          <w:w w:val="100"/>
          <w:position w:val="0"/>
        </w:rPr>
        <w:t>等产品批量应用于国内外一线客户的集成电路加工制造生产线，并持续 提升市场占有率，在部分客户市场占有率已进入前三位。此外，在先进逻辑电路方面，公司持续 升级硬件性能，成功取得</w:t>
      </w:r>
      <w:r>
        <w:rPr>
          <w:rFonts w:ascii="Times New Roman" w:eastAsia="Times New Roman" w:hAnsi="Times New Roman" w:cs="Times New Roman"/>
          <w:color w:val="000000"/>
          <w:spacing w:val="0"/>
          <w:w w:val="100"/>
          <w:position w:val="0"/>
        </w:rPr>
        <w:t>5</w:t>
      </w:r>
      <w:r>
        <w:rPr>
          <w:color w:val="000000"/>
          <w:spacing w:val="0"/>
          <w:w w:val="100"/>
          <w:position w:val="0"/>
        </w:rPr>
        <w:t>纳米及以下逻辑电路产线的重复订单。在存储电路方面，公司的刻蚀 设备在</w:t>
      </w:r>
      <w:r>
        <w:rPr>
          <w:rFonts w:ascii="Times New Roman" w:eastAsia="Times New Roman" w:hAnsi="Times New Roman" w:cs="Times New Roman"/>
          <w:color w:val="000000"/>
          <w:spacing w:val="0"/>
          <w:w w:val="100"/>
          <w:position w:val="0"/>
        </w:rPr>
        <w:t>64</w:t>
      </w:r>
      <w:r>
        <w:rPr>
          <w:color w:val="000000"/>
          <w:spacing w:val="0"/>
          <w:w w:val="100"/>
          <w:position w:val="0"/>
        </w:rPr>
        <w:t>层及</w:t>
      </w:r>
      <w:r>
        <w:rPr>
          <w:rFonts w:ascii="Times New Roman" w:eastAsia="Times New Roman" w:hAnsi="Times New Roman" w:cs="Times New Roman"/>
          <w:color w:val="000000"/>
          <w:spacing w:val="0"/>
          <w:w w:val="100"/>
          <w:position w:val="0"/>
        </w:rPr>
        <w:t>128</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的生产线得到广泛应用。随着</w:t>
      </w:r>
      <w:r>
        <w:rPr>
          <w:rFonts w:ascii="Times New Roman" w:eastAsia="Times New Roman" w:hAnsi="Times New Roman" w:cs="Times New Roman"/>
          <w:color w:val="000000"/>
          <w:spacing w:val="0"/>
          <w:w w:val="100"/>
          <w:position w:val="0"/>
        </w:rPr>
        <w:t>3D NAND</w:t>
      </w:r>
      <w:r>
        <w:rPr>
          <w:color w:val="000000"/>
          <w:spacing w:val="0"/>
          <w:w w:val="100"/>
          <w:position w:val="0"/>
        </w:rPr>
        <w:t>芯片制造厂产能的迅 速爬升，该等产品的重复订单稳步增长。同时，公司积极布局动态存储器的应用，并开始工艺开 发及验证。公司与主流客户积极合作，定义下一代</w:t>
      </w:r>
      <w:r>
        <w:rPr>
          <w:rFonts w:ascii="Times New Roman" w:eastAsia="Times New Roman" w:hAnsi="Times New Roman" w:cs="Times New Roman"/>
          <w:color w:val="000000"/>
          <w:spacing w:val="0"/>
          <w:w w:val="100"/>
          <w:position w:val="0"/>
        </w:rPr>
        <w:t>CCP</w:t>
      </w:r>
      <w:r>
        <w:rPr>
          <w:color w:val="000000"/>
          <w:spacing w:val="0"/>
          <w:w w:val="100"/>
          <w:position w:val="0"/>
        </w:rPr>
        <w:t>刻蚀机的主要功能及技术指标，正开发 更先进的</w:t>
      </w:r>
      <w:r>
        <w:rPr>
          <w:rFonts w:ascii="Times New Roman" w:eastAsia="Times New Roman" w:hAnsi="Times New Roman" w:cs="Times New Roman"/>
          <w:color w:val="000000"/>
          <w:spacing w:val="0"/>
          <w:w w:val="100"/>
          <w:position w:val="0"/>
        </w:rPr>
        <w:t>CCP</w:t>
      </w:r>
      <w:r>
        <w:rPr>
          <w:color w:val="000000"/>
          <w:spacing w:val="0"/>
          <w:w w:val="100"/>
          <w:position w:val="0"/>
        </w:rPr>
        <w:t>刻蚀机产品。</w:t>
      </w:r>
    </w:p>
    <w:p>
      <w:pPr>
        <w:pStyle w:val="Style2"/>
        <w:keepNext w:val="0"/>
        <w:keepLines w:val="0"/>
        <w:widowControl w:val="0"/>
        <w:shd w:val="clear" w:color="auto" w:fill="auto"/>
        <w:tabs>
          <w:tab w:pos="902" w:val="left"/>
        </w:tabs>
        <w:bidi w:val="0"/>
        <w:spacing w:before="0" w:after="0" w:line="409" w:lineRule="exact"/>
        <w:ind w:left="0" w:right="0" w:firstLine="440"/>
        <w:jc w:val="both"/>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ICP</w:t>
      </w:r>
      <w:r>
        <w:rPr>
          <w:color w:val="000000"/>
          <w:spacing w:val="0"/>
          <w:w w:val="100"/>
          <w:position w:val="0"/>
        </w:rPr>
        <w:t>刻蚀设备</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ICP</w:t>
      </w:r>
      <w:r>
        <w:rPr>
          <w:color w:val="000000"/>
          <w:spacing w:val="0"/>
          <w:w w:val="100"/>
          <w:position w:val="0"/>
        </w:rPr>
        <w:t>刻蚀设备已经逐步趋于成熟，新推出的</w:t>
      </w:r>
      <w:r>
        <w:rPr>
          <w:rFonts w:ascii="Times New Roman" w:eastAsia="Times New Roman" w:hAnsi="Times New Roman" w:cs="Times New Roman"/>
          <w:color w:val="000000"/>
          <w:spacing w:val="0"/>
          <w:w w:val="100"/>
          <w:position w:val="0"/>
        </w:rPr>
        <w:t>Primo nanova®</w:t>
      </w:r>
      <w:r>
        <w:rPr>
          <w:color w:val="000000"/>
          <w:spacing w:val="0"/>
          <w:w w:val="100"/>
          <w:position w:val="0"/>
        </w:rPr>
        <w:t>产品在</w:t>
      </w:r>
      <w:r>
        <w:rPr>
          <w:rFonts w:ascii="Times New Roman" w:eastAsia="Times New Roman" w:hAnsi="Times New Roman" w:cs="Times New Roman"/>
          <w:color w:val="000000"/>
          <w:spacing w:val="0"/>
          <w:w w:val="100"/>
          <w:position w:val="0"/>
        </w:rPr>
        <w:t>10</w:t>
      </w:r>
      <w:r>
        <w:rPr>
          <w:color w:val="000000"/>
          <w:spacing w:val="0"/>
          <w:w w:val="100"/>
          <w:position w:val="0"/>
        </w:rPr>
        <w:t>家客户的生产线 上进行验证，已有超过</w:t>
      </w:r>
      <w:r>
        <w:rPr>
          <w:rFonts w:ascii="Times New Roman" w:eastAsia="Times New Roman" w:hAnsi="Times New Roman" w:cs="Times New Roman"/>
          <w:color w:val="000000"/>
          <w:spacing w:val="0"/>
          <w:w w:val="100"/>
          <w:position w:val="0"/>
        </w:rPr>
        <w:t>50</w:t>
      </w:r>
      <w:r>
        <w:rPr>
          <w:color w:val="000000"/>
          <w:spacing w:val="0"/>
          <w:w w:val="100"/>
          <w:position w:val="0"/>
        </w:rPr>
        <w:t xml:space="preserve">个工艺在客户的生产线上达到指标要求，且持续扩大应用验证范围。 </w:t>
      </w:r>
      <w:r>
        <w:rPr>
          <w:rFonts w:ascii="Times New Roman" w:eastAsia="Times New Roman" w:hAnsi="Times New Roman" w:cs="Times New Roman"/>
          <w:color w:val="000000"/>
          <w:spacing w:val="0"/>
          <w:w w:val="100"/>
          <w:position w:val="0"/>
        </w:rPr>
        <w:t>2020</w:t>
      </w:r>
      <w:r>
        <w:rPr>
          <w:color w:val="000000"/>
          <w:spacing w:val="0"/>
          <w:w w:val="100"/>
          <w:position w:val="0"/>
        </w:rPr>
        <w:t>年开始，</w:t>
      </w:r>
      <w:r>
        <w:rPr>
          <w:rFonts w:ascii="Times New Roman" w:eastAsia="Times New Roman" w:hAnsi="Times New Roman" w:cs="Times New Roman"/>
          <w:color w:val="000000"/>
          <w:spacing w:val="0"/>
          <w:w w:val="100"/>
          <w:position w:val="0"/>
        </w:rPr>
        <w:t>Primo nanova®</w:t>
      </w:r>
      <w:r>
        <w:rPr>
          <w:color w:val="000000"/>
          <w:spacing w:val="0"/>
          <w:w w:val="100"/>
          <w:position w:val="0"/>
        </w:rPr>
        <w:t>产品逐步取得客户的重复订单。尤其是</w:t>
      </w:r>
      <w:r>
        <w:rPr>
          <w:rFonts w:ascii="Times New Roman" w:eastAsia="Times New Roman" w:hAnsi="Times New Roman" w:cs="Times New Roman"/>
          <w:color w:val="000000"/>
          <w:spacing w:val="0"/>
          <w:w w:val="100"/>
          <w:position w:val="0"/>
        </w:rPr>
        <w:t>2020</w:t>
      </w:r>
      <w:r>
        <w:rPr>
          <w:color w:val="000000"/>
          <w:spacing w:val="0"/>
          <w:w w:val="100"/>
          <w:position w:val="0"/>
        </w:rPr>
        <w:t>年下半年，在国内存 储客户的扩产带动下，该产品的销售取得较大进展。</w:t>
      </w:r>
    </w:p>
    <w:p>
      <w:pPr>
        <w:pStyle w:val="Style2"/>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在持续提升</w:t>
      </w:r>
      <w:r>
        <w:rPr>
          <w:rFonts w:ascii="Times New Roman" w:eastAsia="Times New Roman" w:hAnsi="Times New Roman" w:cs="Times New Roman"/>
          <w:color w:val="000000"/>
          <w:spacing w:val="0"/>
          <w:w w:val="100"/>
          <w:position w:val="0"/>
        </w:rPr>
        <w:t>Primo nanova®</w:t>
      </w:r>
      <w:r>
        <w:rPr>
          <w:color w:val="000000"/>
          <w:spacing w:val="0"/>
          <w:w w:val="100"/>
          <w:position w:val="0"/>
        </w:rPr>
        <w:t>刻蚀设备的市场份额的同时，公司研发的具有高输出率特点的双 反应台</w:t>
      </w:r>
      <w:r>
        <w:rPr>
          <w:rFonts w:ascii="Times New Roman" w:eastAsia="Times New Roman" w:hAnsi="Times New Roman" w:cs="Times New Roman"/>
          <w:color w:val="000000"/>
          <w:spacing w:val="0"/>
          <w:w w:val="100"/>
          <w:position w:val="0"/>
        </w:rPr>
        <w:t>ICP</w:t>
      </w:r>
      <w:r>
        <w:rPr>
          <w:color w:val="000000"/>
          <w:spacing w:val="0"/>
          <w:w w:val="100"/>
          <w:position w:val="0"/>
        </w:rPr>
        <w:t>刻蚀设备</w:t>
      </w:r>
      <w:r>
        <w:rPr>
          <w:rFonts w:ascii="Times New Roman" w:eastAsia="Times New Roman" w:hAnsi="Times New Roman" w:cs="Times New Roman"/>
          <w:color w:val="000000"/>
          <w:spacing w:val="0"/>
          <w:w w:val="100"/>
          <w:position w:val="0"/>
        </w:rPr>
        <w:t>Primo Twin-Star®</w:t>
      </w:r>
      <w:r>
        <w:rPr>
          <w:color w:val="000000"/>
          <w:spacing w:val="0"/>
          <w:w w:val="100"/>
          <w:position w:val="0"/>
        </w:rPr>
        <w:t xml:space="preserve">也已经在客户端完成认证。该产品应用中微公司国际领 先、独特的双反应台设计理念，沿用了 </w:t>
      </w:r>
      <w:r>
        <w:rPr>
          <w:rFonts w:ascii="Times New Roman" w:eastAsia="Times New Roman" w:hAnsi="Times New Roman" w:cs="Times New Roman"/>
          <w:color w:val="000000"/>
          <w:spacing w:val="0"/>
          <w:w w:val="100"/>
          <w:position w:val="0"/>
        </w:rPr>
        <w:t>Primo nanova® ICP</w:t>
      </w:r>
      <w:r>
        <w:rPr>
          <w:color w:val="000000"/>
          <w:spacing w:val="0"/>
          <w:w w:val="100"/>
          <w:position w:val="0"/>
        </w:rPr>
        <w:t>的大部分硬件特征，使得机台在具有</w:t>
      </w:r>
    </w:p>
    <w:p>
      <w:pPr>
        <w:pStyle w:val="Style45"/>
        <w:keepNext w:val="0"/>
        <w:keepLines w:val="0"/>
        <w:widowControl w:val="0"/>
        <w:numPr>
          <w:ilvl w:val="0"/>
          <w:numId w:val="11"/>
        </w:numPr>
        <w:shd w:val="clear" w:color="auto" w:fill="auto"/>
        <w:tabs>
          <w:tab w:pos="333" w:val="left"/>
        </w:tabs>
        <w:bidi w:val="0"/>
        <w:spacing w:before="0" w:after="0" w:line="240" w:lineRule="auto"/>
        <w:ind w:left="0" w:right="0" w:firstLine="0"/>
        <w:jc w:val="cente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69" w:right="1257" w:bottom="1196" w:left="1772" w:header="0" w:footer="768" w:gutter="0"/>
          <w:cols w:space="720"/>
          <w:noEndnote/>
          <w:rtlGutter w:val="0"/>
          <w:docGrid w:linePitch="360"/>
        </w:sectPr>
      </w:pPr>
      <w:bookmarkStart w:id="196" w:name="bookmark196"/>
      <w:bookmarkEnd w:id="196"/>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良好刻蚀性能的同时，提升客户单位资金投入的产能，从而丰富</w:t>
      </w:r>
      <w:r>
        <w:rPr>
          <w:rFonts w:ascii="Times New Roman" w:eastAsia="Times New Roman" w:hAnsi="Times New Roman" w:cs="Times New Roman"/>
          <w:color w:val="000000"/>
          <w:spacing w:val="0"/>
          <w:w w:val="100"/>
          <w:position w:val="0"/>
        </w:rPr>
        <w:t>ICP</w:t>
      </w:r>
      <w:r>
        <w:rPr>
          <w:color w:val="000000"/>
          <w:spacing w:val="0"/>
          <w:w w:val="100"/>
          <w:position w:val="0"/>
        </w:rPr>
        <w:t>刻蚀设备种类，增强</w:t>
      </w:r>
      <w:r>
        <w:rPr>
          <w:rFonts w:ascii="Times New Roman" w:eastAsia="Times New Roman" w:hAnsi="Times New Roman" w:cs="Times New Roman"/>
          <w:color w:val="000000"/>
          <w:spacing w:val="0"/>
          <w:w w:val="100"/>
          <w:position w:val="0"/>
        </w:rPr>
        <w:t xml:space="preserve">ICP </w:t>
      </w:r>
      <w:r>
        <w:rPr>
          <w:color w:val="000000"/>
          <w:spacing w:val="0"/>
          <w:w w:val="100"/>
          <w:position w:val="0"/>
        </w:rPr>
        <w:t>刻蚀产品的整体竞争力。</w:t>
      </w:r>
    </w:p>
    <w:p>
      <w:pPr>
        <w:pStyle w:val="Style58"/>
        <w:keepNext w:val="0"/>
        <w:keepLines w:val="0"/>
        <w:widowControl w:val="0"/>
        <w:shd w:val="clear" w:color="auto" w:fill="auto"/>
        <w:tabs>
          <w:tab w:pos="895" w:val="left"/>
        </w:tabs>
        <w:bidi w:val="0"/>
        <w:spacing w:before="0" w:after="0" w:line="407" w:lineRule="exact"/>
        <w:ind w:left="0" w:right="0" w:firstLine="440"/>
        <w:jc w:val="left"/>
      </w:pPr>
      <w:bookmarkStart w:id="197" w:name="bookmark197"/>
      <w:r>
        <w:rPr>
          <w:rFonts w:ascii="SimSun" w:eastAsia="SimSun" w:hAnsi="SimSun" w:cs="SimSun"/>
          <w:color w:val="000000"/>
          <w:spacing w:val="0"/>
          <w:w w:val="100"/>
          <w:position w:val="0"/>
        </w:rPr>
        <w:t>（</w:t>
      </w:r>
      <w:bookmarkEnd w:id="197"/>
      <w:r>
        <w:rPr>
          <w:color w:val="000000"/>
          <w:spacing w:val="0"/>
          <w:w w:val="100"/>
          <w:position w:val="0"/>
        </w:rPr>
        <w:t>3</w:t>
      </w:r>
      <w:r>
        <w:rPr>
          <w:rFonts w:ascii="SimSun" w:eastAsia="SimSun" w:hAnsi="SimSun" w:cs="SimSun"/>
          <w:color w:val="000000"/>
          <w:spacing w:val="0"/>
          <w:w w:val="100"/>
          <w:position w:val="0"/>
        </w:rPr>
        <w:t>）</w:t>
        <w:tab/>
      </w:r>
      <w:r>
        <w:rPr>
          <w:color w:val="000000"/>
          <w:spacing w:val="0"/>
          <w:w w:val="100"/>
          <w:position w:val="0"/>
        </w:rPr>
        <w:t xml:space="preserve">MOCVD </w:t>
      </w:r>
      <w:r>
        <w:rPr>
          <w:rFonts w:ascii="SimSun" w:eastAsia="SimSun" w:hAnsi="SimSun" w:cs="SimSun"/>
          <w:color w:val="000000"/>
          <w:spacing w:val="0"/>
          <w:w w:val="100"/>
          <w:position w:val="0"/>
        </w:rPr>
        <w:t>设备</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报告期内，公司继续发挥在蓝光</w:t>
      </w:r>
      <w:r>
        <w:rPr>
          <w:rFonts w:ascii="Times New Roman" w:eastAsia="Times New Roman" w:hAnsi="Times New Roman" w:cs="Times New Roman"/>
          <w:color w:val="000000"/>
          <w:spacing w:val="0"/>
          <w:w w:val="100"/>
          <w:position w:val="0"/>
        </w:rPr>
        <w:t>LED</w:t>
      </w:r>
      <w:r>
        <w:rPr>
          <w:color w:val="000000"/>
          <w:spacing w:val="0"/>
          <w:w w:val="100"/>
          <w:position w:val="0"/>
        </w:rPr>
        <w:t>设备的竞争优势，</w:t>
      </w:r>
      <w:r>
        <w:rPr>
          <w:rFonts w:ascii="Times New Roman" w:eastAsia="Times New Roman" w:hAnsi="Times New Roman" w:cs="Times New Roman"/>
          <w:color w:val="000000"/>
          <w:spacing w:val="0"/>
          <w:w w:val="100"/>
          <w:position w:val="0"/>
        </w:rPr>
        <w:t>Prismo A7®</w:t>
      </w:r>
      <w:r>
        <w:rPr>
          <w:color w:val="000000"/>
          <w:spacing w:val="0"/>
          <w:w w:val="100"/>
          <w:position w:val="0"/>
        </w:rPr>
        <w:t>等</w:t>
      </w:r>
      <w:r>
        <w:rPr>
          <w:rFonts w:ascii="Times New Roman" w:eastAsia="Times New Roman" w:hAnsi="Times New Roman" w:cs="Times New Roman"/>
          <w:color w:val="000000"/>
          <w:spacing w:val="0"/>
          <w:w w:val="100"/>
          <w:position w:val="0"/>
        </w:rPr>
        <w:t>MOCVD</w:t>
      </w:r>
      <w:r>
        <w:rPr>
          <w:color w:val="000000"/>
          <w:spacing w:val="0"/>
          <w:w w:val="100"/>
          <w:position w:val="0"/>
        </w:rPr>
        <w:t>产品实现大 量发货。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月，中微公司宣布推出应用于深紫外</w:t>
      </w:r>
      <w:r>
        <w:rPr>
          <w:rFonts w:ascii="Times New Roman" w:eastAsia="Times New Roman" w:hAnsi="Times New Roman" w:cs="Times New Roman"/>
          <w:color w:val="000000"/>
          <w:spacing w:val="0"/>
          <w:w w:val="100"/>
          <w:position w:val="0"/>
        </w:rPr>
        <w:t>LED</w:t>
      </w:r>
      <w:r>
        <w:rPr>
          <w:color w:val="000000"/>
          <w:spacing w:val="0"/>
          <w:w w:val="100"/>
          <w:position w:val="0"/>
        </w:rPr>
        <w:t>外延片生产的</w:t>
      </w:r>
      <w:r>
        <w:rPr>
          <w:rFonts w:ascii="Times New Roman" w:eastAsia="Times New Roman" w:hAnsi="Times New Roman" w:cs="Times New Roman"/>
          <w:color w:val="000000"/>
          <w:spacing w:val="0"/>
          <w:w w:val="100"/>
          <w:position w:val="0"/>
        </w:rPr>
        <w:t>Prismo HiT3™ MOCVD</w:t>
      </w:r>
      <w:r>
        <w:rPr>
          <w:color w:val="000000"/>
          <w:spacing w:val="0"/>
          <w:w w:val="100"/>
          <w:position w:val="0"/>
        </w:rPr>
        <w:t>设备，该设备已在行业领先客户验证成功。公司正在开发可用于</w:t>
      </w:r>
      <w:r>
        <w:rPr>
          <w:rFonts w:ascii="Times New Roman" w:eastAsia="Times New Roman" w:hAnsi="Times New Roman" w:cs="Times New Roman"/>
          <w:color w:val="000000"/>
          <w:spacing w:val="0"/>
          <w:w w:val="100"/>
          <w:position w:val="0"/>
        </w:rPr>
        <w:t>MiniLED</w:t>
      </w:r>
      <w:r>
        <w:rPr>
          <w:color w:val="000000"/>
          <w:spacing w:val="0"/>
          <w:w w:val="100"/>
          <w:position w:val="0"/>
        </w:rPr>
        <w:t xml:space="preserve">生产的新型 </w:t>
      </w:r>
      <w:r>
        <w:rPr>
          <w:rFonts w:ascii="Times New Roman" w:eastAsia="Times New Roman" w:hAnsi="Times New Roman" w:cs="Times New Roman"/>
          <w:color w:val="000000"/>
          <w:spacing w:val="0"/>
          <w:w w:val="100"/>
          <w:position w:val="0"/>
        </w:rPr>
        <w:t>MOCVD</w:t>
      </w:r>
      <w:r>
        <w:rPr>
          <w:color w:val="000000"/>
          <w:spacing w:val="0"/>
          <w:w w:val="100"/>
          <w:position w:val="0"/>
        </w:rPr>
        <w:t>设备产品，已在客户端取得实质性进展。</w:t>
      </w:r>
    </w:p>
    <w:p>
      <w:pPr>
        <w:pStyle w:val="Style2"/>
        <w:keepNext w:val="0"/>
        <w:keepLines w:val="0"/>
        <w:widowControl w:val="0"/>
        <w:shd w:val="clear" w:color="auto" w:fill="auto"/>
        <w:tabs>
          <w:tab w:pos="895" w:val="left"/>
        </w:tabs>
        <w:bidi w:val="0"/>
        <w:spacing w:before="0" w:after="0" w:line="407" w:lineRule="exact"/>
        <w:ind w:left="0" w:right="0" w:firstLine="440"/>
        <w:jc w:val="left"/>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VOC</w:t>
      </w:r>
      <w:r>
        <w:rPr>
          <w:color w:val="000000"/>
          <w:spacing w:val="0"/>
          <w:w w:val="100"/>
          <w:position w:val="0"/>
        </w:rPr>
        <w:t>净化设备</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子公司中微惠创利用分子筛的吸附原理的化学反应器，开发制造了工业用大型</w:t>
      </w:r>
      <w:r>
        <w:rPr>
          <w:rFonts w:ascii="Times New Roman" w:eastAsia="Times New Roman" w:hAnsi="Times New Roman" w:cs="Times New Roman"/>
          <w:color w:val="000000"/>
          <w:spacing w:val="0"/>
          <w:w w:val="100"/>
          <w:position w:val="0"/>
        </w:rPr>
        <w:t>VOC</w:t>
      </w:r>
      <w:r>
        <w:rPr>
          <w:color w:val="000000"/>
          <w:spacing w:val="0"/>
          <w:w w:val="100"/>
          <w:position w:val="0"/>
        </w:rPr>
        <w:t>净化设 备。设备可根据客户的要求灵活配置不同处理规模的系统，提供给客户可靠、稳定、安全和节能 的</w:t>
      </w:r>
      <w:r>
        <w:rPr>
          <w:rFonts w:ascii="Times New Roman" w:eastAsia="Times New Roman" w:hAnsi="Times New Roman" w:cs="Times New Roman"/>
          <w:color w:val="000000"/>
          <w:spacing w:val="0"/>
          <w:w w:val="100"/>
          <w:position w:val="0"/>
        </w:rPr>
        <w:t>VOC</w:t>
      </w:r>
      <w:r>
        <w:rPr>
          <w:color w:val="000000"/>
          <w:spacing w:val="0"/>
          <w:w w:val="100"/>
          <w:position w:val="0"/>
        </w:rPr>
        <w:t>净化解决方案。目前，中微惠创的</w:t>
      </w:r>
      <w:r>
        <w:rPr>
          <w:rFonts w:ascii="Times New Roman" w:eastAsia="Times New Roman" w:hAnsi="Times New Roman" w:cs="Times New Roman"/>
          <w:color w:val="000000"/>
          <w:spacing w:val="0"/>
          <w:w w:val="100"/>
          <w:position w:val="0"/>
        </w:rPr>
        <w:t>VOC</w:t>
      </w:r>
      <w:r>
        <w:rPr>
          <w:color w:val="000000"/>
          <w:spacing w:val="0"/>
          <w:w w:val="100"/>
          <w:position w:val="0"/>
        </w:rPr>
        <w:t>净化设备已应用于国内平板显示行业生产线。</w:t>
      </w:r>
    </w:p>
    <w:p>
      <w:pPr>
        <w:pStyle w:val="Style2"/>
        <w:keepNext w:val="0"/>
        <w:keepLines w:val="0"/>
        <w:widowControl w:val="0"/>
        <w:shd w:val="clear" w:color="auto" w:fill="auto"/>
        <w:tabs>
          <w:tab w:pos="895" w:val="left"/>
        </w:tabs>
        <w:bidi w:val="0"/>
        <w:spacing w:before="0" w:after="0" w:line="407" w:lineRule="exact"/>
        <w:ind w:left="0" w:right="0" w:firstLine="440"/>
        <w:jc w:val="left"/>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rPr>
        <w:t>5</w:t>
      </w:r>
      <w:r>
        <w:rPr>
          <w:color w:val="000000"/>
          <w:spacing w:val="0"/>
          <w:w w:val="100"/>
          <w:position w:val="0"/>
        </w:rPr>
        <w:t>）</w:t>
        <w:tab/>
        <w:t>分布式生态工业互联网平台</w:t>
      </w:r>
    </w:p>
    <w:p>
      <w:pPr>
        <w:pStyle w:val="Style2"/>
        <w:keepNext w:val="0"/>
        <w:keepLines w:val="0"/>
        <w:widowControl w:val="0"/>
        <w:shd w:val="clear" w:color="auto" w:fill="auto"/>
        <w:bidi w:val="0"/>
        <w:spacing w:before="0" w:after="360" w:line="407" w:lineRule="exact"/>
        <w:ind w:left="0" w:right="0" w:firstLine="440"/>
        <w:jc w:val="left"/>
      </w:pPr>
      <w:r>
        <w:rPr>
          <w:color w:val="000000"/>
          <w:spacing w:val="0"/>
          <w:w w:val="100"/>
          <w:position w:val="0"/>
        </w:rPr>
        <w:t>子公司中微汇链面向半导体设备细分产业各环节核心厂商，建立资源汇聚、数据互连、流程 互通的基于区块链的分布式互联网平台。向</w:t>
      </w:r>
      <w:r>
        <w:rPr>
          <w:rFonts w:ascii="Times New Roman" w:eastAsia="Times New Roman" w:hAnsi="Times New Roman" w:cs="Times New Roman"/>
          <w:color w:val="000000"/>
          <w:spacing w:val="0"/>
          <w:w w:val="100"/>
          <w:position w:val="0"/>
        </w:rPr>
        <w:t>500</w:t>
      </w:r>
      <w:r>
        <w:rPr>
          <w:color w:val="000000"/>
          <w:spacing w:val="0"/>
          <w:w w:val="100"/>
          <w:position w:val="0"/>
        </w:rPr>
        <w:t>余家入驻企业用户提供穿透式供应链协同、网络 化智能制造、质量溯源存证等</w:t>
      </w:r>
      <w:r>
        <w:rPr>
          <w:rFonts w:ascii="Times New Roman" w:eastAsia="Times New Roman" w:hAnsi="Times New Roman" w:cs="Times New Roman"/>
          <w:color w:val="000000"/>
          <w:spacing w:val="0"/>
          <w:w w:val="100"/>
          <w:position w:val="0"/>
        </w:rPr>
        <w:t>200</w:t>
      </w:r>
      <w:r>
        <w:rPr>
          <w:color w:val="000000"/>
          <w:spacing w:val="0"/>
          <w:w w:val="100"/>
          <w:position w:val="0"/>
        </w:rPr>
        <w:t>多个可订阅微服务。</w:t>
      </w:r>
    </w:p>
    <w:p>
      <w:pPr>
        <w:pStyle w:val="Style2"/>
        <w:keepNext w:val="0"/>
        <w:keepLines w:val="0"/>
        <w:widowControl w:val="0"/>
        <w:shd w:val="clear" w:color="auto" w:fill="auto"/>
        <w:bidi w:val="0"/>
        <w:spacing w:before="0" w:after="160" w:line="409" w:lineRule="exact"/>
        <w:ind w:left="0" w:right="0" w:firstLine="440"/>
        <w:jc w:val="left"/>
      </w:pPr>
      <w:r>
        <w:rPr>
          <w:color w:val="000000"/>
          <w:spacing w:val="0"/>
          <w:w w:val="100"/>
          <w:position w:val="0"/>
        </w:rPr>
        <w:t>报告期内，公司研发方向和产品符合市场趋势和需求，与产业发展深度融合。各产品的研发 成果均取得行业主流客户的认可，客户验证情况良好，巩固了公司产品的竞争优势。</w:t>
      </w:r>
    </w:p>
    <w:p>
      <w:pPr>
        <w:pStyle w:val="Style35"/>
        <w:keepNext/>
        <w:keepLines/>
        <w:widowControl w:val="0"/>
        <w:shd w:val="clear" w:color="auto" w:fill="auto"/>
        <w:tabs>
          <w:tab w:pos="804" w:val="left"/>
        </w:tabs>
        <w:bidi w:val="0"/>
        <w:spacing w:before="0" w:after="0" w:line="427" w:lineRule="auto"/>
        <w:ind w:left="0" w:right="0" w:firstLine="44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w:t>
        <w:tab/>
        <w:t>供应保障方面</w:t>
      </w:r>
      <w:bookmarkEnd w:id="200"/>
      <w:bookmarkEnd w:id="201"/>
      <w:bookmarkEnd w:id="203"/>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公司在需求预测、库存管理和供应商管理三方面建立了动态协调机制，使生产所需的零部件 原材料能够及时高效流转，实现产品交付时间的精准性。公司也在持续开发关键零部件的供应 商，特别是国内供应商。</w:t>
      </w:r>
      <w:r>
        <w:rPr>
          <w:rFonts w:ascii="Times New Roman" w:eastAsia="Times New Roman" w:hAnsi="Times New Roman" w:cs="Times New Roman"/>
          <w:color w:val="000000"/>
          <w:spacing w:val="0"/>
          <w:w w:val="100"/>
          <w:position w:val="0"/>
        </w:rPr>
        <w:t>2020</w:t>
      </w:r>
      <w:r>
        <w:rPr>
          <w:color w:val="000000"/>
          <w:spacing w:val="0"/>
          <w:w w:val="100"/>
          <w:position w:val="0"/>
        </w:rPr>
        <w:t>年虽然受到新冠病毒疫情的影响，但是在供应商和公司的全力配 合下，确保了公司零部件供应的准时供应。</w:t>
      </w:r>
    </w:p>
    <w:p>
      <w:pPr>
        <w:pStyle w:val="Style35"/>
        <w:keepNext/>
        <w:keepLines/>
        <w:widowControl w:val="0"/>
        <w:shd w:val="clear" w:color="auto" w:fill="auto"/>
        <w:tabs>
          <w:tab w:pos="804" w:val="left"/>
        </w:tabs>
        <w:bidi w:val="0"/>
        <w:spacing w:before="0" w:after="0" w:line="427" w:lineRule="auto"/>
        <w:ind w:left="0" w:right="0" w:firstLine="44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营运管理方面</w:t>
      </w:r>
      <w:bookmarkEnd w:id="204"/>
      <w:bookmarkEnd w:id="205"/>
      <w:bookmarkEnd w:id="207"/>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公司在营运管理中采用关键指标管理，尤其在生产管理、材料管理、客户技术支持和设备运 行表现方面设定了一系列的关键考核指标，覆盖了质量、效率、成本和安全等众多方面。公司定 期跟踪各项指标的执行情况，并根据统计结果和客户反馈进行内部讨论，制定出关键指标的改进 要求。报告期内，公司营运效率持续提高，生产制造缺陷率持续下降、设备交付按时率保持在较 高水准、物料成本控制等指标达到预期水平。</w:t>
      </w:r>
    </w:p>
    <w:p>
      <w:pPr>
        <w:pStyle w:val="Style35"/>
        <w:keepNext/>
        <w:keepLines/>
        <w:widowControl w:val="0"/>
        <w:shd w:val="clear" w:color="auto" w:fill="auto"/>
        <w:tabs>
          <w:tab w:pos="804" w:val="left"/>
        </w:tabs>
        <w:bidi w:val="0"/>
        <w:spacing w:before="0" w:after="0" w:line="427" w:lineRule="auto"/>
        <w:ind w:left="0" w:right="0" w:firstLine="44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w:t>
        <w:tab/>
        <w:t>知识产权保障方面</w:t>
      </w:r>
      <w:bookmarkEnd w:id="208"/>
      <w:bookmarkEnd w:id="209"/>
      <w:bookmarkEnd w:id="211"/>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公司高度重视科技创新和知识产权保护工作。报告期内，公司新增专利申请</w:t>
      </w:r>
      <w:r>
        <w:rPr>
          <w:rFonts w:ascii="Times New Roman" w:eastAsia="Times New Roman" w:hAnsi="Times New Roman" w:cs="Times New Roman"/>
          <w:color w:val="000000"/>
          <w:spacing w:val="0"/>
          <w:w w:val="100"/>
          <w:position w:val="0"/>
        </w:rPr>
        <w:t>291</w:t>
      </w:r>
      <w:r>
        <w:rPr>
          <w:color w:val="000000"/>
          <w:spacing w:val="0"/>
          <w:w w:val="100"/>
          <w:position w:val="0"/>
        </w:rPr>
        <w:t>项，包括发 明专利</w:t>
      </w:r>
      <w:r>
        <w:rPr>
          <w:rFonts w:ascii="Times New Roman" w:eastAsia="Times New Roman" w:hAnsi="Times New Roman" w:cs="Times New Roman"/>
          <w:color w:val="000000"/>
          <w:spacing w:val="0"/>
          <w:w w:val="100"/>
          <w:position w:val="0"/>
        </w:rPr>
        <w:t>220</w:t>
      </w:r>
      <w:r>
        <w:rPr>
          <w:color w:val="000000"/>
          <w:spacing w:val="0"/>
          <w:w w:val="100"/>
          <w:position w:val="0"/>
        </w:rPr>
        <w:t>项，实用新型专利</w:t>
      </w:r>
      <w:r>
        <w:rPr>
          <w:rFonts w:ascii="Times New Roman" w:eastAsia="Times New Roman" w:hAnsi="Times New Roman" w:cs="Times New Roman"/>
          <w:color w:val="000000"/>
          <w:spacing w:val="0"/>
          <w:w w:val="100"/>
          <w:position w:val="0"/>
        </w:rPr>
        <w:t>65</w:t>
      </w:r>
      <w:r>
        <w:rPr>
          <w:color w:val="000000"/>
          <w:spacing w:val="0"/>
          <w:w w:val="100"/>
          <w:position w:val="0"/>
        </w:rPr>
        <w:t>项，外观设计专利</w:t>
      </w:r>
      <w:r>
        <w:rPr>
          <w:rFonts w:ascii="Times New Roman" w:eastAsia="Times New Roman" w:hAnsi="Times New Roman" w:cs="Times New Roman"/>
          <w:color w:val="000000"/>
          <w:spacing w:val="0"/>
          <w:w w:val="100"/>
          <w:position w:val="0"/>
        </w:rPr>
        <w:t>6</w:t>
      </w:r>
      <w:r>
        <w:rPr>
          <w:color w:val="000000"/>
          <w:spacing w:val="0"/>
          <w:w w:val="100"/>
          <w:position w:val="0"/>
        </w:rPr>
        <w:t>项。公司鼓励创新，组织开展优秀专利奖 项的评选活动，着重奖励在产品创新方面取得杰出成效的员工。</w:t>
      </w:r>
    </w:p>
    <w:p>
      <w:pPr>
        <w:pStyle w:val="Style2"/>
        <w:keepNext w:val="0"/>
        <w:keepLines w:val="0"/>
        <w:widowControl w:val="0"/>
        <w:shd w:val="clear" w:color="auto" w:fill="auto"/>
        <w:bidi w:val="0"/>
        <w:spacing w:before="0" w:after="160" w:line="240" w:lineRule="auto"/>
        <w:ind w:left="0" w:right="0" w:firstLine="440"/>
        <w:jc w:val="left"/>
      </w:pPr>
      <w:bookmarkStart w:id="212" w:name="bookmark212"/>
      <w:r>
        <w:rPr>
          <w:rFonts w:ascii="Times New Roman" w:eastAsia="Times New Roman" w:hAnsi="Times New Roman" w:cs="Times New Roman"/>
          <w:b/>
          <w:bCs/>
          <w:color w:val="000000"/>
          <w:spacing w:val="0"/>
          <w:w w:val="100"/>
          <w:position w:val="0"/>
        </w:rPr>
        <w:t>5</w:t>
      </w:r>
      <w:bookmarkEnd w:id="212"/>
      <w:r>
        <w:rPr>
          <w:b/>
          <w:bCs/>
          <w:color w:val="000000"/>
          <w:spacing w:val="0"/>
          <w:w w:val="100"/>
          <w:position w:val="0"/>
        </w:rPr>
        <w:t>、人才建设方面</w:t>
      </w:r>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人才是企业发展的根本动力，公司高度重视人才的吸引和发展。报告期内，公司进一步拓宽 人才吸引渠道，从国内外吸引了大批行业经验丰富的管理及技术人才，并从知名院校中挑选了一 批优秀的毕业生。公司注重激发组织和员工活力，组织开展多项深入的专题培训、学习交流。同 时，公司持续优化人才绩效评估体系及人才晋升机制，使得优势资源更进一步的向高绩效员工倾 斜，同时在公司内部培养和提拔了一批优秀的管理和技术人才。公司持续优化人才梯队，为业务 可持续发展提供人才保障。</w:t>
      </w:r>
    </w:p>
    <w:p>
      <w:pPr>
        <w:pStyle w:val="Style35"/>
        <w:keepNext/>
        <w:keepLines/>
        <w:widowControl w:val="0"/>
        <w:shd w:val="clear" w:color="auto" w:fill="auto"/>
        <w:tabs>
          <w:tab w:pos="785" w:val="left"/>
        </w:tabs>
        <w:bidi w:val="0"/>
        <w:spacing w:before="0" w:after="0" w:line="427" w:lineRule="auto"/>
        <w:ind w:left="0" w:right="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6</w:t>
      </w:r>
      <w:bookmarkEnd w:id="215"/>
      <w:r>
        <w:rPr>
          <w:color w:val="000000"/>
          <w:spacing w:val="0"/>
          <w:w w:val="100"/>
          <w:position w:val="0"/>
        </w:rPr>
        <w:t>、</w:t>
        <w:tab/>
        <w:t>外延式发展方面</w:t>
      </w:r>
      <w:bookmarkEnd w:id="213"/>
      <w:bookmarkEnd w:id="214"/>
      <w:bookmarkEnd w:id="216"/>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公司不断践行外延式发展策略，公司下属的中微汇链、中微惠创在新业务拓展领域取得了很 好的进展，得到了市场和用户的高度评价。公司同时积极探索在相关领域的投资机会，完成对聚 源芯星、博日科技、山东天岳、理想万里晖、中欣晶圆、昂坤视觉、德龙激光、睿励仪器等公司 的投资。公司的参股投资的沈阳拓荆等项目营运表现良好，协同效应逐步呈现。</w:t>
      </w:r>
    </w:p>
    <w:p>
      <w:pPr>
        <w:pStyle w:val="Style35"/>
        <w:keepNext/>
        <w:keepLines/>
        <w:widowControl w:val="0"/>
        <w:shd w:val="clear" w:color="auto" w:fill="auto"/>
        <w:tabs>
          <w:tab w:pos="785" w:val="left"/>
        </w:tabs>
        <w:bidi w:val="0"/>
        <w:spacing w:before="0" w:after="0" w:line="427" w:lineRule="auto"/>
        <w:ind w:left="0" w:right="0"/>
        <w:jc w:val="both"/>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7</w:t>
      </w:r>
      <w:bookmarkEnd w:id="219"/>
      <w:r>
        <w:rPr>
          <w:color w:val="000000"/>
          <w:spacing w:val="0"/>
          <w:w w:val="100"/>
          <w:position w:val="0"/>
        </w:rPr>
        <w:t>、</w:t>
        <w:tab/>
        <w:t>内部治理方面</w:t>
      </w:r>
      <w:bookmarkEnd w:id="217"/>
      <w:bookmarkEnd w:id="218"/>
      <w:bookmarkEnd w:id="220"/>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公司建立了较为完善的公司内控制度和公司治理结构，报告期内持续完善公司治理机制，强 化风险管理和内部控制，严格贯彻执行相关制度，切实保障公司和股东的合法权益，为企业持续 健康发展提供坚实基础。</w:t>
      </w:r>
    </w:p>
    <w:p>
      <w:pPr>
        <w:pStyle w:val="Style35"/>
        <w:keepNext/>
        <w:keepLines/>
        <w:widowControl w:val="0"/>
        <w:shd w:val="clear" w:color="auto" w:fill="auto"/>
        <w:tabs>
          <w:tab w:pos="785" w:val="left"/>
        </w:tabs>
        <w:bidi w:val="0"/>
        <w:spacing w:before="0" w:after="0" w:line="427" w:lineRule="auto"/>
        <w:ind w:left="0" w:right="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8</w:t>
      </w:r>
      <w:bookmarkEnd w:id="223"/>
      <w:r>
        <w:rPr>
          <w:color w:val="000000"/>
          <w:spacing w:val="0"/>
          <w:w w:val="100"/>
          <w:position w:val="0"/>
        </w:rPr>
        <w:t>、</w:t>
        <w:tab/>
        <w:t>信息披露及防范内幕交易方面</w:t>
      </w:r>
      <w:bookmarkEnd w:id="221"/>
      <w:bookmarkEnd w:id="222"/>
      <w:bookmarkEnd w:id="224"/>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公司严格遵守法律法规和监管机构规定，严格执行公司信息披露管理制度，真实、准确、完 整、及时、公平地履行信息披露义务，通过上市公司公告、投资者交流会、业绩说明会、上证</w:t>
      </w:r>
      <w:r>
        <w:rPr>
          <w:rFonts w:ascii="Times New Roman" w:eastAsia="Times New Roman" w:hAnsi="Times New Roman" w:cs="Times New Roman"/>
          <w:color w:val="000000"/>
          <w:spacing w:val="0"/>
          <w:w w:val="100"/>
          <w:position w:val="0"/>
        </w:rPr>
        <w:t>e</w:t>
      </w:r>
      <w:r>
        <w:rPr>
          <w:color w:val="000000"/>
          <w:spacing w:val="0"/>
          <w:w w:val="100"/>
          <w:position w:val="0"/>
        </w:rPr>
        <w:t>互 动、电话、邮件等诸多渠道，保持公司营运透明度。</w:t>
      </w:r>
    </w:p>
    <w:p>
      <w:pPr>
        <w:pStyle w:val="Style2"/>
        <w:keepNext w:val="0"/>
        <w:keepLines w:val="0"/>
        <w:widowControl w:val="0"/>
        <w:shd w:val="clear" w:color="auto" w:fill="auto"/>
        <w:bidi w:val="0"/>
        <w:spacing w:before="0" w:after="600" w:line="408" w:lineRule="exact"/>
        <w:ind w:left="0" w:right="0" w:firstLine="420"/>
        <w:jc w:val="both"/>
      </w:pPr>
      <w:r>
        <w:rPr>
          <w:color w:val="000000"/>
          <w:spacing w:val="0"/>
          <w:w w:val="100"/>
          <w:position w:val="0"/>
        </w:rPr>
        <w:t>公司高度重视内幕交易防范，做好内幕信息知情人登记管理和防范内幕交易工作。对公司董 事、监事、高级管理人员及相关员工定期作出禁止内幕交易的警示及教育，敦促董事、监事、高 级管理人员及相关知情人员严格履行保密义务并严格遵守买卖股票规定。</w:t>
      </w:r>
    </w:p>
    <w:p>
      <w:pPr>
        <w:pStyle w:val="Style35"/>
        <w:keepNext/>
        <w:keepLines/>
        <w:widowControl w:val="0"/>
        <w:shd w:val="clear" w:color="auto" w:fill="auto"/>
        <w:bidi w:val="0"/>
        <w:spacing w:before="0" w:after="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二</w:t>
      </w:r>
      <w:bookmarkEnd w:id="227"/>
      <w:r>
        <w:rPr>
          <w:color w:val="000000"/>
          <w:spacing w:val="0"/>
          <w:w w:val="100"/>
          <w:position w:val="0"/>
        </w:rPr>
        <w:t>、风险因素</w:t>
      </w:r>
      <w:bookmarkEnd w:id="225"/>
      <w:bookmarkEnd w:id="226"/>
      <w:bookmarkEnd w:id="228"/>
    </w:p>
    <w:p>
      <w:pPr>
        <w:pStyle w:val="Style35"/>
        <w:keepNext/>
        <w:keepLines/>
        <w:widowControl w:val="0"/>
        <w:shd w:val="clear" w:color="auto" w:fill="auto"/>
        <w:tabs>
          <w:tab w:pos="513" w:val="left"/>
        </w:tabs>
        <w:bidi w:val="0"/>
        <w:spacing w:before="0" w:after="80" w:line="240" w:lineRule="auto"/>
        <w:ind w:left="0" w:right="0" w:firstLine="0"/>
        <w:jc w:val="left"/>
      </w:pPr>
      <w:bookmarkStart w:id="225" w:name="bookmark225"/>
      <w:bookmarkStart w:id="226" w:name="bookmark226"/>
      <w:bookmarkStart w:id="229" w:name="bookmark229"/>
      <w:bookmarkStart w:id="230" w:name="bookmark230"/>
      <w:r>
        <w:rPr>
          <w:rFonts w:ascii="Calibri" w:eastAsia="Calibri" w:hAnsi="Calibri" w:cs="Calibri"/>
          <w:color w:val="000000"/>
          <w:spacing w:val="0"/>
          <w:w w:val="100"/>
          <w:position w:val="0"/>
          <w:sz w:val="20"/>
          <w:szCs w:val="20"/>
        </w:rPr>
        <w:t>（</w:t>
      </w:r>
      <w:bookmarkEnd w:id="22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尚未盈利的风险</w:t>
      </w:r>
      <w:bookmarkEnd w:id="225"/>
      <w:bookmarkEnd w:id="226"/>
      <w:bookmarkEnd w:id="23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3" w:val="left"/>
        </w:tabs>
        <w:bidi w:val="0"/>
        <w:spacing w:before="0" w:after="80" w:line="240" w:lineRule="auto"/>
        <w:ind w:left="0" w:right="0" w:firstLine="0"/>
        <w:jc w:val="left"/>
      </w:pPr>
      <w:bookmarkStart w:id="231" w:name="bookmark231"/>
      <w:r>
        <w:rPr>
          <w:rFonts w:ascii="Calibri" w:eastAsia="Calibri" w:hAnsi="Calibri" w:cs="Calibri"/>
          <w:b/>
          <w:bCs/>
          <w:color w:val="000000"/>
          <w:spacing w:val="0"/>
          <w:w w:val="100"/>
          <w:position w:val="0"/>
          <w:sz w:val="20"/>
          <w:szCs w:val="20"/>
        </w:rPr>
        <w:t>（</w:t>
      </w:r>
      <w:bookmarkEnd w:id="23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业绩大幅下滑或亏损的风险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13" w:val="left"/>
        </w:tabs>
        <w:bidi w:val="0"/>
        <w:spacing w:before="0" w:after="80" w:line="240" w:lineRule="auto"/>
        <w:ind w:left="0" w:right="0" w:firstLine="0"/>
        <w:jc w:val="left"/>
      </w:pPr>
      <w:bookmarkStart w:id="232" w:name="bookmark232"/>
      <w:r>
        <w:rPr>
          <w:rFonts w:ascii="Calibri" w:eastAsia="Calibri" w:hAnsi="Calibri" w:cs="Calibri"/>
          <w:b/>
          <w:bCs/>
          <w:color w:val="000000"/>
          <w:spacing w:val="0"/>
          <w:w w:val="100"/>
          <w:position w:val="0"/>
          <w:sz w:val="20"/>
          <w:szCs w:val="20"/>
        </w:rPr>
        <w:t>（</w:t>
      </w:r>
      <w:bookmarkEnd w:id="23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核心竞争力风险</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核心竞争力是企业在激烈市场竞争中赖以生存的差异化优势资源。目前，公司的核心竞争力 主要体现在与产品有关的技术优势及产品服务解决方案上。如果公司未来难以保持在市场中的技 术领先优势，没有开拓其他具有竞争力的产品，不能提供满足客户需求的定制化服务等，公司的 核心竞争力将受到影响。</w:t>
      </w:r>
    </w:p>
    <w:p>
      <w:pPr>
        <w:pStyle w:val="Style35"/>
        <w:keepNext/>
        <w:keepLines/>
        <w:widowControl w:val="0"/>
        <w:shd w:val="clear" w:color="auto" w:fill="auto"/>
        <w:bidi w:val="0"/>
        <w:spacing w:before="0" w:after="80" w:line="240" w:lineRule="auto"/>
        <w:ind w:left="0" w:right="0" w:firstLine="0"/>
        <w:jc w:val="both"/>
      </w:pPr>
      <w:bookmarkStart w:id="233" w:name="bookmark233"/>
      <w:bookmarkStart w:id="234" w:name="bookmark234"/>
      <w:bookmarkStart w:id="235" w:name="bookmark235"/>
      <w:bookmarkStart w:id="236" w:name="bookmark236"/>
      <w:r>
        <w:rPr>
          <w:rFonts w:ascii="Calibri" w:eastAsia="Calibri" w:hAnsi="Calibri" w:cs="Calibri"/>
          <w:color w:val="000000"/>
          <w:spacing w:val="0"/>
          <w:w w:val="100"/>
          <w:position w:val="0"/>
          <w:sz w:val="20"/>
          <w:szCs w:val="20"/>
        </w:rPr>
        <w:t>（</w:t>
      </w:r>
      <w:bookmarkEnd w:id="235"/>
      <w:r>
        <w:rPr>
          <w:color w:val="000000"/>
          <w:spacing w:val="0"/>
          <w:w w:val="100"/>
          <w:position w:val="0"/>
        </w:rPr>
        <w:t>四</w:t>
      </w:r>
      <w:r>
        <w:rPr>
          <w:color w:val="000000"/>
          <w:spacing w:val="0"/>
          <w:w w:val="100"/>
          <w:position w:val="0"/>
          <w:sz w:val="22"/>
          <w:szCs w:val="22"/>
        </w:rPr>
        <w:t>）</w:t>
      </w:r>
      <w:r>
        <w:rPr>
          <w:color w:val="000000"/>
          <w:spacing w:val="0"/>
          <w:w w:val="100"/>
          <w:position w:val="0"/>
        </w:rPr>
        <w:t>经营风险</w:t>
      </w:r>
      <w:bookmarkEnd w:id="233"/>
      <w:bookmarkEnd w:id="234"/>
      <w:bookmarkEnd w:id="236"/>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5"/>
        <w:keepNext/>
        <w:keepLines/>
        <w:widowControl w:val="0"/>
        <w:shd w:val="clear" w:color="auto" w:fill="auto"/>
        <w:tabs>
          <w:tab w:pos="762" w:val="left"/>
        </w:tabs>
        <w:bidi w:val="0"/>
        <w:spacing w:before="0" w:after="0" w:line="409" w:lineRule="exact"/>
        <w:ind w:left="0" w:right="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下游客户资本性支出波动较大及行业周期性特点带来的风险</w:t>
      </w:r>
      <w:bookmarkEnd w:id="237"/>
      <w:bookmarkEnd w:id="238"/>
      <w:bookmarkEnd w:id="240"/>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近年来，设备市场周期性波动态势给公司带来相应的经营风险。在行业景气度提升过程中， 产业往往加大资本性支出，快速提升对相关设备的需求；在行业景气度下降过程中，产业则可能 削减资本支出，进而对设备的需求产生不利影响。</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公司的销售和盈利情况也会受到上述影响发生相应波动，造成相应的经营风险。</w:t>
      </w:r>
    </w:p>
    <w:p>
      <w:pPr>
        <w:pStyle w:val="Style35"/>
        <w:keepNext/>
        <w:keepLines/>
        <w:widowControl w:val="0"/>
        <w:shd w:val="clear" w:color="auto" w:fill="auto"/>
        <w:tabs>
          <w:tab w:pos="772" w:val="left"/>
        </w:tabs>
        <w:bidi w:val="0"/>
        <w:spacing w:before="0" w:after="0" w:line="409" w:lineRule="exact"/>
        <w:ind w:left="0" w:right="0"/>
        <w:jc w:val="both"/>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下游客户扩产不及预期的风险</w:t>
      </w:r>
      <w:bookmarkEnd w:id="241"/>
      <w:bookmarkEnd w:id="242"/>
      <w:bookmarkEnd w:id="244"/>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近年来，晶圆厂和</w:t>
      </w:r>
      <w:r>
        <w:rPr>
          <w:rFonts w:ascii="Times New Roman" w:eastAsia="Times New Roman" w:hAnsi="Times New Roman" w:cs="Times New Roman"/>
          <w:color w:val="000000"/>
          <w:spacing w:val="0"/>
          <w:w w:val="100"/>
          <w:position w:val="0"/>
        </w:rPr>
        <w:t>LED</w:t>
      </w:r>
      <w:r>
        <w:rPr>
          <w:color w:val="000000"/>
          <w:spacing w:val="0"/>
          <w:w w:val="100"/>
          <w:position w:val="0"/>
        </w:rPr>
        <w:t>外延片制造商审慎地进行扩产。不能排除下游个别晶圆厂和</w:t>
      </w:r>
      <w:r>
        <w:rPr>
          <w:rFonts w:ascii="Times New Roman" w:eastAsia="Times New Roman" w:hAnsi="Times New Roman" w:cs="Times New Roman"/>
          <w:color w:val="000000"/>
          <w:spacing w:val="0"/>
          <w:w w:val="100"/>
          <w:position w:val="0"/>
        </w:rPr>
        <w:t>LED</w:t>
      </w:r>
      <w:r>
        <w:rPr>
          <w:color w:val="000000"/>
          <w:spacing w:val="0"/>
          <w:w w:val="100"/>
          <w:position w:val="0"/>
        </w:rPr>
        <w:t>外 延片制造商的后续投资不及预期，对相关设备的采购需求减弱，这将影响公司的订单量，进而对 公司的业绩产生不利影响。</w:t>
      </w:r>
    </w:p>
    <w:p>
      <w:pPr>
        <w:pStyle w:val="Style35"/>
        <w:keepNext/>
        <w:keepLines/>
        <w:widowControl w:val="0"/>
        <w:shd w:val="clear" w:color="auto" w:fill="auto"/>
        <w:tabs>
          <w:tab w:pos="772" w:val="left"/>
        </w:tabs>
        <w:bidi w:val="0"/>
        <w:spacing w:before="0" w:after="0" w:line="409" w:lineRule="exact"/>
        <w:ind w:left="0" w:right="0"/>
        <w:jc w:val="both"/>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客户集中度较高的风险</w:t>
      </w:r>
      <w:bookmarkEnd w:id="245"/>
      <w:bookmarkEnd w:id="246"/>
      <w:bookmarkEnd w:id="248"/>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经过多年的努力，公司产品已经成功进入了海内外知名芯片制造企业的供应链体系，公司客 户结构得到不断优化，但客户集中度仍然较高。虽然公司与主要客户的合作关系较为稳固，且随 着公司加大市场推广，公司的客户及产品结构日趋多元化，但客户集中度较高可能给公司的经营 带来一定风险。如果主要客户的生产经营发生重大问题或财务状况出现恶化，将会对公司的产品 销售和应收账款的及时回收等产生不利影响。</w:t>
      </w:r>
    </w:p>
    <w:p>
      <w:pPr>
        <w:pStyle w:val="Style35"/>
        <w:keepNext/>
        <w:keepLines/>
        <w:widowControl w:val="0"/>
        <w:shd w:val="clear" w:color="auto" w:fill="auto"/>
        <w:tabs>
          <w:tab w:pos="772" w:val="left"/>
        </w:tabs>
        <w:bidi w:val="0"/>
        <w:spacing w:before="0" w:after="0" w:line="409" w:lineRule="exact"/>
        <w:ind w:left="0" w:right="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4</w:t>
      </w:r>
      <w:bookmarkEnd w:id="251"/>
      <w:r>
        <w:rPr>
          <w:color w:val="000000"/>
          <w:spacing w:val="0"/>
          <w:w w:val="100"/>
          <w:position w:val="0"/>
        </w:rPr>
        <w:t>、</w:t>
        <w:tab/>
        <w:t>毛利率水平波动甚至下降的风险</w:t>
      </w:r>
      <w:bookmarkEnd w:id="249"/>
      <w:bookmarkEnd w:id="250"/>
      <w:bookmarkEnd w:id="252"/>
    </w:p>
    <w:p>
      <w:pPr>
        <w:pStyle w:val="Style2"/>
        <w:keepNext w:val="0"/>
        <w:keepLines w:val="0"/>
        <w:widowControl w:val="0"/>
        <w:shd w:val="clear" w:color="auto" w:fill="auto"/>
        <w:bidi w:val="0"/>
        <w:spacing w:before="0" w:after="0" w:line="409" w:lineRule="exact"/>
        <w:ind w:left="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年，公司主营业务毛利率分别为</w:t>
      </w:r>
      <w:r>
        <w:rPr>
          <w:rFonts w:ascii="Times New Roman" w:eastAsia="Times New Roman" w:hAnsi="Times New Roman" w:cs="Times New Roman"/>
          <w:color w:val="000000"/>
          <w:spacing w:val="0"/>
          <w:w w:val="100"/>
          <w:position w:val="0"/>
        </w:rPr>
        <w:t>35.50%</w:t>
      </w:r>
      <w:r>
        <w:rPr>
          <w:color w:val="000000"/>
          <w:spacing w:val="0"/>
          <w:w w:val="100"/>
          <w:position w:val="0"/>
        </w:rPr>
        <w:t>、</w:t>
      </w:r>
      <w:r>
        <w:rPr>
          <w:rFonts w:ascii="Times New Roman" w:eastAsia="Times New Roman" w:hAnsi="Times New Roman" w:cs="Times New Roman"/>
          <w:color w:val="000000"/>
          <w:spacing w:val="0"/>
          <w:w w:val="100"/>
          <w:position w:val="0"/>
        </w:rPr>
        <w:t>34.93%</w:t>
      </w:r>
      <w:r>
        <w:rPr>
          <w:color w:val="000000"/>
          <w:spacing w:val="0"/>
          <w:w w:val="100"/>
          <w:position w:val="0"/>
        </w:rPr>
        <w:t>和</w:t>
      </w:r>
      <w:r>
        <w:rPr>
          <w:rFonts w:ascii="Times New Roman" w:eastAsia="Times New Roman" w:hAnsi="Times New Roman" w:cs="Times New Roman"/>
          <w:color w:val="000000"/>
          <w:spacing w:val="0"/>
          <w:w w:val="100"/>
          <w:position w:val="0"/>
        </w:rPr>
        <w:t>37.67%</w:t>
      </w:r>
      <w:r>
        <w:rPr>
          <w:color w:val="000000"/>
          <w:spacing w:val="0"/>
          <w:w w:val="100"/>
          <w:position w:val="0"/>
        </w:rPr>
        <w:t>。公司产品毛利 率对售价、产品结构、低毛利率产品的收入占比等因素变化较为敏感。如果未来下游客户需求下 降、行业竞争加剧等可能导致产品价格下降，或者公司未能有效控制产品成本，或者低毛利率产 品在产品结构中的收入占比进一步提高，不能排除公司毛利率水平波动甚至进一步下降的可能 性，给公司的经营带来一定风险。</w:t>
      </w:r>
    </w:p>
    <w:p>
      <w:pPr>
        <w:pStyle w:val="Style35"/>
        <w:keepNext/>
        <w:keepLines/>
        <w:widowControl w:val="0"/>
        <w:shd w:val="clear" w:color="auto" w:fill="auto"/>
        <w:tabs>
          <w:tab w:pos="772" w:val="left"/>
        </w:tabs>
        <w:bidi w:val="0"/>
        <w:spacing w:before="0" w:after="0" w:line="409" w:lineRule="exact"/>
        <w:ind w:left="0" w:right="0"/>
        <w:jc w:val="both"/>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5</w:t>
      </w:r>
      <w:bookmarkEnd w:id="255"/>
      <w:r>
        <w:rPr>
          <w:color w:val="000000"/>
          <w:spacing w:val="0"/>
          <w:w w:val="100"/>
          <w:position w:val="0"/>
        </w:rPr>
        <w:t>、</w:t>
        <w:tab/>
        <w:t>全体员工持股带来的公司治理风险</w:t>
      </w:r>
      <w:bookmarkEnd w:id="253"/>
      <w:bookmarkEnd w:id="254"/>
      <w:bookmarkEnd w:id="256"/>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作为科技创新型企业，公司秉承扁平化的全员激励原则，对不同层级员工均给予股权激励。 员工持股计划涉及公司全体员工的个人利益，在员工持股计划限售期届满后，如何实现员工保持 相当的激励水平，对公司的管理能力提出了一定的挑战。如果未来公司未能有效地管理员工持股 计划，未能使员工持股计划持续作为员工整体薪酬的重要组成部分，将可能导致公司人员流失等 治理风险。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在实施过程中，公司根据企业会计准则相关规定确认股份支付费用，上市后相关股份支付费 用计入经常性损益，该等费用将对归属期内各年度扣非后净利润构成一定影响。由此，发行人实 施员工持股计划可能面临股份支付费用影响短期经营业绩的风险。</w:t>
      </w:r>
    </w:p>
    <w:p>
      <w:pPr>
        <w:pStyle w:val="Style2"/>
        <w:keepNext w:val="0"/>
        <w:keepLines w:val="0"/>
        <w:widowControl w:val="0"/>
        <w:shd w:val="clear" w:color="auto" w:fill="auto"/>
        <w:tabs>
          <w:tab w:pos="772" w:val="left"/>
        </w:tabs>
        <w:bidi w:val="0"/>
        <w:spacing w:before="0" w:after="0" w:line="409" w:lineRule="exact"/>
        <w:ind w:left="0" w:right="0" w:firstLine="420"/>
        <w:jc w:val="both"/>
      </w:pPr>
      <w:bookmarkStart w:id="257" w:name="bookmark257"/>
      <w:r>
        <w:rPr>
          <w:rFonts w:ascii="Times New Roman" w:eastAsia="Times New Roman" w:hAnsi="Times New Roman" w:cs="Times New Roman"/>
          <w:b/>
          <w:bCs/>
          <w:color w:val="000000"/>
          <w:spacing w:val="0"/>
          <w:w w:val="100"/>
          <w:position w:val="0"/>
        </w:rPr>
        <w:t>6</w:t>
      </w:r>
      <w:bookmarkEnd w:id="257"/>
      <w:r>
        <w:rPr>
          <w:b/>
          <w:bCs/>
          <w:color w:val="000000"/>
          <w:spacing w:val="0"/>
          <w:w w:val="100"/>
          <w:position w:val="0"/>
        </w:rPr>
        <w:t>、</w:t>
        <w:tab/>
        <w:t>政府补助与税收优惠政策变动的风险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公司自成立以来先后承担了多项国家和地方重大科研项目，</w:t>
      </w:r>
      <w:r>
        <w:rPr>
          <w:rFonts w:ascii="Times New Roman" w:eastAsia="Times New Roman" w:hAnsi="Times New Roman" w:cs="Times New Roman"/>
          <w:color w:val="000000"/>
          <w:spacing w:val="0"/>
          <w:w w:val="100"/>
          <w:position w:val="0"/>
        </w:rPr>
        <w:t>2020</w:t>
      </w:r>
      <w:r>
        <w:rPr>
          <w:color w:val="000000"/>
          <w:spacing w:val="0"/>
          <w:w w:val="100"/>
          <w:position w:val="0"/>
        </w:rPr>
        <w:t>年公司计入当期损益的政 府补助金额为</w:t>
      </w:r>
      <w:r>
        <w:rPr>
          <w:rFonts w:ascii="Times New Roman" w:eastAsia="Times New Roman" w:hAnsi="Times New Roman" w:cs="Times New Roman"/>
          <w:color w:val="000000"/>
          <w:spacing w:val="0"/>
          <w:w w:val="100"/>
          <w:position w:val="0"/>
        </w:rPr>
        <w:t>3.38</w:t>
      </w:r>
      <w:r>
        <w:rPr>
          <w:color w:val="000000"/>
          <w:spacing w:val="0"/>
          <w:w w:val="100"/>
          <w:position w:val="0"/>
        </w:rPr>
        <w:t>亿元。如果公司未来不能持续获得政府补助或政府补助显著降低，将会对公 司经营业绩产生不利影响。</w:t>
      </w:r>
    </w:p>
    <w:p>
      <w:pPr>
        <w:pStyle w:val="Style2"/>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公司为高新技术企业，报告期内公司享受高新技术企业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所得税的优惠税率，如果国家 上述税收优惠政策发生变化，或者公司未能持续获得高新技术企业资质认定，则可能面临因税收 优惠减少或取消而降低盈利的风险。</w:t>
      </w:r>
    </w:p>
    <w:p>
      <w:pPr>
        <w:pStyle w:val="Style35"/>
        <w:keepNext/>
        <w:keepLines/>
        <w:widowControl w:val="0"/>
        <w:shd w:val="clear" w:color="auto" w:fill="auto"/>
        <w:tabs>
          <w:tab w:pos="522" w:val="left"/>
        </w:tabs>
        <w:bidi w:val="0"/>
        <w:spacing w:before="0" w:after="80" w:line="240" w:lineRule="auto"/>
        <w:ind w:left="0" w:right="0" w:firstLine="0"/>
        <w:jc w:val="left"/>
      </w:pPr>
      <w:bookmarkStart w:id="258" w:name="bookmark258"/>
      <w:bookmarkStart w:id="259" w:name="bookmark259"/>
      <w:bookmarkStart w:id="260" w:name="bookmark260"/>
      <w:bookmarkStart w:id="261" w:name="bookmark261"/>
      <w:r>
        <w:rPr>
          <w:rFonts w:ascii="Calibri" w:eastAsia="Calibri" w:hAnsi="Calibri" w:cs="Calibri"/>
          <w:color w:val="000000"/>
          <w:spacing w:val="0"/>
          <w:w w:val="100"/>
          <w:position w:val="0"/>
          <w:sz w:val="20"/>
          <w:szCs w:val="20"/>
        </w:rPr>
        <w:t>（</w:t>
      </w:r>
      <w:bookmarkEnd w:id="260"/>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行业风险</w:t>
      </w:r>
      <w:bookmarkEnd w:id="258"/>
      <w:bookmarkEnd w:id="259"/>
      <w:bookmarkEnd w:id="261"/>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5"/>
        <w:keepNext/>
        <w:keepLines/>
        <w:widowControl w:val="0"/>
        <w:shd w:val="clear" w:color="auto" w:fill="auto"/>
        <w:tabs>
          <w:tab w:pos="783" w:val="left"/>
        </w:tabs>
        <w:bidi w:val="0"/>
        <w:spacing w:before="0" w:after="0" w:line="425" w:lineRule="auto"/>
        <w:ind w:left="0" w:right="0"/>
        <w:jc w:val="both"/>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w:t>
        <w:tab/>
        <w:t>行业政策变化风险</w:t>
      </w:r>
      <w:bookmarkEnd w:id="262"/>
      <w:bookmarkEnd w:id="263"/>
      <w:bookmarkEnd w:id="265"/>
    </w:p>
    <w:p>
      <w:pPr>
        <w:pStyle w:val="Style2"/>
        <w:keepNext w:val="0"/>
        <w:keepLines w:val="0"/>
        <w:widowControl w:val="0"/>
        <w:shd w:val="clear" w:color="auto" w:fill="auto"/>
        <w:bidi w:val="0"/>
        <w:spacing w:before="0" w:after="180" w:line="407" w:lineRule="exact"/>
        <w:ind w:left="0" w:right="0" w:firstLine="420"/>
        <w:jc w:val="left"/>
      </w:pPr>
      <w:r>
        <w:rPr>
          <w:color w:val="000000"/>
          <w:spacing w:val="0"/>
          <w:w w:val="100"/>
          <w:position w:val="0"/>
        </w:rPr>
        <w:t>国家出台了一系列鼓励政策以推动我国集成电路、</w:t>
      </w:r>
      <w:r>
        <w:rPr>
          <w:rFonts w:ascii="Times New Roman" w:eastAsia="Times New Roman" w:hAnsi="Times New Roman" w:cs="Times New Roman"/>
          <w:color w:val="000000"/>
          <w:spacing w:val="0"/>
          <w:w w:val="100"/>
          <w:position w:val="0"/>
        </w:rPr>
        <w:t>LED</w:t>
      </w:r>
      <w:r>
        <w:rPr>
          <w:color w:val="000000"/>
          <w:spacing w:val="0"/>
          <w:w w:val="100"/>
          <w:position w:val="0"/>
        </w:rPr>
        <w:t>及其装备制造业的发展，增强信息 产业创新能力和国际竞争力。若未来国家相关产业政策支持力度减弱，将对公司发展产生一定影 响。</w:t>
      </w:r>
    </w:p>
    <w:p>
      <w:pPr>
        <w:pStyle w:val="Style35"/>
        <w:keepNext/>
        <w:keepLines/>
        <w:widowControl w:val="0"/>
        <w:shd w:val="clear" w:color="auto" w:fill="auto"/>
        <w:tabs>
          <w:tab w:pos="793" w:val="left"/>
        </w:tabs>
        <w:bidi w:val="0"/>
        <w:spacing w:before="0" w:after="0" w:line="425" w:lineRule="auto"/>
        <w:ind w:left="0" w:right="0"/>
        <w:jc w:val="both"/>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w:t>
        <w:tab/>
        <w:t>国际贸易摩擦加剧风险</w:t>
      </w:r>
      <w:bookmarkEnd w:id="266"/>
      <w:bookmarkEnd w:id="267"/>
      <w:bookmarkEnd w:id="269"/>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近年来，国际贸易摩擦不断。中美贸易摩擦在众多国际贸易摩擦中备受关注。报告期内，公 司不存在向美国地区销售产品的情况。公司采购来自美国的原材料总额占公司采购总额的比例较 低。根据美国商业出口管制清单，公司采购自美国的原材料中存在极小部分需办理相应的许可证 或其他替代措施的原材料。对于前述原材料，公司已取得了相关许可，并且存在美国厂商以外的 替代供应商。美国国防部网站</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日有一则将中微开曼加入中国涉军企业名单的消 息。公司一直坚持合法合规经营，并严格遵守各经营地的包括出口管制在内相关法律法规，公司 产品和服务从未涉及任何军事用途。公司未接受过任何军方投资，和中国军方毫无关系，也没有 为任何军用终端用户提供产品。上述情况对公司生产经营没有实质影响，公司目前进出口业务情 况一切正常。如若中美贸易摩擦继续恶化，公司的生产运营将受到一定影响。</w:t>
      </w:r>
    </w:p>
    <w:p>
      <w:pPr>
        <w:pStyle w:val="Style2"/>
        <w:keepNext w:val="0"/>
        <w:keepLines w:val="0"/>
        <w:widowControl w:val="0"/>
        <w:shd w:val="clear" w:color="auto" w:fill="auto"/>
        <w:bidi w:val="0"/>
        <w:spacing w:before="0" w:after="240" w:line="407" w:lineRule="exact"/>
        <w:ind w:left="0" w:right="0" w:firstLine="420"/>
        <w:jc w:val="both"/>
      </w:pPr>
      <w:r>
        <w:rPr>
          <w:color w:val="000000"/>
          <w:spacing w:val="0"/>
          <w:w w:val="100"/>
          <w:position w:val="0"/>
        </w:rPr>
        <w:t>公司始终严格遵守中国和他国法律，一直保持与相关国家政府部门的及时沟通。公司拥有部 分海外业务，存在一定的国际贸易摩擦风险。</w:t>
      </w:r>
    </w:p>
    <w:p>
      <w:pPr>
        <w:pStyle w:val="Style35"/>
        <w:keepNext/>
        <w:keepLines/>
        <w:widowControl w:val="0"/>
        <w:shd w:val="clear" w:color="auto" w:fill="auto"/>
        <w:tabs>
          <w:tab w:pos="522" w:val="left"/>
        </w:tabs>
        <w:bidi w:val="0"/>
        <w:spacing w:before="0" w:after="80" w:line="240" w:lineRule="auto"/>
        <w:ind w:left="0" w:right="0" w:firstLine="0"/>
        <w:jc w:val="both"/>
      </w:pPr>
      <w:bookmarkStart w:id="270" w:name="bookmark270"/>
      <w:bookmarkStart w:id="271" w:name="bookmark271"/>
      <w:bookmarkStart w:id="272" w:name="bookmark272"/>
      <w:bookmarkStart w:id="273" w:name="bookmark273"/>
      <w:r>
        <w:rPr>
          <w:rFonts w:ascii="Calibri" w:eastAsia="Calibri" w:hAnsi="Calibri" w:cs="Calibri"/>
          <w:color w:val="000000"/>
          <w:spacing w:val="0"/>
          <w:w w:val="100"/>
          <w:position w:val="0"/>
          <w:sz w:val="20"/>
          <w:szCs w:val="20"/>
        </w:rPr>
        <w:t>（</w:t>
      </w:r>
      <w:bookmarkEnd w:id="272"/>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宏观环境风险</w:t>
      </w:r>
      <w:bookmarkEnd w:id="270"/>
      <w:bookmarkEnd w:id="271"/>
      <w:bookmarkEnd w:id="273"/>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15" w:lineRule="exact"/>
        <w:ind w:left="0" w:right="0" w:firstLine="420"/>
        <w:jc w:val="left"/>
      </w:pPr>
      <w:r>
        <w:rPr>
          <w:color w:val="000000"/>
          <w:spacing w:val="0"/>
          <w:w w:val="100"/>
          <w:position w:val="0"/>
        </w:rPr>
        <w:t>半导体及</w:t>
      </w:r>
      <w:r>
        <w:rPr>
          <w:rFonts w:ascii="Times New Roman" w:eastAsia="Times New Roman" w:hAnsi="Times New Roman" w:cs="Times New Roman"/>
          <w:color w:val="000000"/>
          <w:spacing w:val="0"/>
          <w:w w:val="100"/>
          <w:position w:val="0"/>
        </w:rPr>
        <w:t>LED</w:t>
      </w:r>
      <w:r>
        <w:rPr>
          <w:color w:val="000000"/>
          <w:spacing w:val="0"/>
          <w:w w:val="100"/>
          <w:position w:val="0"/>
        </w:rPr>
        <w:t>设备行业受下游市场及终端消费市场需求波动的影响，其发展往往呈现一定 的周期性，如果未来宏观经济疲软，终端消费市场的需求尤其是增量需求下滑，客户将会减少设 备的采购，行业将面临一定的波动风险。</w:t>
      </w:r>
    </w:p>
    <w:p>
      <w:pPr>
        <w:pStyle w:val="Style35"/>
        <w:keepNext/>
        <w:keepLines/>
        <w:widowControl w:val="0"/>
        <w:shd w:val="clear" w:color="auto" w:fill="auto"/>
        <w:tabs>
          <w:tab w:pos="522" w:val="left"/>
        </w:tabs>
        <w:bidi w:val="0"/>
        <w:spacing w:before="0" w:after="80" w:line="240" w:lineRule="auto"/>
        <w:ind w:left="0" w:right="0" w:firstLine="0"/>
        <w:jc w:val="both"/>
      </w:pPr>
      <w:bookmarkStart w:id="274" w:name="bookmark274"/>
      <w:bookmarkStart w:id="275" w:name="bookmark275"/>
      <w:bookmarkStart w:id="276" w:name="bookmark276"/>
      <w:bookmarkStart w:id="277" w:name="bookmark277"/>
      <w:r>
        <w:rPr>
          <w:rFonts w:ascii="Calibri" w:eastAsia="Calibri" w:hAnsi="Calibri" w:cs="Calibri"/>
          <w:color w:val="000000"/>
          <w:spacing w:val="0"/>
          <w:w w:val="100"/>
          <w:position w:val="0"/>
          <w:sz w:val="20"/>
          <w:szCs w:val="20"/>
        </w:rPr>
        <w:t>（</w:t>
      </w:r>
      <w:bookmarkEnd w:id="276"/>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存托凭证相关风险</w:t>
      </w:r>
      <w:bookmarkEnd w:id="274"/>
      <w:bookmarkEnd w:id="275"/>
      <w:bookmarkEnd w:id="277"/>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2" w:val="left"/>
        </w:tabs>
        <w:bidi w:val="0"/>
        <w:spacing w:before="0" w:after="80" w:line="240" w:lineRule="auto"/>
        <w:ind w:left="0" w:right="0" w:firstLine="0"/>
        <w:jc w:val="both"/>
      </w:pPr>
      <w:bookmarkStart w:id="278" w:name="bookmark278"/>
      <w:r>
        <w:rPr>
          <w:rFonts w:ascii="Calibri" w:eastAsia="Calibri" w:hAnsi="Calibri" w:cs="Calibri"/>
          <w:b/>
          <w:bCs/>
          <w:color w:val="000000"/>
          <w:spacing w:val="0"/>
          <w:w w:val="100"/>
          <w:position w:val="0"/>
          <w:sz w:val="20"/>
          <w:szCs w:val="20"/>
        </w:rPr>
        <w:t>（</w:t>
      </w:r>
      <w:bookmarkEnd w:id="278"/>
      <w:r>
        <w:rPr>
          <w:b/>
          <w:bCs/>
          <w:color w:val="000000"/>
          <w:spacing w:val="0"/>
          <w:w w:val="100"/>
          <w:position w:val="0"/>
        </w:rPr>
        <w:t>八</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其他重大风险</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42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369" w:right="1253" w:bottom="1599" w:left="1771" w:header="0" w:footer="3" w:gutter="0"/>
          <w:cols w:space="720"/>
          <w:noEndnote/>
          <w:rtlGutter w:val="0"/>
          <w:docGrid w:linePitch="360"/>
        </w:sectPr>
      </w:pPr>
      <w:bookmarkStart w:id="279" w:name="bookmark279"/>
      <w:r>
        <w:rPr>
          <w:rFonts w:ascii="Times New Roman" w:eastAsia="Times New Roman" w:hAnsi="Times New Roman" w:cs="Times New Roman"/>
          <w:b/>
          <w:bCs/>
          <w:color w:val="000000"/>
          <w:spacing w:val="0"/>
          <w:w w:val="100"/>
          <w:position w:val="0"/>
        </w:rPr>
        <w:t>1</w:t>
      </w:r>
      <w:bookmarkEnd w:id="279"/>
      <w:r>
        <w:rPr>
          <w:b/>
          <w:bCs/>
          <w:color w:val="000000"/>
          <w:spacing w:val="0"/>
          <w:w w:val="100"/>
          <w:position w:val="0"/>
        </w:rPr>
        <w:t>、知识产权风险</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半导体设备行业是典型的技术密集型行业，为了保持技术优势和竞争力，防止技术外泄风 险，已掌握先进技术的半导体设备企业通常会通过申请专利等方式设置较高的进入壁垒。公司一 贯重视自主知识产权的研发，建立了科学的研发体系及知识产权保护体系，但仍不能排除与竞争 对手产生知识产权纠纷，亦不能排除公司的知识产权被侵权，此类知识产权争端将对公司的正常 经营活动产生不利影响。</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公司在全球范围内销售产品，在多个国家或地区注册知识产权，但不同国别、不同的法律体 系对知识产权的权利范围的解释和认定存在差异，若引发争议甚至诉讼将影响业务经营。</w:t>
      </w:r>
    </w:p>
    <w:p>
      <w:pPr>
        <w:pStyle w:val="Style2"/>
        <w:keepNext w:val="0"/>
        <w:keepLines w:val="0"/>
        <w:widowControl w:val="0"/>
        <w:shd w:val="clear" w:color="auto" w:fill="auto"/>
        <w:bidi w:val="0"/>
        <w:spacing w:before="0" w:after="160" w:line="408" w:lineRule="exact"/>
        <w:ind w:left="0" w:right="0" w:firstLine="440"/>
        <w:jc w:val="left"/>
      </w:pPr>
      <w:r>
        <w:rPr>
          <w:color w:val="000000"/>
          <w:spacing w:val="0"/>
          <w:w w:val="100"/>
          <w:position w:val="0"/>
        </w:rPr>
        <w:t>此外，产业链上下游供应商与客户的经营也可能受知识产权争议、诉讼等因素影响，进而间 接影响公司正常的生产经营。</w:t>
      </w:r>
    </w:p>
    <w:p>
      <w:pPr>
        <w:pStyle w:val="Style35"/>
        <w:keepNext/>
        <w:keepLines/>
        <w:widowControl w:val="0"/>
        <w:shd w:val="clear" w:color="auto" w:fill="auto"/>
        <w:tabs>
          <w:tab w:pos="806" w:val="left"/>
        </w:tabs>
        <w:bidi w:val="0"/>
        <w:spacing w:before="0" w:after="0" w:line="427" w:lineRule="auto"/>
        <w:ind w:left="0" w:right="0" w:firstLine="44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w:t>
        <w:tab/>
        <w:t>人才资源风险</w:t>
      </w:r>
      <w:bookmarkEnd w:id="280"/>
      <w:bookmarkEnd w:id="281"/>
      <w:bookmarkEnd w:id="283"/>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关键技术人员是公司生存和发展的关键，也是公司获得持续竞争优势的基础。公司已经通过 全员持股方式，有效提高关键人员和研发团队的忠诚度和凝聚力。但随着行业对专业人才的需求 与日俱增，人才竞争不断加剧。若公司不能提供优质的发展平台、有竞争力的薪酬待遇及良好的 研发条件，存在关键人员流失的风险，进而可能对公司研发项目的实施和进程等方面造成一定的 影响。</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公司拥有大量技术和管理资深专家，集聚并培养了一大批行业内顶尖的技术人才。但如果未 能持续引进、培养、激励顶尖技术人才，公司将面临专业技术人才不足的风险，进而可能导致在 技术突破、产品创新方面有所落后。</w:t>
      </w:r>
    </w:p>
    <w:p>
      <w:pPr>
        <w:pStyle w:val="Style2"/>
        <w:keepNext w:val="0"/>
        <w:keepLines w:val="0"/>
        <w:widowControl w:val="0"/>
        <w:shd w:val="clear" w:color="auto" w:fill="auto"/>
        <w:bidi w:val="0"/>
        <w:spacing w:before="0" w:after="160" w:line="408" w:lineRule="exact"/>
        <w:ind w:left="0" w:right="0" w:firstLine="440"/>
        <w:jc w:val="left"/>
      </w:pPr>
      <w:r>
        <w:rPr>
          <w:color w:val="000000"/>
          <w:spacing w:val="0"/>
          <w:w w:val="100"/>
          <w:position w:val="0"/>
        </w:rPr>
        <w:t>此外，创始人团队对公司日常生产经营及技术研发具有重要作用，公司十分注重保障创始人 团队的稳定性，创始人团队在可预期的未来发生变动的可能性较低，但如公司创始人团队出现重 大变动，将可能对公司的在研项目进程、客户关系维护、日常经营管理等方面造成一定的影响。</w:t>
      </w:r>
    </w:p>
    <w:p>
      <w:pPr>
        <w:pStyle w:val="Style35"/>
        <w:keepNext/>
        <w:keepLines/>
        <w:widowControl w:val="0"/>
        <w:shd w:val="clear" w:color="auto" w:fill="auto"/>
        <w:tabs>
          <w:tab w:pos="806" w:val="left"/>
        </w:tabs>
        <w:bidi w:val="0"/>
        <w:spacing w:before="0" w:after="0" w:line="427" w:lineRule="auto"/>
        <w:ind w:left="0" w:right="0" w:firstLine="44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3</w:t>
      </w:r>
      <w:bookmarkEnd w:id="286"/>
      <w:r>
        <w:rPr>
          <w:color w:val="000000"/>
          <w:spacing w:val="0"/>
          <w:w w:val="100"/>
          <w:position w:val="0"/>
        </w:rPr>
        <w:t>、</w:t>
        <w:tab/>
        <w:t>投资风险</w:t>
      </w:r>
      <w:bookmarkEnd w:id="284"/>
      <w:bookmarkEnd w:id="285"/>
      <w:bookmarkEnd w:id="287"/>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针对契合中微公司的中长期发展战略、有发展潜力的标的公司或部门，中微公司计划通过股 权投资、并购等方式进行布局，以拓展公司业务领域，培育新的利润增长点，进一步提升公司防 范市场波动风险并提升公司盈利能力。在进行投资和并购项目实施过程中，将面临投资风险及并 购风险。</w:t>
      </w:r>
    </w:p>
    <w:p>
      <w:pPr>
        <w:pStyle w:val="Style2"/>
        <w:keepNext w:val="0"/>
        <w:keepLines w:val="0"/>
        <w:widowControl w:val="0"/>
        <w:shd w:val="clear" w:color="auto" w:fill="auto"/>
        <w:tabs>
          <w:tab w:pos="873" w:val="left"/>
        </w:tabs>
        <w:bidi w:val="0"/>
        <w:spacing w:before="0" w:after="0" w:line="408" w:lineRule="exact"/>
        <w:ind w:left="0" w:right="0" w:firstLine="44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w:t>
        <w:tab/>
        <w:t>投资风险</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基于产业支持政策、市场环境和发展趋势，公司经过充分的可行性研究作出项目投资决策。 公司投资项目标的企业在后续发展过程中，可能面临产业政策变化、市场环境变化、产品技术水 平不达预期等诸多不确定因素，可能导致其实际经营表现不达预期，进而导致投资项目的实际效 益与预期结果存在较大差异。</w:t>
      </w:r>
    </w:p>
    <w:p>
      <w:pPr>
        <w:pStyle w:val="Style2"/>
        <w:keepNext w:val="0"/>
        <w:keepLines w:val="0"/>
        <w:widowControl w:val="0"/>
        <w:shd w:val="clear" w:color="auto" w:fill="auto"/>
        <w:tabs>
          <w:tab w:pos="873" w:val="left"/>
        </w:tabs>
        <w:bidi w:val="0"/>
        <w:spacing w:before="0" w:after="0" w:line="408" w:lineRule="exact"/>
        <w:ind w:left="0" w:right="0" w:firstLine="44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2</w:t>
      </w:r>
      <w:r>
        <w:rPr>
          <w:color w:val="000000"/>
          <w:spacing w:val="0"/>
          <w:w w:val="100"/>
          <w:position w:val="0"/>
        </w:rPr>
        <w:t>）</w:t>
        <w:tab/>
        <w:t>并购风险</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公司强调稳健发展，坚持实施内生性增长与外延式并购相结合的发展策略。虽然公司未来并 购时将继续秉承审慎原则，相应制定整合计划，防范并购风险，但若出现宏观经济波动、市场竞</w:t>
      </w:r>
    </w:p>
    <w:p>
      <w:pPr>
        <w:pStyle w:val="Style45"/>
        <w:keepNext w:val="0"/>
        <w:keepLines w:val="0"/>
        <w:widowControl w:val="0"/>
        <w:shd w:val="clear" w:color="auto" w:fill="auto"/>
        <w:bidi w:val="0"/>
        <w:spacing w:before="0" w:line="240" w:lineRule="auto"/>
        <w:ind w:left="0" w:right="0" w:firstLine="0"/>
        <w:jc w:val="cente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74" w:right="1259" w:bottom="1196" w:left="1771" w:header="0" w:footer="768" w:gutter="0"/>
          <w:cols w:space="720"/>
          <w:noEndnote/>
          <w:rtlGutter w:val="0"/>
          <w:docGrid w:linePitch="360"/>
        </w:sectPr>
      </w:pPr>
      <w:r>
        <w:rPr>
          <w:color w:val="000000"/>
          <w:spacing w:val="0"/>
          <w:w w:val="100"/>
          <w:position w:val="0"/>
        </w:rPr>
        <w:t xml:space="preserve">30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180" w:line="408" w:lineRule="exact"/>
        <w:ind w:left="0" w:right="0" w:firstLine="0"/>
        <w:jc w:val="left"/>
      </w:pPr>
      <w:r>
        <w:rPr>
          <w:color w:val="000000"/>
          <w:spacing w:val="0"/>
          <w:w w:val="100"/>
          <w:position w:val="0"/>
        </w:rPr>
        <w:t>争加剧、被并购公司业绩低于预期或协同效应未出现等情形，将对公司的经营业绩产生不利影 响。</w:t>
      </w:r>
    </w:p>
    <w:p>
      <w:pPr>
        <w:pStyle w:val="Style35"/>
        <w:keepNext/>
        <w:keepLines/>
        <w:widowControl w:val="0"/>
        <w:shd w:val="clear" w:color="auto" w:fill="auto"/>
        <w:tabs>
          <w:tab w:pos="758" w:val="left"/>
        </w:tabs>
        <w:bidi w:val="0"/>
        <w:spacing w:before="0" w:after="0" w:line="427" w:lineRule="auto"/>
        <w:ind w:left="0" w:right="0"/>
        <w:jc w:val="both"/>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4</w:t>
      </w:r>
      <w:bookmarkEnd w:id="292"/>
      <w:r>
        <w:rPr>
          <w:color w:val="000000"/>
          <w:spacing w:val="0"/>
          <w:w w:val="100"/>
          <w:position w:val="0"/>
        </w:rPr>
        <w:t>、</w:t>
        <w:tab/>
        <w:t>疫情风险</w:t>
      </w:r>
      <w:bookmarkEnd w:id="290"/>
      <w:bookmarkEnd w:id="291"/>
      <w:bookmarkEnd w:id="293"/>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受新冠疫情影响，全球经济面临较大下行压力，国内行业的健康发展也受到一定影响；疫情 爆发对行业上下游的影响仍在持续，市场对公司所处行业上下游的影响也传递至公司，对公司的 经营造成一定影响。</w:t>
      </w:r>
    </w:p>
    <w:p>
      <w:pPr>
        <w:pStyle w:val="Style35"/>
        <w:keepNext/>
        <w:keepLines/>
        <w:widowControl w:val="0"/>
        <w:shd w:val="clear" w:color="auto" w:fill="auto"/>
        <w:tabs>
          <w:tab w:pos="758" w:val="left"/>
        </w:tabs>
        <w:bidi w:val="0"/>
        <w:spacing w:before="0" w:after="0" w:line="427" w:lineRule="auto"/>
        <w:ind w:left="0" w:right="0"/>
        <w:jc w:val="both"/>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5</w:t>
      </w:r>
      <w:bookmarkEnd w:id="296"/>
      <w:r>
        <w:rPr>
          <w:color w:val="000000"/>
          <w:spacing w:val="0"/>
          <w:w w:val="100"/>
          <w:position w:val="0"/>
        </w:rPr>
        <w:t>、</w:t>
        <w:tab/>
        <w:t>研发投入不足导致技术被赶超或替代的风险</w:t>
      </w:r>
      <w:bookmarkEnd w:id="294"/>
      <w:bookmarkEnd w:id="295"/>
      <w:bookmarkEnd w:id="297"/>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公司所处的设备行业属于技术密集型行业，关键设备的研发涉及等离子体物理、射频及微波 学、结构化学、微观分子动力学、光谱及能谱学、真空机械传输等多种科学技术及工程领域学科 知识的综合应用，具有产品技术升级快、研发投入大、研发周期长、研发风险高等特点。</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国外领先的半导体设备公司均存在大额研发投入，根据海外公司公告的最新财年报告，应用 材料年度研发投入超</w:t>
      </w:r>
      <w:r>
        <w:rPr>
          <w:rFonts w:ascii="Times New Roman" w:eastAsia="Times New Roman" w:hAnsi="Times New Roman" w:cs="Times New Roman"/>
          <w:color w:val="000000"/>
          <w:spacing w:val="0"/>
          <w:w w:val="100"/>
          <w:position w:val="0"/>
        </w:rPr>
        <w:t>22</w:t>
      </w:r>
      <w:r>
        <w:rPr>
          <w:color w:val="000000"/>
          <w:spacing w:val="0"/>
          <w:w w:val="100"/>
          <w:position w:val="0"/>
        </w:rPr>
        <w:t>亿美元，泛林半导体年度研发投入超</w:t>
      </w:r>
      <w:r>
        <w:rPr>
          <w:rFonts w:ascii="Times New Roman" w:eastAsia="Times New Roman" w:hAnsi="Times New Roman" w:cs="Times New Roman"/>
          <w:color w:val="000000"/>
          <w:spacing w:val="0"/>
          <w:w w:val="100"/>
          <w:position w:val="0"/>
        </w:rPr>
        <w:t>12</w:t>
      </w:r>
      <w:r>
        <w:rPr>
          <w:color w:val="000000"/>
          <w:spacing w:val="0"/>
          <w:w w:val="100"/>
          <w:position w:val="0"/>
        </w:rPr>
        <w:t>亿美元。</w:t>
      </w:r>
    </w:p>
    <w:p>
      <w:pPr>
        <w:pStyle w:val="Style2"/>
        <w:keepNext w:val="0"/>
        <w:keepLines w:val="0"/>
        <w:widowControl w:val="0"/>
        <w:shd w:val="clear" w:color="auto" w:fill="auto"/>
        <w:bidi w:val="0"/>
        <w:spacing w:before="0" w:after="180" w:line="408"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年公司研发投入</w:t>
      </w:r>
      <w:r>
        <w:rPr>
          <w:rFonts w:ascii="Times New Roman" w:eastAsia="Times New Roman" w:hAnsi="Times New Roman" w:cs="Times New Roman"/>
          <w:color w:val="000000"/>
          <w:spacing w:val="0"/>
          <w:w w:val="100"/>
          <w:position w:val="0"/>
        </w:rPr>
        <w:t>6.4</w:t>
      </w:r>
      <w:r>
        <w:rPr>
          <w:rFonts w:ascii="Times New Roman" w:eastAsia="Times New Roman" w:hAnsi="Times New Roman" w:cs="Times New Roman"/>
          <w:color w:val="000000"/>
          <w:spacing w:val="0"/>
          <w:w w:val="100"/>
          <w:position w:val="0"/>
        </w:rPr>
        <w:t>0</w:t>
      </w:r>
      <w:r>
        <w:rPr>
          <w:color w:val="000000"/>
          <w:spacing w:val="0"/>
          <w:w w:val="100"/>
          <w:position w:val="0"/>
        </w:rPr>
        <w:t>亿元，约占营业收入</w:t>
      </w:r>
      <w:r>
        <w:rPr>
          <w:rFonts w:ascii="Times New Roman" w:eastAsia="Times New Roman" w:hAnsi="Times New Roman" w:cs="Times New Roman"/>
          <w:color w:val="000000"/>
          <w:spacing w:val="0"/>
          <w:w w:val="100"/>
          <w:position w:val="0"/>
        </w:rPr>
        <w:t>28.14%</w:t>
      </w:r>
      <w:r>
        <w:rPr>
          <w:color w:val="000000"/>
          <w:spacing w:val="0"/>
          <w:w w:val="100"/>
          <w:position w:val="0"/>
        </w:rPr>
        <w:t>。虽然占比较高，但总额仍与国外领 先的半导体公司有很大差距。如果公司未来研发资金投入不足，不能满足技术升级需要，可能导 致公司技术被赶超或替代的风险，对公司未来的经营业绩产生不利影响。</w:t>
      </w:r>
    </w:p>
    <w:p>
      <w:pPr>
        <w:pStyle w:val="Style35"/>
        <w:keepNext/>
        <w:keepLines/>
        <w:widowControl w:val="0"/>
        <w:shd w:val="clear" w:color="auto" w:fill="auto"/>
        <w:tabs>
          <w:tab w:pos="758" w:val="left"/>
        </w:tabs>
        <w:bidi w:val="0"/>
        <w:spacing w:before="0" w:after="0" w:line="427" w:lineRule="auto"/>
        <w:ind w:left="0" w:right="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6</w:t>
      </w:r>
      <w:bookmarkEnd w:id="300"/>
      <w:r>
        <w:rPr>
          <w:color w:val="000000"/>
          <w:spacing w:val="0"/>
          <w:w w:val="100"/>
          <w:position w:val="0"/>
        </w:rPr>
        <w:t>、</w:t>
        <w:tab/>
        <w:t>未来业务及产品拓展风险</w:t>
      </w:r>
      <w:bookmarkEnd w:id="298"/>
      <w:bookmarkEnd w:id="299"/>
      <w:bookmarkEnd w:id="301"/>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针对海内外客户的多样化需求，公司持续对设备工艺进行技术升级，并拟开发一系列新设备 产品。目前部分新产品尚处于开发及验证阶段，如果新开发产品及工艺不能有效满足客户需求， 无法得到客户的认可，公司产品市场及业务的拓展将面临一定风险。</w:t>
      </w:r>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随着公司规模扩大，将对公司经营管理、市场开拓、对新并购标的的管控、资源整合等方面 都提出了更高的要求。若公司管理团队的管理水平、风险控制能力无法适应业务发展的需要，公 司将面临一定经营管理风险，对公司核心竞争力、经营稳定性和未来发展产生不利影响。</w:t>
      </w:r>
    </w:p>
    <w:p>
      <w:pPr>
        <w:pStyle w:val="Style35"/>
        <w:keepNext/>
        <w:keepLines/>
        <w:widowControl w:val="0"/>
        <w:shd w:val="clear" w:color="auto" w:fill="auto"/>
        <w:tabs>
          <w:tab w:pos="758" w:val="left"/>
        </w:tabs>
        <w:bidi w:val="0"/>
        <w:spacing w:before="0" w:after="0" w:line="427" w:lineRule="auto"/>
        <w:ind w:left="0" w:right="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7</w:t>
      </w:r>
      <w:bookmarkEnd w:id="304"/>
      <w:r>
        <w:rPr>
          <w:color w:val="000000"/>
          <w:spacing w:val="0"/>
          <w:w w:val="100"/>
          <w:position w:val="0"/>
        </w:rPr>
        <w:t>、</w:t>
        <w:tab/>
        <w:t>募集资金导致利润下滑及摊薄即期回报的风险</w:t>
      </w:r>
      <w:bookmarkEnd w:id="302"/>
      <w:bookmarkEnd w:id="303"/>
      <w:bookmarkEnd w:id="305"/>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公司正在申请向不特定对象发行股票募集资金，该等申请已获上交所批准以及证监会注册。 本次募集资金投资项目中固定资产投资规模金额较大。在项目建设完成后，公司将新增较大金额 的固定资产折旧。如公司募集资金投资项目收益未能覆盖相关费用，则公司存在因固定资产折旧 增加而导致利润下滑的风险。</w:t>
      </w:r>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此外，本次向特定对象发行完成后，公司总资产和净资产规模将有较大幅度的增加，总股 本亦相应增加，虽然本次募集资金到位后，公司计划高效利用募集资金以提升公司运营能力和长 期盈利能力，但由于受宏观经济以及行业发展情况的影响，短期内公司盈利状况仍然存在较大的 不确定性，公司股东即期回报将可能因本次发行而有所摊薄。</w:t>
      </w:r>
      <w:r>
        <w:br w:type="page"/>
      </w:r>
    </w:p>
    <w:p>
      <w:pPr>
        <w:pStyle w:val="Style35"/>
        <w:keepNext/>
        <w:keepLines/>
        <w:widowControl w:val="0"/>
        <w:shd w:val="clear" w:color="auto" w:fill="auto"/>
        <w:bidi w:val="0"/>
        <w:spacing w:before="0" w:after="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三</w:t>
      </w:r>
      <w:bookmarkEnd w:id="308"/>
      <w:r>
        <w:rPr>
          <w:color w:val="000000"/>
          <w:spacing w:val="0"/>
          <w:w w:val="100"/>
          <w:position w:val="0"/>
        </w:rPr>
        <w:t>、报告期内主要经营情况</w:t>
      </w:r>
      <w:bookmarkEnd w:id="306"/>
      <w:bookmarkEnd w:id="307"/>
      <w:bookmarkEnd w:id="309"/>
    </w:p>
    <w:p>
      <w:pPr>
        <w:pStyle w:val="Style2"/>
        <w:keepNext w:val="0"/>
        <w:keepLines w:val="0"/>
        <w:widowControl w:val="0"/>
        <w:shd w:val="clear" w:color="auto" w:fill="auto"/>
        <w:bidi w:val="0"/>
        <w:spacing w:before="0" w:after="16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22.73</w:t>
      </w:r>
      <w:r>
        <w:rPr>
          <w:color w:val="000000"/>
          <w:spacing w:val="0"/>
          <w:w w:val="100"/>
          <w:position w:val="0"/>
        </w:rPr>
        <w:t>亿元，同比增长</w:t>
      </w:r>
      <w:r>
        <w:rPr>
          <w:rFonts w:ascii="Times New Roman" w:eastAsia="Times New Roman" w:hAnsi="Times New Roman" w:cs="Times New Roman"/>
          <w:color w:val="000000"/>
          <w:spacing w:val="0"/>
          <w:w w:val="100"/>
          <w:position w:val="0"/>
        </w:rPr>
        <w:t>16.76%</w:t>
      </w:r>
      <w:r>
        <w:rPr>
          <w:color w:val="000000"/>
          <w:spacing w:val="0"/>
          <w:w w:val="100"/>
          <w:position w:val="0"/>
        </w:rPr>
        <w:t>,实现归属于上市公司股东净</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利润</w:t>
      </w:r>
      <w:r>
        <w:rPr>
          <w:rFonts w:ascii="Times New Roman" w:eastAsia="Times New Roman" w:hAnsi="Times New Roman" w:cs="Times New Roman"/>
          <w:color w:val="000000"/>
          <w:spacing w:val="0"/>
          <w:w w:val="100"/>
          <w:position w:val="0"/>
        </w:rPr>
        <w:t>4.92</w:t>
      </w:r>
      <w:r>
        <w:rPr>
          <w:color w:val="000000"/>
          <w:spacing w:val="0"/>
          <w:w w:val="100"/>
          <w:position w:val="0"/>
        </w:rPr>
        <w:t>亿元，同比增长</w:t>
      </w:r>
      <w:r>
        <w:rPr>
          <w:rFonts w:ascii="Times New Roman" w:eastAsia="Times New Roman" w:hAnsi="Times New Roman" w:cs="Times New Roman"/>
          <w:color w:val="000000"/>
          <w:spacing w:val="0"/>
          <w:w w:val="100"/>
          <w:position w:val="0"/>
        </w:rPr>
        <w:t>161.02%</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bookmarkStart w:id="310" w:name="bookmark310"/>
      <w:r>
        <w:rPr>
          <w:rFonts w:ascii="Times New Roman" w:eastAsia="Times New Roman" w:hAnsi="Times New Roman" w:cs="Times New Roman"/>
          <w:b/>
          <w:bCs/>
          <w:color w:val="000000"/>
          <w:spacing w:val="0"/>
          <w:w w:val="100"/>
          <w:position w:val="0"/>
        </w:rPr>
        <w:t>（</w:t>
      </w:r>
      <w:bookmarkEnd w:id="310"/>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主营业务分析</w:t>
      </w:r>
    </w:p>
    <w:p>
      <w:pPr>
        <w:pStyle w:val="Style2"/>
        <w:keepNext w:val="0"/>
        <w:keepLines w:val="0"/>
        <w:widowControl w:val="0"/>
        <w:numPr>
          <w:ilvl w:val="0"/>
          <w:numId w:val="13"/>
        </w:numPr>
        <w:shd w:val="clear" w:color="auto" w:fill="auto"/>
        <w:bidi w:val="0"/>
        <w:spacing w:before="0" w:after="80" w:line="240" w:lineRule="auto"/>
        <w:ind w:left="0" w:right="0" w:firstLine="0"/>
        <w:jc w:val="left"/>
      </w:pPr>
      <w:bookmarkStart w:id="311" w:name="bookmark311"/>
      <w:bookmarkEnd w:id="311"/>
      <w:r>
        <w:rPr>
          <w:b/>
          <w:bCs/>
          <w:color w:val="000000"/>
          <w:spacing w:val="0"/>
          <w:w w:val="100"/>
          <w:position w:val="0"/>
        </w:rPr>
        <w:t>利润表及现金流量表相关科目变动分析表</w:t>
      </w:r>
    </w:p>
    <w:tbl>
      <w:tblPr>
        <w:tblOverlap w:val="never"/>
        <w:jc w:val="center"/>
        <w:tblLayout w:type="fixed"/>
      </w:tblPr>
      <w:tblGrid>
        <w:gridCol w:w="3394"/>
        <w:gridCol w:w="1738"/>
        <w:gridCol w:w="1958"/>
        <w:gridCol w:w="1747"/>
      </w:tblGrid>
      <w:tr>
        <w:trPr>
          <w:trHeight w:val="269"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2,273,291,898.06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1,946,949,250.75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16.76%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1,417,050,103.40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1,266,894,868.37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11.85%</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236,663,836.29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196,968,842.38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20.15%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153,003,346.20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108,841,554.44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40.57%</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330,721,402.07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233,729,647.57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41.50%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-7,424,808.14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-1,239,017.40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499.25%</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846,292,855.04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133,270,991.54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-536,849,649.16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-1,328,937,640.31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543,400.60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1,367,943,248.07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-99.96%</w:t>
            </w:r>
          </w:p>
        </w:tc>
      </w:tr>
    </w:tbl>
    <w:p>
      <w:pPr>
        <w:widowControl w:val="0"/>
        <w:spacing w:after="559" w:line="1" w:lineRule="exact"/>
      </w:pPr>
    </w:p>
    <w:p>
      <w:pPr>
        <w:pStyle w:val="Style35"/>
        <w:keepNext/>
        <w:keepLines/>
        <w:widowControl w:val="0"/>
        <w:numPr>
          <w:ilvl w:val="0"/>
          <w:numId w:val="13"/>
        </w:numPr>
        <w:shd w:val="clear" w:color="auto" w:fill="auto"/>
        <w:bidi w:val="0"/>
        <w:spacing w:before="0" w:after="80" w:line="240" w:lineRule="auto"/>
        <w:ind w:left="0" w:right="0" w:firstLine="0"/>
        <w:jc w:val="left"/>
      </w:pPr>
      <w:bookmarkStart w:id="312" w:name="bookmark312"/>
      <w:bookmarkStart w:id="313" w:name="bookmark313"/>
      <w:bookmarkStart w:id="314" w:name="bookmark314"/>
      <w:bookmarkStart w:id="315" w:name="bookmark315"/>
      <w:bookmarkEnd w:id="314"/>
      <w:r>
        <w:rPr>
          <w:color w:val="000000"/>
          <w:spacing w:val="0"/>
          <w:w w:val="100"/>
          <w:position w:val="0"/>
        </w:rPr>
        <w:t>收入和成本分析</w:t>
      </w:r>
      <w:bookmarkEnd w:id="312"/>
      <w:bookmarkEnd w:id="313"/>
      <w:bookmarkEnd w:id="31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40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年，公司营业收入为</w:t>
      </w:r>
      <w:r>
        <w:rPr>
          <w:rFonts w:ascii="Times New Roman" w:eastAsia="Times New Roman" w:hAnsi="Times New Roman" w:cs="Times New Roman"/>
          <w:color w:val="000000"/>
          <w:spacing w:val="0"/>
          <w:w w:val="100"/>
          <w:position w:val="0"/>
        </w:rPr>
        <w:t>22.73</w:t>
      </w:r>
      <w:r>
        <w:rPr>
          <w:color w:val="000000"/>
          <w:spacing w:val="0"/>
          <w:w w:val="100"/>
          <w:position w:val="0"/>
        </w:rPr>
        <w:t>亿元，同比增长</w:t>
      </w:r>
      <w:r>
        <w:rPr>
          <w:rFonts w:ascii="Times New Roman" w:eastAsia="Times New Roman" w:hAnsi="Times New Roman" w:cs="Times New Roman"/>
          <w:color w:val="000000"/>
          <w:spacing w:val="0"/>
          <w:w w:val="100"/>
          <w:position w:val="0"/>
        </w:rPr>
        <w:t>16.76%</w:t>
      </w:r>
      <w:r>
        <w:rPr>
          <w:color w:val="000000"/>
          <w:spacing w:val="0"/>
          <w:w w:val="100"/>
          <w:position w:val="0"/>
        </w:rPr>
        <w:t>，其中受益于半导体设备市场发展 及公司产品竞争优势，公司</w:t>
      </w:r>
      <w:r>
        <w:rPr>
          <w:rFonts w:ascii="Times New Roman" w:eastAsia="Times New Roman" w:hAnsi="Times New Roman" w:cs="Times New Roman"/>
          <w:color w:val="000000"/>
          <w:spacing w:val="0"/>
          <w:w w:val="100"/>
          <w:position w:val="0"/>
        </w:rPr>
        <w:t>2020</w:t>
      </w:r>
      <w:r>
        <w:rPr>
          <w:color w:val="000000"/>
          <w:spacing w:val="0"/>
          <w:w w:val="100"/>
          <w:position w:val="0"/>
        </w:rPr>
        <w:t>年刻蚀设备收入为</w:t>
      </w:r>
      <w:r>
        <w:rPr>
          <w:rFonts w:ascii="Times New Roman" w:eastAsia="Times New Roman" w:hAnsi="Times New Roman" w:cs="Times New Roman"/>
          <w:color w:val="000000"/>
          <w:spacing w:val="0"/>
          <w:w w:val="100"/>
          <w:position w:val="0"/>
        </w:rPr>
        <w:t>12.89</w:t>
      </w:r>
      <w:r>
        <w:rPr>
          <w:color w:val="000000"/>
          <w:spacing w:val="0"/>
          <w:w w:val="100"/>
          <w:position w:val="0"/>
        </w:rPr>
        <w:t>亿元，同比增长约</w:t>
      </w:r>
      <w:r>
        <w:rPr>
          <w:rFonts w:ascii="Times New Roman" w:eastAsia="Times New Roman" w:hAnsi="Times New Roman" w:cs="Times New Roman"/>
          <w:color w:val="000000"/>
          <w:spacing w:val="0"/>
          <w:w w:val="100"/>
          <w:position w:val="0"/>
        </w:rPr>
        <w:t>58.49%</w:t>
      </w:r>
      <w:r>
        <w:rPr>
          <w:color w:val="000000"/>
          <w:spacing w:val="0"/>
          <w:w w:val="100"/>
          <w:position w:val="0"/>
        </w:rPr>
        <w:t>；由于市场 原因，公司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MOCVD</w:t>
      </w:r>
      <w:r>
        <w:rPr>
          <w:color w:val="000000"/>
          <w:spacing w:val="0"/>
          <w:w w:val="100"/>
          <w:position w:val="0"/>
        </w:rPr>
        <w:t>设备收入为</w:t>
      </w:r>
      <w:r>
        <w:rPr>
          <w:rFonts w:ascii="Times New Roman" w:eastAsia="Times New Roman" w:hAnsi="Times New Roman" w:cs="Times New Roman"/>
          <w:color w:val="000000"/>
          <w:spacing w:val="0"/>
          <w:w w:val="100"/>
          <w:position w:val="0"/>
        </w:rPr>
        <w:t>4.96</w:t>
      </w:r>
      <w:r>
        <w:rPr>
          <w:color w:val="000000"/>
          <w:spacing w:val="0"/>
          <w:w w:val="100"/>
          <w:position w:val="0"/>
        </w:rPr>
        <w:t>亿元，同比下降约</w:t>
      </w:r>
      <w:r>
        <w:rPr>
          <w:rFonts w:ascii="Times New Roman" w:eastAsia="Times New Roman" w:hAnsi="Times New Roman" w:cs="Times New Roman"/>
          <w:color w:val="000000"/>
          <w:spacing w:val="0"/>
          <w:w w:val="100"/>
          <w:position w:val="0"/>
        </w:rPr>
        <w:t>34.47%</w:t>
      </w:r>
      <w:r>
        <w:rPr>
          <w:color w:val="000000"/>
          <w:spacing w:val="0"/>
          <w:w w:val="100"/>
          <w:position w:val="0"/>
        </w:rPr>
        <w:t>。</w:t>
      </w:r>
    </w:p>
    <w:p>
      <w:pPr>
        <w:pStyle w:val="Style35"/>
        <w:keepNext/>
        <w:keepLines/>
        <w:widowControl w:val="0"/>
        <w:shd w:val="clear" w:color="auto" w:fill="auto"/>
        <w:bidi w:val="0"/>
        <w:spacing w:before="0" w:after="80" w:line="408" w:lineRule="exact"/>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w:t>
      </w:r>
      <w:bookmarkEnd w:id="318"/>
      <w:r>
        <w:rPr>
          <w:rFonts w:ascii="Times New Roman" w:eastAsia="Times New Roman" w:hAnsi="Times New Roman" w:cs="Times New Roman"/>
          <w:color w:val="000000"/>
          <w:spacing w:val="0"/>
          <w:w w:val="100"/>
          <w:position w:val="0"/>
        </w:rPr>
        <w:t>1）.</w:t>
      </w:r>
      <w:r>
        <w:rPr>
          <w:color w:val="000000"/>
          <w:spacing w:val="0"/>
          <w:w w:val="100"/>
          <w:position w:val="0"/>
        </w:rPr>
        <w:t>主营业务分行业、分产品、分地区情况</w:t>
      </w:r>
      <w:bookmarkEnd w:id="316"/>
      <w:bookmarkEnd w:id="317"/>
      <w:bookmarkEnd w:id="319"/>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99"/>
        <w:gridCol w:w="1685"/>
        <w:gridCol w:w="1685"/>
        <w:gridCol w:w="1094"/>
        <w:gridCol w:w="1090"/>
        <w:gridCol w:w="1090"/>
        <w:gridCol w:w="1094"/>
      </w:tblGrid>
      <w:tr>
        <w:trPr>
          <w:trHeight w:val="283"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64" w:lineRule="exact"/>
              <w:ind w:left="0" w:right="0" w:firstLine="0"/>
              <w:jc w:val="left"/>
            </w:pPr>
            <w:r>
              <w:rPr>
                <w:color w:val="000000"/>
                <w:spacing w:val="0"/>
                <w:w w:val="100"/>
                <w:position w:val="0"/>
              </w:rPr>
              <w:t>毛利率比 上年增减</w:t>
            </w:r>
          </w:p>
          <w:p>
            <w:pPr>
              <w:pStyle w:val="Style25"/>
              <w:keepNext w:val="0"/>
              <w:keepLines w:val="0"/>
              <w:widowControl w:val="0"/>
              <w:shd w:val="clear" w:color="auto" w:fill="auto"/>
              <w:bidi w:val="0"/>
              <w:spacing w:before="0" w:after="0" w:line="26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半导体设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2,273,144,009.93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1,416,958,436.04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2.74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60" w:line="259" w:lineRule="exact"/>
              <w:ind w:left="0" w:right="0" w:firstLine="0"/>
              <w:jc w:val="both"/>
            </w:pPr>
            <w:r>
              <w:rPr>
                <w:color w:val="000000"/>
                <w:spacing w:val="0"/>
                <w:w w:val="100"/>
                <w:position w:val="0"/>
              </w:rPr>
              <w:t>毛利率比 上年增减</w:t>
            </w:r>
          </w:p>
          <w:p>
            <w:pPr>
              <w:pStyle w:val="Style25"/>
              <w:keepNext w:val="0"/>
              <w:keepLines w:val="0"/>
              <w:widowControl w:val="0"/>
              <w:shd w:val="clear" w:color="auto" w:fill="auto"/>
              <w:bidi w:val="0"/>
              <w:spacing w:before="0" w:after="0" w:line="259"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1,798,739,589.35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1,127,468,676.25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3.41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441,712,681.10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275,461,001.49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0.83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32,691,739.48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14,028,758.30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2.06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60" w:line="259" w:lineRule="exact"/>
              <w:ind w:left="0" w:right="0" w:firstLine="0"/>
              <w:jc w:val="both"/>
            </w:pPr>
            <w:r>
              <w:rPr>
                <w:color w:val="000000"/>
                <w:spacing w:val="0"/>
                <w:w w:val="100"/>
                <w:position w:val="0"/>
              </w:rPr>
              <w:t>毛利率比 上年增减</w:t>
            </w:r>
          </w:p>
          <w:p>
            <w:pPr>
              <w:pStyle w:val="Style25"/>
              <w:keepNext w:val="0"/>
              <w:keepLines w:val="0"/>
              <w:widowControl w:val="0"/>
              <w:shd w:val="clear" w:color="auto" w:fill="auto"/>
              <w:bidi w:val="0"/>
              <w:spacing w:before="0" w:after="0" w:line="259"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99"/>
        <w:gridCol w:w="1685"/>
        <w:gridCol w:w="1685"/>
        <w:gridCol w:w="1094"/>
        <w:gridCol w:w="1090"/>
        <w:gridCol w:w="1090"/>
        <w:gridCol w:w="1094"/>
      </w:tblGrid>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1,809,760,193.75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1,168,709,134.24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2.34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台湾地区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403,800,747.57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219,000,655.16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8" w:lineRule="exact"/>
              <w:ind w:left="14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.94 </w:t>
            </w: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其他国家 和地区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59,730,956.74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29,340,314.00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6.52 </w:t>
            </w:r>
            <w:r>
              <w:rPr>
                <w:color w:val="000000"/>
                <w:spacing w:val="0"/>
                <w:w w:val="100"/>
                <w:position w:val="0"/>
              </w:rPr>
              <w:t>个百分点</w:t>
            </w:r>
          </w:p>
        </w:tc>
      </w:tr>
    </w:tbl>
    <w:p>
      <w:pPr>
        <w:widowControl w:val="0"/>
        <w:spacing w:after="339" w:line="1" w:lineRule="exact"/>
      </w:pP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产销量情况分析表</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1421"/>
        <w:gridCol w:w="792"/>
        <w:gridCol w:w="1099"/>
        <w:gridCol w:w="1109"/>
        <w:gridCol w:w="1104"/>
        <w:gridCol w:w="1104"/>
        <w:gridCol w:w="1099"/>
        <w:gridCol w:w="1109"/>
      </w:tblGrid>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生产量比 上年增减</w:t>
            </w:r>
          </w:p>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54" w:lineRule="exact"/>
              <w:ind w:left="0" w:right="0" w:firstLine="0"/>
              <w:jc w:val="center"/>
            </w:pPr>
            <w:r>
              <w:rPr>
                <w:color w:val="000000"/>
                <w:spacing w:val="0"/>
                <w:w w:val="100"/>
                <w:position w:val="0"/>
              </w:rPr>
              <w:t>销售量比 上年增减</w:t>
            </w:r>
          </w:p>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59" w:lineRule="exact"/>
              <w:ind w:left="0" w:right="0" w:firstLine="0"/>
              <w:jc w:val="center"/>
            </w:pPr>
            <w:r>
              <w:rPr>
                <w:color w:val="000000"/>
                <w:spacing w:val="0"/>
                <w:w w:val="100"/>
                <w:position w:val="0"/>
              </w:rPr>
              <w:t>库存量比 上年增减</w:t>
            </w:r>
          </w:p>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成本分析表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90"/>
        <w:gridCol w:w="1109"/>
        <w:gridCol w:w="1262"/>
        <w:gridCol w:w="1085"/>
        <w:gridCol w:w="1262"/>
        <w:gridCol w:w="1013"/>
        <w:gridCol w:w="989"/>
        <w:gridCol w:w="926"/>
      </w:tblGrid>
      <w:tr>
        <w:trPr>
          <w:trHeight w:val="288" w:hRule="exact"/>
        </w:trPr>
        <w:tc>
          <w:tcPr>
            <w:gridSpan w:val="8"/>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6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本期占总 成本比例</w:t>
            </w:r>
          </w:p>
          <w:p>
            <w:pPr>
              <w:pStyle w:val="Style25"/>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上年同期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半导体设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126,926.83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119,510.66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1,979.37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32.85%</w:t>
            </w:r>
          </w:p>
        </w:tc>
        <w:tc>
          <w:tcPr>
            <w:tcBorders>
              <w:top w:val="single" w:sz="4"/>
              <w:left w:val="single" w:sz="4"/>
              <w:right w:val="single" w:sz="4"/>
            </w:tcBorders>
            <w:shd w:val="clear" w:color="auto" w:fill="FFFFFF"/>
            <w:vAlign w:val="top"/>
          </w:tcPr>
          <w:p>
            <w:pPr>
              <w:widowControl w:val="0"/>
              <w:rPr>
                <w:sz w:val="10"/>
                <w:szCs w:val="10"/>
              </w:rPr>
            </w:pPr>
          </w:p>
        </w:tc>
      </w:tr>
      <w:tr>
        <w:trPr>
          <w:trHeight w:val="40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12,789.64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5,645.97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研发费 用资本 化项目 本期摊 销金额 较上年 同期增 加</w:t>
            </w:r>
          </w:p>
          <w:p>
            <w:pPr>
              <w:pStyle w:val="Style25"/>
              <w:keepNext w:val="0"/>
              <w:keepLines w:val="0"/>
              <w:widowControl w:val="0"/>
              <w:shd w:val="clear" w:color="auto" w:fill="auto"/>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 xml:space="preserve">3,642 </w:t>
            </w:r>
            <w:r>
              <w:rPr>
                <w:color w:val="000000"/>
                <w:spacing w:val="0"/>
                <w:w w:val="100"/>
                <w:position w:val="0"/>
              </w:rPr>
              <w:t>万元以 及股份 支付费 用增加</w:t>
            </w:r>
          </w:p>
          <w:p>
            <w:pPr>
              <w:pStyle w:val="Style25"/>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1,183 </w:t>
            </w:r>
            <w:r>
              <w:rPr>
                <w:color w:val="000000"/>
                <w:spacing w:val="0"/>
                <w:w w:val="100"/>
                <w:position w:val="0"/>
              </w:rPr>
              <w:t>万元</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141,695.84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126,646.56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本期占总 成本比例</w:t>
            </w:r>
          </w:p>
          <w:p>
            <w:pPr>
              <w:pStyle w:val="Style25"/>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97,977.86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97,757.55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1,979.37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32.85%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12,789.64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5,645.97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0"/>
        <w:gridCol w:w="1109"/>
        <w:gridCol w:w="1262"/>
        <w:gridCol w:w="1085"/>
        <w:gridCol w:w="1262"/>
        <w:gridCol w:w="1013"/>
        <w:gridCol w:w="989"/>
        <w:gridCol w:w="9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112,746.87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104,893.45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27,546.10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20,817.16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1,402.88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935.96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numPr>
          <w:ilvl w:val="0"/>
          <w:numId w:val="15"/>
        </w:numPr>
        <w:shd w:val="clear" w:color="auto" w:fill="auto"/>
        <w:bidi w:val="0"/>
        <w:spacing w:before="0" w:after="80" w:line="240" w:lineRule="auto"/>
        <w:ind w:left="0" w:right="0" w:firstLine="0"/>
        <w:jc w:val="left"/>
      </w:pPr>
      <w:bookmarkStart w:id="320" w:name="bookmark320"/>
      <w:bookmarkStart w:id="321" w:name="bookmark321"/>
      <w:bookmarkStart w:id="322" w:name="bookmark322"/>
      <w:bookmarkStart w:id="323" w:name="bookmark323"/>
      <w:bookmarkEnd w:id="322"/>
      <w:r>
        <w:rPr>
          <w:rFonts w:ascii="Times New Roman" w:eastAsia="Times New Roman" w:hAnsi="Times New Roman" w:cs="Times New Roman"/>
          <w:color w:val="000000"/>
          <w:spacing w:val="0"/>
          <w:w w:val="100"/>
          <w:position w:val="0"/>
        </w:rPr>
        <w:t>.</w:t>
      </w:r>
      <w:r>
        <w:rPr>
          <w:color w:val="000000"/>
          <w:spacing w:val="0"/>
          <w:w w:val="100"/>
          <w:position w:val="0"/>
        </w:rPr>
        <w:t>主要销售客户及主要供应商情况</w:t>
      </w:r>
      <w:bookmarkEnd w:id="320"/>
      <w:bookmarkEnd w:id="321"/>
      <w:bookmarkEnd w:id="323"/>
    </w:p>
    <w:p>
      <w:pPr>
        <w:pStyle w:val="Style35"/>
        <w:keepNext/>
        <w:keepLines/>
        <w:widowControl w:val="0"/>
        <w:shd w:val="clear" w:color="auto" w:fill="auto"/>
        <w:bidi w:val="0"/>
        <w:spacing w:before="0" w:after="0" w:line="240" w:lineRule="auto"/>
        <w:ind w:left="0" w:right="0" w:firstLine="0"/>
        <w:jc w:val="left"/>
      </w:pPr>
      <w:bookmarkStart w:id="320" w:name="bookmark320"/>
      <w:bookmarkStart w:id="321" w:name="bookmark321"/>
      <w:bookmarkStart w:id="324" w:name="bookmark324"/>
      <w:r>
        <w:rPr>
          <w:rFonts w:ascii="Times New Roman" w:eastAsia="Times New Roman" w:hAnsi="Times New Roman" w:cs="Times New Roman"/>
          <w:b w:val="0"/>
          <w:bCs w:val="0"/>
          <w:color w:val="000000"/>
          <w:spacing w:val="0"/>
          <w:w w:val="100"/>
          <w:position w:val="0"/>
        </w:rPr>
        <w:t>A.</w:t>
      </w:r>
      <w:r>
        <w:rPr>
          <w:color w:val="000000"/>
          <w:spacing w:val="0"/>
          <w:w w:val="100"/>
          <w:position w:val="0"/>
        </w:rPr>
        <w:t>公司主要销售客户情况</w:t>
      </w:r>
      <w:bookmarkEnd w:id="320"/>
      <w:bookmarkEnd w:id="321"/>
      <w:bookmarkEnd w:id="324"/>
    </w:p>
    <w:p>
      <w:pPr>
        <w:pStyle w:val="Style2"/>
        <w:keepNext w:val="0"/>
        <w:keepLines w:val="0"/>
        <w:widowControl w:val="0"/>
        <w:shd w:val="clear" w:color="auto" w:fill="auto"/>
        <w:bidi w:val="0"/>
        <w:spacing w:before="0" w:after="440" w:line="422" w:lineRule="exact"/>
        <w:ind w:left="0" w:right="0" w:firstLine="44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135,593.17</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59.65%</w:t>
      </w:r>
      <w:r>
        <w:rPr>
          <w:color w:val="000000"/>
          <w:spacing w:val="0"/>
          <w:w w:val="100"/>
          <w:position w:val="0"/>
        </w:rPr>
        <w:t>；其中前五名客户销售额中关 联方销售额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5"/>
        <w:keepNext/>
        <w:keepLines/>
        <w:widowControl w:val="0"/>
        <w:shd w:val="clear" w:color="auto" w:fill="auto"/>
        <w:bidi w:val="0"/>
        <w:spacing w:before="0" w:after="80" w:line="240" w:lineRule="auto"/>
        <w:ind w:left="0" w:right="0" w:firstLine="0"/>
        <w:jc w:val="left"/>
      </w:pPr>
      <w:bookmarkStart w:id="325" w:name="bookmark325"/>
      <w:bookmarkStart w:id="326" w:name="bookmark326"/>
      <w:bookmarkStart w:id="327" w:name="bookmark327"/>
      <w:r>
        <w:rPr>
          <w:color w:val="000000"/>
          <w:spacing w:val="0"/>
          <w:w w:val="100"/>
          <w:position w:val="0"/>
        </w:rPr>
        <w:t>公司前五名客户</w:t>
      </w:r>
      <w:bookmarkEnd w:id="325"/>
      <w:bookmarkEnd w:id="326"/>
      <w:bookmarkEnd w:id="32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2"/>
        <w:gridCol w:w="1973"/>
        <w:gridCol w:w="274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17.83</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37,449.57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16.47</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9.30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9.02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7.03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135,593.17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59.65</w:t>
            </w:r>
          </w:p>
        </w:tc>
      </w:tr>
    </w:tbl>
    <w:p>
      <w:pPr>
        <w:widowControl w:val="0"/>
        <w:spacing w:after="219" w:line="1" w:lineRule="exact"/>
      </w:pPr>
    </w:p>
    <w:p>
      <w:pPr>
        <w:pStyle w:val="Style2"/>
        <w:keepNext w:val="0"/>
        <w:keepLines w:val="0"/>
        <w:widowControl w:val="0"/>
        <w:shd w:val="clear" w:color="auto" w:fill="auto"/>
        <w:bidi w:val="0"/>
        <w:spacing w:before="0" w:after="300" w:line="274" w:lineRule="exact"/>
        <w:ind w:left="0" w:right="0" w:firstLine="0"/>
        <w:jc w:val="left"/>
      </w:pPr>
      <w:r>
        <w:rPr>
          <w:b/>
          <w:bCs/>
          <w:color w:val="000000"/>
          <w:spacing w:val="0"/>
          <w:w w:val="100"/>
          <w:position w:val="0"/>
        </w:rPr>
        <w:t xml:space="preserve">前五名客户构成与上年同期发生变动的情况说明 </w:t>
      </w:r>
      <w:r>
        <w:rPr>
          <w:color w:val="000000"/>
          <w:spacing w:val="0"/>
          <w:w w:val="100"/>
          <w:position w:val="0"/>
        </w:rPr>
        <w:t>无</w:t>
      </w:r>
    </w:p>
    <w:p>
      <w:pPr>
        <w:pStyle w:val="Style35"/>
        <w:keepNext/>
        <w:keepLines/>
        <w:widowControl w:val="0"/>
        <w:shd w:val="clear" w:color="auto" w:fill="auto"/>
        <w:bidi w:val="0"/>
        <w:spacing w:before="0" w:after="0" w:line="240" w:lineRule="auto"/>
        <w:ind w:left="0" w:right="0" w:firstLine="0"/>
        <w:jc w:val="left"/>
      </w:pPr>
      <w:bookmarkStart w:id="328" w:name="bookmark328"/>
      <w:bookmarkStart w:id="329" w:name="bookmark329"/>
      <w:bookmarkStart w:id="330" w:name="bookmark330"/>
      <w:r>
        <w:rPr>
          <w:rFonts w:ascii="Times New Roman" w:eastAsia="Times New Roman" w:hAnsi="Times New Roman" w:cs="Times New Roman"/>
          <w:b w:val="0"/>
          <w:bCs w:val="0"/>
          <w:color w:val="000000"/>
          <w:spacing w:val="0"/>
          <w:w w:val="100"/>
          <w:position w:val="0"/>
        </w:rPr>
        <w:t>B.</w:t>
      </w:r>
      <w:r>
        <w:rPr>
          <w:color w:val="000000"/>
          <w:spacing w:val="0"/>
          <w:w w:val="100"/>
          <w:position w:val="0"/>
        </w:rPr>
        <w:t>公司主要供应商情况</w:t>
      </w:r>
      <w:bookmarkEnd w:id="328"/>
      <w:bookmarkEnd w:id="329"/>
      <w:bookmarkEnd w:id="330"/>
    </w:p>
    <w:p>
      <w:pPr>
        <w:pStyle w:val="Style2"/>
        <w:keepNext w:val="0"/>
        <w:keepLines w:val="0"/>
        <w:widowControl w:val="0"/>
        <w:shd w:val="clear" w:color="auto" w:fill="auto"/>
        <w:bidi w:val="0"/>
        <w:spacing w:before="0" w:after="440" w:line="418" w:lineRule="exact"/>
        <w:ind w:left="0" w:right="0" w:firstLine="44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44,896.41</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29.32%</w:t>
      </w:r>
      <w:r>
        <w:rPr>
          <w:color w:val="000000"/>
          <w:spacing w:val="0"/>
          <w:w w:val="100"/>
          <w:position w:val="0"/>
        </w:rPr>
        <w:t>；其中前五名供应商采购额中 关联方米购额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万元，占年度米购总额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5"/>
        <w:keepNext/>
        <w:keepLines/>
        <w:widowControl w:val="0"/>
        <w:shd w:val="clear" w:color="auto" w:fill="auto"/>
        <w:bidi w:val="0"/>
        <w:spacing w:before="0" w:after="80" w:line="240" w:lineRule="auto"/>
        <w:ind w:left="0" w:right="0" w:firstLine="0"/>
        <w:jc w:val="left"/>
      </w:pPr>
      <w:bookmarkStart w:id="331" w:name="bookmark331"/>
      <w:bookmarkStart w:id="332" w:name="bookmark332"/>
      <w:bookmarkStart w:id="333" w:name="bookmark333"/>
      <w:r>
        <w:rPr>
          <w:color w:val="000000"/>
          <w:spacing w:val="0"/>
          <w:w w:val="100"/>
          <w:position w:val="0"/>
        </w:rPr>
        <w:t>公司前五名供应商</w:t>
      </w:r>
      <w:bookmarkEnd w:id="331"/>
      <w:bookmarkEnd w:id="332"/>
      <w:bookmarkEnd w:id="33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7"/>
        <w:gridCol w:w="1968"/>
        <w:gridCol w:w="274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7.82%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7.32%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9,010.09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5.88%</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6,756.16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3.88%</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44,896.41</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w:t>
            </w:r>
          </w:p>
        </w:tc>
      </w:tr>
    </w:tbl>
    <w:p>
      <w:pPr>
        <w:widowControl w:val="0"/>
        <w:spacing w:after="219" w:line="1" w:lineRule="exact"/>
      </w:pPr>
    </w:p>
    <w:p>
      <w:pPr>
        <w:pStyle w:val="Style2"/>
        <w:keepNext w:val="0"/>
        <w:keepLines w:val="0"/>
        <w:widowControl w:val="0"/>
        <w:shd w:val="clear" w:color="auto" w:fill="auto"/>
        <w:bidi w:val="0"/>
        <w:spacing w:before="0" w:after="360" w:line="269" w:lineRule="exact"/>
        <w:ind w:left="0" w:right="0" w:firstLine="0"/>
        <w:jc w:val="left"/>
      </w:pPr>
      <w:r>
        <w:rPr>
          <w:b/>
          <w:bCs/>
          <w:color w:val="000000"/>
          <w:spacing w:val="0"/>
          <w:w w:val="100"/>
          <w:position w:val="0"/>
        </w:rPr>
        <w:t xml:space="preserve">前五大供应商构成与上年同期发生变动的情况说明 </w:t>
      </w:r>
      <w:r>
        <w:rPr>
          <w:color w:val="000000"/>
          <w:spacing w:val="0"/>
          <w:w w:val="100"/>
          <w:position w:val="0"/>
        </w:rPr>
        <w:t>无。</w:t>
      </w:r>
    </w:p>
    <w:p>
      <w:pPr>
        <w:pStyle w:val="Style35"/>
        <w:keepNext/>
        <w:keepLines/>
        <w:widowControl w:val="0"/>
        <w:shd w:val="clear" w:color="auto" w:fill="auto"/>
        <w:bidi w:val="0"/>
        <w:spacing w:before="0" w:after="80" w:line="240" w:lineRule="auto"/>
        <w:ind w:left="0" w:right="0" w:firstLine="0"/>
        <w:jc w:val="left"/>
      </w:pPr>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r>
        <w:rPr>
          <w:color w:val="000000"/>
          <w:spacing w:val="0"/>
          <w:w w:val="100"/>
          <w:position w:val="0"/>
        </w:rPr>
        <w:t>费用</w:t>
      </w:r>
      <w:bookmarkEnd w:id="334"/>
      <w:bookmarkEnd w:id="335"/>
      <w:bookmarkEnd w:id="33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699"/>
        <w:gridCol w:w="1699"/>
        <w:gridCol w:w="1138"/>
        <w:gridCol w:w="2880"/>
      </w:tblGrid>
      <w:tr>
        <w:trPr>
          <w:trHeight w:val="52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变动比例</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236,663,836.29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196,968,842.38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主要系本期股份支付费用增</w:t>
            </w:r>
          </w:p>
        </w:tc>
      </w:tr>
    </w:tbl>
    <w:p>
      <w:pPr>
        <w:spacing w:lineRule="exact" w:line="1"/>
        <w:rPr>
          <w:sz w:val="2"/>
          <w:szCs w:val="2"/>
        </w:rPr>
      </w:pPr>
      <w:r>
        <w:br w:type="page"/>
      </w:r>
    </w:p>
    <w:tbl>
      <w:tblPr>
        <w:tblOverlap w:val="never"/>
        <w:jc w:val="center"/>
        <w:tblLayout w:type="fixed"/>
      </w:tblPr>
      <w:tblGrid>
        <w:gridCol w:w="1421"/>
        <w:gridCol w:w="1699"/>
        <w:gridCol w:w="1699"/>
        <w:gridCol w:w="1138"/>
        <w:gridCol w:w="288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加约</w:t>
            </w:r>
            <w:r>
              <w:rPr>
                <w:rFonts w:ascii="Times New Roman" w:eastAsia="Times New Roman" w:hAnsi="Times New Roman" w:cs="Times New Roman"/>
                <w:color w:val="000000"/>
                <w:spacing w:val="0"/>
                <w:w w:val="100"/>
                <w:position w:val="0"/>
              </w:rPr>
              <w:t>3,391</w:t>
            </w:r>
            <w:r>
              <w:rPr>
                <w:color w:val="000000"/>
                <w:spacing w:val="0"/>
                <w:w w:val="100"/>
                <w:position w:val="0"/>
              </w:rPr>
              <w:t>万元</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153,003,346.20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108,841,554.44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主要系本期股份支付费用增 加约</w:t>
            </w:r>
            <w:r>
              <w:rPr>
                <w:rFonts w:ascii="Times New Roman" w:eastAsia="Times New Roman" w:hAnsi="Times New Roman" w:cs="Times New Roman"/>
                <w:color w:val="000000"/>
                <w:spacing w:val="0"/>
                <w:w w:val="100"/>
                <w:position w:val="0"/>
              </w:rPr>
              <w:t>2,891</w:t>
            </w:r>
            <w:r>
              <w:rPr>
                <w:color w:val="000000"/>
                <w:spacing w:val="0"/>
                <w:w w:val="100"/>
                <w:position w:val="0"/>
              </w:rPr>
              <w:t>万元</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330,721,402.07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233,729,647.57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主要系本期股份支付费用增 加约</w:t>
            </w:r>
            <w:r>
              <w:rPr>
                <w:rFonts w:ascii="Times New Roman" w:eastAsia="Times New Roman" w:hAnsi="Times New Roman" w:cs="Times New Roman"/>
                <w:color w:val="000000"/>
                <w:spacing w:val="0"/>
                <w:w w:val="100"/>
                <w:position w:val="0"/>
              </w:rPr>
              <w:t>4,894</w:t>
            </w:r>
            <w:r>
              <w:rPr>
                <w:color w:val="000000"/>
                <w:spacing w:val="0"/>
                <w:w w:val="100"/>
                <w:position w:val="0"/>
              </w:rPr>
              <w:t>万元，以及新立项 研发项目支出增加所致</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-7,424,808.14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-1,239,017.40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主要系本期实现汇兑收益</w:t>
            </w:r>
            <w:r>
              <w:rPr>
                <w:rFonts w:ascii="Times New Roman" w:eastAsia="Times New Roman" w:hAnsi="Times New Roman" w:cs="Times New Roman"/>
                <w:color w:val="000000"/>
                <w:spacing w:val="0"/>
                <w:w w:val="100"/>
                <w:position w:val="0"/>
              </w:rPr>
              <w:t xml:space="preserve">117 </w:t>
            </w:r>
            <w:r>
              <w:rPr>
                <w:color w:val="000000"/>
                <w:spacing w:val="0"/>
                <w:w w:val="100"/>
                <w:position w:val="0"/>
              </w:rPr>
              <w:t xml:space="preserve">万元，而上年同期为汇兑损失 </w:t>
            </w:r>
            <w:r>
              <w:rPr>
                <w:rFonts w:ascii="Times New Roman" w:eastAsia="Times New Roman" w:hAnsi="Times New Roman" w:cs="Times New Roman"/>
                <w:color w:val="000000"/>
                <w:spacing w:val="0"/>
                <w:w w:val="100"/>
                <w:position w:val="0"/>
              </w:rPr>
              <w:t>1,025</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20,390,283.60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9,799,428.32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主要系本期税前利润增加导 致本期所得税费用增加</w:t>
            </w: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现金流</w:t>
      </w:r>
    </w:p>
    <w:p>
      <w:pPr>
        <w:widowControl w:val="0"/>
        <w:spacing w:after="59" w:line="1" w:lineRule="exact"/>
      </w:pPr>
    </w:p>
    <w:p>
      <w:pPr>
        <w:pStyle w:val="Style22"/>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2"/>
        <w:gridCol w:w="2045"/>
        <w:gridCol w:w="2126"/>
        <w:gridCol w:w="984"/>
        <w:gridCol w:w="2179"/>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变动比 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36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 的现金流量净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846,292,855.04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133,270,991.54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主要系本期销售商 品、提供劳务收到的 现金以及收到的政府 补助较上年同期增加 所致</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 的现金流量净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-536,849,649.16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-1,328,937,640.31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-59.60%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主要系本期净购买银 行理财产品较上年同 期减少所致</w:t>
            </w: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 的现金流量净 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543,400.60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1,367,943,248.07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-99.96%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主要系上年同期收到 </w:t>
            </w:r>
            <w:r>
              <w:rPr>
                <w:rFonts w:ascii="Times New Roman" w:eastAsia="Times New Roman" w:hAnsi="Times New Roman" w:cs="Times New Roman"/>
                <w:color w:val="000000"/>
                <w:spacing w:val="0"/>
                <w:w w:val="100"/>
                <w:position w:val="0"/>
              </w:rPr>
              <w:t>IPO</w:t>
            </w:r>
            <w:r>
              <w:rPr>
                <w:color w:val="000000"/>
                <w:spacing w:val="0"/>
                <w:w w:val="100"/>
                <w:position w:val="0"/>
              </w:rPr>
              <w:t xml:space="preserve">募集资金总额 </w:t>
            </w:r>
            <w:r>
              <w:rPr>
                <w:rFonts w:ascii="Times New Roman" w:eastAsia="Times New Roman" w:hAnsi="Times New Roman" w:cs="Times New Roman"/>
                <w:color w:val="000000"/>
                <w:spacing w:val="0"/>
                <w:w w:val="100"/>
                <w:position w:val="0"/>
              </w:rPr>
              <w:t>14.46</w:t>
            </w:r>
            <w:r>
              <w:rPr>
                <w:color w:val="000000"/>
                <w:spacing w:val="0"/>
                <w:w w:val="100"/>
                <w:position w:val="0"/>
              </w:rPr>
              <w:t>亿元</w:t>
            </w:r>
          </w:p>
        </w:tc>
      </w:tr>
    </w:tbl>
    <w:p>
      <w:pPr>
        <w:widowControl w:val="0"/>
        <w:spacing w:after="299" w:line="1" w:lineRule="exact"/>
      </w:pP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rFonts w:ascii="Times New Roman" w:eastAsia="Times New Roman" w:hAnsi="Times New Roman" w:cs="Times New Roman"/>
          <w:b/>
          <w:bCs/>
          <w:color w:val="000000"/>
          <w:spacing w:val="0"/>
          <w:w w:val="100"/>
          <w:position w:val="0"/>
        </w:rPr>
        <w:t>）</w:t>
      </w:r>
      <w:r>
        <w:rPr>
          <w:b/>
          <w:bCs/>
          <w:color w:val="000000"/>
          <w:spacing w:val="0"/>
          <w:w w:val="100"/>
          <w:position w:val="0"/>
        </w:rPr>
        <w:t>非主营业务导致利润重大变化的说明</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1560"/>
        <w:gridCol w:w="1843"/>
        <w:gridCol w:w="4531"/>
        <w:gridCol w:w="902"/>
      </w:tblGrid>
      <w:tr>
        <w:trPr>
          <w:trHeight w:val="269"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是否具 有可持 续性</w:t>
            </w:r>
          </w:p>
        </w:tc>
      </w:tr>
      <w:tr>
        <w:trPr>
          <w:trHeight w:val="13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公允价值变动 损益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257,464,331.96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年投资青岛聚源芯星股权投资合伙企 业（有限合伙）</w:t>
            </w:r>
            <w:r>
              <w:rPr>
                <w:rFonts w:ascii="Times New Roman" w:eastAsia="Times New Roman" w:hAnsi="Times New Roman" w:cs="Times New Roman"/>
                <w:color w:val="000000"/>
                <w:spacing w:val="0"/>
                <w:w w:val="100"/>
                <w:position w:val="0"/>
              </w:rPr>
              <w:t>3</w:t>
            </w:r>
            <w:r>
              <w:rPr>
                <w:color w:val="000000"/>
                <w:spacing w:val="0"/>
                <w:w w:val="100"/>
                <w:position w:val="0"/>
              </w:rPr>
              <w:t>亿元而间接持有中芯国际集成 电路制造有限公司科创板股票，因中芯国际集成 电路制造有限公司股价变动导致公司产生公允 价值变动收益约</w:t>
            </w:r>
            <w:r>
              <w:rPr>
                <w:rFonts w:ascii="Times New Roman" w:eastAsia="Times New Roman" w:hAnsi="Times New Roman" w:cs="Times New Roman"/>
                <w:color w:val="000000"/>
                <w:spacing w:val="0"/>
                <w:w w:val="100"/>
                <w:position w:val="0"/>
              </w:rPr>
              <w:t>2.62</w:t>
            </w:r>
            <w:r>
              <w:rPr>
                <w:color w:val="000000"/>
                <w:spacing w:val="0"/>
                <w:w w:val="100"/>
                <w:position w:val="0"/>
              </w:rPr>
              <w:t>亿元。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106,137,676.62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收到的政府补贴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是</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-16,986,044.49</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本期计提长期股权投资减值损失</w:t>
            </w:r>
            <w:r>
              <w:rPr>
                <w:rFonts w:ascii="Times New Roman" w:eastAsia="Times New Roman" w:hAnsi="Times New Roman" w:cs="Times New Roman"/>
                <w:color w:val="000000"/>
                <w:spacing w:val="0"/>
                <w:w w:val="100"/>
                <w:position w:val="0"/>
              </w:rPr>
              <w:t>1,097</w:t>
            </w:r>
            <w:r>
              <w:rPr>
                <w:color w:val="000000"/>
                <w:spacing w:val="0"/>
                <w:w w:val="100"/>
                <w:position w:val="0"/>
              </w:rPr>
              <w:t>万元，计 提存货跌价损失</w:t>
            </w:r>
            <w:r>
              <w:rPr>
                <w:rFonts w:ascii="Times New Roman" w:eastAsia="Times New Roman" w:hAnsi="Times New Roman" w:cs="Times New Roman"/>
                <w:color w:val="000000"/>
                <w:spacing w:val="0"/>
                <w:w w:val="100"/>
                <w:position w:val="0"/>
              </w:rPr>
              <w:t>602</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否</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336" w:right="1256" w:bottom="1483" w:left="1769" w:header="0" w:footer="3" w:gutter="0"/>
          <w:cols w:space="720"/>
          <w:noEndnote/>
          <w:rtlGutter w:val="0"/>
          <w:docGrid w:linePitch="360"/>
        </w:sectPr>
      </w:pPr>
    </w:p>
    <w:p>
      <w:pPr>
        <w:pStyle w:val="Style2"/>
        <w:keepNext w:val="0"/>
        <w:keepLines w:val="0"/>
        <w:widowControl w:val="0"/>
        <w:shd w:val="clear" w:color="auto" w:fill="auto"/>
        <w:bidi w:val="0"/>
        <w:spacing w:before="0" w:after="80" w:line="240" w:lineRule="auto"/>
        <w:ind w:left="0" w:right="0" w:firstLine="0"/>
        <w:jc w:val="left"/>
      </w:pPr>
      <w:bookmarkStart w:id="337" w:name="bookmark337"/>
      <w:r>
        <w:rPr>
          <w:rFonts w:ascii="Times New Roman" w:eastAsia="Times New Roman" w:hAnsi="Times New Roman" w:cs="Times New Roman"/>
          <w:b/>
          <w:bCs/>
          <w:color w:val="000000"/>
          <w:spacing w:val="0"/>
          <w:w w:val="100"/>
          <w:position w:val="0"/>
        </w:rPr>
        <w:t>（</w:t>
      </w:r>
      <w:bookmarkEnd w:id="337"/>
      <w:r>
        <w:rPr>
          <w:b/>
          <w:bCs/>
          <w:color w:val="000000"/>
          <w:spacing w:val="0"/>
          <w:w w:val="100"/>
          <w:position w:val="0"/>
        </w:rPr>
        <w:t>三</w:t>
      </w:r>
      <w:r>
        <w:rPr>
          <w:rFonts w:ascii="Times New Roman" w:eastAsia="Times New Roman" w:hAnsi="Times New Roman" w:cs="Times New Roman"/>
          <w:b/>
          <w:bCs/>
          <w:color w:val="000000"/>
          <w:spacing w:val="0"/>
          <w:w w:val="100"/>
          <w:position w:val="0"/>
        </w:rPr>
        <w:t>）</w:t>
      </w:r>
      <w:r>
        <w:rPr>
          <w:b/>
          <w:bCs/>
          <w:color w:val="000000"/>
          <w:spacing w:val="0"/>
          <w:w w:val="100"/>
          <w:position w:val="0"/>
        </w:rPr>
        <w:t>资产、负债情况分析</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17"/>
        </w:numPr>
        <w:shd w:val="clear" w:color="auto" w:fill="auto"/>
        <w:bidi w:val="0"/>
        <w:spacing w:before="0" w:after="80" w:line="240" w:lineRule="auto"/>
        <w:ind w:left="0" w:right="0" w:firstLine="0"/>
        <w:jc w:val="left"/>
      </w:pPr>
      <w:bookmarkStart w:id="338" w:name="bookmark338"/>
      <w:bookmarkEnd w:id="338"/>
      <w:r>
        <w:rPr>
          <w:b/>
          <w:bCs/>
          <w:color w:val="000000"/>
          <w:spacing w:val="0"/>
          <w:w w:val="100"/>
          <w:position w:val="0"/>
        </w:rPr>
        <w:t>资产及负债状况</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单位：元</w:t>
      </w:r>
    </w:p>
    <w:tbl>
      <w:tblPr>
        <w:tblOverlap w:val="never"/>
        <w:jc w:val="center"/>
        <w:tblLayout w:type="fixed"/>
      </w:tblPr>
      <w:tblGrid>
        <w:gridCol w:w="1786"/>
        <w:gridCol w:w="2045"/>
        <w:gridCol w:w="1704"/>
        <w:gridCol w:w="1982"/>
        <w:gridCol w:w="1560"/>
        <w:gridCol w:w="1560"/>
        <w:gridCol w:w="3245"/>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本期期末数占总 资产的比例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上期期末数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上期期末数占 总资产的比例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本期期末金额 较上期期末变 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1,131,669,784.82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944,808,769.63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105,477,921.32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79,202,578.94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本期收到客户为支付货款而待承 兑的票据</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278,869,785.15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287,227,747.19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32,808,408.70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5,890,325.08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本期新增临港土地保证金约</w:t>
            </w:r>
            <w:r>
              <w:rPr>
                <w:rFonts w:ascii="Times New Roman" w:eastAsia="Times New Roman" w:hAnsi="Times New Roman" w:cs="Times New Roman"/>
                <w:color w:val="000000"/>
                <w:spacing w:val="0"/>
                <w:w w:val="100"/>
                <w:position w:val="0"/>
              </w:rPr>
              <w:t xml:space="preserve">2,873 </w:t>
            </w:r>
            <w:r>
              <w:rPr>
                <w:color w:val="000000"/>
                <w:spacing w:val="0"/>
                <w:w w:val="100"/>
                <w:position w:val="0"/>
              </w:rPr>
              <w:t>万元</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9,102,717.62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19,141,104.17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采购商品于本期收货</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1,063,864,875.83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1,087,971,705.59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1,505,200,119.62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1,367,735,787.66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70,641,210.02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54,312,682.07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30.06%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本期预缴所得税增加</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182,946,651.32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154,798,804.99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13,944,386.94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7,567,294.96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84.27%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新增临港建设项目</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289,266,460.84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295,758,028.50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271,208,056.35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231,603,182.86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2,734,115.91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8,308,821.56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本期长期待摊费用摊销</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424,269,937.29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168,929,494.97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本期新增对外股权投资</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7,447,415.65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7,860,909.07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32,208,048.56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31,251,192.58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235,055,000.00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本期新增对外股权投资</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144,162,000.00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21,685,874.22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本期新增临港土地预付款</w:t>
            </w:r>
            <w:r>
              <w:rPr>
                <w:rFonts w:ascii="Times New Roman" w:eastAsia="Times New Roman" w:hAnsi="Times New Roman" w:cs="Times New Roman"/>
                <w:color w:val="000000"/>
                <w:spacing w:val="0"/>
                <w:w w:val="100"/>
                <w:position w:val="0"/>
              </w:rPr>
              <w:t>1.34</w:t>
            </w:r>
            <w:r>
              <w:rPr>
                <w:color w:val="000000"/>
                <w:spacing w:val="0"/>
                <w:w w:val="100"/>
                <w:position w:val="0"/>
              </w:rPr>
              <w:t>亿 元</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422,217,875.80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7.28%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221,679,872.59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90.46%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主要系时间性差异</w:t>
            </w:r>
          </w:p>
        </w:tc>
      </w:tr>
    </w:tbl>
    <w:p>
      <w:pPr>
        <w:spacing w:lineRule="exact" w:line="1"/>
        <w:rPr>
          <w:sz w:val="2"/>
          <w:szCs w:val="2"/>
        </w:rPr>
      </w:pPr>
      <w:r>
        <w:br w:type="page"/>
      </w:r>
    </w:p>
    <w:tbl>
      <w:tblPr>
        <w:tblOverlap w:val="never"/>
        <w:jc w:val="center"/>
        <w:tblLayout w:type="fixed"/>
      </w:tblPr>
      <w:tblGrid>
        <w:gridCol w:w="1786"/>
        <w:gridCol w:w="2045"/>
        <w:gridCol w:w="1704"/>
        <w:gridCol w:w="1982"/>
        <w:gridCol w:w="1560"/>
        <w:gridCol w:w="1560"/>
        <w:gridCol w:w="3245"/>
      </w:tblGrid>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517,498,868.04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新收入准则影响下预收款项重分 类至合同负债</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592,139,816.14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新收入准则影响下预收款项重分 类至合同负债</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106,560,316.11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86,079,601.37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18,933,391.30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6,010,415.65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主要系应交企业所得税和应交契 税较上期期末数增加</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29,998,179.58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24,836,762.97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20.78%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62,781,288.38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39,990,773.90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主要系预提产品质保金随销售规 模扩大而增加以及一年内到期的 预计负债转入其他流动负债</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16,067,280.23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37,908,758.39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主要系一年内到期的预计负债转 入其他流动负债</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173,156,162.00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88,836,145.60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94.92%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主要系本期收到较多政府补助</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长期应付职工薪 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3,385,625.20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6,329,976.78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本期因暂时性差异确认递延所得 税负债</w:t>
            </w:r>
          </w:p>
        </w:tc>
      </w:tr>
    </w:tbl>
    <w:p>
      <w:pPr>
        <w:widowControl w:val="0"/>
        <w:spacing w:after="219" w:line="1" w:lineRule="exact"/>
      </w:pPr>
    </w:p>
    <w:p>
      <w:pPr>
        <w:pStyle w:val="Style2"/>
        <w:keepNext w:val="0"/>
        <w:keepLines w:val="0"/>
        <w:widowControl w:val="0"/>
        <w:numPr>
          <w:ilvl w:val="0"/>
          <w:numId w:val="17"/>
        </w:numPr>
        <w:shd w:val="clear" w:color="auto" w:fill="auto"/>
        <w:bidi w:val="0"/>
        <w:spacing w:before="0" w:after="360" w:line="341" w:lineRule="exact"/>
        <w:ind w:left="0" w:right="0" w:firstLine="0"/>
        <w:jc w:val="left"/>
      </w:pPr>
      <w:bookmarkStart w:id="339" w:name="bookmark339"/>
      <w:bookmarkEnd w:id="339"/>
      <w:r>
        <w:rPr>
          <w:b/>
          <w:bCs/>
          <w:color w:val="000000"/>
          <w:spacing w:val="0"/>
          <w:w w:val="100"/>
          <w:position w:val="0"/>
        </w:rPr>
        <w:t xml:space="preserve">截至报告期末主要资产受限情况 </w:t>
      </w: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
        </w:numPr>
        <w:shd w:val="clear" w:color="auto" w:fill="auto"/>
        <w:bidi w:val="0"/>
        <w:spacing w:before="0" w:after="80" w:line="240" w:lineRule="auto"/>
        <w:ind w:left="0" w:right="0" w:firstLine="0"/>
        <w:jc w:val="left"/>
      </w:pPr>
      <w:bookmarkStart w:id="340" w:name="bookmark340"/>
      <w:bookmarkStart w:id="341" w:name="bookmark341"/>
      <w:bookmarkStart w:id="342" w:name="bookmark342"/>
      <w:bookmarkStart w:id="343" w:name="bookmark343"/>
      <w:bookmarkEnd w:id="342"/>
      <w:r>
        <w:rPr>
          <w:color w:val="000000"/>
          <w:spacing w:val="0"/>
          <w:w w:val="100"/>
          <w:position w:val="0"/>
        </w:rPr>
        <w:t>其他说明</w:t>
      </w:r>
      <w:bookmarkEnd w:id="340"/>
      <w:bookmarkEnd w:id="341"/>
      <w:bookmarkEnd w:id="343"/>
    </w:p>
    <w:p>
      <w:pPr>
        <w:pStyle w:val="Style2"/>
        <w:keepNext w:val="0"/>
        <w:keepLines w:val="0"/>
        <w:widowControl w:val="0"/>
        <w:shd w:val="clear" w:color="auto" w:fill="auto"/>
        <w:tabs>
          <w:tab w:pos="81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w:t>
      </w:r>
      <w:bookmarkEnd w:id="346"/>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行业经营性信息分析</w:t>
      </w:r>
      <w:bookmarkEnd w:id="344"/>
      <w:bookmarkEnd w:id="345"/>
      <w:bookmarkEnd w:id="347"/>
    </w:p>
    <w:p>
      <w:pPr>
        <w:pStyle w:val="Style2"/>
        <w:keepNext w:val="0"/>
        <w:keepLines w:val="0"/>
        <w:widowControl w:val="0"/>
        <w:shd w:val="clear" w:color="auto" w:fill="auto"/>
        <w:tabs>
          <w:tab w:pos="81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请参阅本报告</w:t>
      </w:r>
      <w:r>
        <w:rPr>
          <w:rFonts w:ascii="Times New Roman" w:eastAsia="Times New Roman" w:hAnsi="Times New Roman" w:cs="Times New Roman"/>
          <w:color w:val="000000"/>
          <w:spacing w:val="0"/>
          <w:w w:val="100"/>
          <w:position w:val="0"/>
        </w:rPr>
        <w:t>“</w:t>
      </w:r>
      <w:r>
        <w:rPr>
          <w:color w:val="000000"/>
          <w:spacing w:val="0"/>
          <w:w w:val="100"/>
          <w:position w:val="0"/>
        </w:rPr>
        <w:t>第三节、公司业务概要中</w:t>
      </w:r>
      <w:r>
        <w:rPr>
          <w:rFonts w:ascii="Times New Roman" w:eastAsia="Times New Roman" w:hAnsi="Times New Roman" w:cs="Times New Roman"/>
          <w:color w:val="000000"/>
          <w:spacing w:val="0"/>
          <w:w w:val="100"/>
          <w:position w:val="0"/>
        </w:rPr>
        <w:t>'</w:t>
      </w:r>
      <w:r>
        <w:rPr>
          <w:color w:val="000000"/>
          <w:spacing w:val="0"/>
          <w:w w:val="100"/>
          <w:position w:val="0"/>
        </w:rPr>
        <w:t>一、报告期内公司所从事的主要业务、经营模式、行业情况及研发情况说明中相关内容。</w:t>
      </w:r>
      <w:r>
        <w:br w:type="page"/>
      </w:r>
    </w:p>
    <w:p>
      <w:pPr>
        <w:pStyle w:val="Style35"/>
        <w:keepNext/>
        <w:keepLines/>
        <w:widowControl w:val="0"/>
        <w:shd w:val="clear" w:color="auto" w:fill="auto"/>
        <w:bidi w:val="0"/>
        <w:spacing w:before="0" w:after="8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w:t>
      </w:r>
      <w:bookmarkEnd w:id="350"/>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投资状况分析</w:t>
      </w:r>
      <w:bookmarkEnd w:id="348"/>
      <w:bookmarkEnd w:id="349"/>
      <w:bookmarkEnd w:id="351"/>
    </w:p>
    <w:p>
      <w:pPr>
        <w:pStyle w:val="Style35"/>
        <w:keepNext/>
        <w:keepLines/>
        <w:widowControl w:val="0"/>
        <w:shd w:val="clear" w:color="auto" w:fill="auto"/>
        <w:bidi w:val="0"/>
        <w:spacing w:before="0" w:after="80" w:line="240" w:lineRule="auto"/>
        <w:ind w:left="0" w:right="0" w:firstLine="0"/>
        <w:jc w:val="both"/>
      </w:pPr>
      <w:bookmarkStart w:id="348" w:name="bookmark348"/>
      <w:bookmarkStart w:id="349" w:name="bookmark349"/>
      <w:bookmarkStart w:id="352" w:name="bookmark352"/>
      <w:bookmarkStart w:id="353" w:name="bookmark353"/>
      <w:r>
        <w:rPr>
          <w:color w:val="000000"/>
          <w:spacing w:val="0"/>
          <w:w w:val="100"/>
          <w:position w:val="0"/>
        </w:rPr>
        <w:t>1</w:t>
      </w:r>
      <w:bookmarkEnd w:id="352"/>
      <w:r>
        <w:rPr>
          <w:color w:val="000000"/>
          <w:spacing w:val="0"/>
          <w:w w:val="100"/>
          <w:position w:val="0"/>
        </w:rPr>
        <w:t>、对外股权投资总体分析</w:t>
      </w:r>
      <w:bookmarkEnd w:id="348"/>
      <w:bookmarkEnd w:id="349"/>
      <w:bookmarkEnd w:id="353"/>
    </w:p>
    <w:p>
      <w:pPr>
        <w:pStyle w:val="Style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2952"/>
        <w:gridCol w:w="2938"/>
        <w:gridCol w:w="295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上年同期投资额（万元）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25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79,233.86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7,829.97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911.93%</w:t>
            </w:r>
          </w:p>
        </w:tc>
      </w:tr>
    </w:tbl>
    <w:p>
      <w:pPr>
        <w:pStyle w:val="Style22"/>
        <w:keepNext w:val="0"/>
        <w:keepLines w:val="0"/>
        <w:widowControl w:val="0"/>
        <w:shd w:val="clear" w:color="auto" w:fill="auto"/>
        <w:bidi w:val="0"/>
        <w:spacing w:before="0" w:after="0" w:line="408" w:lineRule="exact"/>
        <w:ind w:left="0" w:right="0" w:firstLine="0"/>
        <w:jc w:val="left"/>
      </w:pPr>
      <w:r>
        <w:rPr>
          <w:color w:val="000000"/>
          <w:spacing w:val="0"/>
          <w:w w:val="100"/>
          <w:position w:val="0"/>
        </w:rPr>
        <w:t>本报告期末，公司对外股权投资余额为</w:t>
      </w:r>
      <w:r>
        <w:rPr>
          <w:rFonts w:ascii="Times New Roman" w:eastAsia="Times New Roman" w:hAnsi="Times New Roman" w:cs="Times New Roman"/>
          <w:color w:val="000000"/>
          <w:spacing w:val="0"/>
          <w:w w:val="100"/>
          <w:position w:val="0"/>
        </w:rPr>
        <w:t>122,605.39</w:t>
      </w:r>
      <w:r>
        <w:rPr>
          <w:color w:val="000000"/>
          <w:spacing w:val="0"/>
          <w:w w:val="100"/>
          <w:position w:val="0"/>
        </w:rPr>
        <w:t>万</w:t>
      </w:r>
      <w:r>
        <w:rPr>
          <w:color w:val="000000"/>
          <w:spacing w:val="0"/>
          <w:w w:val="100"/>
          <w:position w:val="0"/>
        </w:rPr>
        <w:t>元。此外，公司向睿励仪器认缴</w:t>
      </w:r>
      <w:r>
        <w:rPr>
          <w:rFonts w:ascii="Times New Roman" w:eastAsia="Times New Roman" w:hAnsi="Times New Roman" w:cs="Times New Roman"/>
          <w:color w:val="000000"/>
          <w:spacing w:val="0"/>
          <w:w w:val="100"/>
          <w:position w:val="0"/>
        </w:rPr>
        <w:t>10,000</w:t>
      </w:r>
      <w:r>
        <w:rPr>
          <w:color w:val="000000"/>
          <w:spacing w:val="0"/>
          <w:w w:val="100"/>
          <w:position w:val="0"/>
        </w:rPr>
        <w:t>万元的资本金，向南昌城微置业有限公司认缴</w:t>
      </w:r>
      <w:r>
        <w:rPr>
          <w:rFonts w:ascii="Times New Roman" w:eastAsia="Times New Roman" w:hAnsi="Times New Roman" w:cs="Times New Roman"/>
          <w:color w:val="000000"/>
          <w:spacing w:val="0"/>
          <w:w w:val="100"/>
          <w:position w:val="0"/>
        </w:rPr>
        <w:t>1,000</w:t>
      </w:r>
      <w:r>
        <w:rPr>
          <w:color w:val="000000"/>
          <w:spacing w:val="0"/>
          <w:w w:val="100"/>
          <w:position w:val="0"/>
        </w:rPr>
        <w:t>万 元的资本金，截止</w:t>
      </w:r>
      <w:r>
        <w:rPr>
          <w:rFonts w:ascii="Times New Roman" w:eastAsia="Times New Roman" w:hAnsi="Times New Roman" w:cs="Times New Roman"/>
          <w:color w:val="000000"/>
          <w:spacing w:val="0"/>
          <w:w w:val="100"/>
          <w:position w:val="0"/>
        </w:rPr>
        <w:t>2020</w:t>
      </w:r>
      <w:r>
        <w:rPr>
          <w:color w:val="000000"/>
          <w:spacing w:val="0"/>
          <w:w w:val="100"/>
          <w:position w:val="0"/>
        </w:rPr>
        <w:t>年末公司尚未完成该两项出资。</w:t>
      </w:r>
    </w:p>
    <w:p>
      <w:pPr>
        <w:widowControl w:val="0"/>
        <w:spacing w:after="339" w:line="1" w:lineRule="exact"/>
      </w:pPr>
    </w:p>
    <w:p>
      <w:pPr>
        <w:pStyle w:val="Style35"/>
        <w:keepNext/>
        <w:keepLines/>
        <w:widowControl w:val="0"/>
        <w:shd w:val="clear" w:color="auto" w:fill="auto"/>
        <w:bidi w:val="0"/>
        <w:spacing w:before="0" w:after="8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重大的股权投资</w:t>
      </w:r>
      <w:bookmarkEnd w:id="354"/>
      <w:bookmarkEnd w:id="355"/>
      <w:bookmarkEnd w:id="357"/>
    </w:p>
    <w:p>
      <w:pPr>
        <w:pStyle w:val="Style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tbl>
      <w:tblPr>
        <w:tblOverlap w:val="never"/>
        <w:jc w:val="center"/>
        <w:tblLayout w:type="fixed"/>
      </w:tblPr>
      <w:tblGrid>
        <w:gridCol w:w="2117"/>
        <w:gridCol w:w="3206"/>
        <w:gridCol w:w="432"/>
        <w:gridCol w:w="1051"/>
        <w:gridCol w:w="994"/>
        <w:gridCol w:w="710"/>
        <w:gridCol w:w="566"/>
        <w:gridCol w:w="710"/>
        <w:gridCol w:w="1555"/>
        <w:gridCol w:w="994"/>
        <w:gridCol w:w="888"/>
        <w:gridCol w:w="658"/>
      </w:tblGrid>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被投资公司名称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2" w:lineRule="exact"/>
              <w:ind w:left="0" w:right="0" w:firstLine="0"/>
              <w:jc w:val="both"/>
            </w:pPr>
            <w:r>
              <w:rPr>
                <w:color w:val="000000"/>
                <w:spacing w:val="0"/>
                <w:w w:val="100"/>
                <w:position w:val="0"/>
              </w:rPr>
              <w:t>报告期 内实际 投资额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于本报 告期末 持股比 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资金 来源</w:t>
            </w:r>
          </w:p>
        </w:tc>
        <w:tc>
          <w:tcPr>
            <w:tcBorders>
              <w:top w:val="single" w:sz="4"/>
              <w:left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投资 期限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截至本 报告期 末的进 展情况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本期投 资盈亏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是否 涉诉</w:t>
            </w:r>
          </w:p>
        </w:tc>
      </w:tr>
      <w:tr>
        <w:trPr>
          <w:trHeight w:val="10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青岛聚源芯星股权投 资合伙企业（有限合 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作为战略投资者，专项投资于中 芯国际集成电路制造有限公司科 创板股票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亿元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已完成 全部出 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盈利人 民币</w:t>
            </w:r>
          </w:p>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26,173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杭州中欣晶圆半导体</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集成电路用半导体晶圆的研发与 生产制造的企业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 xml:space="preserve">2 </w:t>
            </w:r>
            <w:r>
              <w:rPr>
                <w:color w:val="000000"/>
                <w:spacing w:val="0"/>
                <w:w w:val="100"/>
                <w:position w:val="0"/>
              </w:rPr>
              <w:t>亿元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半导体硅晶圆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已完成 全部出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山东天岳先进材料科 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宽禁带碳化硅半导体衬底材料研 发与生产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w:t>
            </w:r>
            <w:r>
              <w:rPr>
                <w:rFonts w:ascii="Times New Roman" w:eastAsia="Times New Roman" w:hAnsi="Times New Roman" w:cs="Times New Roman"/>
                <w:color w:val="000000"/>
                <w:spacing w:val="0"/>
                <w:w w:val="100"/>
                <w:position w:val="0"/>
              </w:rPr>
              <w:t>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亿元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宽禁带碳化硅 半导体衬底材 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已完成 全部出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4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上海理想万里晖薄膜</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薄膜、光伏电池、平板显示屏生产 专用设备的研发、生产和销售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 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人民币</w:t>
            </w:r>
          </w:p>
          <w:p>
            <w:pPr>
              <w:pStyle w:val="Style2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w:t>
            </w:r>
          </w:p>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自筹 资金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PECVD</w:t>
            </w:r>
            <w:r>
              <w:rPr>
                <w:color w:val="000000"/>
                <w:spacing w:val="0"/>
                <w:w w:val="100"/>
                <w:position w:val="0"/>
              </w:rPr>
              <w:t>设备</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已完成 全部出 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117"/>
        <w:gridCol w:w="3206"/>
        <w:gridCol w:w="432"/>
        <w:gridCol w:w="1051"/>
        <w:gridCol w:w="994"/>
        <w:gridCol w:w="710"/>
        <w:gridCol w:w="566"/>
        <w:gridCol w:w="710"/>
        <w:gridCol w:w="1555"/>
        <w:gridCol w:w="994"/>
        <w:gridCol w:w="888"/>
        <w:gridCol w:w="658"/>
      </w:tblGrid>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杭州博日科技股份有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检测仪器和试剂研发、生产、销售 及服务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人民币</w:t>
            </w:r>
          </w:p>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检测仪器和试 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已完成 全部出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 GmbH</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镀膜和膜层改性设备的研发、设 计和制造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350</w:t>
            </w:r>
            <w:r>
              <w:rPr>
                <w:color w:val="000000"/>
                <w:spacing w:val="0"/>
                <w:w w:val="100"/>
                <w:position w:val="0"/>
              </w:rPr>
              <w:t>万欧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镀膜和膜层改 性设备的研 发、设计和制 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已完成 全部出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亏损人 民币</w:t>
            </w:r>
          </w:p>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1,850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上海洪朴信息科技有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研发人工智能技术，为制造型企 业提供人工智能产品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人民币</w:t>
            </w:r>
          </w:p>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2,500 </w:t>
            </w:r>
            <w:r>
              <w:rPr>
                <w:color w:val="000000"/>
                <w:spacing w:val="0"/>
                <w:w w:val="100"/>
                <w:position w:val="0"/>
              </w:rPr>
              <w:t>万</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研发人工智能 技术，为制造 型企业提供人 工智能产品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已完成 全部出 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亏损人 民币</w:t>
            </w:r>
          </w:p>
          <w:p>
            <w:pPr>
              <w:pStyle w:val="Style25"/>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300 </w:t>
            </w:r>
            <w:r>
              <w:rPr>
                <w:color w:val="000000"/>
                <w:spacing w:val="0"/>
                <w:w w:val="100"/>
                <w:position w:val="0"/>
              </w:rPr>
              <w:t>万 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苏州德龙激光股份有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研发、生产和销售各类高端工业 应用激光设备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p>
            <w:pPr>
              <w:pStyle w:val="Style25"/>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2005.5 </w:t>
            </w:r>
            <w:r>
              <w:rPr>
                <w:color w:val="000000"/>
                <w:spacing w:val="0"/>
                <w:w w:val="100"/>
                <w:position w:val="0"/>
              </w:rPr>
              <w:t>万 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激光设备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已完成 全部出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昂坤视觉（北京）科 技有限公司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1" w:lineRule="exact"/>
              <w:ind w:left="0" w:right="0" w:firstLine="0"/>
              <w:jc w:val="both"/>
            </w:pPr>
            <w:r>
              <w:rPr>
                <w:color w:val="000000"/>
                <w:spacing w:val="0"/>
                <w:w w:val="100"/>
                <w:position w:val="0"/>
              </w:rPr>
              <w:t>为</w:t>
            </w:r>
            <w:r>
              <w:rPr>
                <w:rFonts w:ascii="Times New Roman" w:eastAsia="Times New Roman" w:hAnsi="Times New Roman" w:cs="Times New Roman"/>
                <w:color w:val="000000"/>
                <w:spacing w:val="0"/>
                <w:w w:val="100"/>
                <w:position w:val="0"/>
              </w:rPr>
              <w:t>LED</w:t>
            </w:r>
            <w:r>
              <w:rPr>
                <w:color w:val="000000"/>
                <w:spacing w:val="0"/>
                <w:w w:val="100"/>
                <w:position w:val="0"/>
              </w:rPr>
              <w:t>、</w:t>
            </w:r>
            <w:r>
              <w:rPr>
                <w:color w:val="000000"/>
                <w:spacing w:val="0"/>
                <w:w w:val="100"/>
                <w:position w:val="0"/>
              </w:rPr>
              <w:t>宽禁带半导体和集成电 路产业提供光学测量和光学检测 设备及解决方案</w:t>
            </w:r>
          </w:p>
        </w:tc>
        <w:tc>
          <w:tcPr>
            <w:tcBorders>
              <w:top w:val="single" w:sz="4"/>
              <w:left w:val="single" w:sz="4"/>
              <w:bottom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p>
            <w:pPr>
              <w:pStyle w:val="Style25"/>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1,500 </w:t>
            </w:r>
            <w:r>
              <w:rPr>
                <w:color w:val="000000"/>
                <w:spacing w:val="0"/>
                <w:w w:val="100"/>
                <w:position w:val="0"/>
              </w:rPr>
              <w:t>万 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自筹 资金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为</w:t>
            </w:r>
            <w:r>
              <w:rPr>
                <w:rFonts w:ascii="Times New Roman" w:eastAsia="Times New Roman" w:hAnsi="Times New Roman" w:cs="Times New Roman"/>
                <w:color w:val="000000"/>
                <w:spacing w:val="0"/>
                <w:w w:val="100"/>
                <w:position w:val="0"/>
              </w:rPr>
              <w:t>LED</w:t>
            </w:r>
            <w:r>
              <w:rPr>
                <w:color w:val="000000"/>
                <w:spacing w:val="0"/>
                <w:w w:val="100"/>
                <w:position w:val="0"/>
              </w:rPr>
              <w:t>产业提 供光学测量和 光学检测设备 及解决方案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pPr>
            <w:r>
              <w:rPr>
                <w:color w:val="000000"/>
                <w:spacing w:val="0"/>
                <w:w w:val="100"/>
                <w:position w:val="0"/>
              </w:rPr>
              <w:t>已完成 全部出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1792" w:right="1510" w:bottom="1541" w:left="1416" w:header="0" w:footer="3" w:gutter="0"/>
          <w:cols w:space="720"/>
          <w:noEndnote/>
          <w:rtlGutter w:val="0"/>
          <w:docGrid w:linePitch="360"/>
        </w:sectPr>
      </w:pPr>
    </w:p>
    <w:p>
      <w:pPr>
        <w:pStyle w:val="Style35"/>
        <w:keepNext/>
        <w:keepLines/>
        <w:widowControl w:val="0"/>
        <w:shd w:val="clear" w:color="auto" w:fill="auto"/>
        <w:tabs>
          <w:tab w:pos="426" w:val="left"/>
        </w:tabs>
        <w:bidi w:val="0"/>
        <w:spacing w:before="180" w:after="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w:t>
      </w:r>
      <w:bookmarkEnd w:id="360"/>
      <w:r>
        <w:rPr>
          <w:rFonts w:ascii="Times New Roman" w:eastAsia="Times New Roman" w:hAnsi="Times New Roman" w:cs="Times New Roman"/>
          <w:color w:val="000000"/>
          <w:spacing w:val="0"/>
          <w:w w:val="100"/>
          <w:position w:val="0"/>
        </w:rPr>
        <w:t>2）</w:t>
        <w:tab/>
      </w:r>
      <w:r>
        <w:rPr>
          <w:color w:val="000000"/>
          <w:spacing w:val="0"/>
          <w:w w:val="100"/>
          <w:position w:val="0"/>
        </w:rPr>
        <w:t>重大的非股权投资</w:t>
      </w:r>
      <w:bookmarkEnd w:id="358"/>
      <w:bookmarkEnd w:id="359"/>
      <w:bookmarkEnd w:id="36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6" w:val="left"/>
        </w:tabs>
        <w:bidi w:val="0"/>
        <w:spacing w:before="0" w:after="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w:t>
      </w:r>
      <w:bookmarkEnd w:id="364"/>
      <w:r>
        <w:rPr>
          <w:rFonts w:ascii="Times New Roman" w:eastAsia="Times New Roman" w:hAnsi="Times New Roman" w:cs="Times New Roman"/>
          <w:color w:val="000000"/>
          <w:spacing w:val="0"/>
          <w:w w:val="100"/>
          <w:position w:val="0"/>
        </w:rPr>
        <w:t>3）</w:t>
        <w:tab/>
      </w:r>
      <w:r>
        <w:rPr>
          <w:color w:val="000000"/>
          <w:spacing w:val="0"/>
          <w:w w:val="100"/>
          <w:position w:val="0"/>
        </w:rPr>
        <w:t>以公允价值计量的金融资产</w:t>
      </w:r>
      <w:bookmarkEnd w:id="362"/>
      <w:bookmarkEnd w:id="363"/>
      <w:bookmarkEnd w:id="36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762"/>
        <w:gridCol w:w="1766"/>
        <w:gridCol w:w="1766"/>
        <w:gridCol w:w="1771"/>
      </w:tblGrid>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本期公允价值变 动损益</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银行理财产品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943,471,123.28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3,471,123.28</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交易性权益工具 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561,728,996.34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261,728,996.34</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其他非流动金融 资产</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非交易性权益工 具投资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235,055,000.00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235,055,000.00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w:t>
      </w:r>
      <w:bookmarkEnd w:id="368"/>
      <w:r>
        <w:rPr>
          <w:color w:val="000000"/>
          <w:spacing w:val="0"/>
          <w:w w:val="100"/>
          <w:position w:val="0"/>
        </w:rPr>
        <w:t>六</w:t>
      </w:r>
      <w:r>
        <w:rPr>
          <w:rFonts w:ascii="Times New Roman" w:eastAsia="Times New Roman" w:hAnsi="Times New Roman" w:cs="Times New Roman"/>
          <w:color w:val="000000"/>
          <w:spacing w:val="0"/>
          <w:w w:val="100"/>
          <w:position w:val="0"/>
        </w:rPr>
        <w:t>）</w:t>
      </w:r>
      <w:r>
        <w:rPr>
          <w:color w:val="000000"/>
          <w:spacing w:val="0"/>
          <w:w w:val="100"/>
          <w:position w:val="0"/>
        </w:rPr>
        <w:t>重大资产和股权出售</w:t>
      </w:r>
      <w:bookmarkEnd w:id="366"/>
      <w:bookmarkEnd w:id="367"/>
      <w:bookmarkEnd w:id="36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w:t>
      </w:r>
      <w:bookmarkEnd w:id="372"/>
      <w:r>
        <w:rPr>
          <w:color w:val="000000"/>
          <w:spacing w:val="0"/>
          <w:w w:val="100"/>
          <w:position w:val="0"/>
        </w:rPr>
        <w:t>七</w:t>
      </w:r>
      <w:r>
        <w:rPr>
          <w:rFonts w:ascii="Times New Roman" w:eastAsia="Times New Roman" w:hAnsi="Times New Roman" w:cs="Times New Roman"/>
          <w:color w:val="000000"/>
          <w:spacing w:val="0"/>
          <w:w w:val="100"/>
          <w:position w:val="0"/>
        </w:rPr>
        <w:t>）</w:t>
      </w:r>
      <w:r>
        <w:rPr>
          <w:color w:val="000000"/>
          <w:spacing w:val="0"/>
          <w:w w:val="100"/>
          <w:position w:val="0"/>
        </w:rPr>
        <w:t>主要控股参股公司分析</w:t>
      </w:r>
      <w:bookmarkEnd w:id="370"/>
      <w:bookmarkEnd w:id="371"/>
      <w:bookmarkEnd w:id="373"/>
    </w:p>
    <w:p>
      <w:pPr>
        <w:pStyle w:val="Style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696"/>
        <w:gridCol w:w="1286"/>
        <w:gridCol w:w="1267"/>
        <w:gridCol w:w="830"/>
        <w:gridCol w:w="1258"/>
        <w:gridCol w:w="1262"/>
        <w:gridCol w:w="1138"/>
        <w:gridCol w:w="1099"/>
      </w:tblGrid>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 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总资产（万 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净资产 （万元）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营业收入 （万元）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净利润 （万元）</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中微 国际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主要负责公 司海外的销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126,738,810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26,645.71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46,242.88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3,135.99</w:t>
            </w:r>
          </w:p>
        </w:tc>
      </w:tr>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中微 南昌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MOCVD </w:t>
            </w:r>
            <w:r>
              <w:rPr>
                <w:color w:val="000000"/>
                <w:spacing w:val="0"/>
                <w:w w:val="100"/>
                <w:position w:val="0"/>
              </w:rPr>
              <w:t>设 备的研发、 设计、生产、 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r>
              <w:rPr>
                <w:color w:val="000000"/>
                <w:spacing w:val="0"/>
                <w:w w:val="100"/>
                <w:position w:val="0"/>
              </w:rPr>
              <w:t>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32,019.44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11,582.46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62,625.51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3,519.69</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中微 厦门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MOCVD </w:t>
            </w:r>
            <w:r>
              <w:rPr>
                <w:color w:val="000000"/>
                <w:spacing w:val="0"/>
                <w:w w:val="100"/>
                <w:position w:val="0"/>
              </w:rPr>
              <w:t>设 备和刻蚀设 备的销售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12,334.41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902.51</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中微 惠创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VOC</w:t>
            </w:r>
            <w:r>
              <w:rPr>
                <w:color w:val="000000"/>
                <w:spacing w:val="0"/>
                <w:w w:val="100"/>
                <w:position w:val="0"/>
              </w:rPr>
              <w:t>设备 的研发、设 计、生产、销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r>
              <w:rPr>
                <w:color w:val="000000"/>
                <w:spacing w:val="0"/>
                <w:w w:val="100"/>
                <w:position w:val="0"/>
              </w:rPr>
              <w:t>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2,433.76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-798.49</w:t>
            </w:r>
          </w:p>
        </w:tc>
      </w:tr>
      <w:tr>
        <w:trPr>
          <w:trHeight w:val="110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中微 临港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半导体设备 的研发、设 计、生产、销 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100,000 </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19,259.06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w:t>
            </w:r>
          </w:p>
        </w:tc>
      </w:tr>
    </w:tbl>
    <w:p>
      <w:pPr>
        <w:widowControl w:val="0"/>
        <w:spacing w:after="339" w:line="1" w:lineRule="exact"/>
      </w:pPr>
    </w:p>
    <w:p>
      <w:pPr>
        <w:pStyle w:val="Style35"/>
        <w:keepNext/>
        <w:keepLines/>
        <w:widowControl w:val="0"/>
        <w:shd w:val="clear" w:color="auto" w:fill="auto"/>
        <w:bidi w:val="0"/>
        <w:spacing w:before="0" w:after="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w:t>
      </w:r>
      <w:bookmarkEnd w:id="376"/>
      <w:r>
        <w:rPr>
          <w:color w:val="000000"/>
          <w:spacing w:val="0"/>
          <w:w w:val="100"/>
          <w:position w:val="0"/>
        </w:rPr>
        <w:t>八</w:t>
      </w:r>
      <w:r>
        <w:rPr>
          <w:rFonts w:ascii="Times New Roman" w:eastAsia="Times New Roman" w:hAnsi="Times New Roman" w:cs="Times New Roman"/>
          <w:color w:val="000000"/>
          <w:spacing w:val="0"/>
          <w:w w:val="100"/>
          <w:position w:val="0"/>
        </w:rPr>
        <w:t>）</w:t>
      </w:r>
      <w:r>
        <w:rPr>
          <w:color w:val="000000"/>
          <w:spacing w:val="0"/>
          <w:w w:val="100"/>
          <w:position w:val="0"/>
        </w:rPr>
        <w:t>公司控制的结构化主体情况</w:t>
      </w:r>
      <w:bookmarkEnd w:id="374"/>
      <w:bookmarkEnd w:id="375"/>
      <w:bookmarkEnd w:id="377"/>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四</w:t>
      </w:r>
      <w:bookmarkEnd w:id="380"/>
      <w:r>
        <w:rPr>
          <w:color w:val="000000"/>
          <w:spacing w:val="0"/>
          <w:w w:val="100"/>
          <w:position w:val="0"/>
        </w:rPr>
        <w:t>、公司关于公司未来发展的讨论与分析</w:t>
      </w:r>
      <w:bookmarkEnd w:id="378"/>
      <w:bookmarkEnd w:id="379"/>
      <w:bookmarkEnd w:id="381"/>
    </w:p>
    <w:p>
      <w:pPr>
        <w:pStyle w:val="Style35"/>
        <w:keepNext/>
        <w:keepLines/>
        <w:widowControl w:val="0"/>
        <w:shd w:val="clear" w:color="auto" w:fill="auto"/>
        <w:tabs>
          <w:tab w:pos="476" w:val="left"/>
        </w:tabs>
        <w:bidi w:val="0"/>
        <w:spacing w:before="0" w:after="80" w:line="240" w:lineRule="auto"/>
        <w:ind w:left="0" w:right="0" w:firstLine="0"/>
        <w:jc w:val="left"/>
      </w:pPr>
      <w:bookmarkStart w:id="378" w:name="bookmark378"/>
      <w:bookmarkStart w:id="379" w:name="bookmark379"/>
      <w:bookmarkStart w:id="382" w:name="bookmark382"/>
      <w:bookmarkStart w:id="383" w:name="bookmark383"/>
      <w:r>
        <w:rPr>
          <w:rFonts w:ascii="Times New Roman" w:eastAsia="Times New Roman" w:hAnsi="Times New Roman" w:cs="Times New Roman"/>
          <w:color w:val="000000"/>
          <w:spacing w:val="0"/>
          <w:w w:val="100"/>
          <w:position w:val="0"/>
        </w:rPr>
        <w:t>（</w:t>
      </w:r>
      <w:bookmarkEnd w:id="38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行业格局和趋势</w:t>
      </w:r>
      <w:bookmarkEnd w:id="378"/>
      <w:bookmarkEnd w:id="379"/>
      <w:bookmarkEnd w:id="38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信息产业的发展正在改变人类的生产和生活方式。集成电路芯片和各种半导体微观器件是信 息产业的基础和核心，是支撑经济社会发展和保障国家安全的战略性、基础性和先导性产业。半 导体制造设备是半导体产业进步的核心工具，是实现集成电路性能提升的关键，是半导体技术迭 代的基石，发展集成电路及装备产业对我国的经济结构调整升级具有重要的战略意义。</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从历史上看，半导体核心元器件晶体管自诞生以来，带动了全球半导体产业</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50</w:t>
      </w:r>
      <w:r>
        <w:rPr>
          <w:color w:val="000000"/>
          <w:spacing w:val="0"/>
          <w:w w:val="100"/>
          <w:position w:val="0"/>
        </w:rPr>
        <w:t>年代 至</w:t>
      </w:r>
      <w:r>
        <w:rPr>
          <w:rFonts w:ascii="Times New Roman" w:eastAsia="Times New Roman" w:hAnsi="Times New Roman" w:cs="Times New Roman"/>
          <w:color w:val="000000"/>
          <w:spacing w:val="0"/>
          <w:w w:val="100"/>
          <w:position w:val="0"/>
        </w:rPr>
        <w:t>90</w:t>
      </w:r>
      <w:r>
        <w:rPr>
          <w:color w:val="000000"/>
          <w:spacing w:val="0"/>
          <w:w w:val="100"/>
          <w:position w:val="0"/>
        </w:rPr>
        <w:t>年代的迅猛增长。进入</w:t>
      </w:r>
      <w:r>
        <w:rPr>
          <w:rFonts w:ascii="Times New Roman" w:eastAsia="Times New Roman" w:hAnsi="Times New Roman" w:cs="Times New Roman"/>
          <w:color w:val="000000"/>
          <w:spacing w:val="0"/>
          <w:w w:val="100"/>
          <w:position w:val="0"/>
        </w:rPr>
        <w:t>21</w:t>
      </w:r>
      <w:r>
        <w:rPr>
          <w:color w:val="000000"/>
          <w:spacing w:val="0"/>
          <w:w w:val="100"/>
          <w:position w:val="0"/>
        </w:rPr>
        <w:t>世纪以后市场日趋成熟，随着消费类电子产品市场渗透率不断提 高，行业增速逐步放缓。根据</w:t>
      </w:r>
      <w:r>
        <w:rPr>
          <w:rFonts w:ascii="Times New Roman" w:eastAsia="Times New Roman" w:hAnsi="Times New Roman" w:cs="Times New Roman"/>
          <w:color w:val="000000"/>
          <w:spacing w:val="0"/>
          <w:w w:val="100"/>
          <w:position w:val="0"/>
        </w:rPr>
        <w:t>WSTS</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月发布的数据统计，全球半导体市场规模预 计</w:t>
      </w:r>
      <w:r>
        <w:rPr>
          <w:rFonts w:ascii="Times New Roman" w:eastAsia="Times New Roman" w:hAnsi="Times New Roman" w:cs="Times New Roman"/>
          <w:color w:val="000000"/>
          <w:spacing w:val="0"/>
          <w:w w:val="100"/>
          <w:position w:val="0"/>
        </w:rPr>
        <w:t>2021</w:t>
      </w:r>
      <w:r>
        <w:rPr>
          <w:color w:val="000000"/>
          <w:spacing w:val="0"/>
          <w:w w:val="100"/>
          <w:position w:val="0"/>
        </w:rPr>
        <w:t>年将同比增长</w:t>
      </w:r>
      <w:r>
        <w:rPr>
          <w:rFonts w:ascii="Times New Roman" w:eastAsia="Times New Roman" w:hAnsi="Times New Roman" w:cs="Times New Roman"/>
          <w:color w:val="000000"/>
          <w:spacing w:val="0"/>
          <w:w w:val="100"/>
          <w:position w:val="0"/>
        </w:rPr>
        <w:t>8.4%</w:t>
      </w:r>
      <w:r>
        <w:rPr>
          <w:color w:val="000000"/>
          <w:spacing w:val="0"/>
          <w:w w:val="100"/>
          <w:position w:val="0"/>
        </w:rPr>
        <w:t>，达到</w:t>
      </w:r>
      <w:r>
        <w:rPr>
          <w:rFonts w:ascii="Times New Roman" w:eastAsia="Times New Roman" w:hAnsi="Times New Roman" w:cs="Times New Roman"/>
          <w:color w:val="000000"/>
          <w:spacing w:val="0"/>
          <w:w w:val="100"/>
          <w:position w:val="0"/>
        </w:rPr>
        <w:t>4,694</w:t>
      </w:r>
      <w:r>
        <w:rPr>
          <w:color w:val="000000"/>
          <w:spacing w:val="0"/>
          <w:w w:val="100"/>
          <w:position w:val="0"/>
        </w:rPr>
        <w:t>亿美元，创历史新高。半导体行业发展历程遵循一个螺 旋式上升的过程，放缓或回落后又会重新经历一次更强劲的复苏。从长远来看，伴随着新应用推 动市场需求的持续旺盛，半导体设备行业将受益于半导体产业的发展。</w:t>
      </w:r>
    </w:p>
    <w:p>
      <w:pPr>
        <w:pStyle w:val="Style2"/>
        <w:keepNext w:val="0"/>
        <w:keepLines w:val="0"/>
        <w:widowControl w:val="0"/>
        <w:shd w:val="clear" w:color="auto" w:fill="auto"/>
        <w:bidi w:val="0"/>
        <w:spacing w:before="0" w:after="0" w:line="410" w:lineRule="exact"/>
        <w:ind w:left="0" w:right="0" w:firstLine="440"/>
        <w:jc w:val="left"/>
      </w:pP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物联网、大数据、人工智能以及汽车电子等新技术和新产品的应用，将带来庞大的半 导体市场需求。半导体设备位于半导体产业链的上游，其市场规模随着下游半导体技术发展和市 场需求而波动，根据</w:t>
      </w:r>
      <w:r>
        <w:rPr>
          <w:rFonts w:ascii="Times New Roman" w:eastAsia="Times New Roman" w:hAnsi="Times New Roman" w:cs="Times New Roman"/>
          <w:color w:val="000000"/>
          <w:spacing w:val="0"/>
          <w:w w:val="100"/>
          <w:position w:val="0"/>
        </w:rPr>
        <w:t>Gartner</w:t>
      </w:r>
      <w:r>
        <w:rPr>
          <w:color w:val="000000"/>
          <w:spacing w:val="0"/>
          <w:w w:val="100"/>
          <w:position w:val="0"/>
        </w:rPr>
        <w:t>预测，</w:t>
      </w:r>
      <w:r>
        <w:rPr>
          <w:rFonts w:ascii="Times New Roman" w:eastAsia="Times New Roman" w:hAnsi="Times New Roman" w:cs="Times New Roman"/>
          <w:color w:val="000000"/>
          <w:spacing w:val="0"/>
          <w:w w:val="100"/>
          <w:position w:val="0"/>
        </w:rPr>
        <w:t>2020</w:t>
      </w:r>
      <w:r>
        <w:rPr>
          <w:color w:val="000000"/>
          <w:spacing w:val="0"/>
          <w:w w:val="100"/>
          <w:position w:val="0"/>
        </w:rPr>
        <w:t>年全球半导体设备市场规模创新高达到</w:t>
      </w:r>
      <w:r>
        <w:rPr>
          <w:rFonts w:ascii="Times New Roman" w:eastAsia="Times New Roman" w:hAnsi="Times New Roman" w:cs="Times New Roman"/>
          <w:color w:val="000000"/>
          <w:spacing w:val="0"/>
          <w:w w:val="100"/>
          <w:position w:val="0"/>
        </w:rPr>
        <w:t>631.73</w:t>
      </w:r>
      <w:r>
        <w:rPr>
          <w:color w:val="000000"/>
          <w:spacing w:val="0"/>
          <w:w w:val="100"/>
          <w:position w:val="0"/>
        </w:rPr>
        <w:t>亿美元， 并在未来几年内保持增长。</w:t>
      </w:r>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目前国内半导体设备市场主要由欧美、日本等国家的企业所占据。近年来我国设备行业技术 水平不断提高，国产设备在产品性价比、售后服务、地缘等方面的优势逐渐显现。作为全球最大 的半导体消费市场，市场需求带动全球产能中心逐步向中国大陆转移，持续的产能转移带动了市 场规模和技术水平的提高，也为设备行业的发展提供了机遇。</w:t>
      </w:r>
    </w:p>
    <w:p>
      <w:pPr>
        <w:pStyle w:val="Style35"/>
        <w:keepNext/>
        <w:keepLines/>
        <w:widowControl w:val="0"/>
        <w:shd w:val="clear" w:color="auto" w:fill="auto"/>
        <w:tabs>
          <w:tab w:pos="476" w:val="left"/>
        </w:tabs>
        <w:bidi w:val="0"/>
        <w:spacing w:before="0" w:after="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w:t>
      </w:r>
      <w:bookmarkEnd w:id="38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bookmarkEnd w:id="384"/>
      <w:bookmarkEnd w:id="385"/>
      <w:bookmarkEnd w:id="38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公司目前开发的产品以半导体前道生产的等离子体刻蚀设备、薄膜沉积等关键设备为主，并 逐步开发先进封装、</w:t>
      </w:r>
      <w:r>
        <w:rPr>
          <w:rFonts w:ascii="Times New Roman" w:eastAsia="Times New Roman" w:hAnsi="Times New Roman" w:cs="Times New Roman"/>
          <w:color w:val="000000"/>
          <w:spacing w:val="0"/>
          <w:w w:val="100"/>
          <w:position w:val="0"/>
        </w:rPr>
        <w:t>MEMS</w:t>
      </w:r>
      <w:r>
        <w:rPr>
          <w:color w:val="000000"/>
          <w:spacing w:val="0"/>
          <w:w w:val="100"/>
          <w:position w:val="0"/>
        </w:rPr>
        <w:t>、</w:t>
      </w:r>
      <w:r>
        <w:rPr>
          <w:color w:val="000000"/>
          <w:spacing w:val="0"/>
          <w:w w:val="100"/>
          <w:position w:val="0"/>
        </w:rPr>
        <w:t>蓝绿光及紫外</w:t>
      </w:r>
      <w:r>
        <w:rPr>
          <w:rFonts w:ascii="Times New Roman" w:eastAsia="Times New Roman" w:hAnsi="Times New Roman" w:cs="Times New Roman"/>
          <w:color w:val="000000"/>
          <w:spacing w:val="0"/>
          <w:w w:val="100"/>
          <w:position w:val="0"/>
        </w:rPr>
        <w:t>LED</w:t>
      </w:r>
      <w:r>
        <w:rPr>
          <w:color w:val="000000"/>
          <w:spacing w:val="0"/>
          <w:w w:val="100"/>
          <w:position w:val="0"/>
        </w:rPr>
        <w:t>、</w:t>
      </w:r>
      <w:r>
        <w:rPr>
          <w:rFonts w:ascii="Times New Roman" w:eastAsia="Times New Roman" w:hAnsi="Times New Roman" w:cs="Times New Roman"/>
          <w:color w:val="000000"/>
          <w:spacing w:val="0"/>
          <w:w w:val="100"/>
          <w:position w:val="0"/>
        </w:rPr>
        <w:t>Mini LED</w:t>
      </w:r>
      <w:r>
        <w:rPr>
          <w:color w:val="000000"/>
          <w:spacing w:val="0"/>
          <w:w w:val="100"/>
          <w:position w:val="0"/>
        </w:rPr>
        <w:t>、</w:t>
      </w:r>
      <w:r>
        <w:rPr>
          <w:rFonts w:ascii="Times New Roman" w:eastAsia="Times New Roman" w:hAnsi="Times New Roman" w:cs="Times New Roman"/>
          <w:color w:val="000000"/>
          <w:spacing w:val="0"/>
          <w:w w:val="100"/>
          <w:position w:val="0"/>
        </w:rPr>
        <w:t>Micro LED</w:t>
      </w:r>
      <w:r>
        <w:rPr>
          <w:color w:val="000000"/>
          <w:spacing w:val="0"/>
          <w:w w:val="100"/>
          <w:position w:val="0"/>
        </w:rPr>
        <w:t>等泛半导体设备产 品。未来，在强化内生成长的同时，公司将在适当时机通过并购等外延式成长途径扩大产品和市 场覆盖，并将继续探索核心技术在国计民生中创新性的应用。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公司所处的半导体设备产业具有广阔的成长空间。公司正在研发的设备可应用于先进封装、 </w:t>
      </w:r>
      <w:r>
        <w:rPr>
          <w:rFonts w:ascii="Times New Roman" w:eastAsia="Times New Roman" w:hAnsi="Times New Roman" w:cs="Times New Roman"/>
          <w:color w:val="000000"/>
          <w:spacing w:val="0"/>
          <w:w w:val="100"/>
          <w:position w:val="0"/>
        </w:rPr>
        <w:t>MEMS</w:t>
      </w:r>
      <w:r>
        <w:rPr>
          <w:color w:val="000000"/>
          <w:spacing w:val="0"/>
          <w:w w:val="100"/>
          <w:position w:val="0"/>
        </w:rPr>
        <w:t>、</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等处于市场潜力巨大的新兴领域。公司将继续通过自主研发进 一步提高公司产品的竞争力，为客户提供品质一流、性能创新的产品和优良快捷的服务，努力提 高市场份额。公司将紧紧抓住半导体产业发展的机遇，不断提升技术水平和市场竞争力，引领国 内半导体设备和技术的发展。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公司已形成三个维度扩展未来公司业务的布局规划：深耕集成电路关键设备领域、扩展在泛 半导体关键设备领域应用并探索其他新兴领域的机会。在集成电路设备领域，公司考虑扩大在刻 </w:t>
      </w:r>
      <w:r>
        <w:rPr>
          <w:color w:val="000000"/>
          <w:spacing w:val="0"/>
          <w:w w:val="100"/>
          <w:position w:val="0"/>
        </w:rPr>
        <w:t>蚀设备领域的竞争优势，延伸到薄膜、检测等其他关键设备领域；公司计划扩展在泛半导体领域 设备的应用，布局显示、</w:t>
      </w:r>
      <w:r>
        <w:rPr>
          <w:rFonts w:ascii="Times New Roman" w:eastAsia="Times New Roman" w:hAnsi="Times New Roman" w:cs="Times New Roman"/>
          <w:color w:val="000000"/>
          <w:spacing w:val="0"/>
          <w:w w:val="100"/>
          <w:position w:val="0"/>
        </w:rPr>
        <w:t>MEMS</w:t>
      </w:r>
      <w:r>
        <w:rPr>
          <w:color w:val="000000"/>
          <w:spacing w:val="0"/>
          <w:w w:val="100"/>
          <w:position w:val="0"/>
        </w:rPr>
        <w:t>、</w:t>
      </w:r>
      <w:r>
        <w:rPr>
          <w:color w:val="000000"/>
          <w:spacing w:val="0"/>
          <w:w w:val="100"/>
          <w:position w:val="0"/>
        </w:rPr>
        <w:t>功率器件、太阳能领域的关键设备；公司拟探索其他新兴领域 的机会，利用独特的设备及工艺技术，考虑从设备制造向器件大规模生产的机会，以及探索更多 集成电路及泛半导体设备生产线相关环保设备及医疗健康智能设备等领域的市场机会。</w:t>
      </w:r>
    </w:p>
    <w:p>
      <w:pPr>
        <w:pStyle w:val="Style2"/>
        <w:keepNext w:val="0"/>
        <w:keepLines w:val="0"/>
        <w:widowControl w:val="0"/>
        <w:shd w:val="clear" w:color="auto" w:fill="auto"/>
        <w:bidi w:val="0"/>
        <w:spacing w:before="0" w:after="520" w:line="407" w:lineRule="exact"/>
        <w:ind w:left="0" w:right="0" w:firstLine="420"/>
        <w:jc w:val="both"/>
      </w:pPr>
      <w:r>
        <w:rPr>
          <w:color w:val="000000"/>
          <w:spacing w:val="0"/>
          <w:w w:val="100"/>
          <w:position w:val="0"/>
        </w:rPr>
        <w:t>公司将围绕自身核心竞争力，通过自主创新、有机生长，结合适当的投资、兼并策略，不断 推动企业健康发展。</w:t>
      </w:r>
    </w:p>
    <w:p>
      <w:pPr>
        <w:pStyle w:val="Style35"/>
        <w:keepNext/>
        <w:keepLines/>
        <w:widowControl w:val="0"/>
        <w:shd w:val="clear" w:color="auto" w:fill="auto"/>
        <w:bidi w:val="0"/>
        <w:spacing w:before="0" w:after="100" w:line="24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w:t>
      </w:r>
      <w:bookmarkEnd w:id="390"/>
      <w:r>
        <w:rPr>
          <w:color w:val="000000"/>
          <w:spacing w:val="0"/>
          <w:w w:val="100"/>
          <w:position w:val="0"/>
        </w:rPr>
        <w:t>三</w:t>
      </w:r>
      <w:r>
        <w:rPr>
          <w:color w:val="000000"/>
          <w:spacing w:val="0"/>
          <w:w w:val="100"/>
          <w:position w:val="0"/>
        </w:rPr>
        <w:t>）</w:t>
      </w:r>
      <w:r>
        <w:rPr>
          <w:color w:val="000000"/>
          <w:spacing w:val="0"/>
          <w:w w:val="100"/>
          <w:position w:val="0"/>
        </w:rPr>
        <w:t>经营计划</w:t>
      </w:r>
      <w:bookmarkEnd w:id="388"/>
      <w:bookmarkEnd w:id="389"/>
      <w:bookmarkEnd w:id="391"/>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公司将紧紧围绕整体发展战略，以技术创新为核心发展动力，以市场为导向，不断提高经营 管理水平，通过技术突破、新产品研制开发、人才培养、市场开拓、兼并收购、内控建设等多方 面工作，加强公司领先优势，加快战略项目拓展，巩固并提升市场占有率。</w:t>
      </w:r>
    </w:p>
    <w:p>
      <w:pPr>
        <w:pStyle w:val="Style35"/>
        <w:keepNext/>
        <w:keepLines/>
        <w:widowControl w:val="0"/>
        <w:shd w:val="clear" w:color="auto" w:fill="auto"/>
        <w:tabs>
          <w:tab w:pos="762" w:val="left"/>
        </w:tabs>
        <w:bidi w:val="0"/>
        <w:spacing w:before="0" w:after="0" w:line="425" w:lineRule="auto"/>
        <w:ind w:left="0" w:right="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产品研发方面</w:t>
      </w:r>
      <w:bookmarkEnd w:id="392"/>
      <w:bookmarkEnd w:id="393"/>
      <w:bookmarkEnd w:id="395"/>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公司将不断完善研发管理机制和创新激励机制，对在技术研发、产品创新、专利申请等方面 做出突出贡献的技术研发人员给予奖励，激发技术研发人员的工作热情。公司将持续加大研发投 入力度，搭建更好的研发实验环境，为技术突破和产品创新提供重要的基础和保障。</w:t>
      </w:r>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设备的研发方面，公司在持续改善现有设备的性能的同时，将根据先进逻辑</w:t>
      </w:r>
      <w:r>
        <w:rPr>
          <w:rFonts w:ascii="Times New Roman" w:eastAsia="Times New Roman" w:hAnsi="Times New Roman" w:cs="Times New Roman"/>
          <w:color w:val="000000"/>
          <w:spacing w:val="0"/>
          <w:w w:val="100"/>
          <w:position w:val="0"/>
        </w:rPr>
        <w:t>FinFET</w:t>
      </w:r>
      <w:r>
        <w:rPr>
          <w:color w:val="000000"/>
          <w:spacing w:val="0"/>
          <w:w w:val="100"/>
          <w:position w:val="0"/>
        </w:rPr>
        <w:t>芯片和 高密度存储</w:t>
      </w:r>
      <w:r>
        <w:rPr>
          <w:rFonts w:ascii="Times New Roman" w:eastAsia="Times New Roman" w:hAnsi="Times New Roman" w:cs="Times New Roman"/>
          <w:color w:val="000000"/>
          <w:spacing w:val="0"/>
          <w:w w:val="100"/>
          <w:position w:val="0"/>
        </w:rPr>
        <w:t>DRAM</w:t>
      </w:r>
      <w:r>
        <w:rPr>
          <w:color w:val="000000"/>
          <w:spacing w:val="0"/>
          <w:w w:val="100"/>
          <w:position w:val="0"/>
        </w:rPr>
        <w:t>和</w:t>
      </w:r>
      <w:r>
        <w:rPr>
          <w:rFonts w:ascii="Times New Roman" w:eastAsia="Times New Roman" w:hAnsi="Times New Roman" w:cs="Times New Roman"/>
          <w:color w:val="000000"/>
          <w:spacing w:val="0"/>
          <w:w w:val="100"/>
          <w:position w:val="0"/>
        </w:rPr>
        <w:t>3DNAND</w:t>
      </w:r>
      <w:r>
        <w:rPr>
          <w:color w:val="000000"/>
          <w:spacing w:val="0"/>
          <w:w w:val="100"/>
          <w:position w:val="0"/>
        </w:rPr>
        <w:t>芯片的不同刻蚀需求，细分产品，开发不同的硬件特征，提高 产品针对不同应用的刻蚀性能，满足不同客户的需求。与此同时，公司会根据客户的研发需求， 定义下一大产品的技术指标和技术路线，开发能满足客户需求的新产品。</w:t>
      </w:r>
    </w:p>
    <w:p>
      <w:pPr>
        <w:pStyle w:val="Style35"/>
        <w:keepNext/>
        <w:keepLines/>
        <w:widowControl w:val="0"/>
        <w:shd w:val="clear" w:color="auto" w:fill="auto"/>
        <w:tabs>
          <w:tab w:pos="772" w:val="left"/>
        </w:tabs>
        <w:bidi w:val="0"/>
        <w:spacing w:before="0" w:after="0" w:line="425" w:lineRule="auto"/>
        <w:ind w:left="0" w:right="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人力资源方面</w:t>
      </w:r>
      <w:bookmarkEnd w:id="396"/>
      <w:bookmarkEnd w:id="397"/>
      <w:bookmarkEnd w:id="399"/>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公司将根据业务发展需求，制定短期、中期和长期相结合的人力资源规划及具体实施办法， 建立、健全公司科学化、规范化的人力资源管理系统，持续引进国内外高端专业人才，并通过系 统性培训等措施持续提升员工专业能力。</w:t>
      </w:r>
    </w:p>
    <w:p>
      <w:pPr>
        <w:pStyle w:val="Style35"/>
        <w:keepNext/>
        <w:keepLines/>
        <w:widowControl w:val="0"/>
        <w:shd w:val="clear" w:color="auto" w:fill="auto"/>
        <w:tabs>
          <w:tab w:pos="772" w:val="left"/>
        </w:tabs>
        <w:bidi w:val="0"/>
        <w:spacing w:before="0" w:after="0" w:line="425" w:lineRule="auto"/>
        <w:ind w:left="0" w:right="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市场拓展方面</w:t>
      </w:r>
      <w:bookmarkEnd w:id="400"/>
      <w:bookmarkEnd w:id="401"/>
      <w:bookmarkEnd w:id="403"/>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公司将持续收集半导体制造行业市场与技术动态信息，密切关注客户需求。公司在满足现有 客户设备需求的同时，深度挖掘现有客户的其他需求；积极拓展国内外其他知名客户，不断支持 公司扩大业务规模。同时，公司将不断寻求新的业务增长契机。</w:t>
      </w:r>
    </w:p>
    <w:p>
      <w:pPr>
        <w:pStyle w:val="Style35"/>
        <w:keepNext/>
        <w:keepLines/>
        <w:widowControl w:val="0"/>
        <w:shd w:val="clear" w:color="auto" w:fill="auto"/>
        <w:tabs>
          <w:tab w:pos="772" w:val="left"/>
        </w:tabs>
        <w:bidi w:val="0"/>
        <w:spacing w:before="0" w:after="0" w:line="425" w:lineRule="auto"/>
        <w:ind w:left="0" w:right="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w:t>
        <w:tab/>
        <w:t>投资并购及合作开发方面</w:t>
      </w:r>
      <w:bookmarkEnd w:id="404"/>
      <w:bookmarkEnd w:id="405"/>
      <w:bookmarkEnd w:id="407"/>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在高度竞争的产业形势下，公司考虑在有机成长的同时，通过投资并购国内外高端的半导体 设备厂商或与海内知名设备厂商进合作开发，使公司能够覆盖更多的产品品类、占领更多细分市 场，为公司的长期可持续成长奠定基础。公司会重点考虑布局等离子体刻蚀、薄膜沉积设备和测 量设备等领域的设备公司，以及其他泛半导体领域设备公司。</w:t>
      </w:r>
    </w:p>
    <w:p>
      <w:pPr>
        <w:pStyle w:val="Style2"/>
        <w:keepNext w:val="0"/>
        <w:keepLines w:val="0"/>
        <w:widowControl w:val="0"/>
        <w:shd w:val="clear" w:color="auto" w:fill="auto"/>
        <w:bidi w:val="0"/>
        <w:spacing w:before="0" w:after="160" w:line="240" w:lineRule="auto"/>
        <w:ind w:left="0" w:right="0" w:firstLine="420"/>
        <w:jc w:val="both"/>
      </w:pPr>
      <w:bookmarkStart w:id="408" w:name="bookmark408"/>
      <w:r>
        <w:rPr>
          <w:rFonts w:ascii="Times New Roman" w:eastAsia="Times New Roman" w:hAnsi="Times New Roman" w:cs="Times New Roman"/>
          <w:b/>
          <w:bCs/>
          <w:color w:val="000000"/>
          <w:spacing w:val="0"/>
          <w:w w:val="100"/>
          <w:position w:val="0"/>
        </w:rPr>
        <w:t>5</w:t>
      </w:r>
      <w:bookmarkEnd w:id="408"/>
      <w:r>
        <w:rPr>
          <w:b/>
          <w:bCs/>
          <w:color w:val="000000"/>
          <w:spacing w:val="0"/>
          <w:w w:val="100"/>
          <w:position w:val="0"/>
        </w:rPr>
        <w:t>、内控建设方面</w:t>
      </w:r>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随着公司发展规模的不断扩张，公司将持续加强内控建设，提高公司经营管理水平和风险防 范意识，促进公司高速、稳定、健康发展。</w:t>
      </w:r>
    </w:p>
    <w:p>
      <w:pPr>
        <w:pStyle w:val="Style35"/>
        <w:keepNext/>
        <w:keepLines/>
        <w:widowControl w:val="0"/>
        <w:shd w:val="clear" w:color="auto" w:fill="auto"/>
        <w:bidi w:val="0"/>
        <w:spacing w:before="0" w:after="0" w:line="346" w:lineRule="auto"/>
        <w:ind w:left="0" w:right="0" w:firstLine="0"/>
        <w:jc w:val="both"/>
      </w:pPr>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其他</w:t>
      </w:r>
      <w:bookmarkEnd w:id="409"/>
      <w:bookmarkEnd w:id="410"/>
      <w:bookmarkEnd w:id="411"/>
    </w:p>
    <w:p>
      <w:pPr>
        <w:pStyle w:val="Style2"/>
        <w:keepNext w:val="0"/>
        <w:keepLines w:val="0"/>
        <w:widowControl w:val="0"/>
        <w:shd w:val="clear" w:color="auto" w:fill="auto"/>
        <w:tabs>
          <w:tab w:pos="869" w:val="left"/>
        </w:tabs>
        <w:bidi w:val="0"/>
        <w:spacing w:before="0" w:after="0" w:line="331" w:lineRule="exact"/>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69" w:val="left"/>
        </w:tabs>
        <w:bidi w:val="0"/>
        <w:spacing w:before="0" w:after="360" w:line="331" w:lineRule="exact"/>
        <w:ind w:left="0" w:right="0" w:firstLine="0"/>
        <w:jc w:val="both"/>
      </w:pPr>
      <w:bookmarkStart w:id="412" w:name="bookmark412"/>
      <w:bookmarkStart w:id="413" w:name="bookmark413"/>
      <w:r>
        <w:rPr>
          <w:b/>
          <w:bCs/>
          <w:color w:val="000000"/>
          <w:spacing w:val="0"/>
          <w:w w:val="100"/>
          <w:position w:val="0"/>
        </w:rPr>
        <w:t>五</w:t>
      </w:r>
      <w:bookmarkEnd w:id="413"/>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bookmarkEnd w:id="412"/>
    </w:p>
    <w:p>
      <w:pPr>
        <w:pStyle w:val="Style13"/>
        <w:keepNext/>
        <w:keepLines/>
        <w:widowControl w:val="0"/>
        <w:shd w:val="clear" w:color="auto" w:fill="auto"/>
        <w:bidi w:val="0"/>
        <w:spacing w:before="0" w:after="260" w:line="240" w:lineRule="auto"/>
        <w:ind w:left="0" w:right="0" w:firstLine="0"/>
        <w:jc w:val="center"/>
      </w:pPr>
      <w:bookmarkStart w:id="414" w:name="bookmark414"/>
      <w:bookmarkStart w:id="415" w:name="bookmark415"/>
      <w:bookmarkStart w:id="416" w:name="bookmark416"/>
      <w:r>
        <w:rPr>
          <w:color w:val="000000"/>
          <w:spacing w:val="0"/>
          <w:w w:val="100"/>
          <w:position w:val="0"/>
        </w:rPr>
        <w:t>第五节重要事项</w:t>
      </w:r>
      <w:bookmarkEnd w:id="414"/>
      <w:bookmarkEnd w:id="415"/>
      <w:bookmarkEnd w:id="416"/>
    </w:p>
    <w:p>
      <w:pPr>
        <w:pStyle w:val="Style35"/>
        <w:keepNext/>
        <w:keepLines/>
        <w:widowControl w:val="0"/>
        <w:shd w:val="clear" w:color="auto" w:fill="auto"/>
        <w:bidi w:val="0"/>
        <w:spacing w:before="0" w:after="80" w:line="240" w:lineRule="auto"/>
        <w:ind w:left="0" w:right="0" w:firstLine="0"/>
        <w:jc w:val="both"/>
      </w:pPr>
      <w:bookmarkStart w:id="417" w:name="bookmark417"/>
      <w:bookmarkStart w:id="418" w:name="bookmark418"/>
      <w:bookmarkStart w:id="419" w:name="bookmark419"/>
      <w:bookmarkStart w:id="420" w:name="bookmark420"/>
      <w:r>
        <w:rPr>
          <w:color w:val="000000"/>
          <w:spacing w:val="0"/>
          <w:w w:val="100"/>
          <w:position w:val="0"/>
        </w:rPr>
        <w:t>一</w:t>
      </w:r>
      <w:bookmarkEnd w:id="419"/>
      <w:r>
        <w:rPr>
          <w:color w:val="000000"/>
          <w:spacing w:val="0"/>
          <w:w w:val="100"/>
          <w:position w:val="0"/>
        </w:rPr>
        <w:t>、普通股利润分配或资本公积金转增预案</w:t>
      </w:r>
      <w:bookmarkEnd w:id="417"/>
      <w:bookmarkEnd w:id="418"/>
      <w:bookmarkEnd w:id="420"/>
    </w:p>
    <w:p>
      <w:pPr>
        <w:pStyle w:val="Style35"/>
        <w:keepNext/>
        <w:keepLines/>
        <w:widowControl w:val="0"/>
        <w:shd w:val="clear" w:color="auto" w:fill="auto"/>
        <w:tabs>
          <w:tab w:pos="536" w:val="left"/>
        </w:tabs>
        <w:bidi w:val="0"/>
        <w:spacing w:before="0" w:after="80" w:line="240" w:lineRule="auto"/>
        <w:ind w:left="0" w:right="0" w:firstLine="0"/>
        <w:jc w:val="both"/>
      </w:pPr>
      <w:bookmarkStart w:id="417" w:name="bookmark417"/>
      <w:bookmarkStart w:id="418" w:name="bookmark418"/>
      <w:bookmarkStart w:id="421" w:name="bookmark421"/>
      <w:bookmarkStart w:id="422" w:name="bookmark422"/>
      <w:r>
        <w:rPr>
          <w:rFonts w:ascii="Times New Roman" w:eastAsia="Times New Roman" w:hAnsi="Times New Roman" w:cs="Times New Roman"/>
          <w:color w:val="000000"/>
          <w:spacing w:val="0"/>
          <w:w w:val="100"/>
          <w:position w:val="0"/>
        </w:rPr>
        <w:t>（</w:t>
      </w:r>
      <w:bookmarkEnd w:id="42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bookmarkEnd w:id="417"/>
      <w:bookmarkEnd w:id="418"/>
      <w:bookmarkEnd w:id="422"/>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公司已根据中国证监会《关于进一步落实上市公司现金分红有关事项的通知》以及上海证券 交易所《上市公司现金分红指引》制定了公司的分红政策。</w:t>
      </w:r>
    </w:p>
    <w:p>
      <w:pPr>
        <w:pStyle w:val="Style2"/>
        <w:keepNext w:val="0"/>
        <w:keepLines w:val="0"/>
        <w:widowControl w:val="0"/>
        <w:shd w:val="clear" w:color="auto" w:fill="auto"/>
        <w:bidi w:val="0"/>
        <w:spacing w:before="0" w:after="500" w:line="410" w:lineRule="exact"/>
        <w:ind w:left="0" w:right="0" w:firstLine="420"/>
        <w:jc w:val="both"/>
      </w:pPr>
      <w:r>
        <w:rPr>
          <w:color w:val="000000"/>
          <w:spacing w:val="0"/>
          <w:w w:val="100"/>
          <w:position w:val="0"/>
        </w:rPr>
        <w:t>《公司章程》第一百八十、第一百八十二、第一百八十三、第一百八十四、第一百八十五条 规定了现金分红政策以及公司利润分配方案的决策程序，现有现金分红政策充分保护了中小投资 者的合法权益，报告期对公司章程的修改未涉及现金分红政策相关内容。</w:t>
      </w:r>
    </w:p>
    <w:p>
      <w:pPr>
        <w:pStyle w:val="Style2"/>
        <w:keepNext w:val="0"/>
        <w:keepLines w:val="0"/>
        <w:widowControl w:val="0"/>
        <w:shd w:val="clear" w:color="auto" w:fill="auto"/>
        <w:bidi w:val="0"/>
        <w:spacing w:before="0" w:after="0" w:line="427" w:lineRule="auto"/>
        <w:ind w:left="0" w:right="0" w:firstLine="0"/>
        <w:jc w:val="both"/>
      </w:pPr>
      <w:bookmarkStart w:id="423" w:name="bookmark423"/>
      <w:r>
        <w:rPr>
          <w:rFonts w:ascii="Times New Roman" w:eastAsia="Times New Roman" w:hAnsi="Times New Roman" w:cs="Times New Roman"/>
          <w:b/>
          <w:bCs/>
          <w:color w:val="000000"/>
          <w:spacing w:val="0"/>
          <w:w w:val="100"/>
          <w:position w:val="0"/>
        </w:rPr>
        <w:t>（</w:t>
      </w:r>
      <w:bookmarkEnd w:id="423"/>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公司近三年（含报告期）的普通股股利分配方案或预案、资本公积金转增股本方案或预案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195"/>
        <w:gridCol w:w="1186"/>
        <w:gridCol w:w="1200"/>
        <w:gridCol w:w="1200"/>
        <w:gridCol w:w="1526"/>
        <w:gridCol w:w="1526"/>
      </w:tblGrid>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现金分红 的数额 （含税）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占合并报表中 归属于上市公 司普通股股东 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492,199,161.31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188,564,219.09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90,869,243.54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5"/>
        <w:keepNext/>
        <w:keepLines/>
        <w:widowControl w:val="0"/>
        <w:shd w:val="clear" w:color="auto" w:fill="auto"/>
        <w:tabs>
          <w:tab w:pos="536" w:val="left"/>
        </w:tabs>
        <w:bidi w:val="0"/>
        <w:spacing w:before="0" w:after="8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w:t>
      </w:r>
      <w:bookmarkEnd w:id="42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以现金方式回购股份计入现金分红的情况</w:t>
      </w:r>
      <w:bookmarkEnd w:id="424"/>
      <w:bookmarkEnd w:id="425"/>
      <w:bookmarkEnd w:id="427"/>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240" w:lineRule="auto"/>
        <w:ind w:left="0" w:right="0" w:firstLine="0"/>
        <w:jc w:val="both"/>
      </w:pPr>
      <w:bookmarkStart w:id="428" w:name="bookmark428"/>
      <w:r>
        <w:rPr>
          <w:rFonts w:ascii="Times New Roman" w:eastAsia="Times New Roman" w:hAnsi="Times New Roman" w:cs="Times New Roman"/>
          <w:b/>
          <w:bCs/>
          <w:color w:val="000000"/>
          <w:spacing w:val="0"/>
          <w:w w:val="100"/>
          <w:position w:val="0"/>
        </w:rPr>
        <w:t>（</w:t>
      </w:r>
      <w:bookmarkEnd w:id="428"/>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报告期内盈利且母公司可供普通股股东分配利润为正，但未提出普通股现金利润分配方案预</w:t>
      </w:r>
    </w:p>
    <w:p>
      <w:pPr>
        <w:pStyle w:val="Style22"/>
        <w:keepNext w:val="0"/>
        <w:keepLines w:val="0"/>
        <w:widowControl w:val="0"/>
        <w:shd w:val="clear" w:color="auto" w:fill="auto"/>
        <w:bidi w:val="0"/>
        <w:spacing w:before="0" w:after="100" w:line="240" w:lineRule="auto"/>
        <w:ind w:left="38" w:right="0" w:firstLine="0"/>
        <w:jc w:val="left"/>
      </w:pPr>
      <w:r>
        <w:rPr>
          <w:b/>
          <w:bCs/>
          <w:color w:val="000000"/>
          <w:spacing w:val="0"/>
          <w:w w:val="100"/>
          <w:position w:val="0"/>
        </w:rPr>
        <w:t>案的，公司应当详细披露原因以及未分配利润的用途和使用计划</w:t>
      </w:r>
    </w:p>
    <w:p>
      <w:pPr>
        <w:pStyle w:val="Style22"/>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4810"/>
        <w:gridCol w:w="4027"/>
      </w:tblGrid>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报告期内盈利且母公司可供普通股股东分配利润 为正，但未提出普通股现金利润分配方案预案的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r>
        <w:trPr>
          <w:trHeight w:val="193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充分考虑到公司目前处于发展投入期，资金需求较 大，为更好地维护全体股东的长远利益，公司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年度不分配利润，资本公积不转增。</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年度的未分配利润将累积滚存 至下一年度，以满足公司生产经营和项目 投资对营运资金的需求。公司将继续严格 按照相关法律法规和《公司章程》等规定， 综合考虑与利润分配相关的各种因素，从 有利于公司发展和投资者回报的角度出 发，履行公司的利润分配政策。</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357" w:right="1249" w:bottom="1490" w:left="1771" w:header="0" w:footer="3" w:gutter="0"/>
          <w:cols w:space="720"/>
          <w:noEndnote/>
          <w:rtlGutter w:val="0"/>
          <w:docGrid w:linePitch="360"/>
        </w:sectPr>
      </w:pP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二、承诺事项履行情况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公司实际控制人、股东、关联方、收购人以及公司等承诺相关方在报告期内或持续到报告期内的承诺事项</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3"/>
        <w:gridCol w:w="691"/>
        <w:gridCol w:w="1267"/>
        <w:gridCol w:w="7133"/>
        <w:gridCol w:w="1272"/>
        <w:gridCol w:w="427"/>
        <w:gridCol w:w="427"/>
        <w:gridCol w:w="850"/>
        <w:gridCol w:w="691"/>
      </w:tblGrid>
      <w:tr>
        <w:trPr>
          <w:trHeight w:val="21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承诺背景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textDirection w:val="tbRlV"/>
            <w:vAlign w:val="center"/>
          </w:tcPr>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80" w:after="0" w:line="240" w:lineRule="auto"/>
              <w:ind w:left="0" w:right="0" w:firstLine="0"/>
              <w:jc w:val="left"/>
            </w:pPr>
            <w:r>
              <w:rPr>
                <w:color w:val="000000"/>
                <w:spacing w:val="0"/>
                <w:w w:val="100"/>
                <w:position w:val="0"/>
              </w:rPr>
              <w:t>是否 及时严 格履行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left"/>
            </w:pPr>
            <w:r>
              <w:rPr>
                <w:color w:val="000000"/>
                <w:spacing w:val="0"/>
                <w:w w:val="100"/>
                <w:position w:val="0"/>
              </w:rPr>
              <w:t>如未 能及 时履 行应 说明 下一 步计</w:t>
            </w:r>
          </w:p>
          <w:p>
            <w:pPr>
              <w:pStyle w:val="Style25"/>
              <w:keepNext w:val="0"/>
              <w:keepLines w:val="0"/>
              <w:widowControl w:val="0"/>
              <w:shd w:val="clear" w:color="auto" w:fill="auto"/>
              <w:bidi w:val="0"/>
              <w:spacing w:before="0" w:after="0" w:line="273" w:lineRule="exact"/>
              <w:ind w:left="0" w:right="0" w:firstLine="220"/>
              <w:jc w:val="left"/>
            </w:pPr>
            <w:r>
              <w:rPr>
                <w:color w:val="000000"/>
                <w:spacing w:val="0"/>
                <w:w w:val="100"/>
                <w:position w:val="0"/>
              </w:rPr>
              <w:t>划</w:t>
            </w:r>
          </w:p>
        </w:tc>
      </w:tr>
      <w:tr>
        <w:trPr>
          <w:trHeight w:val="3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与首次公 开发行相 关的承诺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个月内，不转让或者委托他人管理本企业 或本企业的一致行动人（如有）直接或间接持有的首发前股份，也不提议 由发行人回购该部分股份；发行人上市后</w:t>
            </w:r>
            <w:r>
              <w:rPr>
                <w:rFonts w:ascii="Times New Roman" w:eastAsia="Times New Roman" w:hAnsi="Times New Roman" w:cs="Times New Roman"/>
                <w:color w:val="000000"/>
                <w:spacing w:val="0"/>
                <w:w w:val="100"/>
                <w:position w:val="0"/>
              </w:rPr>
              <w:t>6</w:t>
            </w:r>
            <w:r>
              <w:rPr>
                <w:color w:val="000000"/>
                <w:spacing w:val="0"/>
                <w:w w:val="100"/>
                <w:position w:val="0"/>
              </w:rPr>
              <w:t>个月内若发行人股票连续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 交易日的收盘价低于发行人本次发行上市时的股票发行价，或者上市后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个月期末收盘价低于发行人股票发行价，本企业及本企业的一致行动人持 有发行人股份的锁定期自动延长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w:t>
            </w:r>
            <w:r>
              <w:rPr>
                <w:color w:val="000000"/>
                <w:spacing w:val="0"/>
                <w:w w:val="100"/>
                <w:position w:val="0"/>
              </w:rPr>
              <w:t>、上述限售期满后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 企业拟进行减持的，本企业将按照相关法律、法规、部门规章、规范性文 件的规定减持不超过本企业所持有的</w:t>
            </w:r>
            <w:r>
              <w:rPr>
                <w:rFonts w:ascii="Times New Roman" w:eastAsia="Times New Roman" w:hAnsi="Times New Roman" w:cs="Times New Roman"/>
                <w:color w:val="000000"/>
                <w:spacing w:val="0"/>
                <w:w w:val="100"/>
                <w:position w:val="0"/>
              </w:rPr>
              <w:t>30%</w:t>
            </w:r>
            <w:r>
              <w:rPr>
                <w:color w:val="000000"/>
                <w:spacing w:val="0"/>
                <w:w w:val="100"/>
                <w:position w:val="0"/>
              </w:rPr>
              <w:t>的发行人股份，减持方式包括但 不仅限于集中竞价交易、大宗交易、盘后固定价格交易、协议转让等，减 持价格不低于发行价格（发行价格指发行人首次公开发行股票的发行价 格，如果因发行人上市后派发现金红利、送股、转增股本等原因进行除 权、除息的，则按照上交所的有关规定除权、除息处理），并符合监管规 则的规定以及本企业已作出的各项承诺。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 年七月二十 二日起三十 六个月内； 以及锁定期 满后两年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925"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巽鑫投资</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个月内，不转让或者委托他人管理本企业或本 企业的一致行动人（如有）直接或间接持有的首发前股份，也不提议由发 行人回购该部分股份。上述限售期满后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年内如本企业及本企业的一致行 动人拟进行减持的，本企业及本企业的一致行动人将按照相关法律、行政 法规、部门规章、规范性文件、中国证监会及上交所相关规则的规定，累 计减持不超过本企业及本企业的一致行动人合计持有的发行人股份的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（若监管规则对减持比例及上限另有规定的，从其规定），减持方式包括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自二零一九 年七月二十 二日起三十 六个月内； 以及锁定期 满后两年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但不仅限于集中竞价交易、大宗交易、盘后固定价格交易、协议转让等， 减持价格将根据当时的二级市场价格确定，并符合监管规则的规定以及本 企业已作出的各项承诺。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南昌智微、 中微亚洲、 </w:t>
            </w:r>
            <w:r>
              <w:rPr>
                <w:rFonts w:ascii="Times New Roman" w:eastAsia="Times New Roman" w:hAnsi="Times New Roman" w:cs="Times New Roman"/>
                <w:color w:val="000000"/>
                <w:spacing w:val="0"/>
                <w:w w:val="100"/>
                <w:position w:val="0"/>
              </w:rPr>
              <w:t>Bootes</w:t>
            </w:r>
            <w:r>
              <w:rPr>
                <w:color w:val="000000"/>
                <w:spacing w:val="0"/>
                <w:w w:val="100"/>
                <w:position w:val="0"/>
              </w:rPr>
              <w:t>、</w:t>
            </w:r>
          </w:p>
          <w:p>
            <w:pPr>
              <w:pStyle w:val="Style25"/>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Grenade </w:t>
            </w:r>
            <w:r>
              <w:rPr>
                <w:color w:val="000000"/>
                <w:spacing w:val="0"/>
                <w:w w:val="100"/>
                <w:position w:val="0"/>
              </w:rPr>
              <w:t>励微投资、 苴徽投资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个月内，本企业不会以任何方式转让买卖、委 托管理本企业或本企业的一致行动人直接或间接持有的首发前股份，也不 提议由公司回购该等股份。除非经发行人事先书面同意，本企业及本企业 的一致行动人不会就首发前股份设置担保或以其他方式对首发前股份进行 处置。上述限售期满后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年内，如本企业及本企业的一致行动人拟进行减 持的，本企业及本企业的一致行动人将按照相关法律、行政法规、部门规 章、规范性文件、中国证监会及上交所相关规则（以下统称</w:t>
            </w:r>
            <w:r>
              <w:rPr>
                <w:rFonts w:ascii="Times New Roman" w:eastAsia="Times New Roman" w:hAnsi="Times New Roman" w:cs="Times New Roman"/>
                <w:color w:val="000000"/>
                <w:spacing w:val="0"/>
                <w:w w:val="100"/>
                <w:position w:val="0"/>
              </w:rPr>
              <w:t>“</w:t>
            </w:r>
            <w:r>
              <w:rPr>
                <w:color w:val="000000"/>
                <w:spacing w:val="0"/>
                <w:w w:val="100"/>
                <w:position w:val="0"/>
              </w:rPr>
              <w:t>监管规则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 规定，累计减持不超过本企业及本企业的一致行动人合计持有的发行人股 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（若监管规则对减持比例及上限另有规定的，从其规定），减持 方式包括但不仅限于集中竞价交易、大宗交易、盘后固定价格交易、协议 转让等，减持价格将根据当时的二级市场价格确定，并符合监管规则的规 定以及本企业已作出的各项承诺。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 年七月二十 二日起三十 六个月内； 以及锁定期 满后两年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73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Futago</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个月内，不转让本企业及本企业的一致行动人 （如有）所持有的发行人本次发行上市前已发行的股份。上述限售期满后</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年内，如本企业及本企业的一致行动人拟进行减持的，本企业及本企业的 一致行动人将按照相关法律、行政法规、部门规章、规范性文件、中国证 监会及上交所相关规则（以下统称</w:t>
            </w:r>
            <w:r>
              <w:rPr>
                <w:rFonts w:ascii="Times New Roman" w:eastAsia="Times New Roman" w:hAnsi="Times New Roman" w:cs="Times New Roman"/>
                <w:color w:val="000000"/>
                <w:spacing w:val="0"/>
                <w:w w:val="100"/>
                <w:position w:val="0"/>
              </w:rPr>
              <w:t>“</w:t>
            </w:r>
            <w:r>
              <w:rPr>
                <w:color w:val="000000"/>
                <w:spacing w:val="0"/>
                <w:w w:val="100"/>
                <w:position w:val="0"/>
              </w:rPr>
              <w:t>监管规则</w:t>
            </w:r>
            <w:r>
              <w:rPr>
                <w:color w:val="000000"/>
                <w:spacing w:val="0"/>
                <w:w w:val="100"/>
                <w:position w:val="0"/>
              </w:rPr>
              <w:t>''）</w:t>
            </w:r>
            <w:r>
              <w:rPr>
                <w:color w:val="000000"/>
                <w:spacing w:val="0"/>
                <w:w w:val="100"/>
                <w:position w:val="0"/>
              </w:rPr>
              <w:t>的规定，累计减持不超过本 企业及本企业的一致行动人合计持有的发行人股份的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 减持比例及上限另有规定的，从其规定），减持方式包括但不仅限于集中 竞价交易、大宗交易、盘后固定价格交易、协议转让等，减持价格将根据 当时的二级市场价格确定，并符合监管规则的规定以及本企业已作出的各 项承诺。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自二零一九 年七月二十 二日起十二 个月内；以 及锁定期满 后两年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651"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置都投资、 悦橙投资、 创橙投资、 亮橙投资、 橙色海岸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个月内，不转让或委托他人管理本企业及本企 业的一致行动人（如有，下同）直接或间接持有的发行人本次发行上市前 已发行的股份，也不提议由发行人回购该部分股份。上述限售期满后</w:t>
            </w:r>
            <w:r>
              <w:rPr>
                <w:rFonts w:ascii="Times New Roman" w:eastAsia="Times New Roman" w:hAnsi="Times New Roman" w:cs="Times New Roman"/>
                <w:color w:val="000000"/>
                <w:spacing w:val="0"/>
                <w:w w:val="100"/>
                <w:position w:val="0"/>
              </w:rPr>
              <w:t>2</w:t>
            </w:r>
            <w:r>
              <w:rPr>
                <w:color w:val="000000"/>
                <w:spacing w:val="0"/>
                <w:w w:val="100"/>
                <w:position w:val="0"/>
              </w:rPr>
              <w:t>年 内，如本企业及本企业的一致行动人拟进行减持的，本企业及本企业的一 致行动人将按照相关法律、行政法规、部门规章、规范性文件、中国证监 会及上交所相关规则（以下统称</w:t>
            </w:r>
            <w:r>
              <w:rPr>
                <w:rFonts w:ascii="Times New Roman" w:eastAsia="Times New Roman" w:hAnsi="Times New Roman" w:cs="Times New Roman"/>
                <w:color w:val="000000"/>
                <w:spacing w:val="0"/>
                <w:w w:val="100"/>
                <w:position w:val="0"/>
              </w:rPr>
              <w:t>“</w:t>
            </w:r>
            <w:r>
              <w:rPr>
                <w:color w:val="000000"/>
                <w:spacing w:val="0"/>
                <w:w w:val="100"/>
                <w:position w:val="0"/>
              </w:rPr>
              <w:t>监管规则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的规定，累计减持不超过本企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 年七月二十 二日起十二 个月内；以 及锁定期满 后两年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业及本企业的一致行动人合计持有的发行人股份的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（若监管规则对减 持比例及上限另有规定的，从其规定），减持方式包括但不仅限于集中竞 价交易、大宗交易、盘后固定价格交易、协议转让等，减持价格将根据当 时的二级市场价格确定，并符合监管规则的规定以及本企业已作出的各项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国开创新、 </w:t>
            </w:r>
            <w:r>
              <w:rPr>
                <w:rFonts w:ascii="Times New Roman" w:eastAsia="Times New Roman" w:hAnsi="Times New Roman" w:cs="Times New Roman"/>
                <w:color w:val="000000"/>
                <w:spacing w:val="0"/>
                <w:w w:val="100"/>
                <w:position w:val="0"/>
              </w:rPr>
              <w:t>Primrose</w:t>
            </w:r>
            <w:r>
              <w:rPr>
                <w:color w:val="000000"/>
                <w:spacing w:val="0"/>
                <w:w w:val="100"/>
                <w:position w:val="0"/>
              </w:rPr>
              <w:t xml:space="preserve">、 </w:t>
            </w:r>
            <w:r>
              <w:rPr>
                <w:color w:val="000000"/>
                <w:spacing w:val="0"/>
                <w:w w:val="100"/>
                <w:position w:val="0"/>
              </w:rPr>
              <w:t>和谐锦弘、 上海自贸区 基金、君邦 投资、协鑫 创展、国投 投资、浦东 新兴、美国 高通、君鹏 投资、自贸 区三期基 金、茂流投 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个月内，不转让本企业及本企业的一致行动人 （如有）所持有的发行人本次发行上市前已发行的股份。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7" w:lineRule="exact"/>
              <w:ind w:left="0" w:right="0" w:firstLine="0"/>
              <w:jc w:val="both"/>
            </w:pPr>
            <w:r>
              <w:rPr>
                <w:color w:val="000000"/>
                <w:spacing w:val="0"/>
                <w:w w:val="100"/>
                <w:position w:val="0"/>
              </w:rPr>
              <w:t>自二零一九 年七月二十 二日起十二 个月内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28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尹志尧、杜 志游、倪图 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个月内，本人不会以任何方式转让买卖、委托 管理本人及本人的一致行动人直接或间接持有的首发前股份，也不提议由 公司回购该等股份，除非经发行人事先书面同意，本人及本人的一致行动 人不会就首发前股份设置担保；在本人担任发行人董事或高级管理人员期 间，每年直接或间接转让的发行人股份不超过本人直接及间接持有的发行 人股份总数的</w:t>
            </w:r>
            <w:r>
              <w:rPr>
                <w:rFonts w:ascii="Times New Roman" w:eastAsia="Times New Roman" w:hAnsi="Times New Roman" w:cs="Times New Roman"/>
                <w:color w:val="000000"/>
                <w:spacing w:val="0"/>
                <w:w w:val="100"/>
                <w:position w:val="0"/>
              </w:rPr>
              <w:t>25%</w:t>
            </w:r>
            <w:r>
              <w:rPr>
                <w:color w:val="000000"/>
                <w:spacing w:val="0"/>
                <w:w w:val="100"/>
                <w:position w:val="0"/>
              </w:rPr>
              <w:t>。若本人不再担任发行人董事或高级管理人员，则自不 再担任上述职位之日起半年内，本人将不转让本人直接或间接持有的发行 人股份。自本人直接或间接持有的首发前股份限售期满之日起</w:t>
            </w:r>
            <w:r>
              <w:rPr>
                <w:rFonts w:ascii="Times New Roman" w:eastAsia="Times New Roman" w:hAnsi="Times New Roman" w:cs="Times New Roman"/>
                <w:color w:val="000000"/>
                <w:spacing w:val="0"/>
                <w:w w:val="100"/>
                <w:position w:val="0"/>
              </w:rPr>
              <w:t>4</w:t>
            </w:r>
            <w:r>
              <w:rPr>
                <w:color w:val="000000"/>
                <w:spacing w:val="0"/>
                <w:w w:val="100"/>
                <w:position w:val="0"/>
              </w:rPr>
              <w:t>年内，每 年转让的首发前股份不得超过上市时直接或间接持有发行人首发前股份总 数的</w:t>
            </w:r>
            <w:r>
              <w:rPr>
                <w:rFonts w:ascii="Times New Roman" w:eastAsia="Times New Roman" w:hAnsi="Times New Roman" w:cs="Times New Roman"/>
                <w:color w:val="000000"/>
                <w:spacing w:val="0"/>
                <w:w w:val="100"/>
                <w:position w:val="0"/>
              </w:rPr>
              <w:t>25%</w:t>
            </w:r>
            <w:r>
              <w:rPr>
                <w:color w:val="000000"/>
                <w:spacing w:val="0"/>
                <w:w w:val="100"/>
                <w:position w:val="0"/>
              </w:rPr>
              <w:t>，减持比例将累积使用。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 年七月二十 二日起三十 六个月内； 本人担任中 微公司董事 或高级管理 人员期间； 本人不再担 任中微公司 董事或高级 管理人员职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位之日起半 年内；以及 锁定期满后 四年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朱新萍、陈 伟文、刘晓 宇、王志军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自发行人股票发行上市之日起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个月内，本人不会以任何方式转让买卖、 委托管理本人及本人的一致行动人直接或间接持有的首发前股份，也不提 议由公司回购该等股份，除非经发行人事先书面同意，本人及本人的一致 行动人不会就首发前股份设置担保；在本人担任发行人董事、监事或高级 管理人员期间，每年直接或间接转让的发行人股份不超过本人直接及间接 持有的发行人股份总数的</w:t>
            </w:r>
            <w:r>
              <w:rPr>
                <w:rFonts w:ascii="Times New Roman" w:eastAsia="Times New Roman" w:hAnsi="Times New Roman" w:cs="Times New Roman"/>
                <w:color w:val="000000"/>
                <w:spacing w:val="0"/>
                <w:w w:val="100"/>
                <w:position w:val="0"/>
              </w:rPr>
              <w:t>25%</w:t>
            </w:r>
            <w:r>
              <w:rPr>
                <w:color w:val="000000"/>
                <w:spacing w:val="0"/>
                <w:w w:val="100"/>
                <w:position w:val="0"/>
              </w:rPr>
              <w:t>。若本人不再担任发行人董事、监事或高级 管理人员，则自不再担任上述职位之日起半年内，本人将不转让本人直接 或间接持有的发行人股份。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 年七月二十 二日起三十 六个月内； 本人担任中 微公司董 事、监事或 高级管理人 员期间；本 人不再担任 中微公司董 事、监事或 高级管理人 员职位之日 起半年内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18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麦仕义、杨 伟、李天 笑、吴乾英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自发行人股票发行上市之日起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个月内，本人不会以任何方式转让买卖、 委托管理本人及本人的一致行动人直接或间接持有的首发前股份，也不提 议由公司回购该等股份，除非经发行人事先书面同意，本人及本人的一致 行动人不会就首发前股份设置担保。离职后</w:t>
            </w:r>
            <w:r>
              <w:rPr>
                <w:rFonts w:ascii="Times New Roman" w:eastAsia="Times New Roman" w:hAnsi="Times New Roman" w:cs="Times New Roman"/>
                <w:color w:val="000000"/>
                <w:spacing w:val="0"/>
                <w:w w:val="100"/>
                <w:position w:val="0"/>
              </w:rPr>
              <w:t>6</w:t>
            </w:r>
            <w:r>
              <w:rPr>
                <w:color w:val="000000"/>
                <w:spacing w:val="0"/>
                <w:w w:val="100"/>
                <w:position w:val="0"/>
              </w:rPr>
              <w:t>个月内不得转让直接或间接 持有的首发前股份；自本人直接或间接持有的首发前股份限售期满之日起</w:t>
            </w:r>
            <w:r>
              <w:rPr>
                <w:rFonts w:ascii="Times New Roman" w:eastAsia="Times New Roman" w:hAnsi="Times New Roman" w:cs="Times New Roman"/>
                <w:color w:val="000000"/>
                <w:spacing w:val="0"/>
                <w:w w:val="100"/>
                <w:position w:val="0"/>
              </w:rPr>
              <w:t xml:space="preserve">4 </w:t>
            </w:r>
            <w:r>
              <w:rPr>
                <w:color w:val="000000"/>
                <w:spacing w:val="0"/>
                <w:w w:val="100"/>
                <w:position w:val="0"/>
              </w:rPr>
              <w:t>年内，每年转让的首发前股份不得超过上市时直接或间接持有发行人首发 前股份总数的</w:t>
            </w:r>
            <w:r>
              <w:rPr>
                <w:rFonts w:ascii="Times New Roman" w:eastAsia="Times New Roman" w:hAnsi="Times New Roman" w:cs="Times New Roman"/>
                <w:color w:val="000000"/>
                <w:spacing w:val="0"/>
                <w:w w:val="100"/>
                <w:position w:val="0"/>
              </w:rPr>
              <w:t>25%</w:t>
            </w:r>
            <w:r>
              <w:rPr>
                <w:color w:val="000000"/>
                <w:spacing w:val="0"/>
                <w:w w:val="100"/>
                <w:position w:val="0"/>
              </w:rPr>
              <w:t>，减持比例将累积使用。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 年七月二十 二日起三十 六个月内； 离职后六个 月内；以及 锁定期满后 四年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109"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公司、董 事、高级管 理人员</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公司上市后</w:t>
            </w:r>
            <w:r>
              <w:rPr>
                <w:rFonts w:ascii="Times New Roman" w:eastAsia="Times New Roman" w:hAnsi="Times New Roman" w:cs="Times New Roman"/>
                <w:color w:val="000000"/>
                <w:spacing w:val="0"/>
                <w:w w:val="100"/>
                <w:position w:val="0"/>
              </w:rPr>
              <w:t>36</w:t>
            </w:r>
            <w:r>
              <w:rPr>
                <w:color w:val="000000"/>
                <w:spacing w:val="0"/>
                <w:w w:val="100"/>
                <w:position w:val="0"/>
              </w:rPr>
              <w:t>个月内股票连续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个交易日的收盘价低于发行人最近一期 末经审计每股净资产时，公司将采取稳定股价措施，具体如下：</w:t>
            </w:r>
            <w:r>
              <w:rPr>
                <w:rFonts w:ascii="Times New Roman" w:eastAsia="Times New Roman" w:hAnsi="Times New Roman" w:cs="Times New Roman"/>
                <w:color w:val="000000"/>
                <w:spacing w:val="0"/>
                <w:w w:val="100"/>
                <w:position w:val="0"/>
              </w:rPr>
              <w:t>“</w:t>
            </w:r>
            <w:r>
              <w:rPr>
                <w:color w:val="000000"/>
                <w:spacing w:val="0"/>
                <w:w w:val="100"/>
                <w:position w:val="0"/>
              </w:rPr>
              <w:t>一、稳定 发行人股票价格的措施（一）发行人回购股票发行人在单次用于回购股份 的资金不超过人民币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万元，在证券交易所以市场价格实施连续回</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 年七月二十 二日起三十 六个月内</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54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left"/>
            </w:pPr>
            <w:r>
              <w:rPr>
                <w:color w:val="000000"/>
                <w:spacing w:val="0"/>
                <w:w w:val="100"/>
                <w:position w:val="0"/>
              </w:rPr>
              <w:t>购，连续</w:t>
            </w:r>
            <w:r>
              <w:rPr>
                <w:rFonts w:ascii="Times New Roman" w:eastAsia="Times New Roman" w:hAnsi="Times New Roman" w:cs="Times New Roman"/>
                <w:color w:val="000000"/>
                <w:spacing w:val="0"/>
                <w:w w:val="100"/>
                <w:position w:val="0"/>
              </w:rPr>
              <w:t>12</w:t>
            </w:r>
            <w:r>
              <w:rPr>
                <w:color w:val="000000"/>
                <w:spacing w:val="0"/>
                <w:w w:val="100"/>
                <w:position w:val="0"/>
              </w:rPr>
              <w:t>个月累计回购的股份不超过发行人总股本的</w:t>
            </w:r>
            <w:r>
              <w:rPr>
                <w:rFonts w:ascii="Times New Roman" w:eastAsia="Times New Roman" w:hAnsi="Times New Roman" w:cs="Times New Roman"/>
                <w:color w:val="000000"/>
                <w:spacing w:val="0"/>
                <w:w w:val="100"/>
                <w:position w:val="0"/>
              </w:rPr>
              <w:t>3%</w:t>
            </w:r>
            <w:r>
              <w:rPr>
                <w:color w:val="000000"/>
                <w:spacing w:val="0"/>
                <w:w w:val="100"/>
                <w:position w:val="0"/>
              </w:rPr>
              <w:t>。（二）董 事、高级管理人员增持</w:t>
            </w:r>
            <w:r>
              <w:rPr>
                <w:rFonts w:ascii="Times New Roman" w:eastAsia="Times New Roman" w:hAnsi="Times New Roman" w:cs="Times New Roman"/>
                <w:color w:val="000000"/>
                <w:spacing w:val="0"/>
                <w:w w:val="100"/>
                <w:position w:val="0"/>
              </w:rPr>
              <w:t>1</w:t>
            </w:r>
            <w:r>
              <w:rPr>
                <w:color w:val="000000"/>
                <w:spacing w:val="0"/>
                <w:w w:val="100"/>
                <w:position w:val="0"/>
              </w:rPr>
              <w:t xml:space="preserve">、发行人董事、高级管理人员在证券交易所以市场 价格增持股份。发行人董事、高级管理人员用于增持发行人股份的货币资 金不少于该等董事、高级管理人员上年度自发行人领取现金薪酬总和的 </w:t>
            </w:r>
            <w:r>
              <w:rPr>
                <w:rFonts w:ascii="Times New Roman" w:eastAsia="Times New Roman" w:hAnsi="Times New Roman" w:cs="Times New Roman"/>
                <w:color w:val="000000"/>
                <w:spacing w:val="0"/>
                <w:w w:val="100"/>
                <w:position w:val="0"/>
              </w:rPr>
              <w:t>20%</w:t>
            </w:r>
            <w:r>
              <w:rPr>
                <w:color w:val="000000"/>
                <w:spacing w:val="0"/>
                <w:w w:val="100"/>
                <w:position w:val="0"/>
              </w:rPr>
              <w:t>，不超过上年度自发行人领取现金薪酬总和的</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、发行人董事、 高级管理人员增持发行人股份，自首次增持之日起算的未来</w:t>
            </w:r>
            <w:r>
              <w:rPr>
                <w:rFonts w:ascii="Times New Roman" w:eastAsia="Times New Roman" w:hAnsi="Times New Roman" w:cs="Times New Roman"/>
                <w:color w:val="000000"/>
                <w:spacing w:val="0"/>
                <w:w w:val="100"/>
                <w:position w:val="0"/>
              </w:rPr>
              <w:t>6</w:t>
            </w:r>
            <w:r>
              <w:rPr>
                <w:color w:val="000000"/>
                <w:spacing w:val="0"/>
                <w:w w:val="100"/>
                <w:position w:val="0"/>
              </w:rPr>
              <w:t>个月内，累 计增持比例不超过发行人已发行股份的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、发行人董事、高级管理人 员增持的股份，在增持完成后</w:t>
            </w:r>
            <w:r>
              <w:rPr>
                <w:rFonts w:ascii="Times New Roman" w:eastAsia="Times New Roman" w:hAnsi="Times New Roman" w:cs="Times New Roman"/>
                <w:color w:val="000000"/>
                <w:spacing w:val="0"/>
                <w:w w:val="100"/>
                <w:position w:val="0"/>
              </w:rPr>
              <w:t>2</w:t>
            </w:r>
            <w:r>
              <w:rPr>
                <w:color w:val="000000"/>
                <w:spacing w:val="0"/>
                <w:w w:val="100"/>
                <w:position w:val="0"/>
              </w:rPr>
              <w:t>年内不得出售。对于发行人未来新聘任的 董事、高级管理人员，也须履行以上规定。（三）其他法律、法规以及中 国证监会、证券交易所规定允许的措施。二、若发行人股票连续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 日的收盘价低于发行人最近一期末经审计每股净资产，发行人应立即启动 股价稳定预案。发行人应在有关股价稳定措施启动条件成就后</w:t>
            </w:r>
            <w:r>
              <w:rPr>
                <w:rFonts w:ascii="Times New Roman" w:eastAsia="Times New Roman" w:hAnsi="Times New Roman" w:cs="Times New Roman"/>
                <w:color w:val="000000"/>
                <w:spacing w:val="0"/>
                <w:w w:val="100"/>
                <w:position w:val="0"/>
              </w:rPr>
              <w:t>5</w:t>
            </w:r>
            <w:r>
              <w:rPr>
                <w:color w:val="000000"/>
                <w:spacing w:val="0"/>
                <w:w w:val="100"/>
                <w:position w:val="0"/>
              </w:rPr>
              <w:t>个交易日 内召开董事会讨论稳定股价方案，并提交股东大会审议通过后实施并公 告。三、发行人董事、高级管理人员承诺将按照股东大会审议通过的稳定 股价方案实施稳定股价措施。四、终止股价稳定方案的条件（一）发行人 股票连续三个交易日的收盘价均高于发行人最近一期经审计的每股净资产 （最近一期审计基准日后，因利润分配、资本公积转增股本、增发、配股 等情况导致发行人净资产或股份总数出现变化的，每股净资产相应进行调 整）；（二）继续实施股价稳定方案将导致发行人股权分布不符合上市条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一、发行人不存在不符合发行上市条件而以欺骗手段骗取发行注册的情 形。二、若因发行人本次发行上市的招股说明书有虚假记载、误导性陈述 或者重大遗漏，导致对判断发行人是否符合法律规定的发行条件构成重 大、实质影响的，发行人将在中国证监会或人民法院等有权部门作出发行 人存在上述违法事实的最终认定或生效判决后五个工作日内启动股份购回 程序，根据《科创板上市公司持续监管办法（试行）》、《上海证券交易 所科创板股票上市规则》等相关法律、法规及《中微半导体（上海）股份 有限公司章程》（以下简称</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规定召开董事会、拟定股份回 购的具体方案并按法定程序召集、召开临时股东大会进行审议，并报相关 主管部门批准或备案；发行人将依法回购本次公开发行的全部新股，回购 价格将按照发行价（若发行人股票在此期间发生派息、送股、资本公积金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转赠股本等除权除息事项的，发行价应相应调整）加算银行同期存款利息 确定，并根据相关法律、法规及《公司章程》等规定的程序实施。在实施 上述股份回购时，如相关法律、法规及《公司章程》等另有规定的，从其 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一、发行人不存在不符合发行上市条件而以欺骗手段骗取发行注册的情 形。二、若因发行人本次发行上市的招股说明书有虚假记载、误导性陈述 或者重大遗漏，导致对判断发行人是否符合法律规定的发行条件构成重 大、实质影响的，本企业将督促发行人在中国证监会或人民法院等有权部 门作出发行人存在上述违法事实的最终认定或生效判决后五个工作日内启 动股份购回程序，根据《科创板上市公司持续监管办法（试行）》、《上 海证券交易所科创板股票上市规则》等相关法律、法规及《中微半导体</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（上海）股份有限公司章程》（以下简称</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规定召开董事 会、拟定股份回购的具体方案并按法定程序召集、召开临时股东大会进行 审议，并报相关主管部门批准或备案；督促发行人依法回购本次公开发行 的全部新股，回购价格将按照发行价（若发行人股票在此期间发生派息、 送股、资本公积金转赠股本等除权除息事项的，发行价应相应调整）加算 银行同期存款利息确定，并根据相关法律、法规及《公司章程》等规定的 程序实施。同时，本企业将根据上述股份回购措施的规定，依法购回发行 人上市后本企业减持的原限售股份，回购价格为市场价格或经证券监督管 理部门认可的其他价格。在实施上述股份回购时，如相关法律、法规及</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《公司章程》等另有规定的，从其规定。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47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 及高级管理 人员</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一、发行人不存在不符合发行上市条件而以欺骗手段骗取发行注册的情 形。二、若因发行人本次发行上市的招股说明书有虚假记载、误导性陈述 或者重大遗漏，导致对判断发行人是否符合法律规定的发行条件构成重 大、实质影响的，如经中国证监会或人民法院等有权部门作出发行人构成 欺诈发行或重大信息披露违法的最终认定或生效判决且本人对该等违法负 有个人责任的，本人将在该等认定或判决作出后五个工作日内按照《科创 板上市公司持续监管办法（试行）》、《上海证券交易所科创板股票上市 规则》的规定及中国证监会等有权部门的决定采取补救措施，承担相应的 法律责任。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110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、积极实施募集资金投资项目，进一步加强研发投入，尽快获得预期投资 回报；</w:t>
            </w:r>
            <w:r>
              <w:rPr>
                <w:rFonts w:ascii="Times New Roman" w:eastAsia="Times New Roman" w:hAnsi="Times New Roman" w:cs="Times New Roman"/>
                <w:color w:val="000000"/>
                <w:spacing w:val="0"/>
                <w:w w:val="100"/>
                <w:position w:val="0"/>
              </w:rPr>
              <w:t>2</w:t>
            </w:r>
            <w:r>
              <w:rPr>
                <w:color w:val="000000"/>
                <w:spacing w:val="0"/>
                <w:w w:val="100"/>
                <w:position w:val="0"/>
              </w:rPr>
              <w:t>、大力拓展现有业务，开拓新市场和新领域；</w:t>
            </w:r>
            <w:r>
              <w:rPr>
                <w:rFonts w:ascii="Times New Roman" w:eastAsia="Times New Roman" w:hAnsi="Times New Roman" w:cs="Times New Roman"/>
                <w:color w:val="000000"/>
                <w:spacing w:val="0"/>
                <w:w w:val="100"/>
                <w:position w:val="0"/>
              </w:rPr>
              <w:t>3</w:t>
            </w:r>
            <w:r>
              <w:rPr>
                <w:color w:val="000000"/>
                <w:spacing w:val="0"/>
                <w:w w:val="100"/>
                <w:position w:val="0"/>
              </w:rPr>
              <w:t>、加强募集资金管 理；</w:t>
            </w:r>
            <w:r>
              <w:rPr>
                <w:rFonts w:ascii="Times New Roman" w:eastAsia="Times New Roman" w:hAnsi="Times New Roman" w:cs="Times New Roman"/>
                <w:color w:val="000000"/>
                <w:spacing w:val="0"/>
                <w:w w:val="100"/>
                <w:position w:val="0"/>
              </w:rPr>
              <w:t>4</w:t>
            </w:r>
            <w:r>
              <w:rPr>
                <w:color w:val="000000"/>
                <w:spacing w:val="0"/>
                <w:w w:val="100"/>
                <w:position w:val="0"/>
              </w:rPr>
              <w:t xml:space="preserve">、加强经营管理和内部控制，降低发行人运营成本，提升经营效率； </w:t>
            </w:r>
            <w:r>
              <w:rPr>
                <w:rFonts w:ascii="Times New Roman" w:eastAsia="Times New Roman" w:hAnsi="Times New Roman" w:cs="Times New Roman"/>
                <w:color w:val="000000"/>
                <w:spacing w:val="0"/>
                <w:w w:val="100"/>
                <w:position w:val="0"/>
              </w:rPr>
              <w:t>5</w:t>
            </w:r>
            <w:r>
              <w:rPr>
                <w:color w:val="000000"/>
                <w:spacing w:val="0"/>
                <w:w w:val="100"/>
                <w:position w:val="0"/>
              </w:rPr>
              <w:t>、优化投资回报机制。</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737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一、利润分配顺序公司分配当年税后利润时，应当提取利润的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列入公 司法定公积金。公司法定公积金累计额为公司注册资本的</w:t>
            </w:r>
            <w:r>
              <w:rPr>
                <w:rFonts w:ascii="Times New Roman" w:eastAsia="Times New Roman" w:hAnsi="Times New Roman" w:cs="Times New Roman"/>
                <w:color w:val="000000"/>
                <w:spacing w:val="0"/>
                <w:w w:val="100"/>
                <w:position w:val="0"/>
              </w:rPr>
              <w:t>50%</w:t>
            </w:r>
            <w:r>
              <w:rPr>
                <w:color w:val="000000"/>
                <w:spacing w:val="0"/>
                <w:w w:val="100"/>
                <w:position w:val="0"/>
              </w:rPr>
              <w:t>以上的，可 以不再提取。公司的法定公积金不足以弥补以前年度亏损的，在依照前款 规定提取法定公积金之前，应当先用当年利润弥补亏损。二、利润分配具 体政策</w:t>
            </w:r>
            <w:r>
              <w:rPr>
                <w:rFonts w:ascii="Times New Roman" w:eastAsia="Times New Roman" w:hAnsi="Times New Roman" w:cs="Times New Roman"/>
                <w:color w:val="000000"/>
                <w:spacing w:val="0"/>
                <w:w w:val="100"/>
                <w:position w:val="0"/>
              </w:rPr>
              <w:t>1</w:t>
            </w:r>
            <w:r>
              <w:rPr>
                <w:color w:val="000000"/>
                <w:spacing w:val="0"/>
                <w:w w:val="100"/>
                <w:position w:val="0"/>
              </w:rPr>
              <w:t>、利润分配的方式：公司利润分配可采取现金、股票、现金与股票 相结合或者法律、法规允许的其他方式，利润分配不得超过累计可分配利 润的范围，不得损害公司持续经营能力。在有条件的情况下，公司可以进 行中期利润分配。公司在选择利润分配方式时，相对于股票股利等分配方 式优先采用现金分红的利润分配方式；具备现金分红条件的，应当采用现 金分红进行利润分配。</w:t>
            </w:r>
            <w:r>
              <w:rPr>
                <w:rFonts w:ascii="Times New Roman" w:eastAsia="Times New Roman" w:hAnsi="Times New Roman" w:cs="Times New Roman"/>
                <w:color w:val="000000"/>
                <w:spacing w:val="0"/>
                <w:w w:val="100"/>
                <w:position w:val="0"/>
              </w:rPr>
              <w:t>2</w:t>
            </w:r>
            <w:r>
              <w:rPr>
                <w:color w:val="000000"/>
                <w:spacing w:val="0"/>
                <w:w w:val="100"/>
                <w:position w:val="0"/>
              </w:rPr>
              <w:t>、实施现金分配的条件：（</w:t>
            </w:r>
            <w:r>
              <w:rPr>
                <w:rFonts w:ascii="Times New Roman" w:eastAsia="Times New Roman" w:hAnsi="Times New Roman" w:cs="Times New Roman"/>
                <w:color w:val="000000"/>
                <w:spacing w:val="0"/>
                <w:w w:val="100"/>
                <w:position w:val="0"/>
              </w:rPr>
              <w:t>1</w:t>
            </w:r>
            <w:r>
              <w:rPr>
                <w:color w:val="000000"/>
                <w:spacing w:val="0"/>
                <w:w w:val="100"/>
                <w:position w:val="0"/>
              </w:rPr>
              <w:t>）公司该年度或半年 度实现的可分配利润为正值，即公司弥补亏损、提取公积金后所余的税后 利润为正值。（</w:t>
            </w:r>
            <w:r>
              <w:rPr>
                <w:rFonts w:ascii="Times New Roman" w:eastAsia="Times New Roman" w:hAnsi="Times New Roman" w:cs="Times New Roman"/>
                <w:color w:val="000000"/>
                <w:spacing w:val="0"/>
                <w:w w:val="100"/>
                <w:position w:val="0"/>
              </w:rPr>
              <w:t>2</w:t>
            </w:r>
            <w:r>
              <w:rPr>
                <w:color w:val="000000"/>
                <w:spacing w:val="0"/>
                <w:w w:val="100"/>
                <w:position w:val="0"/>
              </w:rPr>
              <w:t>）公司累计可供分配利润为正值，当年每股累计可供分配 利润不低于</w:t>
            </w:r>
            <w:r>
              <w:rPr>
                <w:rFonts w:ascii="Times New Roman" w:eastAsia="Times New Roman" w:hAnsi="Times New Roman" w:cs="Times New Roman"/>
                <w:color w:val="000000"/>
                <w:spacing w:val="0"/>
                <w:w w:val="100"/>
                <w:position w:val="0"/>
              </w:rPr>
              <w:t>0.1</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）审计机构对公司的该年度或半年度财务报告出具 无保留意见的审计报告。</w:t>
            </w:r>
            <w:r>
              <w:rPr>
                <w:rFonts w:ascii="Times New Roman" w:eastAsia="Times New Roman" w:hAnsi="Times New Roman" w:cs="Times New Roman"/>
                <w:color w:val="000000"/>
                <w:spacing w:val="0"/>
                <w:w w:val="100"/>
                <w:position w:val="0"/>
              </w:rPr>
              <w:t>3</w:t>
            </w:r>
            <w:r>
              <w:rPr>
                <w:color w:val="000000"/>
                <w:spacing w:val="0"/>
                <w:w w:val="100"/>
                <w:position w:val="0"/>
              </w:rPr>
              <w:t>、利润分配期间间隔在满足利润分配条件前提 下，原则上公司每年进行一次利润分配，主要以现金分红为主，但公司可 以根据公司盈利情况及资金需求状况进行中期现金分红。</w:t>
            </w:r>
            <w:r>
              <w:rPr>
                <w:rFonts w:ascii="Times New Roman" w:eastAsia="Times New Roman" w:hAnsi="Times New Roman" w:cs="Times New Roman"/>
                <w:color w:val="000000"/>
                <w:spacing w:val="0"/>
                <w:w w:val="100"/>
                <w:position w:val="0"/>
              </w:rPr>
              <w:t>4</w:t>
            </w:r>
            <w:r>
              <w:rPr>
                <w:color w:val="000000"/>
                <w:spacing w:val="0"/>
                <w:w w:val="100"/>
                <w:position w:val="0"/>
              </w:rPr>
              <w:t>、现金分红的条 件和比例公司具备现金分红条件的，公司应当采取现金方式分配股利，公 司最近三年以现金方式累计分配的利润不少于最近三年实现的年均可分配 利润的</w:t>
            </w:r>
            <w:r>
              <w:rPr>
                <w:rFonts w:ascii="Times New Roman" w:eastAsia="Times New Roman" w:hAnsi="Times New Roman" w:cs="Times New Roman"/>
                <w:color w:val="000000"/>
                <w:spacing w:val="0"/>
                <w:w w:val="100"/>
                <w:position w:val="0"/>
              </w:rPr>
              <w:t>30%</w:t>
            </w:r>
            <w:r>
              <w:rPr>
                <w:color w:val="000000"/>
                <w:spacing w:val="0"/>
                <w:w w:val="100"/>
                <w:position w:val="0"/>
              </w:rPr>
              <w:t>；公司在实施上述现金分配股利的同时，可以派发股票股利。 公司董事会应当综合考虑所处行业特点、发展阶段、自身经营模式、盈利 水平以及是否有重大资金支出安排等因素，区分下列情形，并按照公司章 程规定的程序，提出差异化的现金分红政策：（</w:t>
            </w:r>
            <w:r>
              <w:rPr>
                <w:rFonts w:ascii="Times New Roman" w:eastAsia="Times New Roman" w:hAnsi="Times New Roman" w:cs="Times New Roman"/>
                <w:color w:val="000000"/>
                <w:spacing w:val="0"/>
                <w:w w:val="100"/>
                <w:position w:val="0"/>
              </w:rPr>
              <w:t>1</w:t>
            </w:r>
            <w:r>
              <w:rPr>
                <w:color w:val="000000"/>
                <w:spacing w:val="0"/>
                <w:w w:val="100"/>
                <w:position w:val="0"/>
              </w:rPr>
              <w:t>）公司发展阶段属成熟期 且无重大资金支出安排的，进行利润分配时，现金分红在本次利润分配中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）公司发展阶段属成熟期且有重大资金支出 安排的，进行利润分配时，现金分红在本次利润分配中所占比例最低应达 到</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）公司发展阶段属成长期且有重大资金支出安排的，进行利润 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；公司发展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left"/>
            </w:pPr>
            <w:r>
              <w:rPr>
                <w:color w:val="000000"/>
                <w:spacing w:val="0"/>
                <w:w w:val="100"/>
                <w:position w:val="0"/>
              </w:rPr>
              <w:t>自二零一九 年七月二十 二日上市后 三年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阶段不易区分但有重大资金支出安排的，可以按照前项规定处理。重大资 金支出是指公司未来</w:t>
            </w:r>
            <w:r>
              <w:rPr>
                <w:rFonts w:ascii="Times New Roman" w:eastAsia="Times New Roman" w:hAnsi="Times New Roman" w:cs="Times New Roman"/>
                <w:color w:val="000000"/>
                <w:spacing w:val="0"/>
                <w:w w:val="100"/>
                <w:position w:val="0"/>
              </w:rPr>
              <w:t>12</w:t>
            </w:r>
            <w:r>
              <w:rPr>
                <w:color w:val="000000"/>
                <w:spacing w:val="0"/>
                <w:w w:val="100"/>
                <w:position w:val="0"/>
              </w:rPr>
              <w:t>个月内拟对外投资、收购资产、购买设备或者研发 支出等资本性支出累计支出达到或者超过公司最近一期经审计净资产的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以上，募集资金投资项目除外。</w:t>
            </w:r>
            <w:r>
              <w:rPr>
                <w:rFonts w:ascii="Times New Roman" w:eastAsia="Times New Roman" w:hAnsi="Times New Roman" w:cs="Times New Roman"/>
                <w:color w:val="000000"/>
                <w:spacing w:val="0"/>
                <w:w w:val="100"/>
                <w:position w:val="0"/>
              </w:rPr>
              <w:t>5</w:t>
            </w:r>
            <w:r>
              <w:rPr>
                <w:color w:val="000000"/>
                <w:spacing w:val="0"/>
                <w:w w:val="100"/>
                <w:position w:val="0"/>
              </w:rPr>
              <w:t>、公司发放股票股利的具体条件公司在经 营情况良好且董事会认为公司未来成长性较好、每股净资产偏高、公司股 票价格与公司股本规模不匹配、发放股票股利有利于公司全体股东整体利 益时，可以在满足上述现金分红的条件下，公司可以采用发放股票股利方 式进行利润分配，具体分红比例由公司董事会审议通过后，提交股东大会 审议决定。三、利润分配方案的决策程序和机制</w:t>
            </w:r>
            <w:r>
              <w:rPr>
                <w:rFonts w:ascii="Times New Roman" w:eastAsia="Times New Roman" w:hAnsi="Times New Roman" w:cs="Times New Roman"/>
                <w:color w:val="000000"/>
                <w:spacing w:val="0"/>
                <w:w w:val="100"/>
                <w:position w:val="0"/>
              </w:rPr>
              <w:t>1</w:t>
            </w:r>
            <w:r>
              <w:rPr>
                <w:color w:val="000000"/>
                <w:spacing w:val="0"/>
                <w:w w:val="100"/>
                <w:position w:val="0"/>
              </w:rPr>
              <w:t>、公司每年利润分配预案 由董事会结合公司章程的规定、盈利情况、资金供给和需求情况提出、拟 订，经董事会审议通过并经半数以上独立董事同意后提请股东大会审议。 独立董事及监事会对提请股东大会审议的利润分配预案进行审核并出具书 面意见。董事会审议现金分红具体方案时，应当认真研究和论证公司现金 分红的时机、条件和最低比例、调整的条件及决策程序要求等事宜，独立 董事应对利润分配方案进行审核并发表独立明确的意见，董事会通过后提 交股东大会审议。独立董事可以征集中小股东的意见，提出分红提案，并 直接提交董事会审议。股东大会对现金分红具体方案进行审议时，应通过 多种渠道主动与股东特别是中小股东进行沟通和交流，包括但不限于电 话、传真和邮件沟通或邀请中小股东参会等方式，充分听取中小股东的意 见和诉求，并及时答复中小股东关心的问题。</w:t>
            </w:r>
            <w:r>
              <w:rPr>
                <w:rFonts w:ascii="Times New Roman" w:eastAsia="Times New Roman" w:hAnsi="Times New Roman" w:cs="Times New Roman"/>
                <w:color w:val="000000"/>
                <w:spacing w:val="0"/>
                <w:w w:val="100"/>
                <w:position w:val="0"/>
              </w:rPr>
              <w:t>2</w:t>
            </w:r>
            <w:r>
              <w:rPr>
                <w:color w:val="000000"/>
                <w:spacing w:val="0"/>
                <w:w w:val="100"/>
                <w:position w:val="0"/>
              </w:rPr>
              <w:t>、如公司符合现金分红条件 但不提出现金利润分配预案，或以现金方式分配的利润低于当年实现的可 分配利润的</w:t>
            </w:r>
            <w:r>
              <w:rPr>
                <w:rFonts w:ascii="Times New Roman" w:eastAsia="Times New Roman" w:hAnsi="Times New Roman" w:cs="Times New Roman"/>
                <w:color w:val="000000"/>
                <w:spacing w:val="0"/>
                <w:w w:val="100"/>
                <w:position w:val="0"/>
              </w:rPr>
              <w:t>10%</w:t>
            </w:r>
            <w:r>
              <w:rPr>
                <w:color w:val="000000"/>
                <w:spacing w:val="0"/>
                <w:w w:val="100"/>
                <w:position w:val="0"/>
              </w:rPr>
              <w:t>，公司应在董事会决议公告和年报全文中披露未进行现金 分红或现金分配低于规定比例的原因，以及公司留存收益的确切用途及预 计投资收益等事项进行专项说明，经独立董事发表意见后提交股东大会审 议。四、公司利润分配政策的变更如遇到战争、自然灾害等不可抗力，并 对公司生产经营造成重大影响时，或公司自身经营状况发生重大变化时， 或公司根据生产经营情况、投资规划和长期发展的需要确需调整利润分配 政策的，公司可对利润分配政策进行调整，调整后的利润分配政策不得违 反中国证监会和证券交易所的有关规定。有关调整利润分配政策的制订和 修改由公司董事会草拟，独立董事应当发表独立意见，经董事会、监事会 审议通过后提交股东大会审议。股东大会审议制定或修改利润分配相关政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30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3" w:lineRule="exact"/>
              <w:ind w:left="0" w:right="0" w:firstLine="0"/>
              <w:jc w:val="left"/>
            </w:pPr>
            <w:r>
              <w:rPr>
                <w:color w:val="000000"/>
                <w:spacing w:val="0"/>
                <w:w w:val="100"/>
                <w:position w:val="0"/>
              </w:rPr>
              <w:t>策时，须经出席股东大会会议的股东（包括股东代理人）所持表决权的</w:t>
            </w:r>
            <w:r>
              <w:rPr>
                <w:rFonts w:ascii="Times New Roman" w:eastAsia="Times New Roman" w:hAnsi="Times New Roman" w:cs="Times New Roman"/>
                <w:color w:val="000000"/>
                <w:spacing w:val="0"/>
                <w:w w:val="100"/>
                <w:position w:val="0"/>
              </w:rPr>
              <w:t xml:space="preserve">2/3 </w:t>
            </w:r>
            <w:r>
              <w:rPr>
                <w:color w:val="000000"/>
                <w:spacing w:val="0"/>
                <w:w w:val="100"/>
                <w:position w:val="0"/>
              </w:rPr>
              <w:t>以上表决通过，审议时公司应提供网络投票系统进行表决，充分征求社会 公众投资者的意见，以保护投资者的权益。五、利润分配政策的披露公司 应当在定期报告中详细披露利润分配政策的制定及执行情况，说明是否符 合公司章程的规定或者股东大会决议的要求，现金分红标准和比例是否明 确和清晰，相关的决策程序和机制是否完备，独立董事是否尽职履责并发 挥了应有的作用，中小股东是否有充分表达意见和诉求的机会，中小股东 的合法权益是否得到充分维护等。如涉及利润分配政策进行调整或变更 的，还要详细说明调整或变更的条件和程序是否合规和透明等。六、其他 事项公司股东存在违规占用公司资金情况的，公司应当扣减该股东所分配 的现金红利，以偿还其占用的资金。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公司、全体 董事、监 事、高级管 理人员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若因发行人本次发行上市的招股说明书有虚假记载、误导性陈述或者重大 遗漏，致使投资者在证券交易中遭受损失的，发行人将在中国证监会等有 权部门对违法事实作出最终认定后依法赔偿投资者损失。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83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公司的招股说明书及其他信息披露资料有虚假记载、误导性陈述或者重大 遗漏，致使投资者在证券发行和交易中遭受损失的，将依法赔偿投资者损 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557"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公司及全体 股东、全体 董事、监 事、高级管 理人员、核 心技术人员</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（一）如发行人</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本人非因不可抗力原因导致未能履行公开承诺事项 的，需提出新的承诺（相关承诺需按法律、法规、公司章程的规定履行相 关审批程序）并接受如下约束措施，直至新的承诺履行完毕或相应补救措 施实施完毕：</w:t>
            </w:r>
            <w:r>
              <w:rPr>
                <w:rFonts w:ascii="Times New Roman" w:eastAsia="Times New Roman" w:hAnsi="Times New Roman" w:cs="Times New Roman"/>
                <w:color w:val="000000"/>
                <w:spacing w:val="0"/>
                <w:w w:val="100"/>
                <w:position w:val="0"/>
              </w:rPr>
              <w:t>1</w:t>
            </w:r>
            <w:r>
              <w:rPr>
                <w:color w:val="000000"/>
                <w:spacing w:val="0"/>
                <w:w w:val="100"/>
                <w:position w:val="0"/>
              </w:rPr>
              <w:t>、发行人</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本人将在股东大会及中国证券监督管理委 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指定报刊上公开说明未履行承诺的具体原因 并向股东和社会公众投资者道歉；</w:t>
            </w:r>
            <w:r>
              <w:rPr>
                <w:rFonts w:ascii="Times New Roman" w:eastAsia="Times New Roman" w:hAnsi="Times New Roman" w:cs="Times New Roman"/>
                <w:color w:val="000000"/>
                <w:spacing w:val="0"/>
                <w:w w:val="100"/>
                <w:position w:val="0"/>
              </w:rPr>
              <w:t>2</w:t>
            </w:r>
            <w:r>
              <w:rPr>
                <w:color w:val="000000"/>
                <w:spacing w:val="0"/>
                <w:w w:val="100"/>
                <w:position w:val="0"/>
              </w:rPr>
              <w:t>、及时、充分披露相关承诺未能履行、 确已无法履行或无法按期履行的具体原因；</w:t>
            </w:r>
            <w:r>
              <w:rPr>
                <w:rFonts w:ascii="Times New Roman" w:eastAsia="Times New Roman" w:hAnsi="Times New Roman" w:cs="Times New Roman"/>
                <w:color w:val="000000"/>
                <w:spacing w:val="0"/>
                <w:w w:val="100"/>
                <w:position w:val="0"/>
              </w:rPr>
              <w:t>3</w:t>
            </w:r>
            <w:r>
              <w:rPr>
                <w:color w:val="000000"/>
                <w:spacing w:val="0"/>
                <w:w w:val="100"/>
                <w:position w:val="0"/>
              </w:rPr>
              <w:t>、对该等未履行承诺的行为负 有个人责任的董事、监事、高级管理人员、核心技术人员调减或停发薪酬 或津贴；</w:t>
            </w:r>
            <w:r>
              <w:rPr>
                <w:rFonts w:ascii="Times New Roman" w:eastAsia="Times New Roman" w:hAnsi="Times New Roman" w:cs="Times New Roman"/>
                <w:color w:val="000000"/>
                <w:spacing w:val="0"/>
                <w:w w:val="100"/>
                <w:position w:val="0"/>
              </w:rPr>
              <w:t>4</w:t>
            </w:r>
            <w:r>
              <w:rPr>
                <w:color w:val="000000"/>
                <w:spacing w:val="0"/>
                <w:w w:val="100"/>
                <w:position w:val="0"/>
              </w:rPr>
              <w:t>、不得转让发行人的股份。因继承、被强制执行、上市公司重 组、为履行保护投资者利益承诺等必须转股的情形除外；</w:t>
            </w:r>
            <w:r>
              <w:rPr>
                <w:rFonts w:ascii="Times New Roman" w:eastAsia="Times New Roman" w:hAnsi="Times New Roman" w:cs="Times New Roman"/>
                <w:color w:val="000000"/>
                <w:spacing w:val="0"/>
                <w:w w:val="100"/>
                <w:position w:val="0"/>
              </w:rPr>
              <w:t>5</w:t>
            </w:r>
            <w:r>
              <w:rPr>
                <w:color w:val="000000"/>
                <w:spacing w:val="0"/>
                <w:w w:val="100"/>
                <w:position w:val="0"/>
              </w:rPr>
              <w:t>、向投资者提出 补充承诺或替代承诺，以尽可能保护投资者的权益；并同意将上述补充承 诺或替代承诺提交股东大会审议；</w:t>
            </w:r>
            <w:r>
              <w:rPr>
                <w:rFonts w:ascii="Times New Roman" w:eastAsia="Times New Roman" w:hAnsi="Times New Roman" w:cs="Times New Roman"/>
                <w:color w:val="000000"/>
                <w:spacing w:val="0"/>
                <w:w w:val="100"/>
                <w:position w:val="0"/>
              </w:rPr>
              <w:t>6</w:t>
            </w:r>
            <w:r>
              <w:rPr>
                <w:color w:val="000000"/>
                <w:spacing w:val="0"/>
                <w:w w:val="100"/>
                <w:position w:val="0"/>
              </w:rPr>
              <w:t>、如违反相关承诺给投资者造成损失 的，将依法赔偿投资者的损失。如该等已违反的承诺仍可继续履行，发行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133"/>
        <w:gridCol w:w="691"/>
        <w:gridCol w:w="1267"/>
        <w:gridCol w:w="7133"/>
        <w:gridCol w:w="1272"/>
        <w:gridCol w:w="427"/>
        <w:gridCol w:w="427"/>
        <w:gridCol w:w="850"/>
        <w:gridCol w:w="691"/>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本人将继续履行该等承诺。（二）如发行人</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本人因不可 抗力原因导致未能履行公开承诺事项的，需提出新的承诺（相关承诺需按 法律、法规、公司章程的规定履行相关审批程序）并接受如下约束措施， 直至新的承诺履行完毕或相应补救措施实施完毕：</w:t>
            </w:r>
            <w:r>
              <w:rPr>
                <w:rFonts w:ascii="Times New Roman" w:eastAsia="Times New Roman" w:hAnsi="Times New Roman" w:cs="Times New Roman"/>
                <w:color w:val="000000"/>
                <w:spacing w:val="0"/>
                <w:w w:val="100"/>
                <w:position w:val="0"/>
              </w:rPr>
              <w:t>1</w:t>
            </w:r>
            <w:r>
              <w:rPr>
                <w:color w:val="000000"/>
                <w:spacing w:val="0"/>
                <w:w w:val="100"/>
                <w:position w:val="0"/>
              </w:rPr>
              <w:t>、在股东大会及中国证 监会指定的披露媒体上公开说明未履行的具体原因并向股东和社会公众投 资者道歉；</w:t>
            </w:r>
            <w:r>
              <w:rPr>
                <w:rFonts w:ascii="Times New Roman" w:eastAsia="Times New Roman" w:hAnsi="Times New Roman" w:cs="Times New Roman"/>
                <w:color w:val="000000"/>
                <w:spacing w:val="0"/>
                <w:w w:val="100"/>
                <w:position w:val="0"/>
              </w:rPr>
              <w:t>2</w:t>
            </w:r>
            <w:r>
              <w:rPr>
                <w:color w:val="000000"/>
                <w:spacing w:val="0"/>
                <w:w w:val="100"/>
                <w:position w:val="0"/>
              </w:rPr>
              <w:t>、尽快研究将投资者利益损失降低到最小的处理方案，尽可能 地保护投资者利益。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与再融资 相关的承 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公司全体董 事、高级管 理人员</w:t>
            </w:r>
          </w:p>
        </w:tc>
        <w:tc>
          <w:tcPr>
            <w:tcBorders>
              <w:top w:val="single" w:sz="4"/>
              <w:left w:val="single" w:sz="4"/>
            </w:tcBorders>
            <w:shd w:val="clear" w:color="auto" w:fill="FFFFFF"/>
            <w:vAlign w:val="bottom"/>
          </w:tcPr>
          <w:p>
            <w:pPr>
              <w:pStyle w:val="Style25"/>
              <w:keepNext w:val="0"/>
              <w:keepLines w:val="0"/>
              <w:widowControl w:val="0"/>
              <w:shd w:val="clear" w:color="auto" w:fill="auto"/>
              <w:tabs>
                <w:tab w:pos="523" w:val="left"/>
              </w:tabs>
              <w:bidi w:val="0"/>
              <w:spacing w:before="0" w:after="0" w:line="27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承诺不无偿或以不公平条件向其他单位或者个人输送利益，也不采用 其他方式损害公司利益。</w:t>
            </w:r>
          </w:p>
          <w:p>
            <w:pPr>
              <w:pStyle w:val="Style25"/>
              <w:keepNext w:val="0"/>
              <w:keepLines w:val="0"/>
              <w:widowControl w:val="0"/>
              <w:shd w:val="clear" w:color="auto" w:fill="auto"/>
              <w:tabs>
                <w:tab w:pos="408" w:val="left"/>
              </w:tabs>
              <w:bidi w:val="0"/>
              <w:spacing w:before="0" w:after="0" w:line="27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承诺对个人的职务消费行为进行约束。</w:t>
            </w:r>
          </w:p>
          <w:p>
            <w:pPr>
              <w:pStyle w:val="Style25"/>
              <w:keepNext w:val="0"/>
              <w:keepLines w:val="0"/>
              <w:widowControl w:val="0"/>
              <w:shd w:val="clear" w:color="auto" w:fill="auto"/>
              <w:tabs>
                <w:tab w:pos="408" w:val="left"/>
              </w:tabs>
              <w:bidi w:val="0"/>
              <w:spacing w:before="0" w:after="0" w:line="27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承诺不动用公司资产从事与其履行职责无关的投资、消费活动。</w:t>
            </w:r>
          </w:p>
          <w:p>
            <w:pPr>
              <w:pStyle w:val="Style25"/>
              <w:keepNext w:val="0"/>
              <w:keepLines w:val="0"/>
              <w:widowControl w:val="0"/>
              <w:shd w:val="clear" w:color="auto" w:fill="auto"/>
              <w:tabs>
                <w:tab w:pos="518" w:val="left"/>
              </w:tabs>
              <w:bidi w:val="0"/>
              <w:spacing w:before="0" w:after="0" w:line="27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承诺由董事会或薪酬委员会制定的薪酬制度与公司填补回报措施的执 行情况相挂钩。</w:t>
            </w:r>
          </w:p>
          <w:p>
            <w:pPr>
              <w:pStyle w:val="Style25"/>
              <w:keepNext w:val="0"/>
              <w:keepLines w:val="0"/>
              <w:widowControl w:val="0"/>
              <w:shd w:val="clear" w:color="auto" w:fill="auto"/>
              <w:tabs>
                <w:tab w:pos="509" w:val="left"/>
              </w:tabs>
              <w:bidi w:val="0"/>
              <w:spacing w:before="0" w:after="0" w:line="27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承诺拟公布的公司股权激励（如有）的行权条件与公司填补回报措施 的执行情况相挂钩。</w:t>
            </w:r>
          </w:p>
          <w:p>
            <w:pPr>
              <w:pStyle w:val="Style25"/>
              <w:keepNext w:val="0"/>
              <w:keepLines w:val="0"/>
              <w:widowControl w:val="0"/>
              <w:shd w:val="clear" w:color="auto" w:fill="auto"/>
              <w:tabs>
                <w:tab w:pos="523" w:val="left"/>
              </w:tabs>
              <w:bidi w:val="0"/>
              <w:spacing w:before="0" w:after="0" w:line="27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本承诺出具日后至公司本次向特定对象发行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股股票实施完毕前，若 中国证监会作出关于填补回报措施及其承诺的其他新监管规定的，且上述 承诺不能满足中国证监会该等规定时，本人承诺届时将按照中国证监会的 最新规定出具补充承诺。</w:t>
            </w:r>
          </w:p>
          <w:p>
            <w:pPr>
              <w:pStyle w:val="Style25"/>
              <w:keepNext w:val="0"/>
              <w:keepLines w:val="0"/>
              <w:widowControl w:val="0"/>
              <w:shd w:val="clear" w:color="auto" w:fill="auto"/>
              <w:tabs>
                <w:tab w:pos="523" w:val="left"/>
              </w:tabs>
              <w:bidi w:val="0"/>
              <w:spacing w:before="0" w:after="0" w:line="27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承诺切实履行公司制定的有关填补回报措施以及对此作出的任何有关 填补回报措施的承诺，若本人违反该等承诺并给公司或者投资者造成损失 的，本人愿意依法承担对公司或者投资者的补偿责任。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37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公司全体董 事、监事、 高级管理人 员、上海创</w:t>
            </w:r>
          </w:p>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股股票募集说明书内容真实、准确、完 整，不存在虚假记载、误导性陈述或重大遗漏，按照诚信原则履行承诺， 并承担相应的法律责任。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1749" w:right="1525" w:bottom="1482" w:left="1419" w:header="0" w:footer="3" w:gutter="0"/>
          <w:cols w:space="720"/>
          <w:noEndnote/>
          <w:rtlGutter w:val="0"/>
          <w:docGrid w:linePitch="360"/>
        </w:sectPr>
      </w:pPr>
    </w:p>
    <w:p>
      <w:pPr>
        <w:pStyle w:val="Style35"/>
        <w:keepNext/>
        <w:keepLines/>
        <w:widowControl w:val="0"/>
        <w:shd w:val="clear" w:color="auto" w:fill="auto"/>
        <w:tabs>
          <w:tab w:pos="536" w:val="left"/>
        </w:tabs>
        <w:bidi w:val="0"/>
        <w:spacing w:before="140" w:after="0" w:line="331" w:lineRule="exact"/>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w:t>
      </w:r>
      <w:bookmarkEnd w:id="43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公司资产或项目存在盈利预测，且报告期仍处在盈利预测期间，公司就资产或项目 是否达到原盈利预测及其原因作出说明</w:t>
      </w:r>
      <w:bookmarkEnd w:id="429"/>
      <w:bookmarkEnd w:id="430"/>
      <w:bookmarkEnd w:id="4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口已达到□未达到</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31" w:lineRule="exact"/>
        <w:ind w:left="0" w:right="0" w:firstLine="0"/>
        <w:jc w:val="left"/>
      </w:pPr>
      <w:bookmarkStart w:id="433" w:name="bookmark433"/>
      <w:r>
        <w:rPr>
          <w:rFonts w:ascii="Times New Roman" w:eastAsia="Times New Roman" w:hAnsi="Times New Roman" w:cs="Times New Roman"/>
          <w:b/>
          <w:bCs/>
          <w:color w:val="000000"/>
          <w:spacing w:val="0"/>
          <w:w w:val="100"/>
          <w:position w:val="0"/>
        </w:rPr>
        <w:t>（</w:t>
      </w:r>
      <w:bookmarkEnd w:id="433"/>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4" w:val="left"/>
        </w:tabs>
        <w:bidi w:val="0"/>
        <w:spacing w:before="0" w:after="0" w:line="331" w:lineRule="exact"/>
        <w:ind w:left="0" w:right="0" w:firstLine="0"/>
        <w:jc w:val="left"/>
      </w:pPr>
      <w:bookmarkStart w:id="434" w:name="bookmark434"/>
      <w:r>
        <w:rPr>
          <w:b/>
          <w:bCs/>
          <w:color w:val="000000"/>
          <w:spacing w:val="0"/>
          <w:w w:val="100"/>
          <w:position w:val="0"/>
        </w:rPr>
        <w:t>三</w:t>
      </w:r>
      <w:bookmarkEnd w:id="434"/>
      <w:r>
        <w:rPr>
          <w:b/>
          <w:bCs/>
          <w:color w:val="000000"/>
          <w:spacing w:val="0"/>
          <w:w w:val="100"/>
          <w:position w:val="0"/>
        </w:rPr>
        <w:t>、</w:t>
        <w:tab/>
        <w:t>报告期内资金被占用情况及清欠进展情况</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4" w:val="left"/>
        </w:tabs>
        <w:bidi w:val="0"/>
        <w:spacing w:before="0" w:after="0" w:line="331" w:lineRule="exact"/>
        <w:ind w:left="0" w:right="0" w:firstLine="0"/>
        <w:jc w:val="left"/>
      </w:pPr>
      <w:bookmarkStart w:id="435" w:name="bookmark435"/>
      <w:r>
        <w:rPr>
          <w:b/>
          <w:bCs/>
          <w:color w:val="000000"/>
          <w:spacing w:val="0"/>
          <w:w w:val="100"/>
          <w:position w:val="0"/>
        </w:rPr>
        <w:t>四</w:t>
      </w:r>
      <w:bookmarkEnd w:id="435"/>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4" w:val="left"/>
        </w:tabs>
        <w:bidi w:val="0"/>
        <w:spacing w:before="0" w:after="0" w:line="331" w:lineRule="exact"/>
        <w:ind w:left="0" w:right="0" w:firstLine="0"/>
        <w:jc w:val="left"/>
      </w:pPr>
      <w:bookmarkStart w:id="436" w:name="bookmark436"/>
      <w:r>
        <w:rPr>
          <w:b/>
          <w:bCs/>
          <w:color w:val="000000"/>
          <w:spacing w:val="0"/>
          <w:w w:val="100"/>
          <w:position w:val="0"/>
        </w:rPr>
        <w:t>五</w:t>
      </w:r>
      <w:bookmarkEnd w:id="436"/>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594" w:val="left"/>
        </w:tabs>
        <w:bidi w:val="0"/>
        <w:spacing w:before="0" w:after="80" w:line="331" w:lineRule="exact"/>
        <w:ind w:left="0" w:right="0" w:firstLine="0"/>
        <w:jc w:val="left"/>
      </w:pPr>
      <w:bookmarkStart w:id="437" w:name="bookmark437"/>
      <w:r>
        <w:rPr>
          <w:b/>
          <w:bCs/>
          <w:color w:val="000000"/>
          <w:spacing w:val="0"/>
          <w:w w:val="100"/>
          <w:position w:val="0"/>
        </w:rPr>
        <w:t>（</w:t>
      </w:r>
      <w:bookmarkEnd w:id="437"/>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44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重要会计政策和会计估计的</w:t>
      </w:r>
    </w:p>
    <w:p>
      <w:pPr>
        <w:pStyle w:val="Style2"/>
        <w:keepNext w:val="0"/>
        <w:keepLines w:val="0"/>
        <w:widowControl w:val="0"/>
        <w:shd w:val="clear" w:color="auto" w:fill="auto"/>
        <w:bidi w:val="0"/>
        <w:spacing w:before="0" w:after="380" w:line="331" w:lineRule="exact"/>
        <w:ind w:left="0" w:right="0" w:firstLine="0"/>
        <w:jc w:val="both"/>
      </w:pPr>
      <w:r>
        <w:rPr>
          <w:color w:val="000000"/>
          <w:spacing w:val="0"/>
          <w:w w:val="100"/>
          <w:position w:val="0"/>
        </w:rPr>
        <w:t>变更</w:t>
      </w:r>
    </w:p>
    <w:p>
      <w:pPr>
        <w:pStyle w:val="Style35"/>
        <w:keepNext/>
        <w:keepLines/>
        <w:widowControl w:val="0"/>
        <w:shd w:val="clear" w:color="auto" w:fill="auto"/>
        <w:tabs>
          <w:tab w:pos="594" w:val="left"/>
        </w:tabs>
        <w:bidi w:val="0"/>
        <w:spacing w:before="0" w:after="0" w:line="331" w:lineRule="exact"/>
        <w:ind w:left="0" w:right="0" w:firstLine="0"/>
        <w:jc w:val="both"/>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二）</w:t>
        <w:tab/>
        <w:t>公司对重大会计差错更正原因及影响的分析说明</w:t>
      </w:r>
      <w:bookmarkEnd w:id="438"/>
      <w:bookmarkEnd w:id="439"/>
      <w:bookmarkEnd w:id="441"/>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31" w:lineRule="exact"/>
        <w:ind w:left="0" w:right="0" w:firstLine="0"/>
        <w:jc w:val="both"/>
      </w:pPr>
      <w:bookmarkStart w:id="442" w:name="bookmark442"/>
      <w:r>
        <w:rPr>
          <w:b/>
          <w:bCs/>
          <w:color w:val="000000"/>
          <w:spacing w:val="0"/>
          <w:w w:val="100"/>
          <w:position w:val="0"/>
        </w:rPr>
        <w:t>（</w:t>
      </w:r>
      <w:bookmarkEnd w:id="442"/>
      <w:r>
        <w:rPr>
          <w:b/>
          <w:bCs/>
          <w:color w:val="000000"/>
          <w:spacing w:val="0"/>
          <w:w w:val="100"/>
          <w:position w:val="0"/>
        </w:rPr>
        <w:t>三）</w:t>
        <w:tab/>
        <w:t>与前任会计师事务所进行的沟通情况</w:t>
      </w:r>
    </w:p>
    <w:p>
      <w:pPr>
        <w:pStyle w:val="Style2"/>
        <w:keepNext w:val="0"/>
        <w:keepLines w:val="0"/>
        <w:widowControl w:val="0"/>
        <w:shd w:val="clear" w:color="auto" w:fill="auto"/>
        <w:tabs>
          <w:tab w:pos="854" w:val="left"/>
        </w:tabs>
        <w:bidi w:val="0"/>
        <w:spacing w:before="0" w:after="0" w:line="331" w:lineRule="exact"/>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31" w:lineRule="exact"/>
        <w:ind w:left="0" w:right="0" w:firstLine="0"/>
        <w:jc w:val="both"/>
      </w:pPr>
      <w:bookmarkStart w:id="443" w:name="bookmark443"/>
      <w:r>
        <w:rPr>
          <w:b/>
          <w:bCs/>
          <w:color w:val="000000"/>
          <w:spacing w:val="0"/>
          <w:w w:val="100"/>
          <w:position w:val="0"/>
        </w:rPr>
        <w:t>（</w:t>
      </w:r>
      <w:bookmarkEnd w:id="443"/>
      <w:r>
        <w:rPr>
          <w:b/>
          <w:bCs/>
          <w:color w:val="000000"/>
          <w:spacing w:val="0"/>
          <w:w w:val="100"/>
          <w:position w:val="0"/>
        </w:rPr>
        <w:t>四）</w:t>
        <w:tab/>
        <w:t>其他说明</w:t>
      </w:r>
    </w:p>
    <w:p>
      <w:pPr>
        <w:pStyle w:val="Style2"/>
        <w:keepNext w:val="0"/>
        <w:keepLines w:val="0"/>
        <w:widowControl w:val="0"/>
        <w:shd w:val="clear" w:color="auto" w:fill="auto"/>
        <w:tabs>
          <w:tab w:pos="854" w:val="left"/>
        </w:tabs>
        <w:bidi w:val="0"/>
        <w:spacing w:before="0" w:after="240" w:line="331" w:lineRule="exact"/>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84" w:val="left"/>
        </w:tabs>
        <w:bidi w:val="0"/>
        <w:spacing w:before="0" w:after="80" w:line="331" w:lineRule="exact"/>
        <w:ind w:left="0" w:right="0" w:firstLine="0"/>
        <w:jc w:val="both"/>
      </w:pPr>
      <w:bookmarkStart w:id="444" w:name="bookmark444"/>
      <w:bookmarkStart w:id="445" w:name="bookmark445"/>
      <w:bookmarkStart w:id="446" w:name="bookmark446"/>
      <w:bookmarkStart w:id="447" w:name="bookmark447"/>
      <w:r>
        <w:rPr>
          <w:color w:val="000000"/>
          <w:spacing w:val="0"/>
          <w:w w:val="100"/>
          <w:position w:val="0"/>
        </w:rPr>
        <w:t>六</w:t>
      </w:r>
      <w:bookmarkEnd w:id="446"/>
      <w:r>
        <w:rPr>
          <w:color w:val="000000"/>
          <w:spacing w:val="0"/>
          <w:w w:val="100"/>
          <w:position w:val="0"/>
        </w:rPr>
        <w:t>、</w:t>
        <w:tab/>
        <w:t>聘任、解聘会计师事务所情况</w:t>
      </w:r>
      <w:bookmarkEnd w:id="444"/>
      <w:bookmarkEnd w:id="445"/>
      <w:bookmarkEnd w:id="447"/>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普华永道中天会计师事务所（特殊普通合伙）</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bl>
    <w:p>
      <w:pPr>
        <w:widowControl w:val="0"/>
        <w:spacing w:after="239" w:line="1" w:lineRule="exact"/>
      </w:pPr>
    </w:p>
    <w:tbl>
      <w:tblPr>
        <w:tblOverlap w:val="never"/>
        <w:jc w:val="center"/>
        <w:tblLayout w:type="fixed"/>
      </w:tblPr>
      <w:tblGrid>
        <w:gridCol w:w="2942"/>
        <w:gridCol w:w="2947"/>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普华永道中天会计师事务所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40" w:line="41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年年度股东大会，同意继续聘任普华永道中天会计师事 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rPr>
        <w:t>七</w:t>
      </w:r>
      <w:bookmarkEnd w:id="450"/>
      <w:r>
        <w:rPr>
          <w:color w:val="000000"/>
          <w:spacing w:val="0"/>
          <w:w w:val="100"/>
          <w:position w:val="0"/>
        </w:rPr>
        <w:t>、面临终止上市的情况和原因</w:t>
      </w:r>
      <w:bookmarkEnd w:id="448"/>
      <w:bookmarkEnd w:id="449"/>
      <w:bookmarkEnd w:id="451"/>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8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八</w:t>
      </w:r>
      <w:bookmarkEnd w:id="454"/>
      <w:r>
        <w:rPr>
          <w:color w:val="000000"/>
          <w:spacing w:val="0"/>
          <w:w w:val="100"/>
          <w:position w:val="0"/>
        </w:rPr>
        <w:t>、</w:t>
        <w:tab/>
        <w:t>破产重整相关事项</w:t>
      </w:r>
      <w:bookmarkEnd w:id="452"/>
      <w:bookmarkEnd w:id="453"/>
      <w:bookmarkEnd w:id="45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456" w:name="bookmark456"/>
      <w:r>
        <w:rPr>
          <w:b/>
          <w:bCs/>
          <w:color w:val="000000"/>
          <w:spacing w:val="0"/>
          <w:w w:val="100"/>
          <w:position w:val="0"/>
        </w:rPr>
        <w:t>九</w:t>
      </w:r>
      <w:bookmarkEnd w:id="456"/>
      <w:r>
        <w:rPr>
          <w:b/>
          <w:bCs/>
          <w:color w:val="000000"/>
          <w:spacing w:val="0"/>
          <w:w w:val="100"/>
          <w:position w:val="0"/>
        </w:rPr>
        <w:t>、</w:t>
        <w:tab/>
        <w:t>重大诉讼、仲裁事项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□本年度公司有重大诉讼、仲裁事项</w:t>
      </w:r>
      <w:r>
        <w:rPr>
          <w:rFonts w:ascii="Times New Roman" w:eastAsia="Times New Roman" w:hAnsi="Times New Roman" w:cs="Times New Roman"/>
          <w:color w:val="000000"/>
          <w:spacing w:val="0"/>
          <w:w w:val="100"/>
          <w:position w:val="0"/>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十、上市公司及其董事、监事、高级管理人员、控股股东、实际控制人、收购人处罚及整改情况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十二、公司股权激励计划、员工持股计划或其他员工激励措施的情况及其影响</w:t>
      </w:r>
    </w:p>
    <w:p>
      <w:pPr>
        <w:pStyle w:val="Style2"/>
        <w:keepNext w:val="0"/>
        <w:keepLines w:val="0"/>
        <w:widowControl w:val="0"/>
        <w:shd w:val="clear" w:color="auto" w:fill="auto"/>
        <w:bidi w:val="0"/>
        <w:spacing w:before="0" w:after="80" w:line="240" w:lineRule="auto"/>
        <w:ind w:left="0" w:right="0" w:firstLine="0"/>
        <w:jc w:val="left"/>
      </w:pPr>
      <w:bookmarkStart w:id="457" w:name="bookmark457"/>
      <w:r>
        <w:rPr>
          <w:rFonts w:ascii="Times New Roman" w:eastAsia="Times New Roman" w:hAnsi="Times New Roman" w:cs="Times New Roman"/>
          <w:b/>
          <w:bCs/>
          <w:color w:val="000000"/>
          <w:spacing w:val="0"/>
          <w:w w:val="100"/>
          <w:position w:val="0"/>
        </w:rPr>
        <w:t>（</w:t>
      </w:r>
      <w:bookmarkEnd w:id="457"/>
      <w:r>
        <w:rPr>
          <w:b/>
          <w:bCs/>
          <w:color w:val="000000"/>
          <w:spacing w:val="0"/>
          <w:w w:val="100"/>
          <w:position w:val="0"/>
        </w:rPr>
        <w:t>一</w:t>
      </w:r>
      <w:r>
        <w:rPr>
          <w:b/>
          <w:bCs/>
          <w:color w:val="000000"/>
          <w:spacing w:val="0"/>
          <w:w w:val="100"/>
          <w:position w:val="0"/>
        </w:rPr>
        <w:t>）</w:t>
      </w:r>
      <w:r>
        <w:rPr>
          <w:b/>
          <w:bCs/>
          <w:color w:val="000000"/>
          <w:spacing w:val="0"/>
          <w:w w:val="100"/>
          <w:position w:val="0"/>
        </w:rPr>
        <w:t>股权激励总体情况</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9"/>
        </w:numPr>
        <w:shd w:val="clear" w:color="auto" w:fill="auto"/>
        <w:bidi w:val="0"/>
        <w:spacing w:before="0" w:after="80" w:line="240" w:lineRule="auto"/>
        <w:ind w:left="0" w:right="0" w:firstLine="0"/>
        <w:jc w:val="left"/>
      </w:pPr>
      <w:bookmarkStart w:id="458" w:name="bookmark458"/>
      <w:bookmarkEnd w:id="458"/>
      <w:r>
        <w:rPr>
          <w:b/>
          <w:bCs/>
          <w:color w:val="000000"/>
          <w:spacing w:val="0"/>
          <w:w w:val="100"/>
          <w:position w:val="0"/>
        </w:rPr>
        <w:t>报告期内股权激励计划方案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051"/>
        <w:gridCol w:w="1195"/>
        <w:gridCol w:w="1478"/>
        <w:gridCol w:w="1339"/>
        <w:gridCol w:w="1478"/>
        <w:gridCol w:w="1344"/>
      </w:tblGrid>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激励方 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标的股票 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标的股票数量 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激励对象人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激励对象人数 占比（%）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授予标的股 票价格</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 制性股票 激励计划</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6" w:lineRule="exact"/>
              <w:ind w:left="0" w:right="0" w:firstLine="0"/>
              <w:jc w:val="left"/>
            </w:pPr>
            <w:r>
              <w:rPr>
                <w:color w:val="000000"/>
                <w:spacing w:val="0"/>
                <w:w w:val="100"/>
                <w:position w:val="0"/>
              </w:rPr>
              <w:t>第一类 限制性 股票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年股 票增值权 激励计划</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546,800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bl>
    <w:p>
      <w:pPr>
        <w:widowControl w:val="0"/>
        <w:spacing w:after="339" w:line="1" w:lineRule="exact"/>
      </w:pPr>
    </w:p>
    <w:p>
      <w:pPr>
        <w:pStyle w:val="Style35"/>
        <w:keepNext/>
        <w:keepLines/>
        <w:widowControl w:val="0"/>
        <w:numPr>
          <w:ilvl w:val="0"/>
          <w:numId w:val="19"/>
        </w:numPr>
        <w:shd w:val="clear" w:color="auto" w:fill="auto"/>
        <w:bidi w:val="0"/>
        <w:spacing w:before="0" w:after="80" w:line="240" w:lineRule="auto"/>
        <w:ind w:left="0" w:right="0" w:firstLine="0"/>
        <w:jc w:val="left"/>
      </w:pPr>
      <w:bookmarkStart w:id="459" w:name="bookmark459"/>
      <w:bookmarkStart w:id="460" w:name="bookmark460"/>
      <w:bookmarkStart w:id="461" w:name="bookmark461"/>
      <w:bookmarkStart w:id="462" w:name="bookmark462"/>
      <w:bookmarkEnd w:id="461"/>
      <w:r>
        <w:rPr>
          <w:color w:val="000000"/>
          <w:spacing w:val="0"/>
          <w:w w:val="100"/>
          <w:position w:val="0"/>
        </w:rPr>
        <w:t>报告期内股权激励实施进展</w:t>
      </w:r>
      <w:bookmarkEnd w:id="459"/>
      <w:bookmarkEnd w:id="460"/>
      <w:bookmarkEnd w:id="46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95" w:val="left"/>
        </w:tabs>
        <w:bidi w:val="0"/>
        <w:spacing w:before="0" w:after="0" w:line="410" w:lineRule="exact"/>
        <w:ind w:left="0" w:right="0" w:firstLine="440"/>
        <w:jc w:val="left"/>
      </w:pPr>
      <w:bookmarkStart w:id="463" w:name="bookmark463"/>
      <w:r>
        <w:rPr>
          <w:rFonts w:ascii="Times New Roman" w:eastAsia="Times New Roman" w:hAnsi="Times New Roman" w:cs="Times New Roman"/>
          <w:color w:val="000000"/>
          <w:spacing w:val="0"/>
          <w:w w:val="100"/>
          <w:position w:val="0"/>
        </w:rPr>
        <w:t>1</w:t>
      </w:r>
      <w:bookmarkEnd w:id="46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日，公司召开第一届董事会第八次会议，会议审议通过了《关于公司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2020</w:t>
      </w:r>
      <w:r>
        <w:rPr>
          <w:color w:val="000000"/>
          <w:spacing w:val="0"/>
          <w:w w:val="100"/>
          <w:position w:val="0"/>
        </w:rPr>
        <w:t>年股票增值权激励计划（草 案）及其摘要的议案》《关于公司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年限制性股票、股票增值权激励计划实施考核管理办 法</w:t>
      </w:r>
      <w:r>
        <w:rPr>
          <w:color w:val="000000"/>
          <w:spacing w:val="0"/>
          <w:w w:val="100"/>
          <w:position w:val="0"/>
        </w:rPr>
        <w:t>〉</w:t>
      </w:r>
      <w:r>
        <w:rPr>
          <w:color w:val="000000"/>
          <w:spacing w:val="0"/>
          <w:w w:val="100"/>
          <w:position w:val="0"/>
        </w:rPr>
        <w:t xml:space="preserve">的议案》以及《关于提请股东大会授权董事会办理股权激励相关事宜的议案》等议案，拟以 </w:t>
      </w:r>
      <w:r>
        <w:rPr>
          <w:rFonts w:ascii="Times New Roman" w:eastAsia="Times New Roman" w:hAnsi="Times New Roman" w:cs="Times New Roman"/>
          <w:color w:val="000000"/>
          <w:spacing w:val="0"/>
          <w:w w:val="100"/>
          <w:position w:val="0"/>
        </w:rPr>
        <w:t>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股的行权价向激励对象授予</w:t>
      </w:r>
      <w:r>
        <w:rPr>
          <w:rFonts w:ascii="Times New Roman" w:eastAsia="Times New Roman" w:hAnsi="Times New Roman" w:cs="Times New Roman"/>
          <w:color w:val="000000"/>
          <w:spacing w:val="0"/>
          <w:w w:val="100"/>
          <w:position w:val="0"/>
        </w:rPr>
        <w:t>1,200</w:t>
      </w:r>
      <w:r>
        <w:rPr>
          <w:color w:val="000000"/>
          <w:spacing w:val="0"/>
          <w:w w:val="100"/>
          <w:position w:val="0"/>
        </w:rPr>
        <w:t>万股限制性股票，其中首次向</w:t>
      </w:r>
      <w:r>
        <w:rPr>
          <w:rFonts w:ascii="Times New Roman" w:eastAsia="Times New Roman" w:hAnsi="Times New Roman" w:cs="Times New Roman"/>
          <w:color w:val="000000"/>
          <w:spacing w:val="0"/>
          <w:w w:val="100"/>
          <w:position w:val="0"/>
        </w:rPr>
        <w:t>715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万股，预留</w:t>
      </w:r>
      <w:r>
        <w:rPr>
          <w:rFonts w:ascii="Times New Roman" w:eastAsia="Times New Roman" w:hAnsi="Times New Roman" w:cs="Times New Roman"/>
          <w:color w:val="000000"/>
          <w:spacing w:val="0"/>
          <w:w w:val="100"/>
          <w:position w:val="0"/>
        </w:rPr>
        <w:t>200</w:t>
      </w:r>
      <w:r>
        <w:rPr>
          <w:color w:val="000000"/>
          <w:spacing w:val="0"/>
          <w:w w:val="100"/>
          <w:position w:val="0"/>
        </w:rPr>
        <w:t>万股，拟以</w:t>
      </w:r>
      <w:r>
        <w:rPr>
          <w:rFonts w:ascii="Times New Roman" w:eastAsia="Times New Roman" w:hAnsi="Times New Roman" w:cs="Times New Roman"/>
          <w:color w:val="000000"/>
          <w:spacing w:val="0"/>
          <w:w w:val="100"/>
          <w:position w:val="0"/>
        </w:rPr>
        <w:t>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股的行权价向</w:t>
      </w:r>
      <w:r>
        <w:rPr>
          <w:rFonts w:ascii="Times New Roman" w:eastAsia="Times New Roman" w:hAnsi="Times New Roman" w:cs="Times New Roman"/>
          <w:color w:val="000000"/>
          <w:spacing w:val="0"/>
          <w:w w:val="100"/>
          <w:position w:val="0"/>
        </w:rPr>
        <w:t>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81.60</w:t>
      </w:r>
      <w:r>
        <w:rPr>
          <w:color w:val="000000"/>
          <w:spacing w:val="0"/>
          <w:w w:val="100"/>
          <w:position w:val="0"/>
        </w:rPr>
        <w:t>万份股票增值权。公司 独立董事就激励计划相关议案发表了独立意见。</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同日，公司召开第一届监事会第五次会议，审议通过了《关于公司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年限制性股票、股票增值权激励计划实施考 核管理办法</w:t>
      </w:r>
      <w:r>
        <w:rPr>
          <w:color w:val="000000"/>
          <w:spacing w:val="0"/>
          <w:w w:val="100"/>
          <w:position w:val="0"/>
        </w:rPr>
        <w:t>〉</w:t>
      </w:r>
      <w:r>
        <w:rPr>
          <w:color w:val="000000"/>
          <w:spacing w:val="0"/>
          <w:w w:val="100"/>
          <w:position w:val="0"/>
        </w:rPr>
        <w:t>的议案》等议案，公司监事会对激励计划的相关事项进行核实并出具了相关核查意 见。</w:t>
      </w:r>
    </w:p>
    <w:p>
      <w:pPr>
        <w:pStyle w:val="Style2"/>
        <w:keepNext w:val="0"/>
        <w:keepLines w:val="0"/>
        <w:widowControl w:val="0"/>
        <w:shd w:val="clear" w:color="auto" w:fill="auto"/>
        <w:tabs>
          <w:tab w:pos="790" w:val="left"/>
        </w:tabs>
        <w:bidi w:val="0"/>
        <w:spacing w:before="0" w:after="80" w:line="410" w:lineRule="exact"/>
        <w:ind w:left="0" w:right="0" w:firstLine="440"/>
        <w:jc w:val="left"/>
      </w:pPr>
      <w:bookmarkStart w:id="464" w:name="bookmark464"/>
      <w:r>
        <w:rPr>
          <w:rFonts w:ascii="Times New Roman" w:eastAsia="Times New Roman" w:hAnsi="Times New Roman" w:cs="Times New Roman"/>
          <w:color w:val="000000"/>
          <w:spacing w:val="0"/>
          <w:w w:val="100"/>
          <w:position w:val="0"/>
        </w:rPr>
        <w:t>2</w:t>
      </w:r>
      <w:bookmarkEnd w:id="46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日，公司对激励计划拟激励对象的姓名和职务在公 司内部进行了公示。在公示期内，公司监事会未收到与激励计划激励对象有关的任何异议。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日，公司于上海证券交易所网站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）披露了《监事会关于公司</w:t>
      </w:r>
      <w:r>
        <w:rPr>
          <w:rFonts w:ascii="Times New Roman" w:eastAsia="Times New Roman" w:hAnsi="Times New Roman" w:cs="Times New Roman"/>
          <w:color w:val="000000"/>
          <w:spacing w:val="0"/>
          <w:w w:val="100"/>
          <w:position w:val="0"/>
        </w:rPr>
        <w:t>2020</w:t>
      </w:r>
      <w:r>
        <w:rPr>
          <w:color w:val="000000"/>
          <w:spacing w:val="0"/>
          <w:w w:val="100"/>
          <w:position w:val="0"/>
        </w:rPr>
        <w:t>年 限制性股票激励计划激励对象名单的公示情况说明及核查意见》（公告编号：</w:t>
      </w:r>
      <w:r>
        <w:rPr>
          <w:rFonts w:ascii="Times New Roman" w:eastAsia="Times New Roman" w:hAnsi="Times New Roman" w:cs="Times New Roman"/>
          <w:color w:val="000000"/>
          <w:spacing w:val="0"/>
          <w:w w:val="100"/>
          <w:position w:val="0"/>
        </w:rPr>
        <w:t>2020-016</w:t>
      </w:r>
      <w:r>
        <w:rPr>
          <w:color w:val="000000"/>
          <w:spacing w:val="0"/>
          <w:w w:val="100"/>
          <w:position w:val="0"/>
        </w:rPr>
        <w:t>）。</w:t>
      </w:r>
    </w:p>
    <w:p>
      <w:pPr>
        <w:pStyle w:val="Style2"/>
        <w:keepNext w:val="0"/>
        <w:keepLines w:val="0"/>
        <w:widowControl w:val="0"/>
        <w:shd w:val="clear" w:color="auto" w:fill="auto"/>
        <w:tabs>
          <w:tab w:pos="769" w:val="left"/>
        </w:tabs>
        <w:bidi w:val="0"/>
        <w:spacing w:before="0" w:after="0" w:line="410" w:lineRule="exact"/>
        <w:ind w:left="0" w:right="0" w:firstLine="460"/>
        <w:jc w:val="left"/>
      </w:pPr>
      <w:bookmarkStart w:id="465" w:name="bookmark465"/>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年第一次临时股东大会，审议并通过了《关于公司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年限制性股票、股 票增值权激励计划实施考核管理办法</w:t>
      </w:r>
      <w:r>
        <w:rPr>
          <w:color w:val="000000"/>
          <w:spacing w:val="0"/>
          <w:w w:val="100"/>
          <w:position w:val="0"/>
        </w:rPr>
        <w:t>〉</w:t>
      </w:r>
      <w:r>
        <w:rPr>
          <w:color w:val="000000"/>
          <w:spacing w:val="0"/>
          <w:w w:val="100"/>
          <w:position w:val="0"/>
        </w:rPr>
        <w:t>的议案》《关于提请股东大会授权董事会办理股权激励相 关事宜的议案》。</w:t>
      </w:r>
    </w:p>
    <w:p>
      <w:pPr>
        <w:pStyle w:val="Style2"/>
        <w:keepNext w:val="0"/>
        <w:keepLines w:val="0"/>
        <w:widowControl w:val="0"/>
        <w:shd w:val="clear" w:color="auto" w:fill="auto"/>
        <w:tabs>
          <w:tab w:pos="769" w:val="left"/>
        </w:tabs>
        <w:bidi w:val="0"/>
        <w:spacing w:before="0" w:after="0" w:line="410" w:lineRule="exact"/>
        <w:ind w:left="0" w:right="0" w:firstLine="460"/>
        <w:jc w:val="left"/>
      </w:pPr>
      <w:bookmarkStart w:id="466" w:name="bookmark466"/>
      <w:r>
        <w:rPr>
          <w:rFonts w:ascii="Times New Roman" w:eastAsia="Times New Roman" w:hAnsi="Times New Roman" w:cs="Times New Roman"/>
          <w:color w:val="000000"/>
          <w:spacing w:val="0"/>
          <w:w w:val="100"/>
          <w:position w:val="0"/>
        </w:rPr>
        <w:t>4</w:t>
      </w:r>
      <w:bookmarkEnd w:id="46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日，公司于上海证券交易所网站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 xml:space="preserve">）披露《关于公司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年限制性股票股票增值权激励计划内幕信息知情人买卖公司股票情况的自查报告》（公告 编号：</w:t>
      </w:r>
      <w:r>
        <w:rPr>
          <w:rFonts w:ascii="Times New Roman" w:eastAsia="Times New Roman" w:hAnsi="Times New Roman" w:cs="Times New Roman"/>
          <w:color w:val="000000"/>
          <w:spacing w:val="0"/>
          <w:w w:val="100"/>
          <w:position w:val="0"/>
        </w:rPr>
        <w:t xml:space="preserve">2020-023 </w:t>
      </w:r>
      <w:r>
        <w:rPr>
          <w:color w:val="000000"/>
          <w:spacing w:val="0"/>
          <w:w w:val="100"/>
          <w:position w:val="0"/>
        </w:rPr>
        <w:t>）。</w:t>
      </w:r>
    </w:p>
    <w:p>
      <w:pPr>
        <w:pStyle w:val="Style2"/>
        <w:keepNext w:val="0"/>
        <w:keepLines w:val="0"/>
        <w:widowControl w:val="0"/>
        <w:shd w:val="clear" w:color="auto" w:fill="auto"/>
        <w:tabs>
          <w:tab w:pos="769" w:val="left"/>
        </w:tabs>
        <w:bidi w:val="0"/>
        <w:spacing w:before="0" w:after="0" w:line="410" w:lineRule="exact"/>
        <w:ind w:left="0" w:right="0" w:firstLine="460"/>
        <w:jc w:val="left"/>
      </w:pPr>
      <w:bookmarkStart w:id="467" w:name="bookmark467"/>
      <w:r>
        <w:rPr>
          <w:rFonts w:ascii="Times New Roman" w:eastAsia="Times New Roman" w:hAnsi="Times New Roman" w:cs="Times New Roman"/>
          <w:color w:val="000000"/>
          <w:spacing w:val="0"/>
          <w:w w:val="100"/>
          <w:position w:val="0"/>
        </w:rPr>
        <w:t>5</w:t>
      </w:r>
      <w:bookmarkEnd w:id="46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日，公司召开第一届董事会第十二次会议，审议通过了《关于公司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及其摘要的议案》等议案，拟以</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股的行权价向激 励对象授予</w:t>
      </w:r>
      <w:r>
        <w:rPr>
          <w:rFonts w:ascii="Times New Roman" w:eastAsia="Times New Roman" w:hAnsi="Times New Roman" w:cs="Times New Roman"/>
          <w:color w:val="000000"/>
          <w:spacing w:val="0"/>
          <w:w w:val="100"/>
          <w:position w:val="0"/>
        </w:rPr>
        <w:t>800</w:t>
      </w:r>
      <w:r>
        <w:rPr>
          <w:color w:val="000000"/>
          <w:spacing w:val="0"/>
          <w:w w:val="100"/>
          <w:position w:val="0"/>
        </w:rPr>
        <w:t>万股限制性股票，其中首次向</w:t>
      </w:r>
      <w:r>
        <w:rPr>
          <w:rFonts w:ascii="Times New Roman" w:eastAsia="Times New Roman" w:hAnsi="Times New Roman" w:cs="Times New Roman"/>
          <w:color w:val="000000"/>
          <w:spacing w:val="0"/>
          <w:w w:val="100"/>
          <w:position w:val="0"/>
        </w:rPr>
        <w:t>700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670</w:t>
      </w:r>
      <w:r>
        <w:rPr>
          <w:color w:val="000000"/>
          <w:spacing w:val="0"/>
          <w:w w:val="100"/>
          <w:position w:val="0"/>
        </w:rPr>
        <w:t>万股，预留</w:t>
      </w:r>
      <w:r>
        <w:rPr>
          <w:rFonts w:ascii="Times New Roman" w:eastAsia="Times New Roman" w:hAnsi="Times New Roman" w:cs="Times New Roman"/>
          <w:color w:val="000000"/>
          <w:spacing w:val="0"/>
          <w:w w:val="100"/>
          <w:position w:val="0"/>
        </w:rPr>
        <w:t>130</w:t>
      </w:r>
      <w:r>
        <w:rPr>
          <w:color w:val="000000"/>
          <w:spacing w:val="0"/>
          <w:w w:val="100"/>
          <w:position w:val="0"/>
        </w:rPr>
        <w:t>万股，拟 以</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股的行权价向</w:t>
      </w:r>
      <w:r>
        <w:rPr>
          <w:rFonts w:ascii="Times New Roman" w:eastAsia="Times New Roman" w:hAnsi="Times New Roman" w:cs="Times New Roman"/>
          <w:color w:val="000000"/>
          <w:spacing w:val="0"/>
          <w:w w:val="100"/>
          <w:position w:val="0"/>
        </w:rPr>
        <w:t>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54.68</w:t>
      </w:r>
      <w:r>
        <w:rPr>
          <w:color w:val="000000"/>
          <w:spacing w:val="0"/>
          <w:w w:val="100"/>
          <w:position w:val="0"/>
        </w:rPr>
        <w:t xml:space="preserve">万份股票增值权。公司独立董事就本激励计划相 关议案发表了独立意见。同日，公司召开第一届监事会第八次会议，审议通过了《关于公司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及其摘要的议案》等议案，公司监事会对本激励 计划的相关事项进行核实并出具了相关核查意见。</w:t>
      </w:r>
    </w:p>
    <w:p>
      <w:pPr>
        <w:pStyle w:val="Style2"/>
        <w:keepNext w:val="0"/>
        <w:keepLines w:val="0"/>
        <w:widowControl w:val="0"/>
        <w:shd w:val="clear" w:color="auto" w:fill="auto"/>
        <w:tabs>
          <w:tab w:pos="769" w:val="left"/>
        </w:tabs>
        <w:bidi w:val="0"/>
        <w:spacing w:before="0" w:after="0" w:line="410" w:lineRule="exact"/>
        <w:ind w:left="0" w:right="0" w:firstLine="460"/>
        <w:jc w:val="left"/>
      </w:pPr>
      <w:bookmarkStart w:id="468" w:name="bookmark468"/>
      <w:r>
        <w:rPr>
          <w:rFonts w:ascii="Times New Roman" w:eastAsia="Times New Roman" w:hAnsi="Times New Roman" w:cs="Times New Roman"/>
          <w:color w:val="000000"/>
          <w:spacing w:val="0"/>
          <w:w w:val="100"/>
          <w:position w:val="0"/>
        </w:rPr>
        <w:t>6</w:t>
      </w:r>
      <w:bookmarkEnd w:id="46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年第二次临时股东大会，审议并通过了《关于公司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及其摘要的议案》等议案。</w:t>
      </w:r>
    </w:p>
    <w:p>
      <w:pPr>
        <w:pStyle w:val="Style2"/>
        <w:keepNext w:val="0"/>
        <w:keepLines w:val="0"/>
        <w:widowControl w:val="0"/>
        <w:shd w:val="clear" w:color="auto" w:fill="auto"/>
        <w:tabs>
          <w:tab w:pos="769" w:val="left"/>
        </w:tabs>
        <w:bidi w:val="0"/>
        <w:spacing w:before="0" w:after="0" w:line="410" w:lineRule="exact"/>
        <w:ind w:left="0" w:right="0" w:firstLine="460"/>
        <w:jc w:val="left"/>
      </w:pPr>
      <w:bookmarkStart w:id="469" w:name="bookmark469"/>
      <w:r>
        <w:rPr>
          <w:rFonts w:ascii="Times New Roman" w:eastAsia="Times New Roman" w:hAnsi="Times New Roman" w:cs="Times New Roman"/>
          <w:color w:val="000000"/>
          <w:spacing w:val="0"/>
          <w:w w:val="100"/>
          <w:position w:val="0"/>
        </w:rPr>
        <w:t>7</w:t>
      </w:r>
      <w:bookmarkEnd w:id="46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日，公司召开第一届董事会第十三次会议与第一届监事会第九次会议， 审议通过了《向激励对象首次授予限制性股票的议案》，以</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股的行权价向激励对象授予 </w:t>
      </w:r>
      <w:r>
        <w:rPr>
          <w:rFonts w:ascii="Times New Roman" w:eastAsia="Times New Roman" w:hAnsi="Times New Roman" w:cs="Times New Roman"/>
          <w:color w:val="000000"/>
          <w:spacing w:val="0"/>
          <w:w w:val="100"/>
          <w:position w:val="0"/>
        </w:rPr>
        <w:t>800</w:t>
      </w:r>
      <w:r>
        <w:rPr>
          <w:color w:val="000000"/>
          <w:spacing w:val="0"/>
          <w:w w:val="100"/>
          <w:position w:val="0"/>
        </w:rPr>
        <w:t>万股限制性股票，其中首次向</w:t>
      </w:r>
      <w:r>
        <w:rPr>
          <w:rFonts w:ascii="Times New Roman" w:eastAsia="Times New Roman" w:hAnsi="Times New Roman" w:cs="Times New Roman"/>
          <w:color w:val="000000"/>
          <w:spacing w:val="0"/>
          <w:w w:val="100"/>
          <w:position w:val="0"/>
        </w:rPr>
        <w:t>700</w:t>
      </w:r>
      <w:r>
        <w:rPr>
          <w:color w:val="000000"/>
          <w:spacing w:val="0"/>
          <w:w w:val="100"/>
          <w:position w:val="0"/>
        </w:rPr>
        <w:t>名激励对象授予</w:t>
      </w:r>
      <w:r>
        <w:rPr>
          <w:rFonts w:ascii="Times New Roman" w:eastAsia="Times New Roman" w:hAnsi="Times New Roman" w:cs="Times New Roman"/>
          <w:color w:val="000000"/>
          <w:spacing w:val="0"/>
          <w:w w:val="100"/>
          <w:position w:val="0"/>
        </w:rPr>
        <w:t>670</w:t>
      </w:r>
      <w:r>
        <w:rPr>
          <w:color w:val="000000"/>
          <w:spacing w:val="0"/>
          <w:w w:val="100"/>
          <w:position w:val="0"/>
        </w:rPr>
        <w:t>万股，预留</w:t>
      </w:r>
      <w:r>
        <w:rPr>
          <w:rFonts w:ascii="Times New Roman" w:eastAsia="Times New Roman" w:hAnsi="Times New Roman" w:cs="Times New Roman"/>
          <w:color w:val="000000"/>
          <w:spacing w:val="0"/>
          <w:w w:val="100"/>
          <w:position w:val="0"/>
        </w:rPr>
        <w:t>130</w:t>
      </w:r>
      <w:r>
        <w:rPr>
          <w:color w:val="000000"/>
          <w:spacing w:val="0"/>
          <w:w w:val="100"/>
          <w:position w:val="0"/>
        </w:rPr>
        <w:t>万股，以</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 行权价向</w:t>
      </w:r>
      <w:r>
        <w:rPr>
          <w:rFonts w:ascii="Times New Roman" w:eastAsia="Times New Roman" w:hAnsi="Times New Roman" w:cs="Times New Roman"/>
          <w:color w:val="000000"/>
          <w:spacing w:val="0"/>
          <w:w w:val="100"/>
          <w:position w:val="0"/>
        </w:rPr>
        <w:t>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54.68</w:t>
      </w:r>
      <w:r>
        <w:rPr>
          <w:color w:val="000000"/>
          <w:spacing w:val="0"/>
          <w:w w:val="100"/>
          <w:position w:val="0"/>
        </w:rPr>
        <w:t>万份股票增值权。公司独立董事对前述事项发表了独立意见， 监事会对前述事项进行核实并发表了核查意见。</w:t>
      </w:r>
    </w:p>
    <w:p>
      <w:pPr>
        <w:pStyle w:val="Style2"/>
        <w:keepNext w:val="0"/>
        <w:keepLines w:val="0"/>
        <w:widowControl w:val="0"/>
        <w:shd w:val="clear" w:color="auto" w:fill="auto"/>
        <w:tabs>
          <w:tab w:pos="804" w:val="left"/>
        </w:tabs>
        <w:bidi w:val="0"/>
        <w:spacing w:before="0" w:after="0" w:line="410" w:lineRule="exact"/>
        <w:ind w:left="0" w:right="0" w:firstLine="460"/>
        <w:jc w:val="left"/>
      </w:pPr>
      <w:bookmarkStart w:id="470" w:name="bookmark470"/>
      <w:r>
        <w:rPr>
          <w:rFonts w:ascii="Times New Roman" w:eastAsia="Times New Roman" w:hAnsi="Times New Roman" w:cs="Times New Roman"/>
          <w:color w:val="000000"/>
          <w:spacing w:val="0"/>
          <w:w w:val="100"/>
          <w:position w:val="0"/>
        </w:rPr>
        <w:t>8</w:t>
      </w:r>
      <w:bookmarkEnd w:id="47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日，公司召开第一届董事会第十六次会议、第一届监事会第十二次会</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议，审议通过了《关于向激励对象授予预留部分限制性股票的议案》，以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日为授 予日，以人民币</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股的授予价格向</w:t>
      </w:r>
      <w:r>
        <w:rPr>
          <w:rFonts w:ascii="Times New Roman" w:eastAsia="Times New Roman" w:hAnsi="Times New Roman" w:cs="Times New Roman"/>
          <w:color w:val="000000"/>
          <w:spacing w:val="0"/>
          <w:w w:val="100"/>
          <w:position w:val="0"/>
        </w:rPr>
        <w:t>188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103.989</w:t>
      </w:r>
      <w:r>
        <w:rPr>
          <w:color w:val="000000"/>
          <w:spacing w:val="0"/>
          <w:w w:val="100"/>
          <w:position w:val="0"/>
        </w:rPr>
        <w:t>万股限制性股票。</w:t>
      </w:r>
    </w:p>
    <w:p>
      <w:pPr>
        <w:pStyle w:val="Style2"/>
        <w:keepNext w:val="0"/>
        <w:keepLines w:val="0"/>
        <w:widowControl w:val="0"/>
        <w:shd w:val="clear" w:color="auto" w:fill="auto"/>
        <w:bidi w:val="0"/>
        <w:spacing w:before="0" w:after="480" w:line="410" w:lineRule="exact"/>
        <w:ind w:left="0" w:right="0" w:firstLine="460"/>
        <w:jc w:val="left"/>
      </w:pPr>
      <w:r>
        <w:rPr>
          <w:color w:val="000000"/>
          <w:spacing w:val="0"/>
          <w:w w:val="100"/>
          <w:position w:val="0"/>
        </w:rPr>
        <w:t>截止本报告期末，尚有</w:t>
      </w:r>
      <w:r>
        <w:rPr>
          <w:rFonts w:ascii="Times New Roman" w:eastAsia="Times New Roman" w:hAnsi="Times New Roman" w:cs="Times New Roman"/>
          <w:color w:val="000000"/>
          <w:spacing w:val="0"/>
          <w:w w:val="100"/>
          <w:position w:val="0"/>
        </w:rPr>
        <w:t>26.011</w:t>
      </w:r>
      <w:r>
        <w:rPr>
          <w:color w:val="000000"/>
          <w:spacing w:val="0"/>
          <w:w w:val="100"/>
          <w:position w:val="0"/>
        </w:rPr>
        <w:t>万股限制性股票尚未授予。</w:t>
      </w:r>
    </w:p>
    <w:p>
      <w:pPr>
        <w:pStyle w:val="Style35"/>
        <w:keepNext/>
        <w:keepLines/>
        <w:widowControl w:val="0"/>
        <w:numPr>
          <w:ilvl w:val="0"/>
          <w:numId w:val="19"/>
        </w:numPr>
        <w:shd w:val="clear" w:color="auto" w:fill="auto"/>
        <w:bidi w:val="0"/>
        <w:spacing w:before="0" w:after="100" w:line="240" w:lineRule="auto"/>
        <w:ind w:left="0" w:right="0" w:firstLine="0"/>
        <w:jc w:val="left"/>
      </w:pPr>
      <w:bookmarkStart w:id="471" w:name="bookmark471"/>
      <w:bookmarkStart w:id="472" w:name="bookmark472"/>
      <w:bookmarkStart w:id="473" w:name="bookmark473"/>
      <w:bookmarkStart w:id="474" w:name="bookmark474"/>
      <w:bookmarkEnd w:id="473"/>
      <w:r>
        <w:rPr>
          <w:color w:val="000000"/>
          <w:spacing w:val="0"/>
          <w:w w:val="100"/>
          <w:position w:val="0"/>
        </w:rPr>
        <w:t>报告期内因股权激励确认的股份支付费用</w:t>
      </w:r>
      <w:bookmarkEnd w:id="471"/>
      <w:bookmarkEnd w:id="472"/>
      <w:bookmarkEnd w:id="4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306"/>
        <w:gridCol w:w="4531"/>
      </w:tblGrid>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12,359.05</w:t>
            </w:r>
          </w:p>
        </w:tc>
      </w:tr>
    </w:tbl>
    <w:p>
      <w:pPr>
        <w:widowControl w:val="0"/>
        <w:spacing w:after="239" w:line="1" w:lineRule="exact"/>
      </w:pPr>
    </w:p>
    <w:p>
      <w:pPr>
        <w:pStyle w:val="Style35"/>
        <w:keepNext/>
        <w:keepLines/>
        <w:widowControl w:val="0"/>
        <w:shd w:val="clear" w:color="auto" w:fill="auto"/>
        <w:bidi w:val="0"/>
        <w:spacing w:before="0" w:after="0" w:line="331" w:lineRule="exact"/>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w:t>
      </w:r>
      <w:bookmarkEnd w:id="477"/>
      <w:r>
        <w:rPr>
          <w:color w:val="000000"/>
          <w:spacing w:val="0"/>
          <w:w w:val="100"/>
          <w:position w:val="0"/>
        </w:rPr>
        <w:t>二</w:t>
      </w:r>
      <w:r>
        <w:rPr>
          <w:color w:val="000000"/>
          <w:spacing w:val="0"/>
          <w:w w:val="100"/>
          <w:position w:val="0"/>
        </w:rPr>
        <w:t>）</w:t>
      </w:r>
      <w:r>
        <w:rPr>
          <w:color w:val="000000"/>
          <w:spacing w:val="0"/>
          <w:w w:val="100"/>
          <w:position w:val="0"/>
        </w:rPr>
        <w:t xml:space="preserve">相关激励事项已在临时公告披露且后续实施无进展或变化的 </w:t>
      </w: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rPr>
        <w:t>J</w:t>
      </w:r>
      <w:r>
        <w:rPr>
          <w:b w:val="0"/>
          <w:bCs w:val="0"/>
          <w:color w:val="000000"/>
          <w:spacing w:val="0"/>
          <w:w w:val="100"/>
          <w:position w:val="0"/>
        </w:rPr>
        <w:t>不适用</w:t>
      </w:r>
      <w:bookmarkEnd w:id="475"/>
      <w:bookmarkEnd w:id="476"/>
      <w:bookmarkEnd w:id="4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769" w:val="left"/>
        </w:tabs>
        <w:bidi w:val="0"/>
        <w:spacing w:before="0" w:after="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769" w:val="left"/>
        </w:tabs>
        <w:bidi w:val="0"/>
        <w:spacing w:before="0" w:after="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十三、重大关联交易</w:t>
      </w:r>
    </w:p>
    <w:p>
      <w:pPr>
        <w:pStyle w:val="Style2"/>
        <w:keepNext w:val="0"/>
        <w:keepLines w:val="0"/>
        <w:widowControl w:val="0"/>
        <w:shd w:val="clear" w:color="auto" w:fill="auto"/>
        <w:tabs>
          <w:tab w:pos="536" w:val="left"/>
        </w:tabs>
        <w:bidi w:val="0"/>
        <w:spacing w:before="0" w:after="0" w:line="341" w:lineRule="exact"/>
        <w:ind w:left="0" w:right="0" w:firstLine="0"/>
        <w:jc w:val="left"/>
      </w:pPr>
      <w:bookmarkStart w:id="479" w:name="bookmark479"/>
      <w:r>
        <w:rPr>
          <w:rFonts w:ascii="Times New Roman" w:eastAsia="Times New Roman" w:hAnsi="Times New Roman" w:cs="Times New Roman"/>
          <w:b/>
          <w:bCs/>
          <w:color w:val="000000"/>
          <w:spacing w:val="0"/>
          <w:w w:val="100"/>
          <w:position w:val="0"/>
        </w:rPr>
        <w:t>（</w:t>
      </w:r>
      <w:bookmarkEnd w:id="479"/>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与日常经营相关的关联交易</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80" w:name="bookmark480"/>
      <w:r>
        <w:rPr>
          <w:b/>
          <w:bCs/>
          <w:color w:val="000000"/>
          <w:spacing w:val="0"/>
          <w:w w:val="100"/>
          <w:position w:val="0"/>
        </w:rPr>
        <w:t>1</w:t>
      </w:r>
      <w:bookmarkEnd w:id="48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81" w:name="bookmark481"/>
      <w:r>
        <w:rPr>
          <w:b/>
          <w:bCs/>
          <w:color w:val="000000"/>
          <w:spacing w:val="0"/>
          <w:w w:val="100"/>
          <w:position w:val="0"/>
        </w:rPr>
        <w:t>2</w:t>
      </w:r>
      <w:bookmarkEnd w:id="481"/>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82" w:name="bookmark482"/>
      <w:r>
        <w:rPr>
          <w:b/>
          <w:bCs/>
          <w:color w:val="000000"/>
          <w:spacing w:val="0"/>
          <w:w w:val="100"/>
          <w:position w:val="0"/>
        </w:rPr>
        <w:t>3</w:t>
      </w:r>
      <w:bookmarkEnd w:id="482"/>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483" w:name="bookmark483"/>
      <w:r>
        <w:rPr>
          <w:rFonts w:ascii="Times New Roman" w:eastAsia="Times New Roman" w:hAnsi="Times New Roman" w:cs="Times New Roman"/>
          <w:b/>
          <w:bCs/>
          <w:color w:val="000000"/>
          <w:spacing w:val="0"/>
          <w:w w:val="100"/>
          <w:position w:val="0"/>
        </w:rPr>
        <w:t>（</w:t>
      </w:r>
      <w:bookmarkEnd w:id="483"/>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资产或股权收购、出售发生的关联交易</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84" w:name="bookmark484"/>
      <w:r>
        <w:rPr>
          <w:rFonts w:ascii="Times New Roman" w:eastAsia="Times New Roman" w:hAnsi="Times New Roman" w:cs="Times New Roman"/>
          <w:b/>
          <w:bCs/>
          <w:color w:val="000000"/>
          <w:spacing w:val="0"/>
          <w:w w:val="100"/>
          <w:position w:val="0"/>
        </w:rPr>
        <w:t>1</w:t>
      </w:r>
      <w:bookmarkEnd w:id="48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85" w:name="bookmark485"/>
      <w:r>
        <w:rPr>
          <w:rFonts w:ascii="Times New Roman" w:eastAsia="Times New Roman" w:hAnsi="Times New Roman" w:cs="Times New Roman"/>
          <w:b/>
          <w:bCs/>
          <w:color w:val="000000"/>
          <w:spacing w:val="0"/>
          <w:w w:val="100"/>
          <w:position w:val="0"/>
        </w:rPr>
        <w:t>2</w:t>
      </w:r>
      <w:bookmarkEnd w:id="485"/>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86" w:name="bookmark486"/>
      <w:r>
        <w:rPr>
          <w:rFonts w:ascii="Times New Roman" w:eastAsia="Times New Roman" w:hAnsi="Times New Roman" w:cs="Times New Roman"/>
          <w:b/>
          <w:bCs/>
          <w:color w:val="000000"/>
          <w:spacing w:val="0"/>
          <w:w w:val="100"/>
          <w:position w:val="0"/>
        </w:rPr>
        <w:t>3</w:t>
      </w:r>
      <w:bookmarkEnd w:id="48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87" w:name="bookmark487"/>
      <w:r>
        <w:rPr>
          <w:rFonts w:ascii="Times New Roman" w:eastAsia="Times New Roman" w:hAnsi="Times New Roman" w:cs="Times New Roman"/>
          <w:b/>
          <w:bCs/>
          <w:color w:val="000000"/>
          <w:spacing w:val="0"/>
          <w:w w:val="100"/>
          <w:position w:val="0"/>
        </w:rPr>
        <w:t>4</w:t>
      </w:r>
      <w:bookmarkEnd w:id="487"/>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46" w:lineRule="exact"/>
        <w:ind w:left="0" w:right="0" w:firstLine="0"/>
        <w:jc w:val="left"/>
      </w:pPr>
      <w:bookmarkStart w:id="488" w:name="bookmark488"/>
      <w:r>
        <w:rPr>
          <w:rFonts w:ascii="Times New Roman" w:eastAsia="Times New Roman" w:hAnsi="Times New Roman" w:cs="Times New Roman"/>
          <w:b/>
          <w:bCs/>
          <w:color w:val="000000"/>
          <w:spacing w:val="0"/>
          <w:w w:val="100"/>
          <w:position w:val="0"/>
        </w:rPr>
        <w:t>（</w:t>
      </w:r>
      <w:bookmarkEnd w:id="488"/>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共同对外投资的重大关联交易</w:t>
      </w:r>
    </w:p>
    <w:p>
      <w:pPr>
        <w:pStyle w:val="Style2"/>
        <w:keepNext w:val="0"/>
        <w:keepLines w:val="0"/>
        <w:widowControl w:val="0"/>
        <w:shd w:val="clear" w:color="auto" w:fill="auto"/>
        <w:tabs>
          <w:tab w:pos="418" w:val="left"/>
        </w:tabs>
        <w:bidi w:val="0"/>
        <w:spacing w:before="0" w:after="0" w:line="346" w:lineRule="exact"/>
        <w:ind w:left="0" w:right="0" w:firstLine="0"/>
        <w:jc w:val="left"/>
      </w:pPr>
      <w:bookmarkStart w:id="489" w:name="bookmark489"/>
      <w:r>
        <w:rPr>
          <w:rFonts w:ascii="Times New Roman" w:eastAsia="Times New Roman" w:hAnsi="Times New Roman" w:cs="Times New Roman"/>
          <w:b/>
          <w:bCs/>
          <w:color w:val="000000"/>
          <w:spacing w:val="0"/>
          <w:w w:val="100"/>
          <w:position w:val="0"/>
        </w:rPr>
        <w:t>1</w:t>
      </w:r>
      <w:bookmarkEnd w:id="489"/>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90" w:name="bookmark490"/>
      <w:r>
        <w:rPr>
          <w:rFonts w:ascii="Times New Roman" w:eastAsia="Times New Roman" w:hAnsi="Times New Roman" w:cs="Times New Roman"/>
          <w:b/>
          <w:bCs/>
          <w:color w:val="000000"/>
          <w:spacing w:val="0"/>
          <w:w w:val="100"/>
          <w:position w:val="0"/>
        </w:rPr>
        <w:t>2</w:t>
      </w:r>
      <w:bookmarkEnd w:id="490"/>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91" w:name="bookmark491"/>
      <w:r>
        <w:rPr>
          <w:rFonts w:ascii="Times New Roman" w:eastAsia="Times New Roman" w:hAnsi="Times New Roman" w:cs="Times New Roman"/>
          <w:b/>
          <w:bCs/>
          <w:color w:val="000000"/>
          <w:spacing w:val="0"/>
          <w:w w:val="100"/>
          <w:position w:val="0"/>
        </w:rPr>
        <w:t>3</w:t>
      </w:r>
      <w:bookmarkEnd w:id="491"/>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41" w:lineRule="exact"/>
        <w:ind w:left="0" w:right="0" w:firstLine="0"/>
        <w:jc w:val="left"/>
      </w:pPr>
      <w:bookmarkStart w:id="492" w:name="bookmark492"/>
      <w:r>
        <w:rPr>
          <w:rFonts w:ascii="Times New Roman" w:eastAsia="Times New Roman" w:hAnsi="Times New Roman" w:cs="Times New Roman"/>
          <w:b/>
          <w:bCs/>
          <w:color w:val="000000"/>
          <w:spacing w:val="0"/>
          <w:w w:val="100"/>
          <w:position w:val="0"/>
        </w:rPr>
        <w:t>（</w:t>
      </w:r>
      <w:bookmarkEnd w:id="492"/>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关联债权债务往来</w:t>
      </w:r>
    </w:p>
    <w:p>
      <w:pPr>
        <w:pStyle w:val="Style2"/>
        <w:keepNext w:val="0"/>
        <w:keepLines w:val="0"/>
        <w:widowControl w:val="0"/>
        <w:shd w:val="clear" w:color="auto" w:fill="auto"/>
        <w:tabs>
          <w:tab w:pos="418" w:val="left"/>
        </w:tabs>
        <w:bidi w:val="0"/>
        <w:spacing w:before="0" w:after="0" w:line="346" w:lineRule="exact"/>
        <w:ind w:left="0" w:right="0" w:firstLine="0"/>
        <w:jc w:val="left"/>
      </w:pPr>
      <w:bookmarkStart w:id="493" w:name="bookmark493"/>
      <w:r>
        <w:rPr>
          <w:rFonts w:ascii="Times New Roman" w:eastAsia="Times New Roman" w:hAnsi="Times New Roman" w:cs="Times New Roman"/>
          <w:b/>
          <w:bCs/>
          <w:color w:val="000000"/>
          <w:spacing w:val="0"/>
          <w:w w:val="100"/>
          <w:position w:val="0"/>
        </w:rPr>
        <w:t>1</w:t>
      </w:r>
      <w:bookmarkEnd w:id="493"/>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94" w:name="bookmark494"/>
      <w:r>
        <w:rPr>
          <w:rFonts w:ascii="Times New Roman" w:eastAsia="Times New Roman" w:hAnsi="Times New Roman" w:cs="Times New Roman"/>
          <w:b/>
          <w:bCs/>
          <w:color w:val="000000"/>
          <w:spacing w:val="0"/>
          <w:w w:val="100"/>
          <w:position w:val="0"/>
        </w:rPr>
        <w:t>2</w:t>
      </w:r>
      <w:bookmarkEnd w:id="494"/>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341" w:lineRule="exact"/>
        <w:ind w:left="0" w:right="0" w:firstLine="0"/>
        <w:jc w:val="left"/>
      </w:pPr>
      <w:bookmarkStart w:id="495" w:name="bookmark495"/>
      <w:r>
        <w:rPr>
          <w:rFonts w:ascii="Times New Roman" w:eastAsia="Times New Roman" w:hAnsi="Times New Roman" w:cs="Times New Roman"/>
          <w:b/>
          <w:bCs/>
          <w:color w:val="000000"/>
          <w:spacing w:val="0"/>
          <w:w w:val="100"/>
          <w:position w:val="0"/>
        </w:rPr>
        <w:t>3</w:t>
      </w:r>
      <w:bookmarkEnd w:id="495"/>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60" w:lineRule="auto"/>
        <w:ind w:left="0" w:right="0" w:firstLine="0"/>
        <w:jc w:val="left"/>
      </w:pPr>
      <w:bookmarkStart w:id="496" w:name="bookmark496"/>
      <w:r>
        <w:rPr>
          <w:rFonts w:ascii="Times New Roman" w:eastAsia="Times New Roman" w:hAnsi="Times New Roman" w:cs="Times New Roman"/>
          <w:b/>
          <w:bCs/>
          <w:color w:val="000000"/>
          <w:spacing w:val="0"/>
          <w:w w:val="100"/>
          <w:position w:val="0"/>
        </w:rPr>
        <w:t>（</w:t>
      </w:r>
      <w:bookmarkEnd w:id="496"/>
      <w:r>
        <w:rPr>
          <w:b/>
          <w:bCs/>
          <w:color w:val="000000"/>
          <w:spacing w:val="0"/>
          <w:w w:val="100"/>
          <w:position w:val="0"/>
        </w:rPr>
        <w:t>五</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其他</w:t>
      </w:r>
    </w:p>
    <w:p>
      <w:pPr>
        <w:pStyle w:val="Style2"/>
        <w:keepNext w:val="0"/>
        <w:keepLines w:val="0"/>
        <w:widowControl w:val="0"/>
        <w:shd w:val="clear" w:color="auto" w:fill="auto"/>
        <w:bidi w:val="0"/>
        <w:spacing w:before="0" w:after="260" w:line="34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十四、重大合同及其履行情况</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497" w:name="bookmark497"/>
      <w:r>
        <w:rPr>
          <w:rFonts w:ascii="Times New Roman" w:eastAsia="Times New Roman" w:hAnsi="Times New Roman" w:cs="Times New Roman"/>
          <w:b/>
          <w:bCs/>
          <w:color w:val="000000"/>
          <w:spacing w:val="0"/>
          <w:w w:val="100"/>
          <w:position w:val="0"/>
        </w:rPr>
        <w:t>（</w:t>
      </w:r>
      <w:bookmarkEnd w:id="497"/>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托管、承包、租赁事项</w:t>
      </w:r>
    </w:p>
    <w:p>
      <w:pPr>
        <w:pStyle w:val="Style2"/>
        <w:keepNext w:val="0"/>
        <w:keepLines w:val="0"/>
        <w:widowControl w:val="0"/>
        <w:shd w:val="clear" w:color="auto" w:fill="auto"/>
        <w:tabs>
          <w:tab w:pos="409" w:val="left"/>
        </w:tabs>
        <w:bidi w:val="0"/>
        <w:spacing w:before="0" w:after="80" w:line="240" w:lineRule="auto"/>
        <w:ind w:left="0" w:right="0" w:firstLine="0"/>
        <w:jc w:val="left"/>
      </w:pPr>
      <w:bookmarkStart w:id="498" w:name="bookmark498"/>
      <w:r>
        <w:rPr>
          <w:rFonts w:ascii="Times New Roman" w:eastAsia="Times New Roman" w:hAnsi="Times New Roman" w:cs="Times New Roman"/>
          <w:b/>
          <w:bCs/>
          <w:color w:val="000000"/>
          <w:spacing w:val="0"/>
          <w:w w:val="100"/>
          <w:position w:val="0"/>
        </w:rPr>
        <w:t>1</w:t>
      </w:r>
      <w:bookmarkEnd w:id="498"/>
      <w:r>
        <w:rPr>
          <w:b/>
          <w:bCs/>
          <w:color w:val="000000"/>
          <w:spacing w:val="0"/>
          <w:w w:val="100"/>
          <w:position w:val="0"/>
        </w:rPr>
        <w:t>、</w:t>
        <w:tab/>
        <w:t>托管情况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09" w:val="left"/>
        </w:tabs>
        <w:bidi w:val="0"/>
        <w:spacing w:before="0" w:after="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承包情况</w:t>
      </w:r>
      <w:bookmarkEnd w:id="499"/>
      <w:bookmarkEnd w:id="500"/>
      <w:bookmarkEnd w:id="50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09" w:val="left"/>
        </w:tabs>
        <w:bidi w:val="0"/>
        <w:spacing w:before="0" w:after="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租赁情况</w:t>
      </w:r>
      <w:bookmarkEnd w:id="503"/>
      <w:bookmarkEnd w:id="504"/>
      <w:bookmarkEnd w:id="50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507" w:name="bookmark507"/>
      <w:r>
        <w:rPr>
          <w:rFonts w:ascii="Times New Roman" w:eastAsia="Times New Roman" w:hAnsi="Times New Roman" w:cs="Times New Roman"/>
          <w:b/>
          <w:bCs/>
          <w:color w:val="000000"/>
          <w:spacing w:val="0"/>
          <w:w w:val="100"/>
          <w:position w:val="0"/>
        </w:rPr>
        <w:t>（</w:t>
      </w:r>
      <w:bookmarkEnd w:id="507"/>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担保情况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508" w:name="bookmark508"/>
      <w:r>
        <w:rPr>
          <w:rFonts w:ascii="Times New Roman" w:eastAsia="Times New Roman" w:hAnsi="Times New Roman" w:cs="Times New Roman"/>
          <w:b/>
          <w:bCs/>
          <w:color w:val="000000"/>
          <w:spacing w:val="0"/>
          <w:w w:val="100"/>
          <w:position w:val="0"/>
        </w:rPr>
        <w:t>（</w:t>
      </w:r>
      <w:bookmarkEnd w:id="508"/>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委托他人进行现金资产管理的情况</w:t>
      </w:r>
    </w:p>
    <w:p>
      <w:pPr>
        <w:pStyle w:val="Style2"/>
        <w:keepNext w:val="0"/>
        <w:keepLines w:val="0"/>
        <w:widowControl w:val="0"/>
        <w:numPr>
          <w:ilvl w:val="0"/>
          <w:numId w:val="21"/>
        </w:numPr>
        <w:shd w:val="clear" w:color="auto" w:fill="auto"/>
        <w:bidi w:val="0"/>
        <w:spacing w:before="0" w:after="80" w:line="240" w:lineRule="auto"/>
        <w:ind w:left="0" w:right="0" w:firstLine="0"/>
        <w:jc w:val="left"/>
      </w:pPr>
      <w:bookmarkStart w:id="509" w:name="bookmark509"/>
      <w:bookmarkEnd w:id="509"/>
      <w:r>
        <w:rPr>
          <w:b/>
          <w:bCs/>
          <w:color w:val="000000"/>
          <w:spacing w:val="0"/>
          <w:w w:val="100"/>
          <w:position w:val="0"/>
        </w:rPr>
        <w:t>委托理财情况</w:t>
      </w:r>
    </w:p>
    <w:p>
      <w:pPr>
        <w:pStyle w:val="Style2"/>
        <w:keepNext w:val="0"/>
        <w:keepLines w:val="0"/>
        <w:widowControl w:val="0"/>
        <w:shd w:val="clear" w:color="auto" w:fill="auto"/>
        <w:bidi w:val="0"/>
        <w:spacing w:before="0" w:after="80" w:line="240" w:lineRule="auto"/>
        <w:ind w:left="0" w:right="0" w:firstLine="0"/>
        <w:jc w:val="left"/>
      </w:pPr>
      <w:bookmarkStart w:id="510" w:name="bookmark510"/>
      <w:r>
        <w:rPr>
          <w:rFonts w:ascii="Times New Roman" w:eastAsia="Times New Roman" w:hAnsi="Times New Roman" w:cs="Times New Roman"/>
          <w:b/>
          <w:bCs/>
          <w:color w:val="000000"/>
          <w:spacing w:val="0"/>
          <w:w w:val="100"/>
          <w:position w:val="0"/>
        </w:rPr>
        <w:t>（</w:t>
      </w:r>
      <w:bookmarkEnd w:id="510"/>
      <w:r>
        <w:rPr>
          <w:rFonts w:ascii="Times New Roman" w:eastAsia="Times New Roman" w:hAnsi="Times New Roman" w:cs="Times New Roman"/>
          <w:b/>
          <w:bCs/>
          <w:color w:val="000000"/>
          <w:spacing w:val="0"/>
          <w:w w:val="100"/>
          <w:position w:val="0"/>
        </w:rPr>
        <w:t>1）</w:t>
      </w:r>
      <w:r>
        <w:rPr>
          <w:b/>
          <w:bCs/>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70,500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35"/>
        <w:keepNext/>
        <w:keepLines/>
        <w:widowControl w:val="0"/>
        <w:shd w:val="clear" w:color="auto" w:fill="auto"/>
        <w:bidi w:val="0"/>
        <w:spacing w:before="0" w:after="80" w:line="240" w:lineRule="auto"/>
        <w:ind w:left="0" w:right="0" w:firstLine="0"/>
        <w:jc w:val="left"/>
      </w:pPr>
      <w:bookmarkStart w:id="511" w:name="bookmark511"/>
      <w:bookmarkStart w:id="512" w:name="bookmark512"/>
      <w:bookmarkStart w:id="513" w:name="bookmark513"/>
      <w:r>
        <w:rPr>
          <w:color w:val="000000"/>
          <w:spacing w:val="0"/>
          <w:w w:val="100"/>
          <w:position w:val="0"/>
        </w:rPr>
        <w:t>其他情况</w:t>
      </w:r>
      <w:bookmarkEnd w:id="511"/>
      <w:bookmarkEnd w:id="512"/>
      <w:bookmarkEnd w:id="513"/>
    </w:p>
    <w:p>
      <w:pPr>
        <w:pStyle w:val="Style2"/>
        <w:keepNext w:val="0"/>
        <w:keepLines w:val="0"/>
        <w:widowControl w:val="0"/>
        <w:shd w:val="clear" w:color="auto" w:fill="auto"/>
        <w:bidi w:val="0"/>
        <w:spacing w:before="0" w:after="80" w:line="240" w:lineRule="auto"/>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369" w:right="1105" w:bottom="1494" w:left="1724" w:header="0" w:footer="3" w:gutter="0"/>
          <w:cols w:space="720"/>
          <w:noEndnote/>
          <w:rtlGutter w:val="0"/>
          <w:docGrid w:linePitch="360"/>
        </w:sectPr>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80" w:after="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w:t>
      </w:r>
      <w:bookmarkEnd w:id="516"/>
      <w:r>
        <w:rPr>
          <w:rFonts w:ascii="Times New Roman" w:eastAsia="Times New Roman" w:hAnsi="Times New Roman" w:cs="Times New Roman"/>
          <w:color w:val="000000"/>
          <w:spacing w:val="0"/>
          <w:w w:val="100"/>
          <w:position w:val="0"/>
        </w:rPr>
        <w:t>2）</w:t>
      </w:r>
      <w:r>
        <w:rPr>
          <w:color w:val="000000"/>
          <w:spacing w:val="0"/>
          <w:w w:val="100"/>
          <w:position w:val="0"/>
        </w:rPr>
        <w:t>单项委托理财情况</w:t>
      </w:r>
      <w:bookmarkEnd w:id="514"/>
      <w:bookmarkEnd w:id="515"/>
      <w:bookmarkEnd w:id="51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54"/>
        <w:gridCol w:w="840"/>
        <w:gridCol w:w="845"/>
        <w:gridCol w:w="1176"/>
        <w:gridCol w:w="1171"/>
        <w:gridCol w:w="845"/>
        <w:gridCol w:w="845"/>
        <w:gridCol w:w="840"/>
        <w:gridCol w:w="845"/>
        <w:gridCol w:w="840"/>
        <w:gridCol w:w="845"/>
        <w:gridCol w:w="845"/>
        <w:gridCol w:w="1118"/>
        <w:gridCol w:w="1118"/>
        <w:gridCol w:w="854"/>
      </w:tblGrid>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受托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委托 理财 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委托 理财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160" w:right="0" w:firstLine="0"/>
              <w:jc w:val="left"/>
            </w:pPr>
            <w:r>
              <w:rPr>
                <w:color w:val="000000"/>
                <w:spacing w:val="0"/>
                <w:w w:val="100"/>
                <w:position w:val="0"/>
              </w:rPr>
              <w:t>委托理财 起始日期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 来源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200" w:right="0" w:firstLine="0"/>
              <w:jc w:val="left"/>
            </w:pPr>
            <w:r>
              <w:rPr>
                <w:color w:val="000000"/>
                <w:spacing w:val="0"/>
                <w:w w:val="100"/>
                <w:position w:val="0"/>
              </w:rPr>
              <w:t>资金 投向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 确定 方式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76" w:lineRule="exact"/>
              <w:ind w:left="0" w:right="0" w:firstLine="0"/>
              <w:jc w:val="center"/>
            </w:pPr>
            <w:r>
              <w:rPr>
                <w:color w:val="000000"/>
                <w:spacing w:val="0"/>
                <w:w w:val="100"/>
                <w:position w:val="0"/>
              </w:rPr>
              <w:t>年化 收益 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40" w:after="0" w:line="271" w:lineRule="exact"/>
              <w:ind w:left="0" w:right="0" w:firstLine="0"/>
              <w:jc w:val="center"/>
            </w:pPr>
            <w:r>
              <w:rPr>
                <w:color w:val="000000"/>
                <w:spacing w:val="0"/>
                <w:w w:val="100"/>
                <w:position w:val="0"/>
              </w:rPr>
              <w:t xml:space="preserve">预期 收益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实际 收回 情况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是否经过 法定程序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未来是否 有委托理 财计划</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减值 准备 计提 金额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2021/04/19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浦发 硅谷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2021/01/15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pPr>
            <w:r>
              <w:rPr>
                <w:color w:val="000000"/>
                <w:spacing w:val="0"/>
                <w:w w:val="100"/>
                <w:position w:val="0"/>
              </w:rPr>
              <w:t>兴业 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2021/01/04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 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2021/03/31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中信 银行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2021/03/31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建设 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2021/03/04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 银行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2020/11/05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2021/05/12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840"/>
        <w:gridCol w:w="845"/>
        <w:gridCol w:w="1176"/>
        <w:gridCol w:w="1171"/>
        <w:gridCol w:w="845"/>
        <w:gridCol w:w="845"/>
        <w:gridCol w:w="840"/>
        <w:gridCol w:w="845"/>
        <w:gridCol w:w="840"/>
        <w:gridCol w:w="845"/>
        <w:gridCol w:w="845"/>
        <w:gridCol w:w="1118"/>
        <w:gridCol w:w="1118"/>
        <w:gridCol w:w="854"/>
      </w:tblGrid>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 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2021/06/02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中信 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2021/03/24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浦发 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2021/03/30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left"/>
            </w:pPr>
            <w:r>
              <w:rPr>
                <w:color w:val="000000"/>
                <w:spacing w:val="0"/>
                <w:w w:val="100"/>
                <w:position w:val="0"/>
              </w:rPr>
              <w:t>建设 银行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12/31/2020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1/4/2021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5"/>
        <w:keepNext/>
        <w:keepLines/>
        <w:widowControl w:val="0"/>
        <w:shd w:val="clear" w:color="auto" w:fill="auto"/>
        <w:bidi w:val="0"/>
        <w:spacing w:before="0" w:after="40" w:line="240" w:lineRule="auto"/>
        <w:ind w:left="0" w:right="0" w:firstLine="0"/>
        <w:jc w:val="left"/>
      </w:pPr>
      <w:bookmarkStart w:id="518" w:name="bookmark518"/>
      <w:bookmarkStart w:id="519" w:name="bookmark519"/>
      <w:bookmarkStart w:id="520" w:name="bookmark520"/>
      <w:r>
        <w:rPr>
          <w:color w:val="000000"/>
          <w:spacing w:val="0"/>
          <w:w w:val="100"/>
          <w:position w:val="0"/>
        </w:rPr>
        <w:t>其他情况</w:t>
      </w:r>
      <w:bookmarkEnd w:id="518"/>
      <w:bookmarkEnd w:id="519"/>
      <w:bookmarkEnd w:id="520"/>
    </w:p>
    <w:p>
      <w:pPr>
        <w:pStyle w:val="Style2"/>
        <w:keepNext w:val="0"/>
        <w:keepLines w:val="0"/>
        <w:widowControl w:val="0"/>
        <w:shd w:val="clear" w:color="auto" w:fill="auto"/>
        <w:bidi w:val="0"/>
        <w:spacing w:before="0" w:after="160" w:line="240" w:lineRule="auto"/>
        <w:ind w:left="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16840" w:h="11900" w:orient="landscape"/>
          <w:pgMar w:top="1792" w:right="1514" w:bottom="1997" w:left="1425" w:header="0" w:footer="3" w:gutter="0"/>
          <w:cols w:space="720"/>
          <w:noEndnote/>
          <w:rtlGutter w:val="0"/>
          <w:docGrid w:linePitch="360"/>
        </w:sectPr>
      </w:pPr>
      <w:r>
        <w:rPr>
          <w:color w:val="000000"/>
          <w:spacing w:val="0"/>
          <w:w w:val="100"/>
          <w:position w:val="0"/>
        </w:rPr>
        <w:t>口适用”不适用</w:t>
      </w:r>
    </w:p>
    <w:p>
      <w:pPr>
        <w:pStyle w:val="Style35"/>
        <w:keepNext/>
        <w:keepLines/>
        <w:widowControl w:val="0"/>
        <w:numPr>
          <w:ilvl w:val="0"/>
          <w:numId w:val="23"/>
        </w:numPr>
        <w:shd w:val="clear" w:color="auto" w:fill="auto"/>
        <w:bidi w:val="0"/>
        <w:spacing w:before="0" w:after="80" w:line="240" w:lineRule="auto"/>
        <w:ind w:left="0" w:right="0" w:firstLine="0"/>
        <w:jc w:val="left"/>
      </w:pPr>
      <w:bookmarkStart w:id="521" w:name="bookmark521"/>
      <w:bookmarkStart w:id="522" w:name="bookmark522"/>
      <w:bookmarkStart w:id="523" w:name="bookmark523"/>
      <w:bookmarkStart w:id="524" w:name="bookmark524"/>
      <w:bookmarkEnd w:id="523"/>
      <w:r>
        <w:rPr>
          <w:color w:val="000000"/>
          <w:spacing w:val="0"/>
          <w:w w:val="100"/>
          <w:position w:val="0"/>
        </w:rPr>
        <w:t>委托理财减值准备</w:t>
      </w:r>
      <w:bookmarkEnd w:id="521"/>
      <w:bookmarkEnd w:id="522"/>
      <w:bookmarkEnd w:id="52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
        </w:numPr>
        <w:shd w:val="clear" w:color="auto" w:fill="auto"/>
        <w:tabs>
          <w:tab w:pos="382" w:val="left"/>
        </w:tabs>
        <w:bidi w:val="0"/>
        <w:spacing w:before="0" w:after="80" w:line="240" w:lineRule="auto"/>
        <w:ind w:left="0" w:right="0" w:firstLine="0"/>
        <w:jc w:val="left"/>
      </w:pPr>
      <w:bookmarkStart w:id="525" w:name="bookmark525"/>
      <w:bookmarkEnd w:id="525"/>
      <w:r>
        <w:rPr>
          <w:b/>
          <w:bCs/>
          <w:color w:val="000000"/>
          <w:spacing w:val="0"/>
          <w:w w:val="100"/>
          <w:position w:val="0"/>
        </w:rPr>
        <w:t>委托贷款情况</w:t>
      </w:r>
    </w:p>
    <w:p>
      <w:pPr>
        <w:pStyle w:val="Style2"/>
        <w:keepNext w:val="0"/>
        <w:keepLines w:val="0"/>
        <w:widowControl w:val="0"/>
        <w:numPr>
          <w:ilvl w:val="0"/>
          <w:numId w:val="25"/>
        </w:numPr>
        <w:shd w:val="clear" w:color="auto" w:fill="auto"/>
        <w:tabs>
          <w:tab w:pos="426" w:val="left"/>
        </w:tabs>
        <w:bidi w:val="0"/>
        <w:spacing w:before="0" w:after="80" w:line="240" w:lineRule="auto"/>
        <w:ind w:left="0" w:right="0" w:firstLine="0"/>
        <w:jc w:val="left"/>
      </w:pPr>
      <w:bookmarkStart w:id="526" w:name="bookmark526"/>
      <w:bookmarkEnd w:id="526"/>
      <w:r>
        <w:rPr>
          <w:b/>
          <w:bCs/>
          <w:color w:val="000000"/>
          <w:spacing w:val="0"/>
          <w:w w:val="100"/>
          <w:position w:val="0"/>
        </w:rPr>
        <w:t>委托贷款总体情况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
        </w:numPr>
        <w:shd w:val="clear" w:color="auto" w:fill="auto"/>
        <w:tabs>
          <w:tab w:pos="426" w:val="left"/>
        </w:tabs>
        <w:bidi w:val="0"/>
        <w:spacing w:before="0" w:after="80" w:line="240" w:lineRule="auto"/>
        <w:ind w:left="0" w:right="0" w:firstLine="0"/>
        <w:jc w:val="left"/>
      </w:pPr>
      <w:bookmarkStart w:id="527" w:name="bookmark527"/>
      <w:bookmarkEnd w:id="527"/>
      <w:r>
        <w:rPr>
          <w:b/>
          <w:bCs/>
          <w:color w:val="000000"/>
          <w:spacing w:val="0"/>
          <w:w w:val="100"/>
          <w:position w:val="0"/>
        </w:rPr>
        <w:t>单项委托贷款情况</w:t>
      </w:r>
    </w:p>
    <w:p>
      <w:pPr>
        <w:pStyle w:val="Style2"/>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25"/>
        </w:numPr>
        <w:shd w:val="clear" w:color="auto" w:fill="auto"/>
        <w:tabs>
          <w:tab w:pos="426" w:val="left"/>
        </w:tabs>
        <w:bidi w:val="0"/>
        <w:spacing w:before="0" w:after="80" w:line="240" w:lineRule="auto"/>
        <w:ind w:left="0" w:right="0" w:firstLine="0"/>
        <w:jc w:val="left"/>
      </w:pPr>
      <w:bookmarkStart w:id="528" w:name="bookmark528"/>
      <w:bookmarkEnd w:id="528"/>
      <w:r>
        <w:rPr>
          <w:b/>
          <w:bCs/>
          <w:color w:val="000000"/>
          <w:spacing w:val="0"/>
          <w:w w:val="100"/>
          <w:position w:val="0"/>
        </w:rPr>
        <w:t>委托贷款减值准备</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
        </w:numPr>
        <w:shd w:val="clear" w:color="auto" w:fill="auto"/>
        <w:tabs>
          <w:tab w:pos="382" w:val="left"/>
        </w:tabs>
        <w:bidi w:val="0"/>
        <w:spacing w:before="0" w:after="80" w:line="240" w:lineRule="auto"/>
        <w:ind w:left="0" w:right="0" w:firstLine="0"/>
        <w:jc w:val="left"/>
      </w:pPr>
      <w:bookmarkStart w:id="529" w:name="bookmark529"/>
      <w:bookmarkEnd w:id="529"/>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27"/>
        </w:numPr>
        <w:shd w:val="clear" w:color="auto" w:fill="auto"/>
        <w:bidi w:val="0"/>
        <w:spacing w:before="0" w:after="80" w:line="240" w:lineRule="auto"/>
        <w:ind w:left="0" w:right="0" w:firstLine="0"/>
        <w:jc w:val="left"/>
      </w:pPr>
      <w:bookmarkStart w:id="530" w:name="bookmark530"/>
      <w:bookmarkEnd w:id="530"/>
      <w:r>
        <w:rPr>
          <w:b/>
          <w:bCs/>
          <w:color w:val="000000"/>
          <w:spacing w:val="0"/>
          <w:w w:val="100"/>
          <w:position w:val="0"/>
        </w:rPr>
        <w:t>其他重大合同</w:t>
      </w:r>
    </w:p>
    <w:p>
      <w:pPr>
        <w:pStyle w:val="Style2"/>
        <w:keepNext w:val="0"/>
        <w:keepLines w:val="0"/>
        <w:widowControl w:val="0"/>
        <w:shd w:val="clear" w:color="auto" w:fill="auto"/>
        <w:tabs>
          <w:tab w:pos="854" w:val="left"/>
        </w:tabs>
        <w:bidi w:val="0"/>
        <w:spacing w:before="0" w:after="80" w:line="240" w:lineRule="auto"/>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868" w:right="8034" w:bottom="1868" w:left="1774" w:header="0" w:footer="3" w:gutter="0"/>
          <w:cols w:space="720"/>
          <w:noEndnote/>
          <w:rtlGutter w:val="0"/>
          <w:docGrid w:linePitch="360"/>
        </w:sectPr>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531" w:name="bookmark531"/>
      <w:bookmarkStart w:id="532" w:name="bookmark532"/>
      <w:bookmarkStart w:id="533" w:name="bookmark533"/>
      <w:r>
        <w:rPr>
          <w:color w:val="000000"/>
          <w:spacing w:val="0"/>
          <w:w w:val="100"/>
          <w:position w:val="0"/>
        </w:rPr>
        <w:t>十五、募集资金使用进展说明</w:t>
      </w:r>
      <w:bookmarkEnd w:id="531"/>
      <w:bookmarkEnd w:id="532"/>
      <w:bookmarkEnd w:id="53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1669" w:right="0" w:firstLine="0"/>
        <w:jc w:val="left"/>
        <w:rPr>
          <w:sz w:val="17"/>
          <w:szCs w:val="17"/>
        </w:rPr>
      </w:pPr>
      <w:r>
        <w:rPr>
          <w:color w:val="000000"/>
          <w:spacing w:val="0"/>
          <w:w w:val="100"/>
          <w:position w:val="0"/>
          <w:sz w:val="17"/>
          <w:szCs w:val="17"/>
        </w:rPr>
        <w:t>单位：元币种：人民币</w:t>
      </w:r>
    </w:p>
    <w:tbl>
      <w:tblPr>
        <w:tblOverlap w:val="never"/>
        <w:jc w:val="center"/>
        <w:tblLayout w:type="fixed"/>
      </w:tblPr>
      <w:tblGrid>
        <w:gridCol w:w="1574"/>
        <w:gridCol w:w="984"/>
        <w:gridCol w:w="1286"/>
        <w:gridCol w:w="1272"/>
        <w:gridCol w:w="1277"/>
        <w:gridCol w:w="1133"/>
        <w:gridCol w:w="1133"/>
        <w:gridCol w:w="1277"/>
        <w:gridCol w:w="1128"/>
        <w:gridCol w:w="850"/>
        <w:gridCol w:w="854"/>
        <w:gridCol w:w="566"/>
        <w:gridCol w:w="547"/>
      </w:tblGrid>
      <w:tr>
        <w:trPr>
          <w:trHeight w:val="288"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募集资金总额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1,445,702,792.76</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本年度投入募集资金总额</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366,064,937</w:t>
            </w:r>
          </w:p>
        </w:tc>
      </w:tr>
      <w:tr>
        <w:trPr>
          <w:trHeight w:val="250"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变更用途的募集资金总额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3"/>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已累计投入募集资金总额</w:t>
            </w:r>
          </w:p>
        </w:tc>
        <w:tc>
          <w:tcPr>
            <w:gridSpan w:val="4"/>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669,830,954</w:t>
            </w:r>
          </w:p>
        </w:tc>
      </w:tr>
      <w:tr>
        <w:trPr>
          <w:trHeight w:val="240"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3"/>
            <w:vMerge/>
            <w:tcBorders>
              <w:left w:val="single" w:sz="4"/>
            </w:tcBorders>
            <w:shd w:val="clear" w:color="auto" w:fill="FFFFFF"/>
            <w:vAlign w:val="center"/>
          </w:tcPr>
          <w:p>
            <w:pPr/>
          </w:p>
        </w:tc>
        <w:tc>
          <w:tcPr>
            <w:gridSpan w:val="4"/>
            <w:vMerge/>
            <w:tcBorders>
              <w:left w:val="single" w:sz="4"/>
              <w:right w:val="single" w:sz="4"/>
            </w:tcBorders>
            <w:shd w:val="clear" w:color="auto" w:fill="FFFFFF"/>
            <w:vAlign w:val="center"/>
          </w:tcPr>
          <w:p>
            <w:pPr/>
          </w:p>
        </w:tc>
      </w:tr>
      <w:tr>
        <w:trPr>
          <w:trHeight w:val="304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已变更项 目，含部 分变更</w:t>
            </w:r>
          </w:p>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260" w:firstLine="0"/>
              <w:jc w:val="right"/>
              <w:rPr>
                <w:sz w:val="17"/>
                <w:szCs w:val="17"/>
              </w:rPr>
            </w:pPr>
            <w:r>
              <w:rPr>
                <w:color w:val="000000"/>
                <w:spacing w:val="0"/>
                <w:w w:val="100"/>
                <w:position w:val="0"/>
                <w:sz w:val="17"/>
                <w:szCs w:val="17"/>
              </w:rPr>
              <w:t>募集资金承 诺投资总额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调整后投资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截至期末承 诺投入金额 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本年度投入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截至期末累 计投入金额 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截至期末累 计投入金额 与承诺投入 金额的差额 ③</w:t>
            </w:r>
            <w:r>
              <w:rPr>
                <w:color w:val="000000"/>
                <w:spacing w:val="0"/>
                <w:w w:val="100"/>
                <w:position w:val="0"/>
                <w:sz w:val="18"/>
                <w:szCs w:val="18"/>
              </w:rPr>
              <w:t>二</w:t>
            </w:r>
            <w:r>
              <w:rPr>
                <w:color w:val="000000"/>
                <w:spacing w:val="0"/>
                <w:w w:val="100"/>
                <w:position w:val="0"/>
                <w:sz w:val="17"/>
                <w:szCs w:val="17"/>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35" w:lineRule="exact"/>
              <w:ind w:left="0" w:right="0" w:firstLine="0"/>
              <w:jc w:val="left"/>
              <w:rPr>
                <w:sz w:val="17"/>
                <w:szCs w:val="17"/>
              </w:rPr>
            </w:pPr>
            <w:r>
              <w:rPr>
                <w:color w:val="000000"/>
                <w:spacing w:val="0"/>
                <w:w w:val="100"/>
                <w:position w:val="0"/>
                <w:sz w:val="17"/>
                <w:szCs w:val="17"/>
              </w:rPr>
              <w:t>截至期末投 入进度</w:t>
            </w:r>
          </w:p>
          <w:p>
            <w:pPr>
              <w:pStyle w:val="Style25"/>
              <w:keepNext w:val="0"/>
              <w:keepLines w:val="0"/>
              <w:widowControl w:val="0"/>
              <w:shd w:val="clear" w:color="auto" w:fill="auto"/>
              <w:bidi w:val="0"/>
              <w:spacing w:before="0" w:after="40" w:line="235"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p>
            <w:pPr>
              <w:pStyle w:val="Style25"/>
              <w:keepNext w:val="0"/>
              <w:keepLines w:val="0"/>
              <w:widowControl w:val="0"/>
              <w:shd w:val="clear" w:color="auto" w:fill="auto"/>
              <w:bidi w:val="0"/>
              <w:spacing w:before="0" w:after="40" w:line="235" w:lineRule="exact"/>
              <w:ind w:left="0" w:right="0" w:firstLine="0"/>
              <w:jc w:val="left"/>
              <w:rPr>
                <w:sz w:val="17"/>
                <w:szCs w:val="17"/>
              </w:rPr>
            </w:pPr>
            <w:r>
              <w:rPr>
                <w:color w:val="000000"/>
                <w:spacing w:val="0"/>
                <w:w w:val="100"/>
                <w:position w:val="0"/>
                <w:sz w:val="17"/>
                <w:szCs w:val="17"/>
              </w:rPr>
              <w:t>④</w:t>
            </w:r>
            <w:r>
              <w:rPr>
                <w:color w:val="000000"/>
                <w:spacing w:val="0"/>
                <w:w w:val="100"/>
                <w:position w:val="0"/>
                <w:sz w:val="18"/>
                <w:szCs w:val="18"/>
              </w:rPr>
              <w:t>二</w:t>
            </w:r>
            <w:r>
              <w:rPr>
                <w:color w:val="000000"/>
                <w:spacing w:val="0"/>
                <w:w w:val="100"/>
                <w:position w:val="0"/>
                <w:sz w:val="17"/>
                <w:szCs w:val="17"/>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本年度 实现的 效益</w:t>
            </w: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是否达到预计效益</w:t>
            </w:r>
          </w:p>
        </w:tc>
        <w:tc>
          <w:tcPr>
            <w:tcBorders>
              <w:top w:val="single" w:sz="4"/>
              <w:left w:val="single" w:sz="4"/>
              <w:right w:val="single" w:sz="4"/>
            </w:tcBorders>
            <w:shd w:val="clear" w:color="auto" w:fill="FFFFFF"/>
            <w:textDirection w:val="tbRlV"/>
            <w:vAlign w:val="top"/>
          </w:tcPr>
          <w:p>
            <w:pPr>
              <w:pStyle w:val="Style85"/>
              <w:keepNext w:val="0"/>
              <w:keepLines w:val="0"/>
              <w:widowControl w:val="0"/>
              <w:shd w:val="clear" w:color="auto" w:fill="auto"/>
              <w:bidi w:val="0"/>
              <w:spacing w:before="220" w:after="0" w:line="240" w:lineRule="auto"/>
              <w:ind w:left="0" w:right="0" w:firstLine="0"/>
              <w:jc w:val="left"/>
              <w:rPr>
                <w:sz w:val="18"/>
                <w:szCs w:val="18"/>
              </w:rPr>
            </w:pPr>
            <w:r>
              <w:rPr>
                <w:color w:val="000000"/>
                <w:spacing w:val="0"/>
                <w:w w:val="100"/>
                <w:position w:val="0"/>
                <w:sz w:val="18"/>
                <w:szCs w:val="18"/>
              </w:rPr>
              <w:t>项目可行性是否发生重大变化</w:t>
            </w:r>
          </w:p>
        </w:tc>
      </w:tr>
      <w:tr>
        <w:trPr>
          <w:trHeight w:val="47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高端半导体设备 扩产升级项目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113,144,023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177,201,296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(222,798,704)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技术研发中心建 设升级项目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292,629,658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(107,370,342)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40,419,484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366,064,937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669,830,954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(330,169,046)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未达到计划进度原</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因（分具体募投项目）</w:t>
            </w:r>
          </w:p>
        </w:tc>
        <w:tc>
          <w:tcPr>
            <w:gridSpan w:val="9"/>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40"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项目可行性发生重大变化的情况说明</w:t>
            </w:r>
          </w:p>
        </w:tc>
        <w:tc>
          <w:tcPr>
            <w:gridSpan w:val="9"/>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45"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募集资金投资项目先期投入及置换情况</w:t>
            </w:r>
          </w:p>
        </w:tc>
        <w:tc>
          <w:tcPr>
            <w:gridSpan w:val="9"/>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本年度不存在募集资金投资项目先期投入及置换的情况。</w:t>
            </w:r>
          </w:p>
        </w:tc>
      </w:tr>
      <w:tr>
        <w:trPr>
          <w:trHeight w:val="245" w:hRule="exact"/>
        </w:trPr>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用闲置募集资金暂时补充流动资金情况</w:t>
            </w:r>
          </w:p>
        </w:tc>
        <w:tc>
          <w:tcPr>
            <w:gridSpan w:val="9"/>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本报告期不存在以闲置募集资金暂时补充流动资金的情况。</w:t>
            </w:r>
          </w:p>
        </w:tc>
      </w:tr>
      <w:tr>
        <w:trPr>
          <w:trHeight w:val="245" w:hRule="exact"/>
        </w:trPr>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对闲置募集资金进行现金管理，投资相关产品情况</w:t>
            </w:r>
          </w:p>
        </w:tc>
        <w:tc>
          <w:tcPr>
            <w:gridSpan w:val="9"/>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内容详见本节十四、重大合同及其履行情况（三）委托他人进行现金资产管理的情况。</w:t>
            </w:r>
          </w:p>
        </w:tc>
      </w:tr>
      <w:tr>
        <w:trPr>
          <w:trHeight w:val="240" w:hRule="exact"/>
        </w:trPr>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用超募资金永久补充流动资金或归还银行贷款情况</w:t>
            </w:r>
          </w:p>
        </w:tc>
        <w:tc>
          <w:tcPr>
            <w:gridSpan w:val="9"/>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本报告期不存在以超募资金永久补充流动资金或归还银行贷款的情况。</w:t>
            </w:r>
          </w:p>
        </w:tc>
      </w:tr>
      <w:tr>
        <w:trPr>
          <w:trHeight w:val="245" w:hRule="exact"/>
        </w:trPr>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募集资金结余的金额及形成原因</w:t>
            </w:r>
          </w:p>
        </w:tc>
        <w:tc>
          <w:tcPr>
            <w:gridSpan w:val="9"/>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本报告期募集资金尚在投入过程中，不存在募集资金结余的情况。</w:t>
            </w:r>
          </w:p>
        </w:tc>
      </w:tr>
      <w:tr>
        <w:trPr>
          <w:trHeight w:val="254" w:hRule="exact"/>
        </w:trPr>
        <w:tc>
          <w:tcPr>
            <w:gridSpan w:val="4"/>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募集资金其他使用情况</w:t>
            </w:r>
          </w:p>
        </w:tc>
        <w:tc>
          <w:tcPr>
            <w:gridSpan w:val="9"/>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footnotePr>
            <w:pos w:val="pageBottom"/>
            <w:numFmt w:val="decimal"/>
            <w:numRestart w:val="continuous"/>
          </w:footnotePr>
          <w:pgSz w:w="16840" w:h="11900" w:orient="landscape"/>
          <w:pgMar w:top="1864" w:right="1522" w:bottom="1858" w:left="1436" w:header="0" w:footer="3" w:gutter="0"/>
          <w:cols w:space="720"/>
          <w:noEndnote/>
          <w:rtlGutter w:val="0"/>
          <w:docGrid w:linePitch="360"/>
        </w:sectPr>
      </w:pPr>
    </w:p>
    <w:p>
      <w:pPr>
        <w:pStyle w:val="Style35"/>
        <w:keepNext/>
        <w:keepLines/>
        <w:widowControl w:val="0"/>
        <w:shd w:val="clear" w:color="auto" w:fill="auto"/>
        <w:bidi w:val="0"/>
        <w:spacing w:before="0" w:after="100" w:line="240" w:lineRule="auto"/>
        <w:ind w:left="0" w:right="0" w:firstLine="0"/>
        <w:jc w:val="left"/>
      </w:pPr>
      <w:bookmarkStart w:id="534" w:name="bookmark534"/>
      <w:bookmarkStart w:id="535" w:name="bookmark535"/>
      <w:bookmarkStart w:id="536" w:name="bookmark536"/>
      <w:r>
        <w:rPr>
          <w:color w:val="000000"/>
          <w:spacing w:val="0"/>
          <w:w w:val="100"/>
          <w:position w:val="0"/>
        </w:rPr>
        <w:t>十六、其他重大事项的说明</w:t>
      </w:r>
      <w:bookmarkEnd w:id="534"/>
      <w:bookmarkEnd w:id="535"/>
      <w:bookmarkEnd w:id="53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5"/>
        <w:keepNext/>
        <w:keepLines/>
        <w:widowControl w:val="0"/>
        <w:numPr>
          <w:ilvl w:val="0"/>
          <w:numId w:val="29"/>
        </w:numPr>
        <w:shd w:val="clear" w:color="auto" w:fill="auto"/>
        <w:tabs>
          <w:tab w:pos="715" w:val="left"/>
        </w:tabs>
        <w:bidi w:val="0"/>
        <w:spacing w:before="0" w:after="0" w:line="408" w:lineRule="exact"/>
        <w:ind w:left="0" w:right="0" w:firstLine="440"/>
        <w:jc w:val="both"/>
      </w:pPr>
      <w:bookmarkStart w:id="537" w:name="bookmark537"/>
      <w:bookmarkStart w:id="538" w:name="bookmark538"/>
      <w:bookmarkStart w:id="539" w:name="bookmark539"/>
      <w:bookmarkStart w:id="540" w:name="bookmark540"/>
      <w:bookmarkEnd w:id="539"/>
      <w:r>
        <w:rPr>
          <w:color w:val="000000"/>
          <w:spacing w:val="0"/>
          <w:w w:val="100"/>
          <w:position w:val="0"/>
        </w:rPr>
        <w:t>向特定对象发行股票</w:t>
      </w:r>
      <w:bookmarkEnd w:id="537"/>
      <w:bookmarkEnd w:id="538"/>
      <w:bookmarkEnd w:id="540"/>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日召开第一届董事会第十四次会议、第一届监事会第十次会议审议通 过了向特定对象发行股票的相关议案，公司拟向不超过</w:t>
      </w:r>
      <w:r>
        <w:rPr>
          <w:rFonts w:ascii="Times New Roman" w:eastAsia="Times New Roman" w:hAnsi="Times New Roman" w:cs="Times New Roman"/>
          <w:color w:val="000000"/>
          <w:spacing w:val="0"/>
          <w:w w:val="100"/>
          <w:position w:val="0"/>
        </w:rPr>
        <w:t>35</w:t>
      </w:r>
      <w:r>
        <w:rPr>
          <w:color w:val="000000"/>
          <w:spacing w:val="0"/>
          <w:w w:val="100"/>
          <w:position w:val="0"/>
        </w:rPr>
        <w:t>名特定对象发行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股股票，本次发行 股票的股票数量不超过</w:t>
      </w:r>
      <w:r>
        <w:rPr>
          <w:rFonts w:ascii="Times New Roman" w:eastAsia="Times New Roman" w:hAnsi="Times New Roman" w:cs="Times New Roman"/>
          <w:color w:val="000000"/>
          <w:spacing w:val="0"/>
          <w:w w:val="100"/>
          <w:position w:val="0"/>
        </w:rPr>
        <w:t>80,229,335</w:t>
      </w:r>
      <w:r>
        <w:rPr>
          <w:color w:val="000000"/>
          <w:spacing w:val="0"/>
          <w:w w:val="100"/>
          <w:position w:val="0"/>
        </w:rPr>
        <w:t>股，不超过本次发行前公司总股本的</w:t>
      </w:r>
      <w:r>
        <w:rPr>
          <w:rFonts w:ascii="Times New Roman" w:eastAsia="Times New Roman" w:hAnsi="Times New Roman" w:cs="Times New Roman"/>
          <w:color w:val="000000"/>
          <w:spacing w:val="0"/>
          <w:w w:val="100"/>
          <w:position w:val="0"/>
        </w:rPr>
        <w:t>15%</w:t>
      </w:r>
      <w:r>
        <w:rPr>
          <w:color w:val="000000"/>
          <w:spacing w:val="0"/>
          <w:w w:val="100"/>
          <w:position w:val="0"/>
        </w:rPr>
        <w:t>，募集资金总额不 超过人民币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 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股股票的相关事项，于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日收到上交所科创板上市审核中心《关于 中微半导体设备（上海）股份有限公司向特定对象发行股票审核意见的通知》，于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日收到中国证监会出具的《关于同意中微半导体设备（上海）股份有限公司向特定对象发行股 票注册的批复》（证监许可</w:t>
      </w:r>
      <w:r>
        <w:rPr>
          <w:rFonts w:ascii="Times New Roman" w:eastAsia="Times New Roman" w:hAnsi="Times New Roman" w:cs="Times New Roman"/>
          <w:color w:val="000000"/>
          <w:spacing w:val="0"/>
          <w:w w:val="100"/>
          <w:position w:val="0"/>
        </w:rPr>
        <w:t>[2021]645</w:t>
      </w:r>
      <w:r>
        <w:rPr>
          <w:color w:val="000000"/>
          <w:spacing w:val="0"/>
          <w:w w:val="100"/>
          <w:position w:val="0"/>
        </w:rPr>
        <w:t>号）。</w:t>
      </w:r>
    </w:p>
    <w:p>
      <w:pPr>
        <w:pStyle w:val="Style35"/>
        <w:keepNext/>
        <w:keepLines/>
        <w:widowControl w:val="0"/>
        <w:numPr>
          <w:ilvl w:val="0"/>
          <w:numId w:val="29"/>
        </w:numPr>
        <w:shd w:val="clear" w:color="auto" w:fill="auto"/>
        <w:tabs>
          <w:tab w:pos="729" w:val="left"/>
        </w:tabs>
        <w:bidi w:val="0"/>
        <w:spacing w:before="0" w:after="0" w:line="408" w:lineRule="exact"/>
        <w:ind w:left="0" w:right="0" w:firstLine="440"/>
        <w:jc w:val="left"/>
      </w:pPr>
      <w:bookmarkStart w:id="541" w:name="bookmark541"/>
      <w:bookmarkStart w:id="542" w:name="bookmark542"/>
      <w:bookmarkStart w:id="543" w:name="bookmark543"/>
      <w:bookmarkStart w:id="544" w:name="bookmark544"/>
      <w:bookmarkEnd w:id="543"/>
      <w:r>
        <w:rPr>
          <w:color w:val="000000"/>
          <w:spacing w:val="0"/>
          <w:w w:val="100"/>
          <w:position w:val="0"/>
        </w:rPr>
        <w:t>实施限制性股票激励计划及股票增值权计划</w:t>
      </w:r>
      <w:bookmarkEnd w:id="541"/>
      <w:bookmarkEnd w:id="542"/>
      <w:bookmarkEnd w:id="544"/>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日召开第一届董事会第八次会议、第一届监事会第五次会议审议通过 了《中微半导体设备（上海）股份有限公司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年限制性股票激励计划（草案）》《中微半导 体设备（上海）股份有限公司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年股票增值权激励计划（草案）》，拟以</w:t>
      </w:r>
      <w:r>
        <w:rPr>
          <w:rFonts w:ascii="Times New Roman" w:eastAsia="Times New Roman" w:hAnsi="Times New Roman" w:cs="Times New Roman"/>
          <w:color w:val="000000"/>
          <w:spacing w:val="0"/>
          <w:w w:val="100"/>
          <w:position w:val="0"/>
        </w:rPr>
        <w:t>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股的行权价 向激励对象授予</w:t>
      </w:r>
      <w:r>
        <w:rPr>
          <w:rFonts w:ascii="Times New Roman" w:eastAsia="Times New Roman" w:hAnsi="Times New Roman" w:cs="Times New Roman"/>
          <w:color w:val="000000"/>
          <w:spacing w:val="0"/>
          <w:w w:val="100"/>
          <w:position w:val="0"/>
        </w:rPr>
        <w:t>1,200</w:t>
      </w:r>
      <w:r>
        <w:rPr>
          <w:color w:val="000000"/>
          <w:spacing w:val="0"/>
          <w:w w:val="100"/>
          <w:position w:val="0"/>
        </w:rPr>
        <w:t>万股限制性股票和</w:t>
      </w:r>
      <w:r>
        <w:rPr>
          <w:rFonts w:ascii="Times New Roman" w:eastAsia="Times New Roman" w:hAnsi="Times New Roman" w:cs="Times New Roman"/>
          <w:color w:val="000000"/>
          <w:spacing w:val="0"/>
          <w:w w:val="100"/>
          <w:position w:val="0"/>
        </w:rPr>
        <w:t>81.60</w:t>
      </w:r>
      <w:r>
        <w:rPr>
          <w:color w:val="000000"/>
          <w:spacing w:val="0"/>
          <w:w w:val="100"/>
          <w:position w:val="0"/>
        </w:rPr>
        <w:t>万份股票增值权。公司于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日召开 </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年第一次临时股东大会，审议通过了上述议案。</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日召开第一届董事会第十二次会议、第一届监事会第八次会议审议通 过了《中微半导体设备（上海）股份有限公司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年限制性股票激励计划（草案修订稿）》</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《中微半导体设备（上海）股份有限公司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年股票增值权激励计划（草案修订稿）》，拟以 </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股的行权价向激励对象授予</w:t>
      </w:r>
      <w:r>
        <w:rPr>
          <w:rFonts w:ascii="Times New Roman" w:eastAsia="Times New Roman" w:hAnsi="Times New Roman" w:cs="Times New Roman"/>
          <w:color w:val="000000"/>
          <w:spacing w:val="0"/>
          <w:w w:val="100"/>
          <w:position w:val="0"/>
        </w:rPr>
        <w:t>800</w:t>
      </w:r>
      <w:r>
        <w:rPr>
          <w:color w:val="000000"/>
          <w:spacing w:val="0"/>
          <w:w w:val="100"/>
          <w:position w:val="0"/>
        </w:rPr>
        <w:t>万股限制性股票和</w:t>
      </w:r>
      <w:r>
        <w:rPr>
          <w:rFonts w:ascii="Times New Roman" w:eastAsia="Times New Roman" w:hAnsi="Times New Roman" w:cs="Times New Roman"/>
          <w:color w:val="000000"/>
          <w:spacing w:val="0"/>
          <w:w w:val="100"/>
          <w:position w:val="0"/>
        </w:rPr>
        <w:t>54.68</w:t>
      </w:r>
      <w:r>
        <w:rPr>
          <w:color w:val="000000"/>
          <w:spacing w:val="0"/>
          <w:w w:val="100"/>
          <w:position w:val="0"/>
        </w:rPr>
        <w:t>万份股票增值权。公司于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年第二次临时股东大会，审议通过了上述议案。</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日召开第一届董事会第十三次会议、第一届监事会第九次会议，审议 通过了《关于向激励对象首次授予限制性股票的议案》《关于向激励对象授予股票增值权的议 案》，确定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日为授予日，以人民币</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股的授予价格向激励对象首次授予</w:t>
      </w:r>
      <w:r>
        <w:rPr>
          <w:rFonts w:ascii="Times New Roman" w:eastAsia="Times New Roman" w:hAnsi="Times New Roman" w:cs="Times New Roman"/>
          <w:color w:val="000000"/>
          <w:spacing w:val="0"/>
          <w:w w:val="100"/>
          <w:position w:val="0"/>
        </w:rPr>
        <w:t xml:space="preserve">670 </w:t>
      </w:r>
      <w:r>
        <w:rPr>
          <w:color w:val="000000"/>
          <w:spacing w:val="0"/>
          <w:w w:val="100"/>
          <w:position w:val="0"/>
        </w:rPr>
        <w:t>万股限制性股票及</w:t>
      </w:r>
      <w:r>
        <w:rPr>
          <w:rFonts w:ascii="Times New Roman" w:eastAsia="Times New Roman" w:hAnsi="Times New Roman" w:cs="Times New Roman"/>
          <w:color w:val="000000"/>
          <w:spacing w:val="0"/>
          <w:w w:val="100"/>
          <w:position w:val="0"/>
        </w:rPr>
        <w:t>54.68</w:t>
      </w:r>
      <w:r>
        <w:rPr>
          <w:color w:val="000000"/>
          <w:spacing w:val="0"/>
          <w:w w:val="100"/>
          <w:position w:val="0"/>
        </w:rPr>
        <w:t>万份股票增值权。</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日召开第一届董事会第十六次会议、第一届监事会第十二次会议，审 议通过了《关于向激励对象授予预留部分限制性股票的议案》，确定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日为授予 日，以人民币</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股的授予价格向</w:t>
      </w:r>
      <w:r>
        <w:rPr>
          <w:rFonts w:ascii="Times New Roman" w:eastAsia="Times New Roman" w:hAnsi="Times New Roman" w:cs="Times New Roman"/>
          <w:color w:val="000000"/>
          <w:spacing w:val="0"/>
          <w:w w:val="100"/>
          <w:position w:val="0"/>
        </w:rPr>
        <w:t>188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103.989</w:t>
      </w:r>
      <w:r>
        <w:rPr>
          <w:color w:val="000000"/>
          <w:spacing w:val="0"/>
          <w:w w:val="100"/>
          <w:position w:val="0"/>
        </w:rPr>
        <w:t>万股限制性股票。</w:t>
      </w:r>
    </w:p>
    <w:p>
      <w:pPr>
        <w:pStyle w:val="Style35"/>
        <w:keepNext/>
        <w:keepLines/>
        <w:widowControl w:val="0"/>
        <w:numPr>
          <w:ilvl w:val="0"/>
          <w:numId w:val="29"/>
        </w:numPr>
        <w:shd w:val="clear" w:color="auto" w:fill="auto"/>
        <w:tabs>
          <w:tab w:pos="729" w:val="left"/>
        </w:tabs>
        <w:bidi w:val="0"/>
        <w:spacing w:before="0" w:after="0" w:line="408" w:lineRule="exact"/>
        <w:ind w:left="0" w:right="0" w:firstLine="440"/>
        <w:jc w:val="both"/>
      </w:pPr>
      <w:bookmarkStart w:id="545" w:name="bookmark545"/>
      <w:bookmarkStart w:id="546" w:name="bookmark546"/>
      <w:bookmarkStart w:id="547" w:name="bookmark547"/>
      <w:bookmarkStart w:id="548" w:name="bookmark548"/>
      <w:bookmarkEnd w:id="547"/>
      <w:r>
        <w:rPr>
          <w:color w:val="000000"/>
          <w:spacing w:val="0"/>
          <w:w w:val="100"/>
          <w:position w:val="0"/>
        </w:rPr>
        <w:t>关于董事变动的说明</w:t>
      </w:r>
      <w:bookmarkEnd w:id="545"/>
      <w:bookmarkEnd w:id="546"/>
      <w:bookmarkEnd w:id="548"/>
    </w:p>
    <w:p>
      <w:pPr>
        <w:pStyle w:val="Style2"/>
        <w:keepNext w:val="0"/>
        <w:keepLines w:val="0"/>
        <w:widowControl w:val="0"/>
        <w:shd w:val="clear" w:color="auto" w:fill="auto"/>
        <w:bidi w:val="0"/>
        <w:spacing w:before="0" w:after="40" w:line="408" w:lineRule="exact"/>
        <w:ind w:left="0" w:right="0" w:firstLine="440"/>
        <w:jc w:val="left"/>
        <w:sectPr>
          <w:footnotePr>
            <w:pos w:val="pageBottom"/>
            <w:numFmt w:val="decimal"/>
            <w:numRestart w:val="continuous"/>
          </w:footnotePr>
          <w:pgSz w:w="11900" w:h="16840"/>
          <w:pgMar w:top="1594" w:right="1259" w:bottom="1594" w:left="177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 xml:space="preserve">Lip-Bu Tan </w:t>
      </w:r>
      <w:r>
        <w:rPr>
          <w:color w:val="000000"/>
          <w:spacing w:val="0"/>
          <w:w w:val="100"/>
          <w:position w:val="0"/>
        </w:rPr>
        <w:t>（陈立武）先生因个人原因，申请辞去公司董事职务。辞职 后，</w:t>
      </w:r>
      <w:r>
        <w:rPr>
          <w:rFonts w:ascii="Times New Roman" w:eastAsia="Times New Roman" w:hAnsi="Times New Roman" w:cs="Times New Roman"/>
          <w:color w:val="000000"/>
          <w:spacing w:val="0"/>
          <w:w w:val="100"/>
          <w:position w:val="0"/>
        </w:rPr>
        <w:t xml:space="preserve">Lip-Bu Tan </w:t>
      </w:r>
      <w:r>
        <w:rPr>
          <w:color w:val="000000"/>
          <w:spacing w:val="0"/>
          <w:w w:val="100"/>
          <w:position w:val="0"/>
        </w:rPr>
        <w:t>（陈立武）先生不再担任公司的任何职务。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w:t>
      </w:r>
    </w:p>
    <w:p>
      <w:pPr>
        <w:pStyle w:val="Style2"/>
        <w:keepNext w:val="0"/>
        <w:keepLines w:val="0"/>
        <w:widowControl w:val="0"/>
        <w:shd w:val="clear" w:color="auto" w:fill="auto"/>
        <w:bidi w:val="0"/>
        <w:spacing w:before="0" w:after="520" w:line="374" w:lineRule="exact"/>
        <w:ind w:left="0" w:right="0" w:firstLine="0"/>
        <w:jc w:val="both"/>
      </w:pPr>
      <w:r>
        <w:rPr>
          <w:color w:val="000000"/>
          <w:spacing w:val="0"/>
          <w:w w:val="100"/>
          <w:position w:val="0"/>
        </w:rPr>
        <w:t>股东大会决议通过聘任</w:t>
      </w:r>
      <w:r>
        <w:rPr>
          <w:rFonts w:ascii="Times New Roman" w:eastAsia="Times New Roman" w:hAnsi="Times New Roman" w:cs="Times New Roman"/>
          <w:color w:val="000000"/>
          <w:spacing w:val="0"/>
          <w:w w:val="100"/>
          <w:position w:val="0"/>
        </w:rPr>
        <w:t xml:space="preserve">Hing Wong </w:t>
      </w:r>
      <w:r>
        <w:rPr>
          <w:color w:val="000000"/>
          <w:spacing w:val="0"/>
          <w:w w:val="100"/>
          <w:position w:val="0"/>
        </w:rPr>
        <w:t>（黄庆）先生为公司董事，任期自股东大会审议通过之日起至 公司第一届董事会任期届满之日止。</w:t>
      </w:r>
    </w:p>
    <w:p>
      <w:pPr>
        <w:pStyle w:val="Style35"/>
        <w:keepNext/>
        <w:keepLines/>
        <w:widowControl w:val="0"/>
        <w:shd w:val="clear" w:color="auto" w:fill="auto"/>
        <w:bidi w:val="0"/>
        <w:spacing w:before="0" w:after="80" w:line="240" w:lineRule="auto"/>
        <w:ind w:left="0" w:right="0" w:firstLine="0"/>
        <w:jc w:val="both"/>
      </w:pPr>
      <w:bookmarkStart w:id="549" w:name="bookmark549"/>
      <w:bookmarkStart w:id="550" w:name="bookmark550"/>
      <w:bookmarkStart w:id="551" w:name="bookmark551"/>
      <w:r>
        <w:rPr>
          <w:color w:val="000000"/>
          <w:spacing w:val="0"/>
          <w:w w:val="100"/>
          <w:position w:val="0"/>
        </w:rPr>
        <w:t>十七、积极履行社会责任的工作情况</w:t>
      </w:r>
      <w:bookmarkEnd w:id="549"/>
      <w:bookmarkEnd w:id="550"/>
      <w:bookmarkEnd w:id="551"/>
    </w:p>
    <w:p>
      <w:pPr>
        <w:pStyle w:val="Style35"/>
        <w:keepNext/>
        <w:keepLines/>
        <w:widowControl w:val="0"/>
        <w:shd w:val="clear" w:color="auto" w:fill="auto"/>
        <w:tabs>
          <w:tab w:pos="536" w:val="left"/>
        </w:tabs>
        <w:bidi w:val="0"/>
        <w:spacing w:before="0" w:after="80" w:line="240" w:lineRule="auto"/>
        <w:ind w:left="0" w:right="0" w:firstLine="0"/>
        <w:jc w:val="both"/>
      </w:pPr>
      <w:bookmarkStart w:id="549" w:name="bookmark549"/>
      <w:bookmarkStart w:id="550" w:name="bookmark550"/>
      <w:bookmarkStart w:id="552" w:name="bookmark552"/>
      <w:bookmarkStart w:id="553" w:name="bookmark553"/>
      <w:r>
        <w:rPr>
          <w:rFonts w:ascii="Times New Roman" w:eastAsia="Times New Roman" w:hAnsi="Times New Roman" w:cs="Times New Roman"/>
          <w:color w:val="000000"/>
          <w:spacing w:val="0"/>
          <w:w w:val="100"/>
          <w:position w:val="0"/>
        </w:rPr>
        <w:t>（</w:t>
      </w:r>
      <w:bookmarkEnd w:id="55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上市公司扶贫工作情况</w:t>
      </w:r>
      <w:bookmarkEnd w:id="549"/>
      <w:bookmarkEnd w:id="550"/>
      <w:bookmarkEnd w:id="553"/>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8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w:t>
      </w:r>
      <w:bookmarkEnd w:id="55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社会责任工作情况</w:t>
      </w:r>
      <w:bookmarkEnd w:id="554"/>
      <w:bookmarkEnd w:id="555"/>
      <w:bookmarkEnd w:id="557"/>
    </w:p>
    <w:p>
      <w:pPr>
        <w:pStyle w:val="Style35"/>
        <w:keepNext/>
        <w:keepLines/>
        <w:widowControl w:val="0"/>
        <w:numPr>
          <w:ilvl w:val="0"/>
          <w:numId w:val="31"/>
        </w:numPr>
        <w:shd w:val="clear" w:color="auto" w:fill="auto"/>
        <w:tabs>
          <w:tab w:pos="416" w:val="left"/>
        </w:tabs>
        <w:bidi w:val="0"/>
        <w:spacing w:before="0" w:after="80" w:line="240" w:lineRule="auto"/>
        <w:ind w:left="0" w:right="0" w:firstLine="0"/>
        <w:jc w:val="both"/>
      </w:pPr>
      <w:bookmarkStart w:id="554" w:name="bookmark554"/>
      <w:bookmarkStart w:id="555" w:name="bookmark555"/>
      <w:bookmarkStart w:id="558" w:name="bookmark558"/>
      <w:bookmarkStart w:id="559" w:name="bookmark559"/>
      <w:bookmarkEnd w:id="558"/>
      <w:r>
        <w:rPr>
          <w:color w:val="000000"/>
          <w:spacing w:val="0"/>
          <w:w w:val="100"/>
          <w:position w:val="0"/>
        </w:rPr>
        <w:t>股东和债权人权益保护情况</w:t>
      </w:r>
      <w:bookmarkEnd w:id="554"/>
      <w:bookmarkEnd w:id="555"/>
      <w:bookmarkEnd w:id="559"/>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报告期内，公司按照《公司法》《证券法》《上市公司股东大会规则》《上海证券交易所科 创板股票上市规则》等法律法规要求，建立了较为完善的公司内控制度和公司治理结构，持续强 化法律法规政策落实、风险管理和内部控制，严格贯彻执行相关制度，切实保障股东和债权人的 各项合法权益。</w:t>
      </w:r>
    </w:p>
    <w:p>
      <w:pPr>
        <w:pStyle w:val="Style2"/>
        <w:keepNext w:val="0"/>
        <w:keepLines w:val="0"/>
        <w:widowControl w:val="0"/>
        <w:shd w:val="clear" w:color="auto" w:fill="auto"/>
        <w:bidi w:val="0"/>
        <w:spacing w:before="0" w:after="640" w:line="406" w:lineRule="exact"/>
        <w:ind w:left="0" w:right="0" w:firstLine="440"/>
        <w:jc w:val="both"/>
      </w:pPr>
      <w:r>
        <w:rPr>
          <w:color w:val="000000"/>
          <w:spacing w:val="0"/>
          <w:w w:val="100"/>
          <w:position w:val="0"/>
        </w:rPr>
        <w:t>公司严格履行信息披露义务，通过公告、投资者交流会、业绩说明会等多渠道，做到信息披 露的真实、准确、及时、完整，使得股东和债权人平等的获取信息。</w:t>
      </w:r>
    </w:p>
    <w:p>
      <w:pPr>
        <w:pStyle w:val="Style35"/>
        <w:keepNext/>
        <w:keepLines/>
        <w:widowControl w:val="0"/>
        <w:numPr>
          <w:ilvl w:val="0"/>
          <w:numId w:val="31"/>
        </w:numPr>
        <w:shd w:val="clear" w:color="auto" w:fill="auto"/>
        <w:tabs>
          <w:tab w:pos="416" w:val="left"/>
        </w:tabs>
        <w:bidi w:val="0"/>
        <w:spacing w:before="0" w:after="80" w:line="240" w:lineRule="auto"/>
        <w:ind w:left="0" w:right="0" w:firstLine="0"/>
        <w:jc w:val="both"/>
      </w:pPr>
      <w:bookmarkStart w:id="560" w:name="bookmark560"/>
      <w:bookmarkStart w:id="561" w:name="bookmark561"/>
      <w:bookmarkStart w:id="562" w:name="bookmark562"/>
      <w:bookmarkStart w:id="563" w:name="bookmark563"/>
      <w:bookmarkEnd w:id="562"/>
      <w:r>
        <w:rPr>
          <w:color w:val="000000"/>
          <w:spacing w:val="0"/>
          <w:w w:val="100"/>
          <w:position w:val="0"/>
        </w:rPr>
        <w:t>职工权益保护情况</w:t>
      </w:r>
      <w:bookmarkEnd w:id="560"/>
      <w:bookmarkEnd w:id="561"/>
      <w:bookmarkEnd w:id="563"/>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公司制定了包括招聘、培训、考核、奖惩等在内的用工制度和人事管理制度，依法与员工签 订劳动合同，为员工提供基本养老保险、医疗保险、公积金等福利。公司关注员工的发展，提供 宿舍、接送班车、工作餐、健康体检、节日福利等各项福利。公司建立人才梯队培养机制，采用 企业内训、外聘内训和委外培训相结合的方式，开展多维度、多层次的培训项目，让员工与企业 共同进步，共同成长。为吸引和保留核心骨干人才，公司不断探索员工激励机制，促进公司长远 发展。</w:t>
      </w:r>
    </w:p>
    <w:p>
      <w:pPr>
        <w:pStyle w:val="Style35"/>
        <w:keepNext/>
        <w:keepLines/>
        <w:widowControl w:val="0"/>
        <w:numPr>
          <w:ilvl w:val="0"/>
          <w:numId w:val="31"/>
        </w:numPr>
        <w:shd w:val="clear" w:color="auto" w:fill="auto"/>
        <w:tabs>
          <w:tab w:pos="416" w:val="left"/>
        </w:tabs>
        <w:bidi w:val="0"/>
        <w:spacing w:before="0" w:after="80" w:line="240" w:lineRule="auto"/>
        <w:ind w:left="0" w:right="0" w:firstLine="0"/>
        <w:jc w:val="both"/>
      </w:pPr>
      <w:bookmarkStart w:id="564" w:name="bookmark564"/>
      <w:bookmarkStart w:id="565" w:name="bookmark565"/>
      <w:bookmarkStart w:id="566" w:name="bookmark566"/>
      <w:bookmarkStart w:id="567" w:name="bookmark567"/>
      <w:bookmarkEnd w:id="566"/>
      <w:r>
        <w:rPr>
          <w:color w:val="000000"/>
          <w:spacing w:val="0"/>
          <w:w w:val="100"/>
          <w:position w:val="0"/>
        </w:rPr>
        <w:t>供应商、客户和消费者权益保护情况</w:t>
      </w:r>
      <w:bookmarkEnd w:id="564"/>
      <w:bookmarkEnd w:id="565"/>
      <w:bookmarkEnd w:id="567"/>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公司建立了供应商评价管理体系，与主要零部件供应商保持良好的合作关系。公司保障供应 商的合法权益，保证采购款项的按计划支付，保持与供应商沟通的及时性、有效性，不断深化交 流合作。坚持以客户为中心，树立客户至上的服务理念，努力提高产品质量与服务质量，为客户 提供设备和技术解决方案。</w:t>
      </w:r>
    </w:p>
    <w:p>
      <w:pPr>
        <w:pStyle w:val="Style35"/>
        <w:keepNext/>
        <w:keepLines/>
        <w:widowControl w:val="0"/>
        <w:numPr>
          <w:ilvl w:val="0"/>
          <w:numId w:val="31"/>
        </w:numPr>
        <w:shd w:val="clear" w:color="auto" w:fill="auto"/>
        <w:tabs>
          <w:tab w:pos="416" w:val="left"/>
        </w:tabs>
        <w:bidi w:val="0"/>
        <w:spacing w:before="0" w:after="80" w:line="240" w:lineRule="auto"/>
        <w:ind w:left="0" w:right="0" w:firstLine="0"/>
        <w:jc w:val="both"/>
      </w:pPr>
      <w:bookmarkStart w:id="568" w:name="bookmark568"/>
      <w:bookmarkStart w:id="569" w:name="bookmark569"/>
      <w:bookmarkStart w:id="570" w:name="bookmark570"/>
      <w:bookmarkStart w:id="571" w:name="bookmark571"/>
      <w:bookmarkEnd w:id="570"/>
      <w:r>
        <w:rPr>
          <w:color w:val="000000"/>
          <w:spacing w:val="0"/>
          <w:w w:val="100"/>
          <w:position w:val="0"/>
        </w:rPr>
        <w:t>产品安全保障情况</w:t>
      </w:r>
      <w:bookmarkEnd w:id="568"/>
      <w:bookmarkEnd w:id="569"/>
      <w:bookmarkEnd w:id="571"/>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405" w:lineRule="exact"/>
        <w:ind w:left="0" w:right="0" w:firstLine="440"/>
        <w:jc w:val="both"/>
      </w:pPr>
      <w:r>
        <w:rPr>
          <w:color w:val="000000"/>
          <w:spacing w:val="0"/>
          <w:w w:val="100"/>
          <w:position w:val="0"/>
        </w:rPr>
        <w:t xml:space="preserve">公司本着安全第一、全员参与的原则，将安全生产目标落实到各部门及个人的年度绩效考核 中，形成全员参与的安全、环保、健康管理体系。公司积极开展各项安全培训，包括全员的岗前 三级安全教育、针对特殊性岗位的安全培训课程、外来承包商人员安全培训和告知等，提升员工 安全意识。公司通过了 </w:t>
      </w:r>
      <w:r>
        <w:rPr>
          <w:rFonts w:ascii="Times New Roman" w:eastAsia="Times New Roman" w:hAnsi="Times New Roman" w:cs="Times New Roman"/>
          <w:color w:val="000000"/>
          <w:spacing w:val="0"/>
          <w:w w:val="100"/>
          <w:position w:val="0"/>
        </w:rPr>
        <w:t>ISO45001</w:t>
      </w:r>
      <w:r>
        <w:rPr>
          <w:color w:val="000000"/>
          <w:spacing w:val="0"/>
          <w:w w:val="100"/>
          <w:position w:val="0"/>
        </w:rPr>
        <w:t>职业健康安全管理体系、</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环境管理体系和安全生产标</w:t>
      </w:r>
    </w:p>
    <w:p>
      <w:pPr>
        <w:pStyle w:val="Style45"/>
        <w:keepNext w:val="0"/>
        <w:keepLines w:val="0"/>
        <w:widowControl w:val="0"/>
        <w:shd w:val="clear" w:color="auto" w:fill="auto"/>
        <w:bidi w:val="0"/>
        <w:spacing w:before="0" w:line="240" w:lineRule="auto"/>
        <w:ind w:left="0" w:right="0" w:firstLine="0"/>
        <w:jc w:val="cente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12" w:right="1259" w:bottom="1196" w:left="1771" w:header="0" w:footer="768" w:gutter="0"/>
          <w:cols w:space="720"/>
          <w:noEndnote/>
          <w:rtlGutter w:val="0"/>
          <w:docGrid w:linePitch="360"/>
        </w:sectPr>
      </w:pPr>
      <w:r>
        <w:rPr>
          <w:color w:val="000000"/>
          <w:spacing w:val="0"/>
          <w:w w:val="100"/>
          <w:position w:val="0"/>
        </w:rPr>
        <w:t xml:space="preserve">64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240" w:line="406" w:lineRule="exact"/>
        <w:ind w:left="0" w:right="0" w:firstLine="0"/>
        <w:jc w:val="left"/>
      </w:pPr>
      <w:r>
        <w:rPr>
          <w:color w:val="000000"/>
          <w:spacing w:val="0"/>
          <w:w w:val="100"/>
          <w:position w:val="0"/>
        </w:rPr>
        <w:t>准化二级认证。公司通过隐患排查、日常巡检、各项综合检查等方式，对公司运营中存在的隐患 进行排查并及时改善。公司通过实施安全管理措施，降低运营风险，保障员工的身体健康和安 全，为公司的正常运营和发展打下坚实的基础。</w:t>
      </w:r>
    </w:p>
    <w:p>
      <w:pPr>
        <w:pStyle w:val="Style35"/>
        <w:keepNext/>
        <w:keepLines/>
        <w:widowControl w:val="0"/>
        <w:numPr>
          <w:ilvl w:val="0"/>
          <w:numId w:val="33"/>
        </w:numPr>
        <w:shd w:val="clear" w:color="auto" w:fill="auto"/>
        <w:bidi w:val="0"/>
        <w:spacing w:before="0" w:after="8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公共关系、社会公益事业情况</w:t>
      </w:r>
      <w:bookmarkEnd w:id="572"/>
      <w:bookmarkEnd w:id="573"/>
      <w:bookmarkEnd w:id="57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06" w:lineRule="exact"/>
        <w:ind w:left="0" w:right="0" w:firstLine="440"/>
        <w:jc w:val="both"/>
      </w:pPr>
      <w:r>
        <w:rPr>
          <w:color w:val="000000"/>
          <w:spacing w:val="0"/>
          <w:w w:val="100"/>
          <w:position w:val="0"/>
        </w:rPr>
        <w:t>公司积极加强与政府、行业协会、监管机构以及媒体的沟通与联系，建立畅通的沟通渠道， 并主动接受监管和检查，持续提升公司社会责任履行的透明度，在推进公司经营发展的同时，注 重企业的社会价值实现，构建和谐、友善的公共关系。</w:t>
      </w:r>
    </w:p>
    <w:p>
      <w:pPr>
        <w:pStyle w:val="Style35"/>
        <w:keepNext/>
        <w:keepLines/>
        <w:widowControl w:val="0"/>
        <w:shd w:val="clear" w:color="auto" w:fill="auto"/>
        <w:tabs>
          <w:tab w:pos="536" w:val="left"/>
        </w:tabs>
        <w:bidi w:val="0"/>
        <w:spacing w:before="0" w:after="8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w:t>
      </w:r>
      <w:bookmarkEnd w:id="57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环境信息情况</w:t>
      </w:r>
      <w:bookmarkEnd w:id="576"/>
      <w:bookmarkEnd w:id="577"/>
      <w:bookmarkEnd w:id="579"/>
    </w:p>
    <w:p>
      <w:pPr>
        <w:pStyle w:val="Style35"/>
        <w:keepNext/>
        <w:keepLines/>
        <w:widowControl w:val="0"/>
        <w:numPr>
          <w:ilvl w:val="0"/>
          <w:numId w:val="35"/>
        </w:numPr>
        <w:shd w:val="clear" w:color="auto" w:fill="auto"/>
        <w:tabs>
          <w:tab w:pos="418" w:val="left"/>
        </w:tabs>
        <w:bidi w:val="0"/>
        <w:spacing w:before="0" w:after="80" w:line="240" w:lineRule="auto"/>
        <w:ind w:left="0" w:right="0" w:firstLine="0"/>
        <w:jc w:val="left"/>
      </w:pPr>
      <w:bookmarkStart w:id="576" w:name="bookmark576"/>
      <w:bookmarkStart w:id="577" w:name="bookmark577"/>
      <w:bookmarkStart w:id="580" w:name="bookmark580"/>
      <w:bookmarkStart w:id="581" w:name="bookmark581"/>
      <w:bookmarkEnd w:id="580"/>
      <w:r>
        <w:rPr>
          <w:color w:val="000000"/>
          <w:spacing w:val="0"/>
          <w:w w:val="100"/>
          <w:position w:val="0"/>
        </w:rPr>
        <w:t>属于环境保护部门公布的重点排污单位的公司及其重要子公司的环保情况说明</w:t>
      </w:r>
      <w:bookmarkEnd w:id="576"/>
      <w:bookmarkEnd w:id="577"/>
      <w:bookmarkEnd w:id="58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35"/>
        </w:numPr>
        <w:shd w:val="clear" w:color="auto" w:fill="auto"/>
        <w:tabs>
          <w:tab w:pos="418" w:val="left"/>
        </w:tabs>
        <w:bidi w:val="0"/>
        <w:spacing w:before="0" w:after="80" w:line="240" w:lineRule="auto"/>
        <w:ind w:left="0" w:right="0" w:firstLine="0"/>
        <w:jc w:val="left"/>
      </w:pPr>
      <w:bookmarkStart w:id="582" w:name="bookmark582"/>
      <w:bookmarkStart w:id="583" w:name="bookmark583"/>
      <w:bookmarkStart w:id="584" w:name="bookmark584"/>
      <w:bookmarkStart w:id="585" w:name="bookmark585"/>
      <w:bookmarkEnd w:id="584"/>
      <w:r>
        <w:rPr>
          <w:color w:val="000000"/>
          <w:spacing w:val="0"/>
          <w:w w:val="100"/>
          <w:position w:val="0"/>
        </w:rPr>
        <w:t>重点排污单位之外的公司的环保情况说明</w:t>
      </w:r>
      <w:bookmarkEnd w:id="582"/>
      <w:bookmarkEnd w:id="583"/>
      <w:bookmarkEnd w:id="58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6" w:lineRule="exact"/>
        <w:ind w:left="0" w:right="0" w:firstLine="440"/>
        <w:jc w:val="left"/>
      </w:pPr>
      <w:r>
        <w:rPr>
          <w:color w:val="000000"/>
          <w:spacing w:val="0"/>
          <w:w w:val="100"/>
          <w:position w:val="0"/>
        </w:rPr>
        <w:t>公司高度重视环境保护管理工作，配备了相应的环保治理设施并确保其持续有效运行，公司 不断引进新技术，优化工艺设计，积极推行清洁生产，严格落实各项环境管理制度。在环保管理 方面，公司设有环境、健康及安全（</w:t>
      </w:r>
      <w:r>
        <w:rPr>
          <w:rFonts w:ascii="Times New Roman" w:eastAsia="Times New Roman" w:hAnsi="Times New Roman" w:cs="Times New Roman"/>
          <w:color w:val="000000"/>
          <w:spacing w:val="0"/>
          <w:w w:val="100"/>
          <w:position w:val="0"/>
        </w:rPr>
        <w:t>EHS</w:t>
      </w:r>
      <w:r>
        <w:rPr>
          <w:color w:val="000000"/>
          <w:spacing w:val="0"/>
          <w:w w:val="100"/>
          <w:position w:val="0"/>
        </w:rPr>
        <w:t>）</w:t>
      </w:r>
      <w:r>
        <w:rPr>
          <w:color w:val="000000"/>
          <w:spacing w:val="0"/>
          <w:w w:val="100"/>
          <w:position w:val="0"/>
        </w:rPr>
        <w:t xml:space="preserve">部门，对公司所有项目实施前进行环境影响评价，提 出相应环保要求，并且在项目完成后，积极组织环保验收。中微公司根据有关环保方面的法律法 规，制定了环境管理内部流程的程序文件及环保设施运行操作指导书，开展环境应急演练和培 训，并通过了 </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环境管理体系认证。</w:t>
      </w:r>
    </w:p>
    <w:p>
      <w:pPr>
        <w:pStyle w:val="Style35"/>
        <w:keepNext/>
        <w:keepLines/>
        <w:widowControl w:val="0"/>
        <w:numPr>
          <w:ilvl w:val="0"/>
          <w:numId w:val="35"/>
        </w:numPr>
        <w:shd w:val="clear" w:color="auto" w:fill="auto"/>
        <w:tabs>
          <w:tab w:pos="418" w:val="left"/>
        </w:tabs>
        <w:bidi w:val="0"/>
        <w:spacing w:before="0" w:after="80" w:line="240" w:lineRule="auto"/>
        <w:ind w:left="0" w:right="0" w:firstLine="0"/>
        <w:jc w:val="left"/>
      </w:pPr>
      <w:bookmarkStart w:id="586" w:name="bookmark586"/>
      <w:bookmarkStart w:id="587" w:name="bookmark587"/>
      <w:bookmarkStart w:id="588" w:name="bookmark588"/>
      <w:bookmarkStart w:id="589" w:name="bookmark589"/>
      <w:bookmarkEnd w:id="588"/>
      <w:r>
        <w:rPr>
          <w:color w:val="000000"/>
          <w:spacing w:val="0"/>
          <w:w w:val="100"/>
          <w:position w:val="0"/>
        </w:rPr>
        <w:t>重点排污单位之外的公司未披露环境信息的原因说明</w:t>
      </w:r>
      <w:bookmarkEnd w:id="586"/>
      <w:bookmarkEnd w:id="587"/>
      <w:bookmarkEnd w:id="58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35"/>
        </w:numPr>
        <w:shd w:val="clear" w:color="auto" w:fill="auto"/>
        <w:tabs>
          <w:tab w:pos="418" w:val="left"/>
        </w:tabs>
        <w:bidi w:val="0"/>
        <w:spacing w:before="0" w:after="80" w:line="240" w:lineRule="auto"/>
        <w:ind w:left="0" w:right="0" w:firstLine="0"/>
        <w:jc w:val="left"/>
      </w:pPr>
      <w:bookmarkStart w:id="590" w:name="bookmark590"/>
      <w:bookmarkStart w:id="591" w:name="bookmark591"/>
      <w:bookmarkStart w:id="592" w:name="bookmark592"/>
      <w:bookmarkStart w:id="593" w:name="bookmark593"/>
      <w:bookmarkEnd w:id="592"/>
      <w:r>
        <w:rPr>
          <w:color w:val="000000"/>
          <w:spacing w:val="0"/>
          <w:w w:val="100"/>
          <w:position w:val="0"/>
        </w:rPr>
        <w:t>报告期内披露环境信息内容的后续进展或变化情况的说明</w:t>
      </w:r>
      <w:bookmarkEnd w:id="590"/>
      <w:bookmarkEnd w:id="591"/>
      <w:bookmarkEnd w:id="59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594" w:name="bookmark594"/>
      <w:r>
        <w:rPr>
          <w:rFonts w:ascii="Times New Roman" w:eastAsia="Times New Roman" w:hAnsi="Times New Roman" w:cs="Times New Roman"/>
          <w:b/>
          <w:bCs/>
          <w:color w:val="000000"/>
          <w:spacing w:val="0"/>
          <w:w w:val="100"/>
          <w:position w:val="0"/>
        </w:rPr>
        <w:t>（</w:t>
      </w:r>
      <w:bookmarkEnd w:id="594"/>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其他说明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十八、可转换公司债券情况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r>
        <w:br w:type="page"/>
      </w:r>
    </w:p>
    <w:p>
      <w:pPr>
        <w:pStyle w:val="Style13"/>
        <w:keepNext/>
        <w:keepLines/>
        <w:widowControl w:val="0"/>
        <w:shd w:val="clear" w:color="auto" w:fill="auto"/>
        <w:bidi w:val="0"/>
        <w:spacing w:before="0" w:after="600" w:line="240" w:lineRule="auto"/>
        <w:ind w:left="0" w:right="0" w:firstLine="0"/>
        <w:jc w:val="center"/>
      </w:pPr>
      <w:bookmarkStart w:id="595" w:name="bookmark595"/>
      <w:bookmarkStart w:id="596" w:name="bookmark596"/>
      <w:bookmarkStart w:id="597" w:name="bookmark597"/>
      <w:r>
        <w:rPr>
          <w:color w:val="000000"/>
          <w:spacing w:val="0"/>
          <w:w w:val="100"/>
          <w:position w:val="0"/>
        </w:rPr>
        <w:t>第六节股份变动及股东情况</w:t>
      </w:r>
      <w:bookmarkEnd w:id="595"/>
      <w:bookmarkEnd w:id="596"/>
      <w:bookmarkEnd w:id="597"/>
    </w:p>
    <w:p>
      <w:pPr>
        <w:pStyle w:val="Style2"/>
        <w:keepNext w:val="0"/>
        <w:keepLines w:val="0"/>
        <w:widowControl w:val="0"/>
        <w:shd w:val="clear" w:color="auto" w:fill="auto"/>
        <w:bidi w:val="0"/>
        <w:spacing w:before="0" w:after="80" w:line="240" w:lineRule="auto"/>
        <w:ind w:left="0" w:right="0" w:firstLine="0"/>
        <w:jc w:val="left"/>
      </w:pPr>
      <w:bookmarkStart w:id="598" w:name="bookmark598"/>
      <w:bookmarkStart w:id="599" w:name="bookmark599"/>
      <w:r>
        <w:rPr>
          <w:b/>
          <w:bCs/>
          <w:color w:val="000000"/>
          <w:spacing w:val="0"/>
          <w:w w:val="100"/>
          <w:position w:val="0"/>
        </w:rPr>
        <w:t>一</w:t>
      </w:r>
      <w:bookmarkEnd w:id="599"/>
      <w:r>
        <w:rPr>
          <w:b/>
          <w:bCs/>
          <w:color w:val="000000"/>
          <w:spacing w:val="0"/>
          <w:w w:val="100"/>
          <w:position w:val="0"/>
        </w:rPr>
        <w:t>、普通股股本变动情况</w:t>
      </w:r>
      <w:bookmarkEnd w:id="598"/>
    </w:p>
    <w:p>
      <w:pPr>
        <w:pStyle w:val="Style2"/>
        <w:keepNext w:val="0"/>
        <w:keepLines w:val="0"/>
        <w:widowControl w:val="0"/>
        <w:numPr>
          <w:ilvl w:val="0"/>
          <w:numId w:val="37"/>
        </w:numPr>
        <w:shd w:val="clear" w:color="auto" w:fill="auto"/>
        <w:bidi w:val="0"/>
        <w:spacing w:before="0" w:after="80" w:line="240" w:lineRule="auto"/>
        <w:ind w:left="0" w:right="0" w:firstLine="0"/>
        <w:jc w:val="left"/>
      </w:pPr>
      <w:bookmarkStart w:id="600" w:name="bookmark600"/>
      <w:bookmarkEnd w:id="600"/>
      <w:r>
        <w:rPr>
          <w:b/>
          <w:bCs/>
          <w:color w:val="000000"/>
          <w:spacing w:val="0"/>
          <w:w w:val="100"/>
          <w:position w:val="0"/>
        </w:rPr>
        <w:t>普通股股份变动情况表</w:t>
      </w:r>
    </w:p>
    <w:p>
      <w:pPr>
        <w:pStyle w:val="Style2"/>
        <w:keepNext w:val="0"/>
        <w:keepLines w:val="0"/>
        <w:widowControl w:val="0"/>
        <w:shd w:val="clear" w:color="auto" w:fill="auto"/>
        <w:bidi w:val="0"/>
        <w:spacing w:before="0" w:after="80" w:line="240" w:lineRule="auto"/>
        <w:ind w:left="0" w:right="0" w:firstLine="0"/>
        <w:jc w:val="left"/>
      </w:pPr>
      <w:bookmarkStart w:id="601" w:name="bookmark601"/>
      <w:r>
        <w:rPr>
          <w:rFonts w:ascii="Times New Roman" w:eastAsia="Times New Roman" w:hAnsi="Times New Roman" w:cs="Times New Roman"/>
          <w:b/>
          <w:bCs/>
          <w:color w:val="000000"/>
          <w:spacing w:val="0"/>
          <w:w w:val="100"/>
          <w:position w:val="0"/>
        </w:rPr>
        <w:t>1</w:t>
      </w:r>
      <w:bookmarkEnd w:id="601"/>
      <w:r>
        <w:rPr>
          <w:b/>
          <w:bCs/>
          <w:color w:val="000000"/>
          <w:spacing w:val="0"/>
          <w:w w:val="100"/>
          <w:position w:val="0"/>
        </w:rPr>
        <w:t>、普通股股份变动情况表</w:t>
      </w:r>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042"/>
        <w:gridCol w:w="1243"/>
        <w:gridCol w:w="778"/>
        <w:gridCol w:w="422"/>
        <w:gridCol w:w="413"/>
        <w:gridCol w:w="427"/>
        <w:gridCol w:w="1243"/>
        <w:gridCol w:w="1238"/>
        <w:gridCol w:w="1243"/>
        <w:gridCol w:w="78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=次变动增减(+,―)</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486,435,66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289,459,70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54.12</w:t>
            </w:r>
          </w:p>
        </w:tc>
      </w:tr>
      <w:tr>
        <w:trPr>
          <w:trHeight w:val="27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196,975,96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196,975,96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、国有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218,167,16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-19,691,183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-19,691,183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198,475,98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37.11</w:t>
            </w:r>
          </w:p>
        </w:tc>
      </w:tr>
      <w:tr>
        <w:trPr>
          <w:trHeight w:val="557"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法人持 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174,567,71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26,164,585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w:t>
            </w:r>
          </w:p>
        </w:tc>
      </w:tr>
      <w:tr>
        <w:trPr>
          <w:trHeight w:val="250"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内资持</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148,403,12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148,403,12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174,567,71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26,164,585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w:t>
            </w:r>
          </w:p>
        </w:tc>
      </w:tr>
      <w:tr>
        <w:trPr>
          <w:trHeight w:val="269"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148,403,12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148,403,12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国有法 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内自然 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93,700,786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-28,881,651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-28,881,651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64,819,135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12.12</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其中： 境外法 人持股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76,265,514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-28,881,651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-28,881,651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47,383,863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8.86</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17,435,272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17,435,272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w:t>
            </w:r>
          </w:p>
        </w:tc>
      </w:tr>
      <w:tr>
        <w:trPr>
          <w:trHeight w:val="552"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外自然 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48,426,573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196,975,96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196,975,96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245,402,53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45.88</w:t>
            </w:r>
          </w:p>
        </w:tc>
      </w:tr>
      <w:tr>
        <w:trPr>
          <w:trHeight w:val="83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81" w:lineRule="exact"/>
              <w:ind w:left="0" w:right="0" w:firstLine="0"/>
              <w:jc w:val="left"/>
            </w:pPr>
            <w:r>
              <w:rPr>
                <w:color w:val="000000"/>
                <w:spacing w:val="0"/>
                <w:w w:val="100"/>
                <w:position w:val="0"/>
              </w:rPr>
              <w:t>售条件 流通股 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48,426,573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196,975,96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196,975,96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245,402,53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45.88</w:t>
            </w:r>
          </w:p>
        </w:tc>
      </w:tr>
      <w:tr>
        <w:trPr>
          <w:trHeight w:val="557"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币普通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 上市的 外资股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42"/>
        <w:gridCol w:w="1243"/>
        <w:gridCol w:w="778"/>
        <w:gridCol w:w="422"/>
        <w:gridCol w:w="422"/>
        <w:gridCol w:w="418"/>
        <w:gridCol w:w="1243"/>
        <w:gridCol w:w="1238"/>
        <w:gridCol w:w="1243"/>
        <w:gridCol w:w="787"/>
      </w:tblGrid>
      <w:tr>
        <w:trPr>
          <w:trHeight w:val="83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 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三、普 通股股 份总数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534,862,23</w:t>
            </w:r>
          </w:p>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w:t>
            </w:r>
          </w:p>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534,862,23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5"/>
        <w:keepNext/>
        <w:keepLines/>
        <w:widowControl w:val="0"/>
        <w:shd w:val="clear" w:color="auto" w:fill="auto"/>
        <w:tabs>
          <w:tab w:pos="381" w:val="left"/>
        </w:tabs>
        <w:bidi w:val="0"/>
        <w:spacing w:before="0" w:after="10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普通股股份变动情况说明</w:t>
      </w:r>
      <w:bookmarkEnd w:id="602"/>
      <w:bookmarkEnd w:id="603"/>
      <w:bookmarkEnd w:id="60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日，在上海证券交易所</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）披露了《中微半导体设备 （上海）股份有限公司首次公开发行网下配售限售股上市流通公告》（公告编号：</w:t>
      </w:r>
      <w:r>
        <w:rPr>
          <w:rFonts w:ascii="Times New Roman" w:eastAsia="Times New Roman" w:hAnsi="Times New Roman" w:cs="Times New Roman"/>
          <w:color w:val="000000"/>
          <w:spacing w:val="0"/>
          <w:w w:val="100"/>
          <w:position w:val="0"/>
        </w:rPr>
        <w:t>2020-001</w:t>
      </w:r>
      <w:r>
        <w:rPr>
          <w:color w:val="000000"/>
          <w:spacing w:val="0"/>
          <w:w w:val="100"/>
          <w:position w:val="0"/>
        </w:rPr>
        <w:t>）, 本次上市流通的限售股股东为</w:t>
      </w:r>
      <w:r>
        <w:rPr>
          <w:rFonts w:ascii="Times New Roman" w:eastAsia="Times New Roman" w:hAnsi="Times New Roman" w:cs="Times New Roman"/>
          <w:color w:val="000000"/>
          <w:spacing w:val="0"/>
          <w:w w:val="100"/>
          <w:position w:val="0"/>
        </w:rPr>
        <w:t>138</w:t>
      </w:r>
      <w:r>
        <w:rPr>
          <w:color w:val="000000"/>
          <w:spacing w:val="0"/>
          <w:w w:val="100"/>
          <w:position w:val="0"/>
        </w:rPr>
        <w:t>个网下发行配售对象，限售期为自公司股票上市之日起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 月。本次解除限售的股份数量为</w:t>
      </w:r>
      <w:r>
        <w:rPr>
          <w:rFonts w:ascii="Times New Roman" w:eastAsia="Times New Roman" w:hAnsi="Times New Roman" w:cs="Times New Roman"/>
          <w:color w:val="000000"/>
          <w:spacing w:val="0"/>
          <w:w w:val="100"/>
          <w:position w:val="0"/>
        </w:rPr>
        <w:t>2,991,399</w:t>
      </w:r>
      <w:r>
        <w:rPr>
          <w:color w:val="000000"/>
          <w:spacing w:val="0"/>
          <w:w w:val="100"/>
          <w:position w:val="0"/>
        </w:rPr>
        <w:t>股，占公司股本总数的</w:t>
      </w:r>
      <w:r>
        <w:rPr>
          <w:rFonts w:ascii="Times New Roman" w:eastAsia="Times New Roman" w:hAnsi="Times New Roman" w:cs="Times New Roman"/>
          <w:color w:val="000000"/>
          <w:spacing w:val="0"/>
          <w:w w:val="100"/>
          <w:position w:val="0"/>
        </w:rPr>
        <w:t>0.56%</w:t>
      </w:r>
      <w:r>
        <w:rPr>
          <w:color w:val="000000"/>
          <w:spacing w:val="0"/>
          <w:w w:val="100"/>
          <w:position w:val="0"/>
        </w:rPr>
        <w:t xml:space="preserve">，该部分限售股已于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日起上市流通。</w:t>
      </w:r>
    </w:p>
    <w:p>
      <w:pPr>
        <w:pStyle w:val="Style2"/>
        <w:keepNext w:val="0"/>
        <w:keepLines w:val="0"/>
        <w:widowControl w:val="0"/>
        <w:shd w:val="clear" w:color="auto" w:fill="auto"/>
        <w:bidi w:val="0"/>
        <w:spacing w:before="0" w:after="100" w:line="40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日，在上海证券交易所</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）披露了《中微半导体设备 （上海）股份有限公司首次公开发行部分限售股上市流通公告》（公告编号：</w:t>
      </w:r>
      <w:r>
        <w:rPr>
          <w:rFonts w:ascii="Times New Roman" w:eastAsia="Times New Roman" w:hAnsi="Times New Roman" w:cs="Times New Roman"/>
          <w:color w:val="000000"/>
          <w:spacing w:val="0"/>
          <w:w w:val="100"/>
          <w:position w:val="0"/>
        </w:rPr>
        <w:t>2020-046</w:t>
      </w:r>
      <w:r>
        <w:rPr>
          <w:color w:val="000000"/>
          <w:spacing w:val="0"/>
          <w:w w:val="100"/>
          <w:position w:val="0"/>
        </w:rPr>
        <w:t>）,本次 上市流通的限售股均为首次公开发行限售股，限售股股东数量为</w:t>
      </w:r>
      <w:r>
        <w:rPr>
          <w:rFonts w:ascii="Times New Roman" w:eastAsia="Times New Roman" w:hAnsi="Times New Roman" w:cs="Times New Roman"/>
          <w:color w:val="000000"/>
          <w:spacing w:val="0"/>
          <w:w w:val="100"/>
          <w:position w:val="0"/>
        </w:rPr>
        <w:t>18</w:t>
      </w:r>
      <w:r>
        <w:rPr>
          <w:color w:val="000000"/>
          <w:spacing w:val="0"/>
          <w:w w:val="100"/>
          <w:position w:val="0"/>
        </w:rPr>
        <w:t>名，限售期为自公司股票上 市之日起</w:t>
      </w:r>
      <w:r>
        <w:rPr>
          <w:rFonts w:ascii="Times New Roman" w:eastAsia="Times New Roman" w:hAnsi="Times New Roman" w:cs="Times New Roman"/>
          <w:color w:val="000000"/>
          <w:spacing w:val="0"/>
          <w:w w:val="100"/>
          <w:position w:val="0"/>
        </w:rPr>
        <w:t>12</w:t>
      </w:r>
      <w:r>
        <w:rPr>
          <w:color w:val="000000"/>
          <w:spacing w:val="0"/>
          <w:w w:val="100"/>
          <w:position w:val="0"/>
        </w:rPr>
        <w:t>个月。本次解除限售的股份数量为</w:t>
      </w:r>
      <w:r>
        <w:rPr>
          <w:rFonts w:ascii="Times New Roman" w:eastAsia="Times New Roman" w:hAnsi="Times New Roman" w:cs="Times New Roman"/>
          <w:color w:val="000000"/>
          <w:spacing w:val="0"/>
          <w:w w:val="100"/>
          <w:position w:val="0"/>
        </w:rPr>
        <w:t>193,984,563</w:t>
      </w:r>
      <w:r>
        <w:rPr>
          <w:color w:val="000000"/>
          <w:spacing w:val="0"/>
          <w:w w:val="100"/>
          <w:position w:val="0"/>
        </w:rPr>
        <w:t>股，占公司股本总数的</w:t>
      </w:r>
      <w:r>
        <w:rPr>
          <w:rFonts w:ascii="Times New Roman" w:eastAsia="Times New Roman" w:hAnsi="Times New Roman" w:cs="Times New Roman"/>
          <w:color w:val="000000"/>
          <w:spacing w:val="0"/>
          <w:w w:val="100"/>
          <w:position w:val="0"/>
        </w:rPr>
        <w:t>36.27%</w:t>
      </w:r>
      <w:r>
        <w:rPr>
          <w:color w:val="000000"/>
          <w:spacing w:val="0"/>
          <w:w w:val="100"/>
          <w:position w:val="0"/>
        </w:rPr>
        <w:t>，该 部分限售股已于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日起上市流通。</w:t>
      </w:r>
    </w:p>
    <w:p>
      <w:pPr>
        <w:pStyle w:val="Style2"/>
        <w:keepNext w:val="0"/>
        <w:keepLines w:val="0"/>
        <w:widowControl w:val="0"/>
        <w:shd w:val="clear" w:color="auto" w:fill="auto"/>
        <w:tabs>
          <w:tab w:pos="381" w:val="left"/>
        </w:tabs>
        <w:bidi w:val="0"/>
        <w:spacing w:before="0" w:after="0" w:line="341" w:lineRule="exact"/>
        <w:ind w:left="0" w:right="0" w:firstLine="0"/>
        <w:jc w:val="left"/>
      </w:pPr>
      <w:bookmarkStart w:id="606" w:name="bookmark606"/>
      <w:r>
        <w:rPr>
          <w:rFonts w:ascii="Times New Roman" w:eastAsia="Times New Roman" w:hAnsi="Times New Roman" w:cs="Times New Roman"/>
          <w:b/>
          <w:bCs/>
          <w:color w:val="000000"/>
          <w:spacing w:val="0"/>
          <w:w w:val="100"/>
          <w:position w:val="0"/>
        </w:rPr>
        <w:t>3</w:t>
      </w:r>
      <w:bookmarkEnd w:id="606"/>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81" w:val="left"/>
        </w:tabs>
        <w:bidi w:val="0"/>
        <w:spacing w:before="0" w:after="0" w:line="341" w:lineRule="exact"/>
        <w:ind w:left="0" w:right="0" w:firstLine="0"/>
        <w:jc w:val="left"/>
      </w:pPr>
      <w:bookmarkStart w:id="607" w:name="bookmark607"/>
      <w:r>
        <w:rPr>
          <w:rFonts w:ascii="Times New Roman" w:eastAsia="Times New Roman" w:hAnsi="Times New Roman" w:cs="Times New Roman"/>
          <w:b/>
          <w:bCs/>
          <w:color w:val="000000"/>
          <w:spacing w:val="0"/>
          <w:w w:val="100"/>
          <w:position w:val="0"/>
        </w:rPr>
        <w:t>4</w:t>
      </w:r>
      <w:bookmarkEnd w:id="607"/>
      <w:r>
        <w:rPr>
          <w:b/>
          <w:bCs/>
          <w:color w:val="000000"/>
          <w:spacing w:val="0"/>
          <w:w w:val="100"/>
          <w:position w:val="0"/>
        </w:rPr>
        <w:t>、</w:t>
        <w:tab/>
        <w:t>公司认为必要或证券监管机构要求披露的其他内容</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608" w:name="bookmark608"/>
      <w:r>
        <w:rPr>
          <w:rFonts w:ascii="Times New Roman" w:eastAsia="Times New Roman" w:hAnsi="Times New Roman" w:cs="Times New Roman"/>
          <w:b/>
          <w:bCs/>
          <w:color w:val="000000"/>
          <w:spacing w:val="0"/>
          <w:w w:val="100"/>
          <w:position w:val="0"/>
        </w:rPr>
        <w:t>（</w:t>
      </w:r>
      <w:bookmarkEnd w:id="608"/>
      <w:r>
        <w:rPr>
          <w:b/>
          <w:bCs/>
          <w:color w:val="000000"/>
          <w:spacing w:val="0"/>
          <w:w w:val="100"/>
          <w:position w:val="0"/>
        </w:rPr>
        <w:t>二</w:t>
      </w:r>
      <w:r>
        <w:rPr>
          <w:b/>
          <w:bCs/>
          <w:color w:val="000000"/>
          <w:spacing w:val="0"/>
          <w:w w:val="100"/>
          <w:position w:val="0"/>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8026" w:right="0" w:firstLine="0"/>
        <w:jc w:val="left"/>
      </w:pPr>
      <w:r>
        <w:rPr>
          <w:color w:val="000000"/>
          <w:spacing w:val="0"/>
          <w:w w:val="100"/>
          <w:position w:val="0"/>
        </w:rPr>
        <w:t>单位</w:t>
      </w:r>
      <w:r>
        <w:rPr>
          <w:color w:val="000000"/>
          <w:spacing w:val="0"/>
          <w:w w:val="100"/>
          <w:position w:val="0"/>
        </w:rPr>
        <w:t>：</w:t>
      </w:r>
      <w:r>
        <w:rPr>
          <w:color w:val="000000"/>
          <w:spacing w:val="0"/>
          <w:w w:val="100"/>
          <w:position w:val="0"/>
        </w:rPr>
        <w:t>股</w:t>
      </w:r>
    </w:p>
    <w:tbl>
      <w:tblPr>
        <w:tblOverlap w:val="never"/>
        <w:jc w:val="center"/>
        <w:tblLayout w:type="fixed"/>
      </w:tblPr>
      <w:tblGrid>
        <w:gridCol w:w="2731"/>
        <w:gridCol w:w="1267"/>
        <w:gridCol w:w="1267"/>
        <w:gridCol w:w="734"/>
        <w:gridCol w:w="557"/>
        <w:gridCol w:w="1368"/>
        <w:gridCol w:w="912"/>
      </w:tblGrid>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 增加 限售 股数</w:t>
            </w: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140" w:after="0" w:line="240" w:lineRule="auto"/>
              <w:ind w:left="0" w:right="0" w:firstLine="0"/>
              <w:jc w:val="right"/>
            </w:pPr>
            <w:r>
              <w:rPr>
                <w:color w:val="000000"/>
                <w:spacing w:val="0"/>
                <w:w w:val="100"/>
                <w:position w:val="0"/>
              </w:rPr>
              <w:t>年末限售股数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解除限 售日期</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置都（上海）投资中心（有 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26,383,986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26,383,986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嘉兴悦橙投资合伙企业（有 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22,565,991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22,565,991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国开创新资本投资有限责 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19,691,183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19,691,183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Primrose Capital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19,598,224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19,598,224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嘉兴创橙投资合伙企业（有 限合伙）</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13,184,004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13,184,004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p>
        </w:tc>
      </w:tr>
    </w:tbl>
    <w:p>
      <w:pPr>
        <w:spacing w:lineRule="exact" w:line="1"/>
        <w:rPr>
          <w:sz w:val="2"/>
          <w:szCs w:val="2"/>
        </w:rPr>
      </w:pPr>
      <w:r>
        <w:br w:type="page"/>
      </w:r>
    </w:p>
    <w:tbl>
      <w:tblPr>
        <w:tblOverlap w:val="never"/>
        <w:jc w:val="center"/>
        <w:tblLayout w:type="fixed"/>
      </w:tblPr>
      <w:tblGrid>
        <w:gridCol w:w="2731"/>
        <w:gridCol w:w="1267"/>
        <w:gridCol w:w="1267"/>
        <w:gridCol w:w="734"/>
        <w:gridCol w:w="557"/>
        <w:gridCol w:w="1368"/>
        <w:gridCol w:w="912"/>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义乌和谐锦弘股权投资合 伙企业（有限合伙）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12,796,240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12,796,240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上海自贸试验区智芯投资 中心（有限合伙）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11,834,830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11,834,830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嘉兴亮橙投资合伙企业（有 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9,112,474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9,112,474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嘉兴君邦投资管理合伙企 业（有限合伙）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9,031,568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9,031,568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协鑫创展控股有限公司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7,876,473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7,876,473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83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国投（上海）科技成果转化 创业投资基金企业（有限合 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7,755,297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7,755,297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上海浦东新兴产业投资有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6,686,310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6,686,310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嘉兴橙色海岸投资合伙企 业（有限合伙）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6,341,579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6,341,579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Qualcomm Incorporated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5,516,335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5,516,335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嘉兴君鹏投资合伙企业（有 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4,087,681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4,087,681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上海自贸试验区三期股权 投资基金合伙企业（有限合 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3,877,648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3,877,648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合肥茂流投资中心合伙企 业（有限合伙）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3,877,648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3,877,648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Futago Pte.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3,767,092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3,767,092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首发原 始股份限售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网下限售账户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2,991,399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2,991,399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其他网下配 售限售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w:t>
              <w:softHyphen/>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196,975,962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196,975,962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二</w:t>
      </w:r>
      <w:bookmarkEnd w:id="611"/>
      <w:r>
        <w:rPr>
          <w:color w:val="000000"/>
          <w:spacing w:val="0"/>
          <w:w w:val="100"/>
          <w:position w:val="0"/>
        </w:rPr>
        <w:t>、证券发行与上市情况</w:t>
      </w:r>
      <w:bookmarkEnd w:id="609"/>
      <w:bookmarkEnd w:id="610"/>
      <w:bookmarkEnd w:id="612"/>
    </w:p>
    <w:p>
      <w:pPr>
        <w:pStyle w:val="Style35"/>
        <w:keepNext/>
        <w:keepLines/>
        <w:widowControl w:val="0"/>
        <w:shd w:val="clear" w:color="auto" w:fill="auto"/>
        <w:tabs>
          <w:tab w:pos="536" w:val="left"/>
        </w:tabs>
        <w:bidi w:val="0"/>
        <w:spacing w:before="0" w:after="0" w:line="240" w:lineRule="auto"/>
        <w:ind w:left="0" w:right="0" w:firstLine="0"/>
        <w:jc w:val="left"/>
      </w:pPr>
      <w:bookmarkStart w:id="609" w:name="bookmark609"/>
      <w:bookmarkStart w:id="610" w:name="bookmark610"/>
      <w:bookmarkStart w:id="613" w:name="bookmark613"/>
      <w:bookmarkStart w:id="614" w:name="bookmark614"/>
      <w:r>
        <w:rPr>
          <w:rFonts w:ascii="Times New Roman" w:eastAsia="Times New Roman" w:hAnsi="Times New Roman" w:cs="Times New Roman"/>
          <w:color w:val="000000"/>
          <w:spacing w:val="0"/>
          <w:w w:val="100"/>
          <w:position w:val="0"/>
        </w:rPr>
        <w:t>（</w:t>
      </w:r>
      <w:bookmarkEnd w:id="61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截至报告期内证券发行情况</w:t>
      </w:r>
      <w:bookmarkEnd w:id="609"/>
      <w:bookmarkEnd w:id="610"/>
      <w:bookmarkEnd w:id="61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 xml:space="preserve">截至报告期内证券发行情况的说明（存续期内利率不同的债券，请分别说明）： 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10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w:t>
      </w:r>
      <w:bookmarkEnd w:id="61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公司普通股股份总数及股东结构变动及公司资产和负债结构的变动情况</w:t>
      </w:r>
      <w:bookmarkEnd w:id="615"/>
      <w:bookmarkEnd w:id="616"/>
      <w:bookmarkEnd w:id="61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420"/>
        <w:jc w:val="left"/>
      </w:pPr>
      <w:r>
        <w:rPr>
          <w:color w:val="000000"/>
          <w:spacing w:val="0"/>
          <w:w w:val="100"/>
          <w:position w:val="0"/>
        </w:rPr>
        <w:t>报告期内，公司普通股股份总数为</w:t>
      </w:r>
      <w:r>
        <w:rPr>
          <w:rFonts w:ascii="Times New Roman" w:eastAsia="Times New Roman" w:hAnsi="Times New Roman" w:cs="Times New Roman"/>
          <w:color w:val="000000"/>
          <w:spacing w:val="0"/>
          <w:w w:val="100"/>
          <w:position w:val="0"/>
        </w:rPr>
        <w:t>534,862,237</w:t>
      </w:r>
      <w:r>
        <w:rPr>
          <w:color w:val="000000"/>
          <w:spacing w:val="0"/>
          <w:w w:val="100"/>
          <w:position w:val="0"/>
        </w:rPr>
        <w:t>股。其中限售条件流通股</w:t>
      </w:r>
      <w:r>
        <w:rPr>
          <w:rFonts w:ascii="Times New Roman" w:eastAsia="Times New Roman" w:hAnsi="Times New Roman" w:cs="Times New Roman"/>
          <w:color w:val="000000"/>
          <w:spacing w:val="0"/>
          <w:w w:val="100"/>
          <w:position w:val="0"/>
        </w:rPr>
        <w:t>289,459,702</w:t>
      </w:r>
      <w:r>
        <w:rPr>
          <w:color w:val="000000"/>
          <w:spacing w:val="0"/>
          <w:w w:val="100"/>
          <w:position w:val="0"/>
        </w:rPr>
        <w:t>股，占 股份总数</w:t>
      </w:r>
      <w:r>
        <w:rPr>
          <w:rFonts w:ascii="Times New Roman" w:eastAsia="Times New Roman" w:hAnsi="Times New Roman" w:cs="Times New Roman"/>
          <w:color w:val="000000"/>
          <w:spacing w:val="0"/>
          <w:w w:val="100"/>
          <w:position w:val="0"/>
        </w:rPr>
        <w:t>54.12%</w:t>
      </w:r>
      <w:r>
        <w:rPr>
          <w:color w:val="000000"/>
          <w:spacing w:val="0"/>
          <w:w w:val="100"/>
          <w:position w:val="0"/>
        </w:rPr>
        <w:t>，无限售条件流通股</w:t>
      </w:r>
      <w:r>
        <w:rPr>
          <w:rFonts w:ascii="Times New Roman" w:eastAsia="Times New Roman" w:hAnsi="Times New Roman" w:cs="Times New Roman"/>
          <w:color w:val="000000"/>
          <w:spacing w:val="0"/>
          <w:w w:val="100"/>
          <w:position w:val="0"/>
        </w:rPr>
        <w:t>245,402,535</w:t>
      </w:r>
      <w:r>
        <w:rPr>
          <w:color w:val="000000"/>
          <w:spacing w:val="0"/>
          <w:w w:val="100"/>
          <w:position w:val="0"/>
        </w:rPr>
        <w:t>股，占股份总数</w:t>
      </w:r>
      <w:r>
        <w:rPr>
          <w:rFonts w:ascii="Times New Roman" w:eastAsia="Times New Roman" w:hAnsi="Times New Roman" w:cs="Times New Roman"/>
          <w:color w:val="000000"/>
          <w:spacing w:val="0"/>
          <w:w w:val="100"/>
          <w:position w:val="0"/>
        </w:rPr>
        <w:t>45.88%</w:t>
      </w:r>
      <w:r>
        <w:rPr>
          <w:color w:val="000000"/>
          <w:spacing w:val="0"/>
          <w:w w:val="100"/>
          <w:position w:val="0"/>
        </w:rPr>
        <w:t>。</w:t>
      </w:r>
    </w:p>
    <w:p>
      <w:pPr>
        <w:pStyle w:val="Style2"/>
        <w:keepNext w:val="0"/>
        <w:keepLines w:val="0"/>
        <w:widowControl w:val="0"/>
        <w:shd w:val="clear" w:color="auto" w:fill="auto"/>
        <w:bidi w:val="0"/>
        <w:spacing w:before="0" w:after="100" w:line="406" w:lineRule="exact"/>
        <w:ind w:left="0" w:right="0" w:firstLine="420"/>
        <w:jc w:val="left"/>
      </w:pPr>
      <w:r>
        <w:rPr>
          <w:color w:val="000000"/>
          <w:spacing w:val="0"/>
          <w:w w:val="100"/>
          <w:position w:val="0"/>
        </w:rPr>
        <w:t>期初合并资产总额为</w:t>
      </w:r>
      <w:r>
        <w:rPr>
          <w:rFonts w:ascii="Times New Roman" w:eastAsia="Times New Roman" w:hAnsi="Times New Roman" w:cs="Times New Roman"/>
          <w:color w:val="000000"/>
          <w:spacing w:val="0"/>
          <w:w w:val="100"/>
          <w:position w:val="0"/>
        </w:rPr>
        <w:t>477,405.43</w:t>
      </w:r>
      <w:r>
        <w:rPr>
          <w:color w:val="000000"/>
          <w:spacing w:val="0"/>
          <w:w w:val="100"/>
          <w:position w:val="0"/>
        </w:rPr>
        <w:t>万元，期初合并负债总额为</w:t>
      </w:r>
      <w:r>
        <w:rPr>
          <w:rFonts w:ascii="Times New Roman" w:eastAsia="Times New Roman" w:hAnsi="Times New Roman" w:cs="Times New Roman"/>
          <w:color w:val="000000"/>
          <w:spacing w:val="0"/>
          <w:w w:val="100"/>
          <w:position w:val="0"/>
        </w:rPr>
        <w:t>102,284.12</w:t>
      </w:r>
      <w:r>
        <w:rPr>
          <w:color w:val="000000"/>
          <w:spacing w:val="0"/>
          <w:w w:val="100"/>
          <w:position w:val="0"/>
        </w:rPr>
        <w:t>万元，合并资产负债 率为</w:t>
      </w:r>
      <w:r>
        <w:rPr>
          <w:rFonts w:ascii="Times New Roman" w:eastAsia="Times New Roman" w:hAnsi="Times New Roman" w:cs="Times New Roman"/>
          <w:color w:val="000000"/>
          <w:spacing w:val="0"/>
          <w:w w:val="100"/>
          <w:position w:val="0"/>
        </w:rPr>
        <w:t>21.43%</w:t>
      </w:r>
      <w:r>
        <w:rPr>
          <w:color w:val="000000"/>
          <w:spacing w:val="0"/>
          <w:w w:val="100"/>
          <w:position w:val="0"/>
        </w:rPr>
        <w:t>；期末合并资产总额为</w:t>
      </w:r>
      <w:r>
        <w:rPr>
          <w:rFonts w:ascii="Times New Roman" w:eastAsia="Times New Roman" w:hAnsi="Times New Roman" w:cs="Times New Roman"/>
          <w:color w:val="000000"/>
          <w:spacing w:val="0"/>
          <w:w w:val="100"/>
          <w:position w:val="0"/>
        </w:rPr>
        <w:t>580,087.69</w:t>
      </w:r>
      <w:r>
        <w:rPr>
          <w:color w:val="000000"/>
          <w:spacing w:val="0"/>
          <w:w w:val="100"/>
          <w:position w:val="0"/>
        </w:rPr>
        <w:t>万元，期末合并负债总额为</w:t>
      </w:r>
      <w:r>
        <w:rPr>
          <w:rFonts w:ascii="Times New Roman" w:eastAsia="Times New Roman" w:hAnsi="Times New Roman" w:cs="Times New Roman"/>
          <w:color w:val="000000"/>
          <w:spacing w:val="0"/>
          <w:w w:val="100"/>
          <w:position w:val="0"/>
        </w:rPr>
        <w:t>143,156.99</w:t>
      </w:r>
      <w:r>
        <w:rPr>
          <w:color w:val="000000"/>
          <w:spacing w:val="0"/>
          <w:w w:val="100"/>
          <w:position w:val="0"/>
        </w:rPr>
        <w:t>万元，合 并资产负债率为</w:t>
      </w:r>
      <w:r>
        <w:rPr>
          <w:rFonts w:ascii="Times New Roman" w:eastAsia="Times New Roman" w:hAnsi="Times New Roman" w:cs="Times New Roman"/>
          <w:color w:val="000000"/>
          <w:spacing w:val="0"/>
          <w:w w:val="100"/>
          <w:position w:val="0"/>
        </w:rPr>
        <w:t>24.68%</w:t>
      </w:r>
      <w:r>
        <w:rPr>
          <w:color w:val="000000"/>
          <w:spacing w:val="0"/>
          <w:w w:val="100"/>
          <w:position w:val="0"/>
        </w:rPr>
        <w:t>。</w:t>
      </w:r>
      <w:r>
        <w:br w:type="page"/>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股东总数</w:t>
      </w:r>
    </w:p>
    <w:tbl>
      <w:tblPr>
        <w:tblOverlap w:val="never"/>
        <w:jc w:val="center"/>
        <w:tblLayout w:type="fixed"/>
      </w:tblPr>
      <w:tblGrid>
        <w:gridCol w:w="7090"/>
        <w:gridCol w:w="174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35"/>
        <w:keepNext/>
        <w:keepLines/>
        <w:widowControl w:val="0"/>
        <w:shd w:val="clear" w:color="auto" w:fill="auto"/>
        <w:bidi w:val="0"/>
        <w:spacing w:before="0" w:after="40" w:line="240" w:lineRule="auto"/>
        <w:ind w:left="0" w:right="0" w:firstLine="0"/>
        <w:jc w:val="left"/>
      </w:pPr>
      <w:bookmarkStart w:id="619" w:name="bookmark619"/>
      <w:bookmarkStart w:id="620" w:name="bookmark620"/>
      <w:bookmarkStart w:id="621" w:name="bookmark621"/>
      <w:r>
        <w:rPr>
          <w:color w:val="000000"/>
          <w:spacing w:val="0"/>
          <w:w w:val="100"/>
          <w:position w:val="0"/>
        </w:rPr>
        <w:t>存托凭证持有人数量</w:t>
      </w:r>
      <w:bookmarkEnd w:id="619"/>
      <w:bookmarkEnd w:id="620"/>
      <w:bookmarkEnd w:id="62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截止报告期末前十名股东、前十名流通股东（或无限售条件股东）持股情况表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90"/>
        <w:gridCol w:w="1162"/>
        <w:gridCol w:w="1162"/>
        <w:gridCol w:w="691"/>
        <w:gridCol w:w="1162"/>
        <w:gridCol w:w="1162"/>
        <w:gridCol w:w="427"/>
        <w:gridCol w:w="595"/>
        <w:gridCol w:w="787"/>
      </w:tblGrid>
      <w:tr>
        <w:trPr>
          <w:trHeight w:val="288" w:hRule="exact"/>
        </w:trPr>
        <w:tc>
          <w:tcPr>
            <w:gridSpan w:val="9"/>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持有有限 售条件股 份数量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包含转融 通借出股 份的限售 股份数量</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质押或 冻结情 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股东 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180" w:after="0" w:line="240" w:lineRule="auto"/>
              <w:ind w:left="0" w:right="280" w:firstLine="0"/>
              <w:jc w:val="righ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上海创业投资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96,383,533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96,383,533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96,383,533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国有 法人</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巽鑫（上海） 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93,337,887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93,337,887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93,337,887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国有 法人</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南昌智微企业 管理合伙企业</w:t>
            </w:r>
          </w:p>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30,644,454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30,644,454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30,644,454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境内 非国 有法 人</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中微半导体设 备（上海）股 份有限公司未 确认持有人证 券专用账户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240" w:after="0" w:line="240" w:lineRule="auto"/>
              <w:ind w:left="0" w:right="0" w:firstLine="0"/>
              <w:jc w:val="left"/>
            </w:pPr>
            <w:r>
              <w:rPr>
                <w:rFonts w:ascii="Times New Roman" w:eastAsia="Times New Roman" w:hAnsi="Times New Roman" w:cs="Times New Roman"/>
                <w:color w:val="000000"/>
                <w:spacing w:val="0"/>
                <w:w w:val="100"/>
                <w:position w:val="0"/>
              </w:rPr>
              <w:t>51,443,977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24,821,537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24,821,537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24,821,537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嘉兴悦橙投资 合伙企业（有 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-7,483,614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15,082,377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境内 非国 有法 人</w:t>
            </w:r>
          </w:p>
        </w:tc>
      </w:tr>
      <w:tr>
        <w:trPr>
          <w:trHeight w:val="137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中国工商银行 股份有限公司 —诺安成长股 票型证券投资 基金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14,718,741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14,718,741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国开创新资本 投资有限责任 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-5,348,622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14,342,561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both"/>
            </w:pPr>
            <w:r>
              <w:rPr>
                <w:color w:val="000000"/>
                <w:spacing w:val="0"/>
                <w:w w:val="100"/>
                <w:position w:val="0"/>
              </w:rPr>
              <w:t>国有 法人</w:t>
            </w:r>
          </w:p>
        </w:tc>
      </w:tr>
    </w:tbl>
    <w:p>
      <w:pPr>
        <w:spacing w:lineRule="exact" w:line="1"/>
        <w:rPr>
          <w:sz w:val="2"/>
          <w:szCs w:val="2"/>
        </w:rPr>
      </w:pPr>
      <w:r>
        <w:br w:type="page"/>
      </w:r>
    </w:p>
    <w:tbl>
      <w:tblPr>
        <w:tblOverlap w:val="never"/>
        <w:jc w:val="center"/>
        <w:tblLayout w:type="fixed"/>
      </w:tblPr>
      <w:tblGrid>
        <w:gridCol w:w="1690"/>
        <w:gridCol w:w="1162"/>
        <w:gridCol w:w="1162"/>
        <w:gridCol w:w="346"/>
        <w:gridCol w:w="346"/>
        <w:gridCol w:w="1162"/>
        <w:gridCol w:w="230"/>
        <w:gridCol w:w="931"/>
        <w:gridCol w:w="427"/>
        <w:gridCol w:w="211"/>
        <w:gridCol w:w="384"/>
        <w:gridCol w:w="787"/>
      </w:tblGrid>
      <w:tr>
        <w:trPr>
          <w:trHeight w:val="110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置都（上海） 投资中心（有 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240" w:after="0" w:line="240" w:lineRule="auto"/>
              <w:ind w:left="0" w:right="0" w:firstLine="0"/>
              <w:jc w:val="center"/>
            </w:pPr>
            <w:r>
              <w:rPr>
                <w:rFonts w:ascii="Times New Roman" w:eastAsia="Times New Roman" w:hAnsi="Times New Roman" w:cs="Times New Roman"/>
                <w:color w:val="000000"/>
                <w:spacing w:val="0"/>
                <w:w w:val="100"/>
                <w:position w:val="0"/>
              </w:rPr>
              <w:t>14,423,733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11,960,253</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境内 非国 有法 人</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GRENADE PTE.</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11,442,746</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11,442,746</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11,442,746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境外 法人</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 PTE.</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11,119,580</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11,119,580</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11,119,580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境外 法人</w:t>
            </w:r>
          </w:p>
        </w:tc>
      </w:tr>
      <w:tr>
        <w:trPr>
          <w:trHeight w:val="278" w:hRule="exact"/>
        </w:trPr>
        <w:tc>
          <w:tcPr>
            <w:gridSpan w:val="5"/>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w:t>
            </w:r>
          </w:p>
        </w:tc>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83" w:hRule="exact"/>
        </w:trPr>
        <w:tc>
          <w:tcPr>
            <w:gridSpan w:val="4"/>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 流通股的数量</w:t>
            </w:r>
          </w:p>
        </w:tc>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4"/>
            <w:vMerge/>
            <w:tcBorders>
              <w:left w:val="single" w:sz="4"/>
            </w:tcBorders>
            <w:shd w:val="clear" w:color="auto" w:fill="FFFFFF"/>
            <w:vAlign w:val="center"/>
          </w:tcPr>
          <w:p>
            <w:pPr/>
          </w:p>
        </w:tc>
        <w:tc>
          <w:tcPr>
            <w:gridSpan w:val="3"/>
            <w:vMerge/>
            <w:tcBorders>
              <w:left w:val="single" w:sz="4"/>
            </w:tcBorders>
            <w:shd w:val="clear" w:color="auto" w:fill="FFFFFF"/>
            <w:vAlign w:val="bottom"/>
          </w:tcPr>
          <w:p>
            <w:pP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嘉兴悦橙投资合伙企业（有限合伙）</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15,082,377</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15,082,377</w:t>
            </w:r>
          </w:p>
        </w:tc>
      </w:tr>
      <w:tr>
        <w:trPr>
          <w:trHeight w:val="552"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中国工商银行股份有限公司一诺安成长股票 型证券投资基金</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14,718,741</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14,718,741</w:t>
            </w:r>
          </w:p>
        </w:tc>
      </w:tr>
      <w:tr>
        <w:trPr>
          <w:trHeight w:val="283"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国开创新资本投资有限责任公司</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14,342,561</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14,342,561</w:t>
            </w:r>
          </w:p>
        </w:tc>
      </w:tr>
      <w:tr>
        <w:trPr>
          <w:trHeight w:val="283"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置都（上海）投资中心（有限合伙）</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11,960,253</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11,960,253</w:t>
            </w:r>
          </w:p>
        </w:tc>
      </w:tr>
      <w:tr>
        <w:trPr>
          <w:trHeight w:val="283"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嘉兴创橙投资合伙企业（有限合伙）</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9,419,124</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9,419,124</w:t>
            </w:r>
          </w:p>
        </w:tc>
      </w:tr>
      <w:tr>
        <w:trPr>
          <w:trHeight w:val="552"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国投（上海）科技成果转化创业投资基金企 业（有限合伙）</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7,755,297</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7,755,297</w:t>
            </w:r>
          </w:p>
        </w:tc>
      </w:tr>
      <w:tr>
        <w:trPr>
          <w:trHeight w:val="283"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嘉兴亮橙投资合伙企业（有限合伙）</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6,602,963</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6,602,963</w:t>
            </w:r>
          </w:p>
        </w:tc>
      </w:tr>
      <w:tr>
        <w:trPr>
          <w:trHeight w:val="283" w:hRule="exact"/>
        </w:trPr>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PRIMROSE CAPITAL LIMITED</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6,261,147</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6,261,147</w:t>
            </w:r>
          </w:p>
        </w:tc>
      </w:tr>
      <w:tr>
        <w:trPr>
          <w:trHeight w:val="283"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嘉兴君邦投资管理合伙企业（有限合伙）</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6,007,637</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6,007,637</w:t>
            </w:r>
          </w:p>
        </w:tc>
      </w:tr>
      <w:tr>
        <w:trPr>
          <w:trHeight w:val="557" w:hRule="exact"/>
        </w:trPr>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招商银行股份有限公司一华夏上证科创板</w:t>
            </w:r>
            <w:r>
              <w:rPr>
                <w:rFonts w:ascii="Times New Roman" w:eastAsia="Times New Roman" w:hAnsi="Times New Roman" w:cs="Times New Roman"/>
                <w:color w:val="000000"/>
                <w:spacing w:val="0"/>
                <w:w w:val="100"/>
                <w:position w:val="0"/>
              </w:rPr>
              <w:t xml:space="preserve">50 </w:t>
            </w:r>
            <w:r>
              <w:rPr>
                <w:color w:val="000000"/>
                <w:spacing w:val="0"/>
                <w:w w:val="100"/>
                <w:position w:val="0"/>
              </w:rPr>
              <w:t>成份交易型开放式指数证券投资基金</w:t>
            </w:r>
          </w:p>
        </w:tc>
        <w:tc>
          <w:tcPr>
            <w:gridSpan w:val="3"/>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5,581,911</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5,581,911</w:t>
            </w:r>
          </w:p>
        </w:tc>
      </w:tr>
      <w:tr>
        <w:trPr>
          <w:trHeight w:val="826" w:hRule="exact"/>
        </w:trPr>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悦橙投资、创橙投资、亮橙投资的管理机构为 上海兴橙投资管理有限公司，视为一致行动 人。</w:t>
            </w:r>
          </w:p>
        </w:tc>
      </w:tr>
      <w:tr>
        <w:trPr>
          <w:trHeight w:val="293" w:hRule="exact"/>
        </w:trPr>
        <w:tc>
          <w:tcPr>
            <w:gridSpan w:val="4"/>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8"/>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38"/>
        <w:gridCol w:w="2765"/>
        <w:gridCol w:w="1416"/>
        <w:gridCol w:w="1267"/>
        <w:gridCol w:w="1570"/>
        <w:gridCol w:w="1181"/>
      </w:tblGrid>
      <w:tr>
        <w:trPr>
          <w:trHeight w:val="55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54" w:lineRule="exact"/>
              <w:ind w:left="0" w:right="0" w:firstLine="0"/>
              <w:jc w:val="center"/>
            </w:pPr>
            <w:r>
              <w:rPr>
                <w:color w:val="000000"/>
                <w:spacing w:val="0"/>
                <w:w w:val="100"/>
                <w:position w:val="0"/>
              </w:rPr>
              <w:t>序 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持有的有限 售条件股份 数量</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有限售条件股份可上市交易 情况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96,383,533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巽鑫（上海）投资有限公司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93,337,887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南昌智微企业管理合伙企业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30,644,454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中微半导体设备（上海）股 份有限公司未确认持有人证 券专用账户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24,821,537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bl>
    <w:p>
      <w:pPr>
        <w:spacing w:lineRule="exact" w:line="1"/>
        <w:rPr>
          <w:sz w:val="2"/>
          <w:szCs w:val="2"/>
        </w:rPr>
      </w:pPr>
      <w:r>
        <w:br w:type="page"/>
      </w:r>
    </w:p>
    <w:tbl>
      <w:tblPr>
        <w:tblOverlap w:val="never"/>
        <w:jc w:val="center"/>
        <w:tblLayout w:type="fixed"/>
      </w:tblPr>
      <w:tblGrid>
        <w:gridCol w:w="629"/>
        <w:gridCol w:w="2774"/>
        <w:gridCol w:w="1416"/>
        <w:gridCol w:w="1277"/>
        <w:gridCol w:w="1560"/>
        <w:gridCol w:w="1181"/>
      </w:tblGrid>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GRENADE PTE.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11,442,746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 PTE.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11,119,580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YIN GERALD ZHEYAO</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6,200,266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MAK STEVE SZE-YEE</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2,341,106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 ZHIYOU</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2,331,436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LEE STEVEN TIANXIAO</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2,076,657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 内限售</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上述月 说明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殳东关联关系或一致行动的</w:t>
            </w:r>
          </w:p>
        </w:tc>
        <w:tc>
          <w:tcPr>
            <w:gridSpan w:val="4"/>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59" w:line="1" w:lineRule="exact"/>
      </w:pPr>
    </w:p>
    <w:p>
      <w:pPr>
        <w:pStyle w:val="Style35"/>
        <w:keepNext/>
        <w:keepLines/>
        <w:widowControl w:val="0"/>
        <w:shd w:val="clear" w:color="auto" w:fill="auto"/>
        <w:bidi w:val="0"/>
        <w:spacing w:before="0" w:after="0" w:line="240" w:lineRule="auto"/>
        <w:ind w:left="0" w:right="0" w:firstLine="0"/>
        <w:jc w:val="both"/>
      </w:pPr>
      <w:bookmarkStart w:id="622" w:name="bookmark622"/>
      <w:bookmarkStart w:id="623" w:name="bookmark623"/>
      <w:bookmarkStart w:id="624" w:name="bookmark624"/>
      <w:r>
        <w:rPr>
          <w:color w:val="000000"/>
          <w:spacing w:val="0"/>
          <w:w w:val="100"/>
          <w:position w:val="0"/>
        </w:rPr>
        <w:t>截止报告期末公司前十名境内存托凭证持有人情况表</w:t>
      </w:r>
      <w:bookmarkEnd w:id="622"/>
      <w:bookmarkEnd w:id="623"/>
      <w:bookmarkEnd w:id="62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both"/>
      </w:pPr>
      <w:bookmarkStart w:id="625" w:name="bookmark625"/>
      <w:r>
        <w:rPr>
          <w:rFonts w:ascii="Times New Roman" w:eastAsia="Times New Roman" w:hAnsi="Times New Roman" w:cs="Times New Roman"/>
          <w:b/>
          <w:bCs/>
          <w:color w:val="000000"/>
          <w:spacing w:val="0"/>
          <w:w w:val="100"/>
          <w:position w:val="0"/>
        </w:rPr>
        <w:t>（</w:t>
      </w:r>
      <w:bookmarkEnd w:id="625"/>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截止报告期末表决权数量前十名股东情况表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both"/>
      </w:pPr>
      <w:bookmarkStart w:id="626" w:name="bookmark626"/>
      <w:r>
        <w:rPr>
          <w:rFonts w:ascii="Times New Roman" w:eastAsia="Times New Roman" w:hAnsi="Times New Roman" w:cs="Times New Roman"/>
          <w:b/>
          <w:bCs/>
          <w:color w:val="000000"/>
          <w:spacing w:val="0"/>
          <w:w w:val="100"/>
          <w:position w:val="0"/>
        </w:rPr>
        <w:t>（</w:t>
      </w:r>
      <w:bookmarkEnd w:id="626"/>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存托凭证成为前十名股东</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36" w:val="left"/>
        </w:tabs>
        <w:bidi w:val="0"/>
        <w:spacing w:before="0" w:after="80" w:line="240" w:lineRule="auto"/>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w:t>
      </w:r>
      <w:bookmarkEnd w:id="629"/>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首次公开发行战略配售情况</w:t>
      </w:r>
      <w:bookmarkEnd w:id="627"/>
      <w:bookmarkEnd w:id="628"/>
      <w:bookmarkEnd w:id="630"/>
    </w:p>
    <w:p>
      <w:pPr>
        <w:pStyle w:val="Style35"/>
        <w:keepNext/>
        <w:keepLines/>
        <w:widowControl w:val="0"/>
        <w:numPr>
          <w:ilvl w:val="0"/>
          <w:numId w:val="39"/>
        </w:numPr>
        <w:shd w:val="clear" w:color="auto" w:fill="auto"/>
        <w:tabs>
          <w:tab w:pos="464" w:val="left"/>
        </w:tabs>
        <w:bidi w:val="0"/>
        <w:spacing w:before="0" w:after="80" w:line="240" w:lineRule="auto"/>
        <w:ind w:left="0" w:right="0" w:firstLine="0"/>
        <w:jc w:val="both"/>
      </w:pPr>
      <w:bookmarkStart w:id="627" w:name="bookmark627"/>
      <w:bookmarkStart w:id="628" w:name="bookmark628"/>
      <w:bookmarkStart w:id="631" w:name="bookmark631"/>
      <w:bookmarkStart w:id="632" w:name="bookmark632"/>
      <w:bookmarkEnd w:id="631"/>
      <w:r>
        <w:rPr>
          <w:color w:val="000000"/>
          <w:spacing w:val="0"/>
          <w:w w:val="100"/>
          <w:position w:val="0"/>
        </w:rPr>
        <w:t>高级管理人员与核心员工设立专项资产管理计划参与首次公开发行战略配售持有情况</w:t>
      </w:r>
      <w:bookmarkEnd w:id="627"/>
      <w:bookmarkEnd w:id="628"/>
      <w:bookmarkEnd w:id="632"/>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39"/>
        </w:numPr>
        <w:shd w:val="clear" w:color="auto" w:fill="auto"/>
        <w:tabs>
          <w:tab w:pos="464" w:val="left"/>
        </w:tabs>
        <w:bidi w:val="0"/>
        <w:spacing w:before="0" w:after="80" w:line="240" w:lineRule="auto"/>
        <w:ind w:left="0" w:right="0" w:firstLine="0"/>
        <w:jc w:val="both"/>
      </w:pPr>
      <w:bookmarkStart w:id="633" w:name="bookmark633"/>
      <w:bookmarkStart w:id="634" w:name="bookmark634"/>
      <w:bookmarkStart w:id="635" w:name="bookmark635"/>
      <w:bookmarkStart w:id="636" w:name="bookmark636"/>
      <w:bookmarkEnd w:id="635"/>
      <w:r>
        <w:rPr>
          <w:color w:val="000000"/>
          <w:spacing w:val="0"/>
          <w:w w:val="100"/>
          <w:position w:val="0"/>
        </w:rPr>
        <w:t>保荐机构相关子公司参与首次公开发行战略配售持股情况</w:t>
      </w:r>
      <w:bookmarkEnd w:id="633"/>
      <w:bookmarkEnd w:id="634"/>
      <w:bookmarkEnd w:id="636"/>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1190"/>
        <w:gridCol w:w="2496"/>
        <w:gridCol w:w="1416"/>
        <w:gridCol w:w="1277"/>
        <w:gridCol w:w="941"/>
        <w:gridCol w:w="1517"/>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与保荐机构的关系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获配的股票/ 存托凭证数 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 内增减 变动数 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包含转融通借 出股份/存托 凭证的期末持</w:t>
            </w:r>
          </w:p>
          <w:p>
            <w:pPr>
              <w:pStyle w:val="Style25"/>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有数量</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海通创新 证券投资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海通创新证券投资有限 公司为海通证券股份有 限公司的全资子公司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2,068,252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2,068,252</w:t>
            </w:r>
          </w:p>
        </w:tc>
      </w:tr>
    </w:tbl>
    <w:p>
      <w:pPr>
        <w:pStyle w:val="Style2"/>
        <w:keepNext w:val="0"/>
        <w:keepLines w:val="0"/>
        <w:widowControl w:val="0"/>
        <w:shd w:val="clear" w:color="auto" w:fill="auto"/>
        <w:tabs>
          <w:tab w:pos="464" w:val="left"/>
        </w:tabs>
        <w:bidi w:val="0"/>
        <w:spacing w:before="0" w:after="80" w:line="240" w:lineRule="auto"/>
        <w:ind w:left="0" w:right="0" w:firstLine="0"/>
        <w:jc w:val="left"/>
      </w:pPr>
      <w:bookmarkStart w:id="637" w:name="bookmark637"/>
      <w:r>
        <w:rPr>
          <w:b/>
          <w:bCs/>
          <w:color w:val="000000"/>
          <w:spacing w:val="0"/>
          <w:w w:val="100"/>
          <w:position w:val="0"/>
        </w:rPr>
        <w:t>四</w:t>
      </w:r>
      <w:bookmarkEnd w:id="637"/>
      <w:r>
        <w:rPr>
          <w:b/>
          <w:bCs/>
          <w:color w:val="000000"/>
          <w:spacing w:val="0"/>
          <w:w w:val="100"/>
          <w:position w:val="0"/>
        </w:rPr>
        <w:t>、</w:t>
        <w:tab/>
        <w:t>控股股东及实际控制人情况</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38" w:name="bookmark638"/>
      <w:r>
        <w:rPr>
          <w:rFonts w:ascii="Calibri" w:eastAsia="Calibri" w:hAnsi="Calibri" w:cs="Calibri"/>
          <w:b/>
          <w:bCs/>
          <w:color w:val="000000"/>
          <w:spacing w:val="0"/>
          <w:w w:val="100"/>
          <w:position w:val="0"/>
          <w:sz w:val="20"/>
          <w:szCs w:val="20"/>
        </w:rPr>
        <w:t>（</w:t>
      </w:r>
      <w:bookmarkEnd w:id="63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控股股东情况</w:t>
      </w:r>
    </w:p>
    <w:p>
      <w:pPr>
        <w:pStyle w:val="Style2"/>
        <w:keepNext w:val="0"/>
        <w:keepLines w:val="0"/>
        <w:widowControl w:val="0"/>
        <w:numPr>
          <w:ilvl w:val="0"/>
          <w:numId w:val="41"/>
        </w:numPr>
        <w:shd w:val="clear" w:color="auto" w:fill="auto"/>
        <w:tabs>
          <w:tab w:pos="426" w:val="left"/>
        </w:tabs>
        <w:bidi w:val="0"/>
        <w:spacing w:before="0" w:after="80" w:line="240" w:lineRule="auto"/>
        <w:ind w:left="0" w:right="0" w:firstLine="0"/>
        <w:jc w:val="left"/>
      </w:pPr>
      <w:bookmarkStart w:id="639" w:name="bookmark639"/>
      <w:bookmarkEnd w:id="639"/>
      <w:r>
        <w:rPr>
          <w:b/>
          <w:bCs/>
          <w:color w:val="000000"/>
          <w:spacing w:val="0"/>
          <w:w w:val="100"/>
          <w:position w:val="0"/>
        </w:rPr>
        <w:t>法人</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1"/>
        </w:numPr>
        <w:shd w:val="clear" w:color="auto" w:fill="auto"/>
        <w:tabs>
          <w:tab w:pos="426" w:val="left"/>
        </w:tabs>
        <w:bidi w:val="0"/>
        <w:spacing w:before="0" w:after="80" w:line="240" w:lineRule="auto"/>
        <w:ind w:left="0" w:right="0" w:firstLine="0"/>
        <w:jc w:val="left"/>
      </w:pPr>
      <w:bookmarkStart w:id="640" w:name="bookmark640"/>
      <w:bookmarkStart w:id="641" w:name="bookmark641"/>
      <w:bookmarkStart w:id="642" w:name="bookmark642"/>
      <w:bookmarkStart w:id="643" w:name="bookmark643"/>
      <w:bookmarkEnd w:id="642"/>
      <w:r>
        <w:rPr>
          <w:color w:val="000000"/>
          <w:spacing w:val="0"/>
          <w:w w:val="100"/>
          <w:position w:val="0"/>
        </w:rPr>
        <w:t>自然人</w:t>
      </w:r>
      <w:bookmarkEnd w:id="640"/>
      <w:bookmarkEnd w:id="641"/>
      <w:bookmarkEnd w:id="64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1"/>
        </w:numPr>
        <w:shd w:val="clear" w:color="auto" w:fill="auto"/>
        <w:tabs>
          <w:tab w:pos="426" w:val="left"/>
        </w:tabs>
        <w:bidi w:val="0"/>
        <w:spacing w:before="0" w:after="80" w:line="240" w:lineRule="auto"/>
        <w:ind w:left="0" w:right="0" w:firstLine="0"/>
        <w:jc w:val="left"/>
      </w:pPr>
      <w:bookmarkStart w:id="644" w:name="bookmark644"/>
      <w:bookmarkStart w:id="645" w:name="bookmark645"/>
      <w:bookmarkStart w:id="646" w:name="bookmark646"/>
      <w:bookmarkStart w:id="647" w:name="bookmark647"/>
      <w:bookmarkEnd w:id="646"/>
      <w:r>
        <w:rPr>
          <w:color w:val="000000"/>
          <w:spacing w:val="0"/>
          <w:w w:val="100"/>
          <w:position w:val="0"/>
        </w:rPr>
        <w:t>公司不存在控股股东情况的特别说明</w:t>
      </w:r>
      <w:bookmarkEnd w:id="644"/>
      <w:bookmarkEnd w:id="645"/>
      <w:bookmarkEnd w:id="64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8" w:lineRule="exact"/>
        <w:ind w:left="0" w:right="0" w:firstLine="440"/>
        <w:jc w:val="left"/>
      </w:pPr>
      <w:r>
        <w:rPr>
          <w:color w:val="000000"/>
          <w:spacing w:val="0"/>
          <w:w w:val="100"/>
          <w:position w:val="0"/>
        </w:rPr>
        <w:t>中微公司第一大股东上海创投的持股比例为</w:t>
      </w:r>
      <w:r>
        <w:rPr>
          <w:rFonts w:ascii="Times New Roman" w:eastAsia="Times New Roman" w:hAnsi="Times New Roman" w:cs="Times New Roman"/>
          <w:color w:val="000000"/>
          <w:spacing w:val="0"/>
          <w:w w:val="100"/>
          <w:position w:val="0"/>
        </w:rPr>
        <w:t>18.02%</w:t>
      </w:r>
      <w:r>
        <w:rPr>
          <w:color w:val="000000"/>
          <w:spacing w:val="0"/>
          <w:w w:val="100"/>
          <w:position w:val="0"/>
        </w:rPr>
        <w:t xml:space="preserve">，第二大股东巽鑫投资的持股比例为 </w:t>
      </w:r>
      <w:r>
        <w:rPr>
          <w:rFonts w:ascii="Times New Roman" w:eastAsia="Times New Roman" w:hAnsi="Times New Roman" w:cs="Times New Roman"/>
          <w:color w:val="000000"/>
          <w:spacing w:val="0"/>
          <w:w w:val="100"/>
          <w:position w:val="0"/>
        </w:rPr>
        <w:t>17.45%</w:t>
      </w:r>
      <w:r>
        <w:rPr>
          <w:color w:val="000000"/>
          <w:spacing w:val="0"/>
          <w:w w:val="100"/>
          <w:position w:val="0"/>
        </w:rPr>
        <w:t>，两者持股比例接近。根据公司目前的实际经营管理情况，公司重要决策均属于各方共 同参与决策，公司无实际控制人。</w:t>
      </w:r>
    </w:p>
    <w:p>
      <w:pPr>
        <w:pStyle w:val="Style35"/>
        <w:keepNext/>
        <w:keepLines/>
        <w:widowControl w:val="0"/>
        <w:numPr>
          <w:ilvl w:val="0"/>
          <w:numId w:val="41"/>
        </w:numPr>
        <w:shd w:val="clear" w:color="auto" w:fill="auto"/>
        <w:tabs>
          <w:tab w:pos="426" w:val="left"/>
        </w:tabs>
        <w:bidi w:val="0"/>
        <w:spacing w:before="0" w:after="80" w:line="240" w:lineRule="auto"/>
        <w:ind w:left="0" w:right="0" w:firstLine="0"/>
        <w:jc w:val="left"/>
      </w:pPr>
      <w:bookmarkStart w:id="648" w:name="bookmark648"/>
      <w:bookmarkStart w:id="649" w:name="bookmark649"/>
      <w:bookmarkStart w:id="650" w:name="bookmark650"/>
      <w:bookmarkStart w:id="651" w:name="bookmark651"/>
      <w:bookmarkEnd w:id="650"/>
      <w:r>
        <w:rPr>
          <w:color w:val="000000"/>
          <w:spacing w:val="0"/>
          <w:w w:val="100"/>
          <w:position w:val="0"/>
        </w:rPr>
        <w:t>报告期内控股股东变更情况索引及日期</w:t>
      </w:r>
      <w:bookmarkEnd w:id="648"/>
      <w:bookmarkEnd w:id="649"/>
      <w:bookmarkEnd w:id="65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1"/>
        </w:numPr>
        <w:shd w:val="clear" w:color="auto" w:fill="auto"/>
        <w:tabs>
          <w:tab w:pos="426" w:val="left"/>
        </w:tabs>
        <w:bidi w:val="0"/>
        <w:spacing w:before="0" w:after="80" w:line="240" w:lineRule="auto"/>
        <w:ind w:left="0" w:right="0" w:firstLine="0"/>
        <w:jc w:val="left"/>
      </w:pPr>
      <w:bookmarkStart w:id="652" w:name="bookmark652"/>
      <w:bookmarkStart w:id="653" w:name="bookmark653"/>
      <w:bookmarkStart w:id="654" w:name="bookmark654"/>
      <w:bookmarkStart w:id="655" w:name="bookmark655"/>
      <w:bookmarkEnd w:id="654"/>
      <w:r>
        <w:rPr>
          <w:color w:val="000000"/>
          <w:spacing w:val="0"/>
          <w:w w:val="100"/>
          <w:position w:val="0"/>
        </w:rPr>
        <w:t>公司与控股股东之间的产权及控制关系的方框图</w:t>
      </w:r>
      <w:bookmarkEnd w:id="652"/>
      <w:bookmarkEnd w:id="653"/>
      <w:bookmarkEnd w:id="65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56" w:name="bookmark656"/>
      <w:r>
        <w:rPr>
          <w:rFonts w:ascii="Calibri" w:eastAsia="Calibri" w:hAnsi="Calibri" w:cs="Calibri"/>
          <w:b/>
          <w:bCs/>
          <w:color w:val="000000"/>
          <w:spacing w:val="0"/>
          <w:w w:val="100"/>
          <w:position w:val="0"/>
          <w:sz w:val="20"/>
          <w:szCs w:val="20"/>
        </w:rPr>
        <w:t>（</w:t>
      </w:r>
      <w:bookmarkEnd w:id="65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实际控制人情况</w:t>
      </w:r>
    </w:p>
    <w:p>
      <w:pPr>
        <w:pStyle w:val="Style2"/>
        <w:keepNext w:val="0"/>
        <w:keepLines w:val="0"/>
        <w:widowControl w:val="0"/>
        <w:numPr>
          <w:ilvl w:val="0"/>
          <w:numId w:val="43"/>
        </w:numPr>
        <w:shd w:val="clear" w:color="auto" w:fill="auto"/>
        <w:tabs>
          <w:tab w:pos="426" w:val="left"/>
        </w:tabs>
        <w:bidi w:val="0"/>
        <w:spacing w:before="0" w:after="80" w:line="240" w:lineRule="auto"/>
        <w:ind w:left="0" w:right="0" w:firstLine="0"/>
        <w:jc w:val="left"/>
      </w:pPr>
      <w:bookmarkStart w:id="657" w:name="bookmark657"/>
      <w:bookmarkEnd w:id="657"/>
      <w:r>
        <w:rPr>
          <w:b/>
          <w:bCs/>
          <w:color w:val="000000"/>
          <w:spacing w:val="0"/>
          <w:w w:val="100"/>
          <w:position w:val="0"/>
        </w:rPr>
        <w:t>法人</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3"/>
        </w:numPr>
        <w:shd w:val="clear" w:color="auto" w:fill="auto"/>
        <w:tabs>
          <w:tab w:pos="426" w:val="left"/>
        </w:tabs>
        <w:bidi w:val="0"/>
        <w:spacing w:before="0" w:after="80" w:line="240" w:lineRule="auto"/>
        <w:ind w:left="0" w:right="0" w:firstLine="0"/>
        <w:jc w:val="left"/>
      </w:pPr>
      <w:bookmarkStart w:id="658" w:name="bookmark658"/>
      <w:bookmarkStart w:id="659" w:name="bookmark659"/>
      <w:bookmarkStart w:id="660" w:name="bookmark660"/>
      <w:bookmarkStart w:id="661" w:name="bookmark661"/>
      <w:bookmarkEnd w:id="660"/>
      <w:r>
        <w:rPr>
          <w:color w:val="000000"/>
          <w:spacing w:val="0"/>
          <w:w w:val="100"/>
          <w:position w:val="0"/>
        </w:rPr>
        <w:t>自然人</w:t>
      </w:r>
      <w:bookmarkEnd w:id="658"/>
      <w:bookmarkEnd w:id="659"/>
      <w:bookmarkEnd w:id="66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3"/>
        </w:numPr>
        <w:shd w:val="clear" w:color="auto" w:fill="auto"/>
        <w:tabs>
          <w:tab w:pos="426" w:val="left"/>
        </w:tabs>
        <w:bidi w:val="0"/>
        <w:spacing w:before="0" w:after="80" w:line="240" w:lineRule="auto"/>
        <w:ind w:left="0" w:right="0" w:firstLine="0"/>
        <w:jc w:val="left"/>
      </w:pPr>
      <w:bookmarkStart w:id="662" w:name="bookmark662"/>
      <w:bookmarkStart w:id="663" w:name="bookmark663"/>
      <w:bookmarkStart w:id="664" w:name="bookmark664"/>
      <w:bookmarkStart w:id="665" w:name="bookmark665"/>
      <w:bookmarkEnd w:id="664"/>
      <w:r>
        <w:rPr>
          <w:color w:val="000000"/>
          <w:spacing w:val="0"/>
          <w:w w:val="100"/>
          <w:position w:val="0"/>
        </w:rPr>
        <w:t>公司不存在实际控制人情况的特别说明</w:t>
      </w:r>
      <w:bookmarkEnd w:id="662"/>
      <w:bookmarkEnd w:id="663"/>
      <w:bookmarkEnd w:id="66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5" w:lineRule="exact"/>
        <w:ind w:left="0" w:right="0" w:firstLine="440"/>
        <w:jc w:val="left"/>
      </w:pPr>
      <w:r>
        <w:rPr>
          <w:color w:val="000000"/>
          <w:spacing w:val="0"/>
          <w:w w:val="100"/>
          <w:position w:val="0"/>
        </w:rPr>
        <w:t>中微公司第一大股东上海创投的持股比例为</w:t>
      </w:r>
      <w:r>
        <w:rPr>
          <w:rFonts w:ascii="Times New Roman" w:eastAsia="Times New Roman" w:hAnsi="Times New Roman" w:cs="Times New Roman"/>
          <w:color w:val="000000"/>
          <w:spacing w:val="0"/>
          <w:w w:val="100"/>
          <w:position w:val="0"/>
        </w:rPr>
        <w:t>18.02%</w:t>
      </w:r>
      <w:r>
        <w:rPr>
          <w:color w:val="000000"/>
          <w:spacing w:val="0"/>
          <w:w w:val="100"/>
          <w:position w:val="0"/>
        </w:rPr>
        <w:t xml:space="preserve">，第二大股东巽鑫投资的持股比例为 </w:t>
      </w:r>
      <w:r>
        <w:rPr>
          <w:rFonts w:ascii="Times New Roman" w:eastAsia="Times New Roman" w:hAnsi="Times New Roman" w:cs="Times New Roman"/>
          <w:color w:val="000000"/>
          <w:spacing w:val="0"/>
          <w:w w:val="100"/>
          <w:position w:val="0"/>
        </w:rPr>
        <w:t>17.45%</w:t>
      </w:r>
      <w:r>
        <w:rPr>
          <w:color w:val="000000"/>
          <w:spacing w:val="0"/>
          <w:w w:val="100"/>
          <w:position w:val="0"/>
        </w:rPr>
        <w:t>，两者持股比例接近。根据公司目前的实际经营管理情况，公司重要决策均属于各方共 同参与决策，公司无实际控制人。</w:t>
      </w:r>
    </w:p>
    <w:p>
      <w:pPr>
        <w:pStyle w:val="Style35"/>
        <w:keepNext/>
        <w:keepLines/>
        <w:widowControl w:val="0"/>
        <w:numPr>
          <w:ilvl w:val="0"/>
          <w:numId w:val="43"/>
        </w:numPr>
        <w:shd w:val="clear" w:color="auto" w:fill="auto"/>
        <w:tabs>
          <w:tab w:pos="426" w:val="left"/>
        </w:tabs>
        <w:bidi w:val="0"/>
        <w:spacing w:before="0" w:after="80" w:line="240" w:lineRule="auto"/>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报告期内实际控制人变更情况索引及日期</w:t>
      </w:r>
      <w:bookmarkEnd w:id="666"/>
      <w:bookmarkEnd w:id="667"/>
      <w:bookmarkEnd w:id="66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3"/>
        </w:numPr>
        <w:shd w:val="clear" w:color="auto" w:fill="auto"/>
        <w:tabs>
          <w:tab w:pos="426" w:val="left"/>
        </w:tabs>
        <w:bidi w:val="0"/>
        <w:spacing w:before="0" w:after="80" w:line="240" w:lineRule="auto"/>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公司与实际控制人之间的产权及控制关系的方框图</w:t>
      </w:r>
      <w:bookmarkEnd w:id="670"/>
      <w:bookmarkEnd w:id="671"/>
      <w:bookmarkEnd w:id="67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3"/>
        </w:numPr>
        <w:shd w:val="clear" w:color="auto" w:fill="auto"/>
        <w:tabs>
          <w:tab w:pos="426" w:val="left"/>
        </w:tabs>
        <w:bidi w:val="0"/>
        <w:spacing w:before="0" w:after="80" w:line="240" w:lineRule="auto"/>
        <w:ind w:left="0" w:right="0" w:firstLine="0"/>
        <w:jc w:val="left"/>
      </w:pPr>
      <w:bookmarkStart w:id="674" w:name="bookmark674"/>
      <w:bookmarkStart w:id="675" w:name="bookmark675"/>
      <w:bookmarkStart w:id="676" w:name="bookmark676"/>
      <w:bookmarkStart w:id="677" w:name="bookmark677"/>
      <w:bookmarkEnd w:id="676"/>
      <w:r>
        <w:rPr>
          <w:color w:val="000000"/>
          <w:spacing w:val="0"/>
          <w:w w:val="100"/>
          <w:position w:val="0"/>
        </w:rPr>
        <w:t>实际控制人通过信托或其他资产管理方式控制公司</w:t>
      </w:r>
      <w:bookmarkEnd w:id="674"/>
      <w:bookmarkEnd w:id="675"/>
      <w:bookmarkEnd w:id="67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78" w:name="bookmark678"/>
      <w:r>
        <w:rPr>
          <w:rFonts w:ascii="Calibri" w:eastAsia="Calibri" w:hAnsi="Calibri" w:cs="Calibri"/>
          <w:b/>
          <w:bCs/>
          <w:color w:val="000000"/>
          <w:spacing w:val="0"/>
          <w:w w:val="100"/>
          <w:position w:val="0"/>
          <w:sz w:val="20"/>
          <w:szCs w:val="20"/>
        </w:rPr>
        <w:t>（</w:t>
      </w:r>
      <w:bookmarkEnd w:id="67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控股股东及实际控制人其他情况介绍</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679" w:name="bookmark679"/>
      <w:r>
        <w:rPr>
          <w:b/>
          <w:bCs/>
          <w:color w:val="000000"/>
          <w:spacing w:val="0"/>
          <w:w w:val="100"/>
          <w:position w:val="0"/>
        </w:rPr>
        <w:t>五</w:t>
      </w:r>
      <w:bookmarkEnd w:id="679"/>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478"/>
        <w:gridCol w:w="1368"/>
        <w:gridCol w:w="1224"/>
        <w:gridCol w:w="2155"/>
        <w:gridCol w:w="1090"/>
        <w:gridCol w:w="1522"/>
      </w:tblGrid>
      <w:tr>
        <w:trPr>
          <w:trHeight w:val="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法人股东名 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单位负责人 或法定代表</w:t>
            </w:r>
          </w:p>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主要经营业务 或管理活动等 情况</w:t>
            </w:r>
          </w:p>
        </w:tc>
      </w:tr>
    </w:tbl>
    <w:tbl>
      <w:tblPr>
        <w:tblOverlap w:val="never"/>
        <w:jc w:val="center"/>
        <w:tblLayout w:type="fixed"/>
      </w:tblPr>
      <w:tblGrid>
        <w:gridCol w:w="1478"/>
        <w:gridCol w:w="1368"/>
        <w:gridCol w:w="1224"/>
        <w:gridCol w:w="2155"/>
        <w:gridCol w:w="1090"/>
        <w:gridCol w:w="1522"/>
      </w:tblGrid>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上海创业投 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1999-08-06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91310000631558334A</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创业投资、投 资管理、资产 管理</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巽鑫（上海） 投资有限公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吴丰硕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2014-12-15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91310000324628267T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实业投资，投 资管理，投资 咨询和财务咨 询</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5"/>
        <w:keepNext/>
        <w:keepLines/>
        <w:widowControl w:val="0"/>
        <w:shd w:val="clear" w:color="auto" w:fill="auto"/>
        <w:tabs>
          <w:tab w:pos="483" w:val="left"/>
        </w:tabs>
        <w:bidi w:val="0"/>
        <w:spacing w:before="0" w:after="8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六</w:t>
      </w:r>
      <w:bookmarkEnd w:id="682"/>
      <w:r>
        <w:rPr>
          <w:color w:val="000000"/>
          <w:spacing w:val="0"/>
          <w:w w:val="100"/>
          <w:position w:val="0"/>
        </w:rPr>
        <w:t>、</w:t>
        <w:tab/>
        <w:t>股份</w:t>
      </w:r>
      <w:r>
        <w:rPr>
          <w:rFonts w:ascii="Arial" w:eastAsia="Arial" w:hAnsi="Arial" w:cs="Arial"/>
          <w:color w:val="000000"/>
          <w:spacing w:val="0"/>
          <w:w w:val="100"/>
          <w:position w:val="0"/>
        </w:rPr>
        <w:t>/</w:t>
      </w:r>
      <w:r>
        <w:rPr>
          <w:color w:val="000000"/>
          <w:spacing w:val="0"/>
          <w:w w:val="100"/>
          <w:position w:val="0"/>
        </w:rPr>
        <w:t>存托凭证限制减持情况说明</w:t>
      </w:r>
      <w:bookmarkEnd w:id="680"/>
      <w:bookmarkEnd w:id="681"/>
      <w:bookmarkEnd w:id="68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684" w:name="bookmark684"/>
      <w:r>
        <w:rPr>
          <w:b/>
          <w:bCs/>
          <w:color w:val="000000"/>
          <w:spacing w:val="0"/>
          <w:w w:val="100"/>
          <w:position w:val="0"/>
        </w:rPr>
        <w:t>七</w:t>
      </w:r>
      <w:bookmarkEnd w:id="684"/>
      <w:r>
        <w:rPr>
          <w:b/>
          <w:bCs/>
          <w:color w:val="000000"/>
          <w:spacing w:val="0"/>
          <w:w w:val="100"/>
          <w:position w:val="0"/>
        </w:rPr>
        <w:t>、</w:t>
        <w:tab/>
        <w:t>存托凭证相关安排在报告期的实施和变化情况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685" w:name="bookmark685"/>
      <w:r>
        <w:rPr>
          <w:b/>
          <w:bCs/>
          <w:color w:val="000000"/>
          <w:spacing w:val="0"/>
          <w:w w:val="100"/>
          <w:position w:val="0"/>
        </w:rPr>
        <w:t>八</w:t>
      </w:r>
      <w:bookmarkEnd w:id="685"/>
      <w:r>
        <w:rPr>
          <w:b/>
          <w:bCs/>
          <w:color w:val="000000"/>
          <w:spacing w:val="0"/>
          <w:w w:val="100"/>
          <w:position w:val="0"/>
        </w:rPr>
        <w:t>、</w:t>
        <w:tab/>
        <w:t>特别表决权股份情况</w:t>
      </w:r>
    </w:p>
    <w:p>
      <w:pPr>
        <w:pStyle w:val="Style2"/>
        <w:keepNext w:val="0"/>
        <w:keepLines w:val="0"/>
        <w:widowControl w:val="0"/>
        <w:shd w:val="clear" w:color="auto" w:fill="auto"/>
        <w:bidi w:val="0"/>
        <w:spacing w:before="0" w:after="80" w:line="240" w:lineRule="auto"/>
        <w:ind w:left="0" w:right="0" w:firstLine="0"/>
        <w:jc w:val="left"/>
      </w:pPr>
      <w:bookmarkStart w:id="686" w:name="bookmark686"/>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bookmarkEnd w:id="686"/>
    </w:p>
    <w:p>
      <w:pPr>
        <w:pStyle w:val="Style13"/>
        <w:keepNext/>
        <w:keepLines/>
        <w:widowControl w:val="0"/>
        <w:shd w:val="clear" w:color="auto" w:fill="auto"/>
        <w:bidi w:val="0"/>
        <w:spacing w:before="0" w:line="240" w:lineRule="auto"/>
        <w:ind w:left="0" w:right="0" w:firstLine="0"/>
        <w:jc w:val="center"/>
      </w:pPr>
      <w:bookmarkStart w:id="687" w:name="bookmark687"/>
      <w:bookmarkStart w:id="688" w:name="bookmark688"/>
      <w:bookmarkStart w:id="689" w:name="bookmark689"/>
      <w:r>
        <w:rPr>
          <w:color w:val="000000"/>
          <w:spacing w:val="0"/>
          <w:w w:val="100"/>
          <w:position w:val="0"/>
        </w:rPr>
        <w:t>第七节优先股相关情况优先股相关情况</w:t>
      </w:r>
      <w:bookmarkEnd w:id="687"/>
      <w:bookmarkEnd w:id="688"/>
      <w:bookmarkEnd w:id="689"/>
    </w:p>
    <w:p>
      <w:pPr>
        <w:pStyle w:val="Style2"/>
        <w:keepNext w:val="0"/>
        <w:keepLines w:val="0"/>
        <w:widowControl w:val="0"/>
        <w:shd w:val="clear" w:color="auto" w:fill="auto"/>
        <w:bidi w:val="0"/>
        <w:spacing w:before="0" w:after="8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74" w:right="1255" w:bottom="1518" w:left="1770"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80" w:line="240" w:lineRule="auto"/>
        <w:ind w:left="0" w:right="0" w:firstLine="0"/>
        <w:jc w:val="center"/>
      </w:pPr>
      <w:bookmarkStart w:id="690" w:name="bookmark690"/>
      <w:bookmarkStart w:id="691" w:name="bookmark691"/>
      <w:bookmarkStart w:id="692" w:name="bookmark692"/>
      <w:r>
        <w:rPr>
          <w:color w:val="000000"/>
          <w:spacing w:val="0"/>
          <w:w w:val="100"/>
          <w:position w:val="0"/>
        </w:rPr>
        <w:t>第八节 董事、监事、高级管理人员和员工情况</w:t>
      </w:r>
      <w:bookmarkEnd w:id="690"/>
      <w:bookmarkEnd w:id="691"/>
      <w:bookmarkEnd w:id="692"/>
    </w:p>
    <w:p>
      <w:pPr>
        <w:pStyle w:val="Style35"/>
        <w:keepNext/>
        <w:keepLines/>
        <w:widowControl w:val="0"/>
        <w:shd w:val="clear" w:color="auto" w:fill="auto"/>
        <w:bidi w:val="0"/>
        <w:spacing w:before="0" w:after="8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一、持股变动情况及报酬情况</w:t>
      </w:r>
      <w:bookmarkEnd w:id="694"/>
      <w:bookmarkEnd w:id="695"/>
      <w:bookmarkEnd w:id="696"/>
      <w:bookmarkEnd w:id="693"/>
    </w:p>
    <w:p>
      <w:pPr>
        <w:pStyle w:val="Style35"/>
        <w:keepNext/>
        <w:keepLines/>
        <w:widowControl w:val="0"/>
        <w:shd w:val="clear" w:color="auto" w:fill="auto"/>
        <w:bidi w:val="0"/>
        <w:spacing w:before="0" w:after="80" w:line="240" w:lineRule="auto"/>
        <w:ind w:left="0" w:right="0" w:firstLine="0"/>
        <w:jc w:val="left"/>
      </w:pPr>
      <w:bookmarkStart w:id="694" w:name="bookmark694"/>
      <w:bookmarkStart w:id="695" w:name="bookmark695"/>
      <w:bookmarkStart w:id="697" w:name="bookmark697"/>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694"/>
      <w:bookmarkEnd w:id="695"/>
      <w:bookmarkEnd w:id="69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979"/>
        <w:gridCol w:w="1066"/>
        <w:gridCol w:w="1358"/>
        <w:gridCol w:w="710"/>
        <w:gridCol w:w="710"/>
        <w:gridCol w:w="1133"/>
        <w:gridCol w:w="1138"/>
        <w:gridCol w:w="989"/>
        <w:gridCol w:w="994"/>
        <w:gridCol w:w="1090"/>
        <w:gridCol w:w="1080"/>
        <w:gridCol w:w="1301"/>
        <w:gridCol w:w="1334"/>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是否为核心 技术人员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是否在公司 关联方获取</w:t>
            </w:r>
          </w:p>
          <w:p>
            <w:pPr>
              <w:pStyle w:val="Style25"/>
              <w:keepNext w:val="0"/>
              <w:keepLines w:val="0"/>
              <w:widowControl w:val="0"/>
              <w:shd w:val="clear" w:color="auto" w:fill="auto"/>
              <w:bidi w:val="0"/>
              <w:spacing w:before="0" w:after="0" w:line="264" w:lineRule="exact"/>
              <w:ind w:left="0" w:right="0" w:firstLine="440"/>
              <w:jc w:val="left"/>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尹志尧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6,200,26</w:t>
            </w:r>
          </w:p>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6,200,26</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杜志游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2,331,43</w:t>
            </w:r>
          </w:p>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2,331,43</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陈立武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董事（已 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9"/>
        <w:gridCol w:w="1066"/>
        <w:gridCol w:w="1358"/>
        <w:gridCol w:w="710"/>
        <w:gridCol w:w="710"/>
        <w:gridCol w:w="1133"/>
        <w:gridCol w:w="1138"/>
        <w:gridCol w:w="989"/>
        <w:gridCol w:w="994"/>
        <w:gridCol w:w="1090"/>
        <w:gridCol w:w="1080"/>
        <w:gridCol w:w="1301"/>
        <w:gridCol w:w="1334"/>
      </w:tblGrid>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职工代表 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朱新萍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302.86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倪图强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1,274,35</w:t>
            </w:r>
          </w:p>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1,274,35</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268.49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财务负责 人、副总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1,162,84</w:t>
            </w:r>
          </w:p>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1,162,84</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252.15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董事会秘 书、副总 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168.38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麦仕义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执行顾问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2,341,10</w:t>
            </w:r>
          </w:p>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2,341,10</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135.47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1,116,03</w:t>
            </w:r>
          </w:p>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1,116,03</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240.82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李天笑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2,076,65</w:t>
            </w:r>
          </w:p>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2,076,65</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217.95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0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16,502,6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16,502,6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2,539.11</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21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尹志尧博士，</w:t>
            </w:r>
            <w:r>
              <w:rPr>
                <w:rFonts w:ascii="Times New Roman" w:eastAsia="Times New Roman" w:hAnsi="Times New Roman" w:cs="Times New Roman"/>
                <w:color w:val="000000"/>
                <w:spacing w:val="0"/>
                <w:w w:val="100"/>
                <w:position w:val="0"/>
              </w:rPr>
              <w:t>1944</w:t>
            </w:r>
            <w:r>
              <w:rPr>
                <w:color w:val="000000"/>
                <w:spacing w:val="0"/>
                <w:w w:val="100"/>
                <w:position w:val="0"/>
              </w:rPr>
              <w:t>年生，美国国籍，中国科学技术大学学士，加州大学洛杉矶分校博士。</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1986</w:t>
            </w:r>
            <w:r>
              <w:rPr>
                <w:color w:val="000000"/>
                <w:spacing w:val="0"/>
                <w:w w:val="100"/>
                <w:position w:val="0"/>
              </w:rPr>
              <w:t>年，就职于英特尔中心技术开</w:t>
            </w:r>
          </w:p>
        </w:tc>
      </w:tr>
    </w:tbl>
    <w:p>
      <w:pPr>
        <w:spacing w:lineRule="exact" w:line="1"/>
        <w:rPr>
          <w:sz w:val="2"/>
          <w:szCs w:val="2"/>
        </w:rPr>
      </w:pPr>
      <w:r>
        <w:br w:type="page"/>
      </w:r>
    </w:p>
    <w:tbl>
      <w:tblPr>
        <w:tblOverlap w:val="never"/>
        <w:jc w:val="center"/>
        <w:tblLayout w:type="fixed"/>
      </w:tblPr>
      <w:tblGrid>
        <w:gridCol w:w="1378"/>
        <w:gridCol w:w="1250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发部，担任工艺工程师；</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1991</w:t>
            </w:r>
            <w:r>
              <w:rPr>
                <w:color w:val="000000"/>
                <w:spacing w:val="0"/>
                <w:w w:val="100"/>
                <w:position w:val="0"/>
              </w:rPr>
              <w:t>年，就职于泛林半导体，历任研发部资深工程师、研发部资深经理；</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年，就职 于应用材料，历任等离子体刻蚀设备产品总部首席技术官、总公司副总裁及等离子体刻蚀事业群总经理、亚洲总部首席技术官；</w:t>
            </w:r>
            <w:r>
              <w:rPr>
                <w:rFonts w:ascii="Times New Roman" w:eastAsia="Times New Roman" w:hAnsi="Times New Roman" w:cs="Times New Roman"/>
                <w:color w:val="000000"/>
                <w:spacing w:val="0"/>
                <w:w w:val="100"/>
                <w:position w:val="0"/>
              </w:rPr>
              <w:t>2004</w:t>
            </w:r>
            <w:r>
              <w:rPr>
                <w:color w:val="000000"/>
                <w:spacing w:val="0"/>
                <w:w w:val="100"/>
                <w:position w:val="0"/>
              </w:rPr>
              <w:t>年 至今，担任中微公司董事长及总经理。</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杜志游博士，</w:t>
            </w:r>
            <w:r>
              <w:rPr>
                <w:rFonts w:ascii="Times New Roman" w:eastAsia="Times New Roman" w:hAnsi="Times New Roman" w:cs="Times New Roman"/>
                <w:color w:val="000000"/>
                <w:spacing w:val="0"/>
                <w:w w:val="100"/>
                <w:position w:val="0"/>
              </w:rPr>
              <w:t>1959</w:t>
            </w:r>
            <w:r>
              <w:rPr>
                <w:color w:val="000000"/>
                <w:spacing w:val="0"/>
                <w:w w:val="100"/>
                <w:position w:val="0"/>
              </w:rPr>
              <w:t>年生，美国国籍，上海交通大学学士，美国麻省理工学院硕士、博士。</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年，历任</w:t>
            </w:r>
            <w:r>
              <w:rPr>
                <w:rFonts w:ascii="Times New Roman" w:eastAsia="Times New Roman" w:hAnsi="Times New Roman" w:cs="Times New Roman"/>
                <w:color w:val="000000"/>
                <w:spacing w:val="0"/>
                <w:w w:val="100"/>
                <w:position w:val="0"/>
              </w:rPr>
              <w:t>Praxair Inc,</w:t>
            </w:r>
            <w:r>
              <w:rPr>
                <w:color w:val="000000"/>
                <w:spacing w:val="0"/>
                <w:w w:val="100"/>
                <w:position w:val="0"/>
              </w:rPr>
              <w:t>高级工 程师、经理、董事总经理等；</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年，担任应用材料全球供应管理经理；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年，担任梅特勒</w:t>
            </w:r>
            <w:r>
              <w:rPr>
                <w:rFonts w:ascii="Times New Roman" w:eastAsia="Times New Roman" w:hAnsi="Times New Roman" w:cs="Times New Roman"/>
                <w:color w:val="000000"/>
                <w:spacing w:val="0"/>
                <w:w w:val="100"/>
                <w:position w:val="0"/>
              </w:rPr>
              <w:t>-</w:t>
            </w:r>
            <w:r>
              <w:rPr>
                <w:color w:val="000000"/>
                <w:spacing w:val="0"/>
                <w:w w:val="100"/>
                <w:position w:val="0"/>
              </w:rPr>
              <w:t>托利多上海子公司 总经理；</w:t>
            </w:r>
            <w:r>
              <w:rPr>
                <w:rFonts w:ascii="Times New Roman" w:eastAsia="Times New Roman" w:hAnsi="Times New Roman" w:cs="Times New Roman"/>
                <w:color w:val="000000"/>
                <w:spacing w:val="0"/>
                <w:w w:val="100"/>
                <w:position w:val="0"/>
              </w:rPr>
              <w:t>2004</w:t>
            </w:r>
            <w:r>
              <w:rPr>
                <w:color w:val="000000"/>
                <w:spacing w:val="0"/>
                <w:w w:val="100"/>
                <w:position w:val="0"/>
              </w:rPr>
              <w:t>年至今，历任中微公司副总裁、资深副总裁、首席运营官。现任中微公司董事及副总经理。</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沈伟国</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沈伟国博士，</w:t>
            </w:r>
            <w:r>
              <w:rPr>
                <w:rFonts w:ascii="Times New Roman" w:eastAsia="Times New Roman" w:hAnsi="Times New Roman" w:cs="Times New Roman"/>
                <w:color w:val="000000"/>
                <w:spacing w:val="0"/>
                <w:w w:val="100"/>
                <w:position w:val="0"/>
              </w:rPr>
              <w:t>1961</w:t>
            </w:r>
            <w:r>
              <w:rPr>
                <w:color w:val="000000"/>
                <w:spacing w:val="0"/>
                <w:w w:val="100"/>
                <w:position w:val="0"/>
              </w:rPr>
              <w:t>年生，中国国籍，无境外永久居留权，上海交通大学学士、上海财经大学硕士、美国杜兰大学硕士、西安交通大学 博士。</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年，担任张江（集团）有限公司副总经理、党委委员；</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年，担任上海金桥（集团）有限公司副总 经理、党委委员；</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年，担任上海科技创业投资公司总经理、党委委员；</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年，担任上海科创集团党委书记、 副总经理；</w:t>
            </w:r>
            <w:r>
              <w:rPr>
                <w:rFonts w:ascii="Times New Roman" w:eastAsia="Times New Roman" w:hAnsi="Times New Roman" w:cs="Times New Roman"/>
                <w:color w:val="000000"/>
                <w:spacing w:val="0"/>
                <w:w w:val="100"/>
                <w:position w:val="0"/>
              </w:rPr>
              <w:t>2015</w:t>
            </w:r>
            <w:r>
              <w:rPr>
                <w:color w:val="000000"/>
                <w:spacing w:val="0"/>
                <w:w w:val="100"/>
                <w:position w:val="0"/>
              </w:rPr>
              <w:t>年至今，担任上海科创集团党委书记、总经理。现任中微公司董事。</w:t>
            </w:r>
          </w:p>
        </w:tc>
      </w:tr>
      <w:tr>
        <w:trPr>
          <w:trHeight w:val="13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朱民先生，</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年生，中国国籍，无境外永久居留权，华东政法大学学士，华东师范大学硕士。</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年，担任上海金桥（集 团）有限公司法律顾问、团委书记；</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年，历任上海市经营者资质评价中心信息部副部长、部长；</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年，历 任上海市国资委企业改革处主任科员、上海市国资委办公室主任科员；</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年，担任上海市国资委办公室副主任、援藏任西 藏日喀则地区国资委副主任；</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年，历任上海市国资委办公室副主任、上海市国资委直属单位管理办公室主任、直属单位 党委副书记；</w:t>
            </w:r>
            <w:r>
              <w:rPr>
                <w:rFonts w:ascii="Times New Roman" w:eastAsia="Times New Roman" w:hAnsi="Times New Roman" w:cs="Times New Roman"/>
                <w:color w:val="000000"/>
                <w:spacing w:val="0"/>
                <w:w w:val="100"/>
                <w:position w:val="0"/>
              </w:rPr>
              <w:t>2014</w:t>
            </w:r>
            <w:r>
              <w:rPr>
                <w:color w:val="000000"/>
                <w:spacing w:val="0"/>
                <w:w w:val="100"/>
                <w:position w:val="0"/>
              </w:rPr>
              <w:t>年至今，担任上海科创集团副总经理。现任中微公司董事。</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杨征帆先生，</w:t>
            </w:r>
            <w:r>
              <w:rPr>
                <w:rFonts w:ascii="Times New Roman" w:eastAsia="Times New Roman" w:hAnsi="Times New Roman" w:cs="Times New Roman"/>
                <w:color w:val="000000"/>
                <w:spacing w:val="0"/>
                <w:w w:val="100"/>
                <w:position w:val="0"/>
              </w:rPr>
              <w:t>1981</w:t>
            </w:r>
            <w:r>
              <w:rPr>
                <w:color w:val="000000"/>
                <w:spacing w:val="0"/>
                <w:w w:val="100"/>
                <w:position w:val="0"/>
              </w:rPr>
              <w:t>年生，中国国籍，无境外永久居留权，浙江大学学士，英国布里斯托大学硕士。</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年，就职于清华同方 威视技术股份有限公司；</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年，就职于中国人民银行沈阳分行；</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年，就职于开元（北京）城市发展基金有 限公司；</w:t>
            </w:r>
            <w:r>
              <w:rPr>
                <w:rFonts w:ascii="Times New Roman" w:eastAsia="Times New Roman" w:hAnsi="Times New Roman" w:cs="Times New Roman"/>
                <w:color w:val="000000"/>
                <w:spacing w:val="0"/>
                <w:w w:val="100"/>
                <w:position w:val="0"/>
              </w:rPr>
              <w:t>2014</w:t>
            </w:r>
            <w:r>
              <w:rPr>
                <w:color w:val="000000"/>
                <w:spacing w:val="0"/>
                <w:w w:val="100"/>
                <w:position w:val="0"/>
              </w:rPr>
              <w:t>年至今，就职于华芯投资管理有限责任公司，任投资一部高级经理、资深经理、投资三部副总经理。现任中微公司董事。</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陈立武（已 离任）</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陈立武先生，</w:t>
            </w:r>
            <w:r>
              <w:rPr>
                <w:rFonts w:ascii="Times New Roman" w:eastAsia="Times New Roman" w:hAnsi="Times New Roman" w:cs="Times New Roman"/>
                <w:color w:val="000000"/>
                <w:spacing w:val="0"/>
                <w:w w:val="100"/>
                <w:position w:val="0"/>
              </w:rPr>
              <w:t>1959</w:t>
            </w:r>
            <w:r>
              <w:rPr>
                <w:color w:val="000000"/>
                <w:spacing w:val="0"/>
                <w:w w:val="100"/>
                <w:position w:val="0"/>
              </w:rPr>
              <w:t>年生，美国国籍，新加坡南洋理工大学学士，美国麻省理工大学硕士，美国旧金山大学工商管理硕士。</w:t>
            </w:r>
            <w:r>
              <w:rPr>
                <w:rFonts w:ascii="Times New Roman" w:eastAsia="Times New Roman" w:hAnsi="Times New Roman" w:cs="Times New Roman"/>
                <w:color w:val="000000"/>
                <w:spacing w:val="0"/>
                <w:w w:val="100"/>
                <w:position w:val="0"/>
              </w:rPr>
              <w:t>1980</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1982 </w:t>
            </w:r>
            <w:r>
              <w:rPr>
                <w:color w:val="000000"/>
                <w:spacing w:val="0"/>
                <w:w w:val="100"/>
                <w:position w:val="0"/>
              </w:rPr>
              <w:t>年，担任</w:t>
            </w:r>
            <w:r>
              <w:rPr>
                <w:rFonts w:ascii="Times New Roman" w:eastAsia="Times New Roman" w:hAnsi="Times New Roman" w:cs="Times New Roman"/>
                <w:color w:val="000000"/>
                <w:spacing w:val="0"/>
                <w:w w:val="100"/>
                <w:position w:val="0"/>
              </w:rPr>
              <w:t>EDS Nuclear</w:t>
            </w:r>
            <w:r>
              <w:rPr>
                <w:color w:val="000000"/>
                <w:spacing w:val="0"/>
                <w:w w:val="100"/>
                <w:position w:val="0"/>
              </w:rPr>
              <w:t>工程师；</w:t>
            </w:r>
            <w:r>
              <w:rPr>
                <w:rFonts w:ascii="Times New Roman" w:eastAsia="Times New Roman" w:hAnsi="Times New Roman" w:cs="Times New Roman"/>
                <w:color w:val="000000"/>
                <w:spacing w:val="0"/>
                <w:w w:val="100"/>
                <w:position w:val="0"/>
              </w:rPr>
              <w:t>1982</w:t>
            </w:r>
            <w:r>
              <w:rPr>
                <w:color w:val="000000"/>
                <w:spacing w:val="0"/>
                <w:w w:val="100"/>
                <w:position w:val="0"/>
              </w:rPr>
              <w:t>年至</w:t>
            </w:r>
            <w:r>
              <w:rPr>
                <w:rFonts w:ascii="Times New Roman" w:eastAsia="Times New Roman" w:hAnsi="Times New Roman" w:cs="Times New Roman"/>
                <w:color w:val="000000"/>
                <w:spacing w:val="0"/>
                <w:w w:val="100"/>
                <w:position w:val="0"/>
              </w:rPr>
              <w:t>1983</w:t>
            </w:r>
            <w:r>
              <w:rPr>
                <w:color w:val="000000"/>
                <w:spacing w:val="0"/>
                <w:w w:val="100"/>
                <w:position w:val="0"/>
              </w:rPr>
              <w:t>年，担任</w:t>
            </w:r>
            <w:r>
              <w:rPr>
                <w:rFonts w:ascii="Times New Roman" w:eastAsia="Times New Roman" w:hAnsi="Times New Roman" w:cs="Times New Roman"/>
                <w:color w:val="000000"/>
                <w:spacing w:val="0"/>
                <w:w w:val="100"/>
                <w:position w:val="0"/>
              </w:rPr>
              <w:t>Echo Energy Consultants</w:t>
            </w:r>
            <w:r>
              <w:rPr>
                <w:color w:val="000000"/>
                <w:spacing w:val="0"/>
                <w:w w:val="100"/>
                <w:position w:val="0"/>
              </w:rPr>
              <w:t>首席财务官、工程师；</w:t>
            </w:r>
            <w:r>
              <w:rPr>
                <w:rFonts w:ascii="Times New Roman" w:eastAsia="Times New Roman" w:hAnsi="Times New Roman" w:cs="Times New Roman"/>
                <w:color w:val="000000"/>
                <w:spacing w:val="0"/>
                <w:w w:val="100"/>
                <w:position w:val="0"/>
              </w:rPr>
              <w:t>1983</w:t>
            </w:r>
            <w:r>
              <w:rPr>
                <w:color w:val="000000"/>
                <w:spacing w:val="0"/>
                <w:w w:val="100"/>
                <w:position w:val="0"/>
              </w:rPr>
              <w:t>年至</w:t>
            </w:r>
            <w:r>
              <w:rPr>
                <w:rFonts w:ascii="Times New Roman" w:eastAsia="Times New Roman" w:hAnsi="Times New Roman" w:cs="Times New Roman"/>
                <w:color w:val="000000"/>
                <w:spacing w:val="0"/>
                <w:w w:val="100"/>
                <w:position w:val="0"/>
              </w:rPr>
              <w:t>1984</w:t>
            </w:r>
            <w:r>
              <w:rPr>
                <w:color w:val="000000"/>
                <w:spacing w:val="0"/>
                <w:w w:val="100"/>
                <w:position w:val="0"/>
              </w:rPr>
              <w:t>年，担任</w:t>
            </w:r>
            <w:r>
              <w:rPr>
                <w:rFonts w:ascii="Times New Roman" w:eastAsia="Times New Roman" w:hAnsi="Times New Roman" w:cs="Times New Roman"/>
                <w:color w:val="000000"/>
                <w:spacing w:val="0"/>
                <w:w w:val="100"/>
                <w:position w:val="0"/>
              </w:rPr>
              <w:t xml:space="preserve">Chappel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Co</w:t>
            </w:r>
            <w:r>
              <w:rPr>
                <w:color w:val="000000"/>
                <w:spacing w:val="0"/>
                <w:w w:val="100"/>
                <w:position w:val="0"/>
              </w:rPr>
              <w:t>助理副总裁；</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1987</w:t>
            </w:r>
            <w:r>
              <w:rPr>
                <w:color w:val="000000"/>
                <w:spacing w:val="0"/>
                <w:w w:val="100"/>
                <w:position w:val="0"/>
              </w:rPr>
              <w:t xml:space="preserve">年，担任 </w:t>
            </w:r>
            <w:r>
              <w:rPr>
                <w:rFonts w:ascii="Times New Roman" w:eastAsia="Times New Roman" w:hAnsi="Times New Roman" w:cs="Times New Roman"/>
                <w:color w:val="000000"/>
                <w:spacing w:val="0"/>
                <w:w w:val="100"/>
                <w:position w:val="0"/>
              </w:rPr>
              <w:t>Walden Group</w:t>
            </w:r>
            <w:r>
              <w:rPr>
                <w:color w:val="000000"/>
                <w:spacing w:val="0"/>
                <w:w w:val="100"/>
                <w:position w:val="0"/>
              </w:rPr>
              <w:t>普通合伙人；</w:t>
            </w:r>
            <w:r>
              <w:rPr>
                <w:rFonts w:ascii="Times New Roman" w:eastAsia="Times New Roman" w:hAnsi="Times New Roman" w:cs="Times New Roman"/>
                <w:color w:val="000000"/>
                <w:spacing w:val="0"/>
                <w:w w:val="100"/>
                <w:position w:val="0"/>
              </w:rPr>
              <w:t>1987</w:t>
            </w:r>
            <w:r>
              <w:rPr>
                <w:color w:val="000000"/>
                <w:spacing w:val="0"/>
                <w:w w:val="100"/>
                <w:position w:val="0"/>
              </w:rPr>
              <w:t>年至今，担任</w:t>
            </w:r>
            <w:r>
              <w:rPr>
                <w:rFonts w:ascii="Times New Roman" w:eastAsia="Times New Roman" w:hAnsi="Times New Roman" w:cs="Times New Roman"/>
                <w:color w:val="000000"/>
                <w:spacing w:val="0"/>
                <w:w w:val="100"/>
                <w:position w:val="0"/>
              </w:rPr>
              <w:t>Walden International</w:t>
            </w:r>
            <w:r>
              <w:rPr>
                <w:color w:val="000000"/>
                <w:spacing w:val="0"/>
                <w:w w:val="100"/>
                <w:position w:val="0"/>
              </w:rPr>
              <w:t>董事长；</w:t>
            </w:r>
            <w:r>
              <w:rPr>
                <w:rFonts w:ascii="Times New Roman" w:eastAsia="Times New Roman" w:hAnsi="Times New Roman" w:cs="Times New Roman"/>
                <w:color w:val="000000"/>
                <w:spacing w:val="0"/>
                <w:w w:val="100"/>
                <w:position w:val="0"/>
              </w:rPr>
              <w:t>2009</w:t>
            </w:r>
            <w:r>
              <w:rPr>
                <w:color w:val="000000"/>
                <w:spacing w:val="0"/>
                <w:w w:val="100"/>
                <w:position w:val="0"/>
              </w:rPr>
              <w:t>年至今， 担任</w:t>
            </w:r>
            <w:r>
              <w:rPr>
                <w:rFonts w:ascii="Times New Roman" w:eastAsia="Times New Roman" w:hAnsi="Times New Roman" w:cs="Times New Roman"/>
                <w:color w:val="000000"/>
                <w:spacing w:val="0"/>
                <w:w w:val="100"/>
                <w:position w:val="0"/>
              </w:rPr>
              <w:t>Cadence</w:t>
            </w:r>
            <w:r>
              <w:rPr>
                <w:color w:val="000000"/>
                <w:spacing w:val="0"/>
                <w:w w:val="100"/>
                <w:position w:val="0"/>
              </w:rPr>
              <w:t>首席执行官。于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日离任中微公司董事。</w:t>
            </w:r>
          </w:p>
        </w:tc>
      </w:tr>
      <w:tr>
        <w:trPr>
          <w:trHeight w:val="13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黄庆先生，</w:t>
            </w:r>
            <w:r>
              <w:rPr>
                <w:rFonts w:ascii="Times New Roman" w:eastAsia="Times New Roman" w:hAnsi="Times New Roman" w:cs="Times New Roman"/>
                <w:color w:val="000000"/>
                <w:spacing w:val="0"/>
                <w:w w:val="100"/>
                <w:position w:val="0"/>
              </w:rPr>
              <w:t>1962</w:t>
            </w:r>
            <w:r>
              <w:rPr>
                <w:color w:val="000000"/>
                <w:spacing w:val="0"/>
                <w:w w:val="100"/>
                <w:position w:val="0"/>
              </w:rPr>
              <w:t>年生，美国国籍，曾在中国四川大学就读物理学专业，后于美国加州大学伯克利分校获得物理学学士学位和电气工程 硕士、博士学位。于</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月担任美国</w:t>
            </w:r>
            <w:r>
              <w:rPr>
                <w:rFonts w:ascii="Times New Roman" w:eastAsia="Times New Roman" w:hAnsi="Times New Roman" w:cs="Times New Roman"/>
                <w:color w:val="000000"/>
                <w:spacing w:val="0"/>
                <w:w w:val="100"/>
                <w:position w:val="0"/>
              </w:rPr>
              <w:t>IBM</w:t>
            </w:r>
            <w:r>
              <w:rPr>
                <w:color w:val="000000"/>
                <w:spacing w:val="0"/>
                <w:w w:val="100"/>
                <w:position w:val="0"/>
              </w:rPr>
              <w:t>公司技术开发工程师，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月担任美国</w:t>
            </w:r>
            <w:r>
              <w:rPr>
                <w:rFonts w:ascii="Times New Roman" w:eastAsia="Times New Roman" w:hAnsi="Times New Roman" w:cs="Times New Roman"/>
                <w:color w:val="000000"/>
                <w:spacing w:val="0"/>
                <w:w w:val="100"/>
                <w:position w:val="0"/>
              </w:rPr>
              <w:t>Chromatic Research</w:t>
            </w:r>
            <w:r>
              <w:rPr>
                <w:color w:val="000000"/>
                <w:spacing w:val="0"/>
                <w:w w:val="100"/>
                <w:position w:val="0"/>
              </w:rPr>
              <w:t>公司工程师，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月担任美国</w:t>
            </w:r>
            <w:r>
              <w:rPr>
                <w:rFonts w:ascii="Times New Roman" w:eastAsia="Times New Roman" w:hAnsi="Times New Roman" w:cs="Times New Roman"/>
                <w:color w:val="000000"/>
                <w:spacing w:val="0"/>
                <w:w w:val="100"/>
                <w:position w:val="0"/>
              </w:rPr>
              <w:t>Silicon Access</w:t>
            </w:r>
            <w:r>
              <w:rPr>
                <w:color w:val="000000"/>
                <w:spacing w:val="0"/>
                <w:w w:val="100"/>
                <w:position w:val="0"/>
              </w:rPr>
              <w:t>公司研发部门主管、亚洲商务副总经理，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月担任美国</w:t>
            </w:r>
            <w:r>
              <w:rPr>
                <w:rFonts w:ascii="Times New Roman" w:eastAsia="Times New Roman" w:hAnsi="Times New Roman" w:cs="Times New Roman"/>
                <w:color w:val="000000"/>
                <w:spacing w:val="0"/>
                <w:w w:val="100"/>
                <w:position w:val="0"/>
              </w:rPr>
              <w:t>Silicon Federation</w:t>
            </w:r>
            <w:r>
              <w:rPr>
                <w:color w:val="000000"/>
                <w:spacing w:val="0"/>
                <w:w w:val="100"/>
                <w:position w:val="0"/>
              </w:rPr>
              <w:t>投资公司高级顾问，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月至今，担任华登投资咨询（北京）有限公司董事总经理。现任中微 公司董事。</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张亮先生，</w:t>
            </w:r>
            <w:r>
              <w:rPr>
                <w:rFonts w:ascii="Times New Roman" w:eastAsia="Times New Roman" w:hAnsi="Times New Roman" w:cs="Times New Roman"/>
                <w:color w:val="000000"/>
                <w:spacing w:val="0"/>
                <w:w w:val="100"/>
                <w:position w:val="0"/>
              </w:rPr>
              <w:t>1982</w:t>
            </w:r>
            <w:r>
              <w:rPr>
                <w:color w:val="000000"/>
                <w:spacing w:val="0"/>
                <w:w w:val="100"/>
                <w:position w:val="0"/>
              </w:rPr>
              <w:t>年生，中国国籍，无境外永久居留权，山东大学硕士。</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年，历任济南泉城不锈钢有限公司采购部经理、 总经理；</w:t>
            </w:r>
            <w:r>
              <w:rPr>
                <w:rFonts w:ascii="Times New Roman" w:eastAsia="Times New Roman" w:hAnsi="Times New Roman" w:cs="Times New Roman"/>
                <w:color w:val="000000"/>
                <w:spacing w:val="0"/>
                <w:w w:val="100"/>
                <w:position w:val="0"/>
              </w:rPr>
              <w:t>2015</w:t>
            </w:r>
            <w:r>
              <w:rPr>
                <w:color w:val="000000"/>
                <w:spacing w:val="0"/>
                <w:w w:val="100"/>
                <w:position w:val="0"/>
              </w:rPr>
              <w:t>年至今，担任上海兴橙投资管理有限公司总经理。现任中微公司董事。</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陈大同博士，</w:t>
            </w:r>
            <w:r>
              <w:rPr>
                <w:rFonts w:ascii="Times New Roman" w:eastAsia="Times New Roman" w:hAnsi="Times New Roman" w:cs="Times New Roman"/>
                <w:color w:val="000000"/>
                <w:spacing w:val="0"/>
                <w:w w:val="100"/>
                <w:position w:val="0"/>
              </w:rPr>
              <w:t>1955</w:t>
            </w:r>
            <w:r>
              <w:rPr>
                <w:color w:val="000000"/>
                <w:spacing w:val="0"/>
                <w:w w:val="100"/>
                <w:position w:val="0"/>
              </w:rPr>
              <w:t>年生，中国国籍，无境外永久居留权，清华大学学士、硕士、博士。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年，担任美国国家半导体高级工 程师；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年，作为共同创始人创办</w:t>
            </w:r>
            <w:r>
              <w:rPr>
                <w:rFonts w:ascii="Times New Roman" w:eastAsia="Times New Roman" w:hAnsi="Times New Roman" w:cs="Times New Roman"/>
                <w:color w:val="000000"/>
                <w:spacing w:val="0"/>
                <w:w w:val="100"/>
                <w:position w:val="0"/>
              </w:rPr>
              <w:t>OminiVision</w:t>
            </w:r>
            <w:r>
              <w:rPr>
                <w:color w:val="000000"/>
                <w:spacing w:val="0"/>
                <w:w w:val="100"/>
                <w:position w:val="0"/>
              </w:rPr>
              <w:t>，并担任技术副总裁；</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年，作为共同创始人创办展讯通信，</w:t>
            </w:r>
          </w:p>
        </w:tc>
      </w:tr>
    </w:tbl>
    <w:p>
      <w:pPr>
        <w:spacing w:lineRule="exact" w:line="1"/>
        <w:rPr>
          <w:sz w:val="2"/>
          <w:szCs w:val="2"/>
        </w:rPr>
      </w:pPr>
      <w:r>
        <w:br w:type="page"/>
      </w:r>
    </w:p>
    <w:tbl>
      <w:tblPr>
        <w:tblOverlap w:val="never"/>
        <w:jc w:val="center"/>
        <w:tblLayout w:type="fixed"/>
      </w:tblPr>
      <w:tblGrid>
        <w:gridCol w:w="1378"/>
        <w:gridCol w:w="1250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并担任首席技术官；</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年，担任北极光创投投资合伙人；</w:t>
            </w:r>
            <w:r>
              <w:rPr>
                <w:rFonts w:ascii="Times New Roman" w:eastAsia="Times New Roman" w:hAnsi="Times New Roman" w:cs="Times New Roman"/>
                <w:color w:val="000000"/>
                <w:spacing w:val="0"/>
                <w:w w:val="100"/>
                <w:position w:val="0"/>
              </w:rPr>
              <w:t>2009</w:t>
            </w:r>
            <w:r>
              <w:rPr>
                <w:color w:val="000000"/>
                <w:spacing w:val="0"/>
                <w:w w:val="100"/>
                <w:position w:val="0"/>
              </w:rPr>
              <w:t>年至今，担任华山资本创始合伙人、董事总经理；</w:t>
            </w:r>
            <w:r>
              <w:rPr>
                <w:rFonts w:ascii="Times New Roman" w:eastAsia="Times New Roman" w:hAnsi="Times New Roman" w:cs="Times New Roman"/>
                <w:color w:val="000000"/>
                <w:spacing w:val="0"/>
                <w:w w:val="100"/>
                <w:position w:val="0"/>
              </w:rPr>
              <w:t>2014</w:t>
            </w:r>
            <w:r>
              <w:rPr>
                <w:color w:val="000000"/>
                <w:spacing w:val="0"/>
                <w:w w:val="100"/>
                <w:position w:val="0"/>
              </w:rPr>
              <w:t>年 至今，担任清芯华创投委会主席；</w:t>
            </w:r>
            <w:r>
              <w:rPr>
                <w:rFonts w:ascii="Times New Roman" w:eastAsia="Times New Roman" w:hAnsi="Times New Roman" w:cs="Times New Roman"/>
                <w:color w:val="000000"/>
                <w:spacing w:val="0"/>
                <w:w w:val="100"/>
                <w:position w:val="0"/>
              </w:rPr>
              <w:t>2018</w:t>
            </w:r>
            <w:r>
              <w:rPr>
                <w:color w:val="000000"/>
                <w:spacing w:val="0"/>
                <w:w w:val="100"/>
                <w:position w:val="0"/>
              </w:rPr>
              <w:t>年至今，担任元禾华创投委会主席。现任中微公司独立董事。</w:t>
            </w:r>
          </w:p>
        </w:tc>
      </w:tr>
      <w:tr>
        <w:trPr>
          <w:trHeight w:val="136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5174" w:val="left"/>
              </w:tabs>
              <w:bidi w:val="0"/>
              <w:spacing w:before="0" w:after="0" w:line="272" w:lineRule="exact"/>
              <w:ind w:left="0" w:right="0" w:firstLine="0"/>
              <w:jc w:val="both"/>
            </w:pPr>
            <w:r>
              <w:rPr>
                <w:color w:val="000000"/>
                <w:spacing w:val="0"/>
                <w:w w:val="100"/>
                <w:position w:val="0"/>
              </w:rPr>
              <w:t>陈世敏博士，</w:t>
            </w:r>
            <w:r>
              <w:rPr>
                <w:rFonts w:ascii="Times New Roman" w:eastAsia="Times New Roman" w:hAnsi="Times New Roman" w:cs="Times New Roman"/>
                <w:color w:val="000000"/>
                <w:spacing w:val="0"/>
                <w:w w:val="100"/>
                <w:position w:val="0"/>
              </w:rPr>
              <w:t>1958</w:t>
            </w:r>
            <w:r>
              <w:rPr>
                <w:color w:val="000000"/>
                <w:spacing w:val="0"/>
                <w:w w:val="100"/>
                <w:position w:val="0"/>
              </w:rPr>
              <w:t>年生，美国国籍，上海财经大学学士、硕士，美国佐治亚大学博士。</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1986</w:t>
            </w:r>
            <w:r>
              <w:rPr>
                <w:color w:val="000000"/>
                <w:spacing w:val="0"/>
                <w:w w:val="100"/>
                <w:position w:val="0"/>
              </w:rPr>
              <w:t xml:space="preserve">年，担任上海财经大学教师； </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年，担任宾州克莱瑞恩大学（</w:t>
            </w:r>
            <w:r>
              <w:rPr>
                <w:rFonts w:ascii="Times New Roman" w:eastAsia="Times New Roman" w:hAnsi="Times New Roman" w:cs="Times New Roman"/>
                <w:color w:val="000000"/>
                <w:spacing w:val="0"/>
                <w:w w:val="100"/>
                <w:position w:val="0"/>
              </w:rPr>
              <w:t>Clarion</w:t>
              <w:tab/>
              <w:t>University of Pennsylvania</w:t>
            </w:r>
            <w:r>
              <w:rPr>
                <w:color w:val="000000"/>
                <w:spacing w:val="0"/>
                <w:w w:val="100"/>
                <w:position w:val="0"/>
              </w:rPr>
              <w:t>）</w:t>
            </w:r>
            <w:r>
              <w:rPr>
                <w:color w:val="000000"/>
                <w:spacing w:val="0"/>
                <w:w w:val="100"/>
                <w:position w:val="0"/>
              </w:rPr>
              <w:t>会计学副教授、教授；</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年，担任香</w:t>
            </w:r>
          </w:p>
          <w:p>
            <w:pPr>
              <w:pStyle w:val="Style25"/>
              <w:keepNext w:val="0"/>
              <w:keepLines w:val="0"/>
              <w:widowControl w:val="0"/>
              <w:shd w:val="clear" w:color="auto" w:fill="auto"/>
              <w:bidi w:val="0"/>
              <w:spacing w:before="0" w:after="0" w:line="272" w:lineRule="exact"/>
              <w:ind w:left="0" w:right="0" w:firstLine="0"/>
              <w:jc w:val="both"/>
            </w:pPr>
            <w:r>
              <w:rPr>
                <w:color w:val="000000"/>
                <w:spacing w:val="0"/>
                <w:w w:val="100"/>
                <w:position w:val="0"/>
              </w:rPr>
              <w:t>港岭南大学会计学副教授；</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年，担任路易斯安那大学拉法叶分校</w:t>
            </w:r>
            <w:r>
              <w:rPr>
                <w:color w:val="000000"/>
                <w:spacing w:val="0"/>
                <w:w w:val="100"/>
                <w:position w:val="0"/>
              </w:rPr>
              <w:t>（</w:t>
            </w:r>
            <w:r>
              <w:rPr>
                <w:rFonts w:ascii="Times New Roman" w:eastAsia="Times New Roman" w:hAnsi="Times New Roman" w:cs="Times New Roman"/>
                <w:color w:val="000000"/>
                <w:spacing w:val="0"/>
                <w:w w:val="100"/>
                <w:position w:val="0"/>
              </w:rPr>
              <w:t>The University of Louisiana at Lafayette</w:t>
            </w:r>
            <w:r>
              <w:rPr>
                <w:color w:val="000000"/>
                <w:spacing w:val="0"/>
                <w:w w:val="100"/>
                <w:position w:val="0"/>
              </w:rPr>
              <w:t>）</w:t>
            </w:r>
            <w:r>
              <w:rPr>
                <w:color w:val="000000"/>
                <w:spacing w:val="0"/>
                <w:w w:val="100"/>
                <w:position w:val="0"/>
              </w:rPr>
              <w:t>会计学副教 授</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年，担任香港岭南大学会计学副教授；</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 xml:space="preserve">年，历任香港理工大学会计学副教授，会计金融学院副主任； </w:t>
            </w:r>
            <w:r>
              <w:rPr>
                <w:rFonts w:ascii="Times New Roman" w:eastAsia="Times New Roman" w:hAnsi="Times New Roman" w:cs="Times New Roman"/>
                <w:color w:val="000000"/>
                <w:spacing w:val="0"/>
                <w:w w:val="100"/>
                <w:position w:val="0"/>
              </w:rPr>
              <w:t>2008</w:t>
            </w:r>
            <w:r>
              <w:rPr>
                <w:color w:val="000000"/>
                <w:spacing w:val="0"/>
                <w:w w:val="100"/>
                <w:position w:val="0"/>
              </w:rPr>
              <w:t>年至今，历任中欧国际工商学院会计学教授，副教务长及工商管理硕士主任，案例中心主任。现任中微公司独立董事。</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孔伟先生，</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年生，中国国籍，无境外永久居留权，甘肃政法学院学士。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年，担任甘肃省经济律师事务所律师；</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年，担任史密夫律师行律师助理；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年，担任外立综合法律事务所律师助理；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年，担任上海市瑛 明律师事务所律师；</w:t>
            </w:r>
            <w:r>
              <w:rPr>
                <w:rFonts w:ascii="Times New Roman" w:eastAsia="Times New Roman" w:hAnsi="Times New Roman" w:cs="Times New Roman"/>
                <w:color w:val="000000"/>
                <w:spacing w:val="0"/>
                <w:w w:val="100"/>
                <w:position w:val="0"/>
              </w:rPr>
              <w:t>2001</w:t>
            </w:r>
            <w:r>
              <w:rPr>
                <w:color w:val="000000"/>
                <w:spacing w:val="0"/>
                <w:w w:val="100"/>
                <w:position w:val="0"/>
              </w:rPr>
              <w:t>年至今，担任中伦律师事务所合伙人。现任中微公司独立董事。</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5" w:lineRule="exact"/>
              <w:ind w:left="0" w:right="0" w:firstLine="0"/>
              <w:jc w:val="both"/>
            </w:pPr>
            <w:r>
              <w:rPr>
                <w:color w:val="000000"/>
                <w:spacing w:val="0"/>
                <w:w w:val="100"/>
                <w:position w:val="0"/>
              </w:rPr>
              <w:t>张卫博士，</w:t>
            </w:r>
            <w:r>
              <w:rPr>
                <w:rFonts w:ascii="Times New Roman" w:eastAsia="Times New Roman" w:hAnsi="Times New Roman" w:cs="Times New Roman"/>
                <w:color w:val="000000"/>
                <w:spacing w:val="0"/>
                <w:w w:val="100"/>
                <w:position w:val="0"/>
              </w:rPr>
              <w:t>1968</w:t>
            </w:r>
            <w:r>
              <w:rPr>
                <w:color w:val="000000"/>
                <w:spacing w:val="0"/>
                <w:w w:val="100"/>
                <w:position w:val="0"/>
              </w:rPr>
              <w:t>年生，中国国籍，无境外永久居留权，西安交通大学学士、硕士、博士。</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年，历任复旦大学电子工程系 副教授、教授；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年，赴德国开姆尼茨工业大学</w:t>
            </w:r>
            <w:r>
              <w:rPr>
                <w:color w:val="000000"/>
                <w:spacing w:val="0"/>
                <w:w w:val="100"/>
                <w:position w:val="0"/>
              </w:rPr>
              <w:t>（</w:t>
            </w:r>
            <w:r>
              <w:rPr>
                <w:rFonts w:ascii="Times New Roman" w:eastAsia="Times New Roman" w:hAnsi="Times New Roman" w:cs="Times New Roman"/>
                <w:color w:val="000000"/>
                <w:spacing w:val="0"/>
                <w:w w:val="100"/>
                <w:position w:val="0"/>
              </w:rPr>
              <w:t>TU-Chemnitz</w:t>
            </w:r>
            <w:r>
              <w:rPr>
                <w:color w:val="000000"/>
                <w:spacing w:val="0"/>
                <w:w w:val="100"/>
                <w:position w:val="0"/>
              </w:rPr>
              <w:t>）</w:t>
            </w:r>
            <w:r>
              <w:rPr>
                <w:color w:val="000000"/>
                <w:spacing w:val="0"/>
                <w:w w:val="100"/>
                <w:position w:val="0"/>
              </w:rPr>
              <w:t>微系统系，为德国洪堡学者；</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年，担任复 旦大学微电子学系教授；</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年，担任复旦大学微电子学系系主任、教授；</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年，担任复旦大学微电子学院副 院长；</w:t>
            </w:r>
            <w:r>
              <w:rPr>
                <w:rFonts w:ascii="Times New Roman" w:eastAsia="Times New Roman" w:hAnsi="Times New Roman" w:cs="Times New Roman"/>
                <w:color w:val="000000"/>
                <w:spacing w:val="0"/>
                <w:w w:val="100"/>
                <w:position w:val="0"/>
              </w:rPr>
              <w:t>2017</w:t>
            </w:r>
            <w:r>
              <w:rPr>
                <w:color w:val="000000"/>
                <w:spacing w:val="0"/>
                <w:w w:val="100"/>
                <w:position w:val="0"/>
              </w:rPr>
              <w:t>年至今，担任复旦大学微电子学院执行院长。现任中微公司独立董事。</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余峰博士，</w:t>
            </w:r>
            <w:r>
              <w:rPr>
                <w:rFonts w:ascii="Times New Roman" w:eastAsia="Times New Roman" w:hAnsi="Times New Roman" w:cs="Times New Roman"/>
                <w:color w:val="000000"/>
                <w:spacing w:val="0"/>
                <w:w w:val="100"/>
                <w:position w:val="0"/>
              </w:rPr>
              <w:t>1987</w:t>
            </w:r>
            <w:r>
              <w:rPr>
                <w:color w:val="000000"/>
                <w:spacing w:val="0"/>
                <w:w w:val="100"/>
                <w:position w:val="0"/>
              </w:rPr>
              <w:t>年生，中国香港籍，北京大学学士、硕士、博士。</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年，担任国开金融有限责任公司风险管理部高级经 理，期间借调国家开发银行评审管理局评五处；</w:t>
            </w:r>
            <w:r>
              <w:rPr>
                <w:rFonts w:ascii="Times New Roman" w:eastAsia="Times New Roman" w:hAnsi="Times New Roman" w:cs="Times New Roman"/>
                <w:color w:val="000000"/>
                <w:spacing w:val="0"/>
                <w:w w:val="100"/>
                <w:position w:val="0"/>
              </w:rPr>
              <w:t>2014</w:t>
            </w:r>
            <w:r>
              <w:rPr>
                <w:color w:val="000000"/>
                <w:spacing w:val="0"/>
                <w:w w:val="100"/>
                <w:position w:val="0"/>
              </w:rPr>
              <w:t>年至今，历任华芯投资管理有限责任公司风险管理部高级经理、部门副总经理、 部门总经理。现任中微公司监事会主席。</w:t>
            </w:r>
          </w:p>
        </w:tc>
      </w:tr>
      <w:tr>
        <w:trPr>
          <w:trHeight w:val="109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俞信华先生，</w:t>
            </w:r>
            <w:r>
              <w:rPr>
                <w:rFonts w:ascii="Times New Roman" w:eastAsia="Times New Roman" w:hAnsi="Times New Roman" w:cs="Times New Roman"/>
                <w:color w:val="000000"/>
                <w:spacing w:val="0"/>
                <w:w w:val="100"/>
                <w:position w:val="0"/>
              </w:rPr>
              <w:t>1974</w:t>
            </w:r>
            <w:r>
              <w:rPr>
                <w:color w:val="000000"/>
                <w:spacing w:val="0"/>
                <w:w w:val="100"/>
                <w:position w:val="0"/>
              </w:rPr>
              <w:t>年生，中国国籍，无境外永久居留权，浙江大学学士，长江商学院工商管理硕士。</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年，担任上海西门 子移动通讯有限公司市场经理；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年，担任西门子中国有限公司市场部经理；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年，担任国际数据（中国） 投资有限公司项目经理；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w:t>
            </w:r>
            <w:r>
              <w:rPr>
                <w:rFonts w:ascii="Times New Roman" w:eastAsia="Times New Roman" w:hAnsi="Times New Roman" w:cs="Times New Roman"/>
                <w:color w:val="000000"/>
                <w:spacing w:val="0"/>
                <w:w w:val="100"/>
                <w:position w:val="0"/>
              </w:rPr>
              <w:t>IDG</w:t>
            </w:r>
            <w:r>
              <w:rPr>
                <w:color w:val="000000"/>
                <w:spacing w:val="0"/>
                <w:w w:val="100"/>
                <w:position w:val="0"/>
              </w:rPr>
              <w:t>资本投资顾问（北京）有限公司副总裁；</w:t>
            </w:r>
            <w:r>
              <w:rPr>
                <w:rFonts w:ascii="Times New Roman" w:eastAsia="Times New Roman" w:hAnsi="Times New Roman" w:cs="Times New Roman"/>
                <w:color w:val="000000"/>
                <w:spacing w:val="0"/>
                <w:w w:val="100"/>
                <w:position w:val="0"/>
              </w:rPr>
              <w:t>2012</w:t>
            </w:r>
            <w:r>
              <w:rPr>
                <w:color w:val="000000"/>
                <w:spacing w:val="0"/>
                <w:w w:val="100"/>
                <w:position w:val="0"/>
              </w:rPr>
              <w:t>年，担任</w:t>
            </w:r>
            <w:r>
              <w:rPr>
                <w:rFonts w:ascii="Times New Roman" w:eastAsia="Times New Roman" w:hAnsi="Times New Roman" w:cs="Times New Roman"/>
                <w:color w:val="000000"/>
                <w:spacing w:val="0"/>
                <w:w w:val="100"/>
                <w:position w:val="0"/>
              </w:rPr>
              <w:t>IDG</w:t>
            </w:r>
            <w:r>
              <w:rPr>
                <w:color w:val="000000"/>
                <w:spacing w:val="0"/>
                <w:w w:val="100"/>
                <w:position w:val="0"/>
              </w:rPr>
              <w:t>资本投资顾问（北 京）有限公司合伙人；</w:t>
            </w:r>
            <w:r>
              <w:rPr>
                <w:rFonts w:ascii="Times New Roman" w:eastAsia="Times New Roman" w:hAnsi="Times New Roman" w:cs="Times New Roman"/>
                <w:color w:val="000000"/>
                <w:spacing w:val="0"/>
                <w:w w:val="100"/>
                <w:position w:val="0"/>
              </w:rPr>
              <w:t>2012</w:t>
            </w:r>
            <w:r>
              <w:rPr>
                <w:color w:val="000000"/>
                <w:spacing w:val="0"/>
                <w:w w:val="100"/>
                <w:position w:val="0"/>
              </w:rPr>
              <w:t>年至今，担任爱奇投资顾问（上海）有限公司副总裁。现任中微公司监事。</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王志军</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王志军先生，</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年生，中国国籍，无境外永久居留权，东南大学学士，同济大学工商管理硕士。</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年，担任上海华虹 </w:t>
            </w:r>
            <w:r>
              <w:rPr>
                <w:rFonts w:ascii="Times New Roman" w:eastAsia="Times New Roman" w:hAnsi="Times New Roman" w:cs="Times New Roman"/>
                <w:color w:val="000000"/>
                <w:spacing w:val="0"/>
                <w:w w:val="100"/>
                <w:position w:val="0"/>
              </w:rPr>
              <w:t>NEC</w:t>
            </w:r>
            <w:r>
              <w:rPr>
                <w:color w:val="000000"/>
                <w:spacing w:val="0"/>
                <w:w w:val="100"/>
                <w:position w:val="0"/>
              </w:rPr>
              <w:t>电子有限公司设备工程师；</w:t>
            </w:r>
            <w:r>
              <w:rPr>
                <w:rFonts w:ascii="Times New Roman" w:eastAsia="Times New Roman" w:hAnsi="Times New Roman" w:cs="Times New Roman"/>
                <w:color w:val="000000"/>
                <w:spacing w:val="0"/>
                <w:w w:val="100"/>
                <w:position w:val="0"/>
              </w:rPr>
              <w:t>2006</w:t>
            </w:r>
            <w:r>
              <w:rPr>
                <w:color w:val="000000"/>
                <w:spacing w:val="0"/>
                <w:w w:val="100"/>
                <w:position w:val="0"/>
              </w:rPr>
              <w:t>年至今，就职于中微公司，现任中微公司制造部总监、职工代表监事。</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朱新萍先生，</w:t>
            </w:r>
            <w:r>
              <w:rPr>
                <w:rFonts w:ascii="Times New Roman" w:eastAsia="Times New Roman" w:hAnsi="Times New Roman" w:cs="Times New Roman"/>
                <w:color w:val="000000"/>
                <w:spacing w:val="0"/>
                <w:w w:val="100"/>
                <w:position w:val="0"/>
              </w:rPr>
              <w:t>1965</w:t>
            </w:r>
            <w:r>
              <w:rPr>
                <w:color w:val="000000"/>
                <w:spacing w:val="0"/>
                <w:w w:val="100"/>
                <w:position w:val="0"/>
              </w:rPr>
              <w:t>年生，中国台湾籍，台湾国立成功大学学士。</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 xml:space="preserve">年，担任华邦电子股份有限公司刻蚀工艺高级工程师； </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年，担任台湾世大集成电路公司刻蚀工艺部经理；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年，担任台湾应用材料公司高级产品经理；</w:t>
            </w:r>
            <w:r>
              <w:rPr>
                <w:rFonts w:ascii="Times New Roman" w:eastAsia="Times New Roman" w:hAnsi="Times New Roman" w:cs="Times New Roman"/>
                <w:color w:val="000000"/>
                <w:spacing w:val="0"/>
                <w:w w:val="100"/>
                <w:position w:val="0"/>
              </w:rPr>
              <w:t>2005</w:t>
            </w:r>
            <w:r>
              <w:rPr>
                <w:color w:val="000000"/>
                <w:spacing w:val="0"/>
                <w:w w:val="100"/>
                <w:position w:val="0"/>
              </w:rPr>
              <w:t>年至 今，历任中微公司大中华地区总经理、公司副总裁兼刻蚀产品及业务群总经理、副总裁、集团副总裁，现任中微公司副总经理。</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倪图强</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倪图强博士，</w:t>
            </w:r>
            <w:r>
              <w:rPr>
                <w:rFonts w:ascii="Times New Roman" w:eastAsia="Times New Roman" w:hAnsi="Times New Roman" w:cs="Times New Roman"/>
                <w:color w:val="000000"/>
                <w:spacing w:val="0"/>
                <w:w w:val="100"/>
                <w:position w:val="0"/>
              </w:rPr>
              <w:t>1962</w:t>
            </w:r>
            <w:r>
              <w:rPr>
                <w:color w:val="000000"/>
                <w:spacing w:val="0"/>
                <w:w w:val="100"/>
                <w:position w:val="0"/>
              </w:rPr>
              <w:t>年生，美国国籍，中国科学技术大学学士、硕士，美国德州大学博士、博士后。</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年，担任泛林半导体 技术总监；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月至今，历任中微公司执行总监、副总裁，现任中微公司副总经理。</w:t>
            </w:r>
          </w:p>
        </w:tc>
      </w:tr>
      <w:tr>
        <w:trPr>
          <w:trHeight w:val="83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陈伟文</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陈伟文先生，</w:t>
            </w:r>
            <w:r>
              <w:rPr>
                <w:rFonts w:ascii="Times New Roman" w:eastAsia="Times New Roman" w:hAnsi="Times New Roman" w:cs="Times New Roman"/>
                <w:color w:val="000000"/>
                <w:spacing w:val="0"/>
                <w:w w:val="100"/>
                <w:position w:val="0"/>
              </w:rPr>
              <w:t>1967</w:t>
            </w:r>
            <w:r>
              <w:rPr>
                <w:color w:val="000000"/>
                <w:spacing w:val="0"/>
                <w:w w:val="100"/>
                <w:position w:val="0"/>
              </w:rPr>
              <w:t>年生，中国香港籍，厦门大学学士、美国阿拉巴马大学硕士。</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年，担任普华永道会计师事务所审计 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年，担任可口可乐公司总部财务分析师；</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年，担任霍尼韦尔国际总部资深内审员及中国区飞机引擎 分部财务总监；</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年，担任耶路全球中国国际运输财务总监；</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年，担任海王星辰连锁药店集团财务总监兼</w:t>
            </w:r>
          </w:p>
        </w:tc>
      </w:tr>
    </w:tbl>
    <w:p>
      <w:pPr>
        <w:spacing w:lineRule="exact" w:line="1"/>
        <w:rPr>
          <w:sz w:val="2"/>
          <w:szCs w:val="2"/>
        </w:rPr>
      </w:pPr>
      <w:r>
        <w:br w:type="page"/>
      </w:r>
    </w:p>
    <w:tbl>
      <w:tblPr>
        <w:tblOverlap w:val="never"/>
        <w:jc w:val="center"/>
        <w:tblLayout w:type="fixed"/>
      </w:tblPr>
      <w:tblGrid>
        <w:gridCol w:w="1378"/>
        <w:gridCol w:w="1250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副总经理；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年，担任盛大科技财务总监；</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年，担任阿特斯太阳能集团副总经理兼财务总监；</w:t>
            </w:r>
            <w:r>
              <w:rPr>
                <w:rFonts w:ascii="Times New Roman" w:eastAsia="Times New Roman" w:hAnsi="Times New Roman" w:cs="Times New Roman"/>
                <w:color w:val="000000"/>
                <w:spacing w:val="0"/>
                <w:w w:val="100"/>
                <w:position w:val="0"/>
              </w:rPr>
              <w:t>2012</w:t>
            </w:r>
            <w:r>
              <w:rPr>
                <w:color w:val="000000"/>
                <w:spacing w:val="0"/>
                <w:w w:val="100"/>
                <w:position w:val="0"/>
              </w:rPr>
              <w:t>年至 今，担任中微公司副总经理兼财务负责人。</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1" w:lineRule="exact"/>
              <w:ind w:left="0" w:right="0" w:firstLine="0"/>
              <w:jc w:val="both"/>
            </w:pPr>
            <w:r>
              <w:rPr>
                <w:color w:val="000000"/>
                <w:spacing w:val="0"/>
                <w:w w:val="100"/>
                <w:position w:val="0"/>
              </w:rPr>
              <w:t>刘晓宇先生，</w:t>
            </w:r>
            <w:r>
              <w:rPr>
                <w:rFonts w:ascii="Times New Roman" w:eastAsia="Times New Roman" w:hAnsi="Times New Roman" w:cs="Times New Roman"/>
                <w:color w:val="000000"/>
                <w:spacing w:val="0"/>
                <w:w w:val="100"/>
                <w:position w:val="0"/>
              </w:rPr>
              <w:t>1980</w:t>
            </w:r>
            <w:r>
              <w:rPr>
                <w:color w:val="000000"/>
                <w:spacing w:val="0"/>
                <w:w w:val="100"/>
                <w:position w:val="0"/>
              </w:rPr>
              <w:t>年生，中国国籍，无境外永久居留权，浙江大学学士、复旦大学</w:t>
            </w:r>
            <w:r>
              <w:rPr>
                <w:rFonts w:ascii="Times New Roman" w:eastAsia="Times New Roman" w:hAnsi="Times New Roman" w:cs="Times New Roman"/>
                <w:color w:val="000000"/>
                <w:spacing w:val="0"/>
                <w:w w:val="100"/>
                <w:position w:val="0"/>
              </w:rPr>
              <w:t>-BI</w:t>
            </w:r>
            <w:r>
              <w:rPr>
                <w:color w:val="000000"/>
                <w:spacing w:val="0"/>
                <w:w w:val="100"/>
                <w:position w:val="0"/>
              </w:rPr>
              <w:t>挪威商学院工商管理硕士。</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 担任中芯国际集成电路制造（上海）有限公司战略市场部分析师；</w:t>
            </w:r>
            <w:r>
              <w:rPr>
                <w:rFonts w:ascii="Times New Roman" w:eastAsia="Times New Roman" w:hAnsi="Times New Roman" w:cs="Times New Roman"/>
                <w:color w:val="000000"/>
                <w:spacing w:val="0"/>
                <w:w w:val="100"/>
                <w:position w:val="0"/>
              </w:rPr>
              <w:t>2005</w:t>
            </w:r>
            <w:r>
              <w:rPr>
                <w:color w:val="000000"/>
                <w:spacing w:val="0"/>
                <w:w w:val="100"/>
                <w:position w:val="0"/>
              </w:rPr>
              <w:t>年至今，历任中微公司市场部经理、市场部资深经理、市场部 总监、公共关系部资深总监、董事会办公室执行总监。现任中微公司董事会秘书、副总裁。</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麦仕义</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麦仕义博士，</w:t>
            </w:r>
            <w:r>
              <w:rPr>
                <w:rFonts w:ascii="Times New Roman" w:eastAsia="Times New Roman" w:hAnsi="Times New Roman" w:cs="Times New Roman"/>
                <w:color w:val="000000"/>
                <w:spacing w:val="0"/>
                <w:w w:val="100"/>
                <w:position w:val="0"/>
              </w:rPr>
              <w:t>1947</w:t>
            </w:r>
            <w:r>
              <w:rPr>
                <w:color w:val="000000"/>
                <w:spacing w:val="0"/>
                <w:w w:val="100"/>
                <w:position w:val="0"/>
              </w:rPr>
              <w:t>年生，美国国籍，台湾大学学士、美国马里兰大学博士。</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1989</w:t>
            </w:r>
            <w:r>
              <w:rPr>
                <w:color w:val="000000"/>
                <w:spacing w:val="0"/>
                <w:w w:val="100"/>
                <w:position w:val="0"/>
              </w:rPr>
              <w:t>年，担任英特尔资深工程师；</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年，担任应用材料资深总监；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月，担任英特尔项目经理；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月，任中微公司副总裁。现 任中微公司执行顾问。</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杨伟先生，</w:t>
            </w:r>
            <w:r>
              <w:rPr>
                <w:rFonts w:ascii="Times New Roman" w:eastAsia="Times New Roman" w:hAnsi="Times New Roman" w:cs="Times New Roman"/>
                <w:color w:val="000000"/>
                <w:spacing w:val="0"/>
                <w:w w:val="100"/>
                <w:position w:val="0"/>
              </w:rPr>
              <w:t>1966</w:t>
            </w:r>
            <w:r>
              <w:rPr>
                <w:color w:val="000000"/>
                <w:spacing w:val="0"/>
                <w:w w:val="100"/>
                <w:position w:val="0"/>
              </w:rPr>
              <w:t>年生，美国国籍，西安交通大学学士、硕士。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年，担任智群科技股份有限公司项目经理；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年，担任应用材料软件部资深总监；</w:t>
            </w:r>
            <w:r>
              <w:rPr>
                <w:rFonts w:ascii="Times New Roman" w:eastAsia="Times New Roman" w:hAnsi="Times New Roman" w:cs="Times New Roman"/>
                <w:color w:val="000000"/>
                <w:spacing w:val="0"/>
                <w:w w:val="100"/>
                <w:position w:val="0"/>
              </w:rPr>
              <w:t>2004</w:t>
            </w:r>
            <w:r>
              <w:rPr>
                <w:color w:val="000000"/>
                <w:spacing w:val="0"/>
                <w:w w:val="100"/>
                <w:position w:val="0"/>
              </w:rPr>
              <w:t>年至今，担任中微公司副总裁。</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李天笑</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李天笑先生，</w:t>
            </w:r>
            <w:r>
              <w:rPr>
                <w:rFonts w:ascii="Times New Roman" w:eastAsia="Times New Roman" w:hAnsi="Times New Roman" w:cs="Times New Roman"/>
                <w:color w:val="000000"/>
                <w:spacing w:val="0"/>
                <w:w w:val="100"/>
                <w:position w:val="0"/>
              </w:rPr>
              <w:t>1958</w:t>
            </w:r>
            <w:r>
              <w:rPr>
                <w:color w:val="000000"/>
                <w:spacing w:val="0"/>
                <w:w w:val="100"/>
                <w:position w:val="0"/>
              </w:rPr>
              <w:t>年生，美国国籍，复旦大学学士、美国韦恩大学硕士、美国纽约大学硕士。</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年，担任美国索尼资深电 气工程师；</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年，担任应用材料亚太项目经理；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月至今，担任中微公司副总裁。</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 xml:space="preserve">Lip-Bu Tan </w:t>
      </w:r>
      <w:r>
        <w:rPr>
          <w:color w:val="000000"/>
          <w:spacing w:val="0"/>
          <w:w w:val="100"/>
          <w:position w:val="0"/>
        </w:rPr>
        <w:t>（陈立武）先生因个人原因，申请辞去公司董事职务。辞职后，</w:t>
      </w:r>
      <w:r>
        <w:rPr>
          <w:rFonts w:ascii="Times New Roman" w:eastAsia="Times New Roman" w:hAnsi="Times New Roman" w:cs="Times New Roman"/>
          <w:color w:val="000000"/>
          <w:spacing w:val="0"/>
          <w:w w:val="100"/>
          <w:position w:val="0"/>
        </w:rPr>
        <w:t xml:space="preserve">Lip-Bu Tan </w:t>
      </w:r>
      <w:r>
        <w:rPr>
          <w:color w:val="000000"/>
          <w:spacing w:val="0"/>
          <w:w w:val="100"/>
          <w:position w:val="0"/>
        </w:rPr>
        <w:t>（陈立武）先生不再担任公司的任何职 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年年度股东大会决议通过聘任</w:t>
      </w:r>
      <w:r>
        <w:rPr>
          <w:rFonts w:ascii="Times New Roman" w:eastAsia="Times New Roman" w:hAnsi="Times New Roman" w:cs="Times New Roman"/>
          <w:color w:val="000000"/>
          <w:spacing w:val="0"/>
          <w:w w:val="100"/>
          <w:position w:val="0"/>
        </w:rPr>
        <w:t xml:space="preserve">Hing Wong </w:t>
      </w:r>
      <w:r>
        <w:rPr>
          <w:color w:val="000000"/>
          <w:spacing w:val="0"/>
          <w:w w:val="100"/>
          <w:position w:val="0"/>
        </w:rPr>
        <w:t>（黄庆）先生为公司董事，任期自股东大会审议通过之日起至公司第一届 董事会任期届满之日止。</w:t>
      </w:r>
    </w:p>
    <w:p>
      <w:pPr>
        <w:pStyle w:val="Style2"/>
        <w:keepNext w:val="0"/>
        <w:keepLines w:val="0"/>
        <w:widowControl w:val="0"/>
        <w:shd w:val="clear" w:color="auto" w:fill="auto"/>
        <w:bidi w:val="0"/>
        <w:spacing w:before="0" w:after="0" w:line="41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STEVE SZE-YEE MAK </w:t>
      </w:r>
      <w:r>
        <w:rPr>
          <w:color w:val="000000"/>
          <w:spacing w:val="0"/>
          <w:w w:val="100"/>
          <w:position w:val="0"/>
        </w:rPr>
        <w:t>（麦仕义）先生因个人原因，离任中微公司副总裁，现任中微公司执行顾问。</w:t>
      </w:r>
    </w:p>
    <w:p>
      <w:pPr>
        <w:pStyle w:val="Style2"/>
        <w:keepNext w:val="0"/>
        <w:keepLines w:val="0"/>
        <w:widowControl w:val="0"/>
        <w:shd w:val="clear" w:color="auto" w:fill="auto"/>
        <w:bidi w:val="0"/>
        <w:spacing w:before="0" w:after="160" w:line="415" w:lineRule="exact"/>
        <w:ind w:left="0" w:right="0" w:firstLine="440"/>
        <w:jc w:val="left"/>
      </w:pPr>
      <w:r>
        <w:rPr>
          <w:color w:val="000000"/>
          <w:spacing w:val="0"/>
          <w:w w:val="100"/>
          <w:position w:val="0"/>
        </w:rPr>
        <w:t>截至本报告期末，公司董事、监事、高级管理人员、核心技术人员通过持有南昌智微、中微亚洲、</w:t>
      </w:r>
      <w:r>
        <w:rPr>
          <w:rFonts w:ascii="Times New Roman" w:eastAsia="Times New Roman" w:hAnsi="Times New Roman" w:cs="Times New Roman"/>
          <w:color w:val="000000"/>
          <w:spacing w:val="0"/>
          <w:w w:val="100"/>
          <w:position w:val="0"/>
        </w:rPr>
        <w:t>Grenade</w:t>
      </w:r>
      <w:r>
        <w:rPr>
          <w:color w:val="000000"/>
          <w:spacing w:val="0"/>
          <w:w w:val="100"/>
          <w:position w:val="0"/>
        </w:rPr>
        <w:t>、</w:t>
      </w:r>
      <w:r>
        <w:rPr>
          <w:rFonts w:ascii="Times New Roman" w:eastAsia="Times New Roman" w:hAnsi="Times New Roman" w:cs="Times New Roman"/>
          <w:color w:val="000000"/>
          <w:spacing w:val="0"/>
          <w:w w:val="100"/>
          <w:position w:val="0"/>
        </w:rPr>
        <w:t>Bootes</w:t>
      </w:r>
      <w:r>
        <w:rPr>
          <w:color w:val="000000"/>
          <w:spacing w:val="0"/>
          <w:w w:val="100"/>
          <w:position w:val="0"/>
        </w:rPr>
        <w:t>、</w:t>
      </w:r>
      <w:r>
        <w:rPr>
          <w:rFonts w:ascii="Times New Roman" w:eastAsia="Times New Roman" w:hAnsi="Times New Roman" w:cs="Times New Roman"/>
          <w:color w:val="000000"/>
          <w:spacing w:val="0"/>
          <w:w w:val="100"/>
          <w:position w:val="0"/>
        </w:rPr>
        <w:t>Futago</w:t>
      </w:r>
      <w:r>
        <w:rPr>
          <w:color w:val="000000"/>
          <w:spacing w:val="0"/>
          <w:w w:val="100"/>
          <w:position w:val="0"/>
        </w:rPr>
        <w:t>、</w:t>
      </w:r>
      <w:r>
        <w:rPr>
          <w:color w:val="000000"/>
          <w:spacing w:val="0"/>
          <w:w w:val="100"/>
          <w:position w:val="0"/>
        </w:rPr>
        <w:t>励微投资及悦橙投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资、创橙投资、亮橙投资、橙色海岸出资额而间接持有公司股份，具体情况如下:</w:t>
      </w:r>
    </w:p>
    <w:tbl>
      <w:tblPr>
        <w:tblOverlap w:val="never"/>
        <w:jc w:val="center"/>
        <w:tblLayout w:type="fixed"/>
      </w:tblPr>
      <w:tblGrid>
        <w:gridCol w:w="1536"/>
        <w:gridCol w:w="2093"/>
        <w:gridCol w:w="2755"/>
        <w:gridCol w:w="6970"/>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身份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间接持股平台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持股情况</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尹志尧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董事长、总经理、 核心技术人员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Grenade</w:t>
            </w:r>
            <w:r>
              <w:rPr>
                <w:color w:val="000000"/>
                <w:spacing w:val="0"/>
                <w:w w:val="100"/>
                <w:position w:val="0"/>
              </w:rPr>
              <w:t>、</w:t>
            </w:r>
            <w:r>
              <w:rPr>
                <w:rFonts w:ascii="Times New Roman" w:eastAsia="Times New Roman" w:hAnsi="Times New Roman" w:cs="Times New Roman"/>
                <w:color w:val="000000"/>
                <w:spacing w:val="0"/>
                <w:w w:val="100"/>
                <w:position w:val="0"/>
              </w:rPr>
              <w:t>Futago</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 xml:space="preserve">Grenade </w:t>
            </w:r>
            <w:r>
              <w:rPr>
                <w:rFonts w:ascii="Times New Roman" w:eastAsia="Times New Roman" w:hAnsi="Times New Roman" w:cs="Times New Roman"/>
                <w:color w:val="000000"/>
                <w:spacing w:val="0"/>
                <w:w w:val="100"/>
                <w:position w:val="0"/>
              </w:rPr>
              <w:t>174,277</w:t>
            </w:r>
            <w:r>
              <w:rPr>
                <w:color w:val="000000"/>
                <w:spacing w:val="0"/>
                <w:w w:val="100"/>
                <w:position w:val="0"/>
              </w:rPr>
              <w:t>股股份，持有</w:t>
            </w:r>
            <w:r>
              <w:rPr>
                <w:rFonts w:ascii="Times New Roman" w:eastAsia="Times New Roman" w:hAnsi="Times New Roman" w:cs="Times New Roman"/>
                <w:color w:val="000000"/>
                <w:spacing w:val="0"/>
                <w:w w:val="100"/>
                <w:position w:val="0"/>
              </w:rPr>
              <w:t xml:space="preserve">Futago </w:t>
            </w:r>
            <w:r>
              <w:rPr>
                <w:rFonts w:ascii="Times New Roman" w:eastAsia="Times New Roman" w:hAnsi="Times New Roman" w:cs="Times New Roman"/>
                <w:color w:val="000000"/>
                <w:spacing w:val="0"/>
                <w:w w:val="100"/>
                <w:position w:val="0"/>
              </w:rPr>
              <w:t>6,875</w:t>
            </w:r>
            <w:r>
              <w:rPr>
                <w:color w:val="000000"/>
                <w:spacing w:val="0"/>
                <w:w w:val="100"/>
                <w:position w:val="0"/>
              </w:rPr>
              <w:t>股股份，对中微公司间 接持股比例合计</w:t>
            </w:r>
            <w:r>
              <w:rPr>
                <w:rFonts w:ascii="Times New Roman" w:eastAsia="Times New Roman" w:hAnsi="Times New Roman" w:cs="Times New Roman"/>
                <w:color w:val="000000"/>
                <w:spacing w:val="0"/>
                <w:w w:val="100"/>
                <w:position w:val="0"/>
              </w:rPr>
              <w:t>0.0411%</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悦橙投资、创橙投资、亮橙 投资、橙色海岸</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兴橙投资为悦橙投资、创橙投资、亮橙投资、橙色海岸的普通合伙人，张 亮对兴橙投资出资比例为</w:t>
            </w:r>
            <w:r>
              <w:rPr>
                <w:rFonts w:ascii="Times New Roman" w:eastAsia="Times New Roman" w:hAnsi="Times New Roman" w:cs="Times New Roman"/>
                <w:color w:val="000000"/>
                <w:spacing w:val="0"/>
                <w:w w:val="100"/>
                <w:position w:val="0"/>
              </w:rPr>
              <w:t>36.98%</w:t>
            </w:r>
          </w:p>
        </w:tc>
      </w:tr>
    </w:tbl>
    <w:p>
      <w:pPr>
        <w:spacing w:lineRule="exact" w:line="1"/>
        <w:rPr>
          <w:sz w:val="2"/>
          <w:szCs w:val="2"/>
        </w:rPr>
      </w:pPr>
      <w:r>
        <w:br w:type="page"/>
      </w:r>
    </w:p>
    <w:tbl>
      <w:tblPr>
        <w:tblOverlap w:val="never"/>
        <w:jc w:val="center"/>
        <w:tblLayout w:type="fixed"/>
      </w:tblPr>
      <w:tblGrid>
        <w:gridCol w:w="1536"/>
        <w:gridCol w:w="2093"/>
        <w:gridCol w:w="2755"/>
        <w:gridCol w:w="6970"/>
      </w:tblGrid>
      <w:tr>
        <w:trPr>
          <w:trHeight w:val="5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南昌智微、励微投资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持有南昌智微</w:t>
            </w:r>
            <w:r>
              <w:rPr>
                <w:rFonts w:ascii="Times New Roman" w:eastAsia="Times New Roman" w:hAnsi="Times New Roman" w:cs="Times New Roman"/>
                <w:color w:val="000000"/>
                <w:spacing w:val="0"/>
                <w:w w:val="100"/>
                <w:position w:val="0"/>
              </w:rPr>
              <w:t>222,636</w:t>
            </w:r>
            <w:r>
              <w:rPr>
                <w:color w:val="000000"/>
                <w:spacing w:val="0"/>
                <w:w w:val="100"/>
                <w:position w:val="0"/>
              </w:rPr>
              <w:t>元出资额及励微投资</w:t>
            </w:r>
            <w:r>
              <w:rPr>
                <w:rFonts w:ascii="Times New Roman" w:eastAsia="Times New Roman" w:hAnsi="Times New Roman" w:cs="Times New Roman"/>
                <w:color w:val="000000"/>
                <w:spacing w:val="0"/>
                <w:w w:val="100"/>
                <w:position w:val="0"/>
              </w:rPr>
              <w:t>3,000</w:t>
            </w:r>
            <w:r>
              <w:rPr>
                <w:color w:val="000000"/>
                <w:spacing w:val="0"/>
                <w:w w:val="100"/>
                <w:position w:val="0"/>
              </w:rPr>
              <w:t>元出资额，对中微公司 间接持股比例合计</w:t>
            </w:r>
            <w:r>
              <w:rPr>
                <w:rFonts w:ascii="Times New Roman" w:eastAsia="Times New Roman" w:hAnsi="Times New Roman" w:cs="Times New Roman"/>
                <w:color w:val="000000"/>
                <w:spacing w:val="0"/>
                <w:w w:val="100"/>
                <w:position w:val="0"/>
              </w:rPr>
              <w:t>0.0525%</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朱新萍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中微亚洲</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中微开曼对中微亚洲出资比例为</w:t>
            </w:r>
            <w:r>
              <w:rPr>
                <w:rFonts w:ascii="Times New Roman" w:eastAsia="Times New Roman" w:hAnsi="Times New Roman" w:cs="Times New Roman"/>
                <w:color w:val="000000"/>
                <w:spacing w:val="0"/>
                <w:w w:val="100"/>
                <w:position w:val="0"/>
              </w:rPr>
              <w:t>100%</w:t>
            </w:r>
            <w:r>
              <w:rPr>
                <w:color w:val="000000"/>
                <w:spacing w:val="0"/>
                <w:w w:val="100"/>
                <w:position w:val="0"/>
              </w:rPr>
              <w:t>，朱新萍持有中微开曼</w:t>
            </w:r>
            <w:r>
              <w:rPr>
                <w:rFonts w:ascii="Times New Roman" w:eastAsia="Times New Roman" w:hAnsi="Times New Roman" w:cs="Times New Roman"/>
                <w:color w:val="000000"/>
                <w:spacing w:val="0"/>
                <w:w w:val="100"/>
                <w:position w:val="0"/>
              </w:rPr>
              <w:t xml:space="preserve">1,574,258 </w:t>
            </w:r>
            <w:r>
              <w:rPr>
                <w:color w:val="000000"/>
                <w:spacing w:val="0"/>
                <w:w w:val="100"/>
                <w:position w:val="0"/>
              </w:rPr>
              <w:t>股股份。对中微公司间接持股比例为</w:t>
            </w:r>
            <w:r>
              <w:rPr>
                <w:rFonts w:ascii="Times New Roman" w:eastAsia="Times New Roman" w:hAnsi="Times New Roman" w:cs="Times New Roman"/>
                <w:color w:val="000000"/>
                <w:spacing w:val="0"/>
                <w:w w:val="100"/>
                <w:position w:val="0"/>
              </w:rPr>
              <w:t>0.3709%</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刘晓宇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南昌智微</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刘晓宇持有南昌智微</w:t>
            </w:r>
            <w:r>
              <w:rPr>
                <w:rFonts w:ascii="Times New Roman" w:eastAsia="Times New Roman" w:hAnsi="Times New Roman" w:cs="Times New Roman"/>
                <w:color w:val="000000"/>
                <w:spacing w:val="0"/>
                <w:w w:val="100"/>
                <w:position w:val="0"/>
              </w:rPr>
              <w:t>592,275</w:t>
            </w:r>
            <w:r>
              <w:rPr>
                <w:color w:val="000000"/>
                <w:spacing w:val="0"/>
                <w:w w:val="100"/>
                <w:position w:val="0"/>
              </w:rPr>
              <w:t>元出资额及励微投资</w:t>
            </w:r>
            <w:r>
              <w:rPr>
                <w:rFonts w:ascii="Times New Roman" w:eastAsia="Times New Roman" w:hAnsi="Times New Roman" w:cs="Times New Roman"/>
                <w:color w:val="000000"/>
                <w:spacing w:val="0"/>
                <w:w w:val="100"/>
                <w:position w:val="0"/>
              </w:rPr>
              <w:t>9,000</w:t>
            </w:r>
            <w:r>
              <w:rPr>
                <w:color w:val="000000"/>
                <w:spacing w:val="0"/>
                <w:w w:val="100"/>
                <w:position w:val="0"/>
              </w:rPr>
              <w:t>元出资额，对中 微公司间接持股比例合计</w:t>
            </w:r>
            <w:r>
              <w:rPr>
                <w:rFonts w:ascii="Times New Roman" w:eastAsia="Times New Roman" w:hAnsi="Times New Roman" w:cs="Times New Roman"/>
                <w:color w:val="000000"/>
                <w:spacing w:val="0"/>
                <w:w w:val="100"/>
                <w:position w:val="0"/>
              </w:rPr>
              <w:t>0.1417%</w:t>
            </w:r>
          </w:p>
        </w:tc>
      </w:tr>
      <w:tr>
        <w:trPr>
          <w:trHeight w:val="58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麦仕义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核心技术人员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Futago</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麦仕义家族通过 </w:t>
            </w:r>
            <w:r>
              <w:rPr>
                <w:rFonts w:ascii="Times New Roman" w:eastAsia="Times New Roman" w:hAnsi="Times New Roman" w:cs="Times New Roman"/>
                <w:color w:val="000000"/>
                <w:spacing w:val="0"/>
                <w:w w:val="100"/>
                <w:position w:val="0"/>
              </w:rPr>
              <w:t>The Steve and Yvonne Mak Family Trust Dated March 29, 1996</w:t>
            </w:r>
            <w:r>
              <w:rPr>
                <w:color w:val="000000"/>
                <w:spacing w:val="0"/>
                <w:w w:val="100"/>
                <w:position w:val="0"/>
              </w:rPr>
              <w:t>持有</w:t>
            </w:r>
            <w:r>
              <w:rPr>
                <w:rFonts w:ascii="Times New Roman" w:eastAsia="Times New Roman" w:hAnsi="Times New Roman" w:cs="Times New Roman"/>
                <w:color w:val="000000"/>
                <w:spacing w:val="0"/>
                <w:w w:val="100"/>
                <w:position w:val="0"/>
              </w:rPr>
              <w:t>Futago 125,000</w:t>
            </w:r>
            <w:r>
              <w:rPr>
                <w:color w:val="000000"/>
                <w:spacing w:val="0"/>
                <w:w w:val="100"/>
                <w:position w:val="0"/>
              </w:rPr>
              <w:t>股股份，对中微公司间接持股比例为</w:t>
            </w:r>
            <w:r>
              <w:rPr>
                <w:rFonts w:ascii="Times New Roman" w:eastAsia="Times New Roman" w:hAnsi="Times New Roman" w:cs="Times New Roman"/>
                <w:color w:val="000000"/>
                <w:spacing w:val="0"/>
                <w:w w:val="100"/>
                <w:position w:val="0"/>
              </w:rPr>
              <w:t>0.0294%</w:t>
            </w:r>
          </w:p>
        </w:tc>
      </w:tr>
    </w:tbl>
    <w:p>
      <w:pPr>
        <w:widowControl w:val="0"/>
        <w:spacing w:after="399" w:line="1" w:lineRule="exact"/>
      </w:pPr>
    </w:p>
    <w:p>
      <w:pPr>
        <w:pStyle w:val="Style35"/>
        <w:keepNext/>
        <w:keepLines/>
        <w:widowControl w:val="0"/>
        <w:shd w:val="clear" w:color="auto" w:fill="auto"/>
        <w:bidi w:val="0"/>
        <w:spacing w:before="0" w:after="80" w:line="240" w:lineRule="auto"/>
        <w:ind w:left="0" w:right="0" w:firstLine="0"/>
        <w:jc w:val="left"/>
      </w:pPr>
      <w:bookmarkStart w:id="698" w:name="bookmark698"/>
      <w:bookmarkStart w:id="699" w:name="bookmark699"/>
      <w:bookmarkStart w:id="700" w:name="bookmark700"/>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董事、高级管理人员和核心技术人员报告期内被授予的股权激励情况</w:t>
      </w:r>
      <w:bookmarkEnd w:id="698"/>
      <w:bookmarkEnd w:id="699"/>
      <w:bookmarkEnd w:id="700"/>
    </w:p>
    <w:p>
      <w:pPr>
        <w:pStyle w:val="Style35"/>
        <w:keepNext/>
        <w:keepLines/>
        <w:widowControl w:val="0"/>
        <w:numPr>
          <w:ilvl w:val="0"/>
          <w:numId w:val="45"/>
        </w:numPr>
        <w:shd w:val="clear" w:color="auto" w:fill="auto"/>
        <w:tabs>
          <w:tab w:pos="325" w:val="left"/>
        </w:tabs>
        <w:bidi w:val="0"/>
        <w:spacing w:before="0" w:after="80" w:line="240" w:lineRule="auto"/>
        <w:ind w:left="0" w:right="0" w:firstLine="0"/>
        <w:jc w:val="left"/>
      </w:pPr>
      <w:bookmarkStart w:id="698" w:name="bookmark698"/>
      <w:bookmarkStart w:id="699" w:name="bookmark699"/>
      <w:bookmarkStart w:id="701" w:name="bookmark701"/>
      <w:bookmarkStart w:id="702" w:name="bookmark702"/>
      <w:bookmarkEnd w:id="701"/>
      <w:r>
        <w:rPr>
          <w:color w:val="000000"/>
          <w:spacing w:val="0"/>
          <w:w w:val="100"/>
          <w:position w:val="0"/>
        </w:rPr>
        <w:t>股票期权</w:t>
      </w:r>
      <w:bookmarkEnd w:id="698"/>
      <w:bookmarkEnd w:id="699"/>
      <w:bookmarkEnd w:id="70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5"/>
        </w:numPr>
        <w:shd w:val="clear" w:color="auto" w:fill="auto"/>
        <w:tabs>
          <w:tab w:pos="339" w:val="left"/>
        </w:tabs>
        <w:bidi w:val="0"/>
        <w:spacing w:before="0" w:after="80" w:line="240"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第一类限制性股票</w:t>
      </w:r>
      <w:bookmarkEnd w:id="703"/>
      <w:bookmarkEnd w:id="704"/>
      <w:bookmarkEnd w:id="70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45"/>
        </w:numPr>
        <w:shd w:val="clear" w:color="auto" w:fill="auto"/>
        <w:tabs>
          <w:tab w:pos="339" w:val="left"/>
        </w:tabs>
        <w:bidi w:val="0"/>
        <w:spacing w:before="0" w:after="80" w:line="240" w:lineRule="auto"/>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第二类限制性股票</w:t>
      </w:r>
      <w:bookmarkEnd w:id="707"/>
      <w:bookmarkEnd w:id="708"/>
      <w:bookmarkEnd w:id="71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2922" w:right="0" w:firstLine="0"/>
        <w:jc w:val="left"/>
      </w:pPr>
      <w:r>
        <w:rPr>
          <w:color w:val="000000"/>
          <w:spacing w:val="0"/>
          <w:w w:val="100"/>
          <w:position w:val="0"/>
        </w:rPr>
        <w:t>单位:股</w:t>
      </w:r>
    </w:p>
    <w:tbl>
      <w:tblPr>
        <w:tblOverlap w:val="never"/>
        <w:jc w:val="center"/>
        <w:tblLayout w:type="fixed"/>
      </w:tblPr>
      <w:tblGrid>
        <w:gridCol w:w="1234"/>
        <w:gridCol w:w="1397"/>
        <w:gridCol w:w="1771"/>
        <w:gridCol w:w="1699"/>
        <w:gridCol w:w="1704"/>
        <w:gridCol w:w="1416"/>
        <w:gridCol w:w="1416"/>
        <w:gridCol w:w="1752"/>
        <w:gridCol w:w="1493"/>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年初已获授予限 制性股票数量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报告期新授予限 制性股票数量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限制性股票的授 予价格（元）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报告期内可 归属数量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报告期内已 归属数量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期末已获授予限 制性股票数量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报告期末市价</w:t>
            </w:r>
          </w:p>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（元）</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麦仕义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157.59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157.59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157.59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股票增值权</w:t>
      </w:r>
    </w:p>
    <w:tbl>
      <w:tblPr>
        <w:tblOverlap w:val="never"/>
        <w:jc w:val="center"/>
        <w:tblLayout w:type="fixed"/>
      </w:tblPr>
      <w:tblGrid>
        <w:gridCol w:w="1282"/>
        <w:gridCol w:w="1416"/>
        <w:gridCol w:w="1699"/>
        <w:gridCol w:w="1771"/>
        <w:gridCol w:w="1776"/>
        <w:gridCol w:w="1306"/>
        <w:gridCol w:w="1541"/>
        <w:gridCol w:w="1690"/>
        <w:gridCol w:w="1402"/>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年初已获授予股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报告期新授予股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股票增值权的授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报告期内已归</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期末已获授予股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报告期末市</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票增值权数量</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票增值权数量</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予价格（元）</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归属数量</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属数量</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票增值权数量</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价（元）</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董事长、总经 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150,800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157.59</w:t>
            </w:r>
          </w:p>
        </w:tc>
      </w:tr>
    </w:tbl>
    <w:p>
      <w:pPr>
        <w:spacing w:lineRule="exact" w:line="1"/>
        <w:rPr>
          <w:sz w:val="2"/>
          <w:szCs w:val="2"/>
        </w:rPr>
      </w:pPr>
      <w:r>
        <w:br w:type="page"/>
      </w:r>
    </w:p>
    <w:tbl>
      <w:tblPr>
        <w:tblOverlap w:val="never"/>
        <w:jc w:val="center"/>
        <w:tblLayout w:type="fixed"/>
      </w:tblPr>
      <w:tblGrid>
        <w:gridCol w:w="1282"/>
        <w:gridCol w:w="1416"/>
        <w:gridCol w:w="1699"/>
        <w:gridCol w:w="1771"/>
        <w:gridCol w:w="1776"/>
        <w:gridCol w:w="1306"/>
        <w:gridCol w:w="1541"/>
        <w:gridCol w:w="1690"/>
        <w:gridCol w:w="1402"/>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157.59</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财务负责人、 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157.59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倪图强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157.59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157.59</w:t>
            </w:r>
          </w:p>
        </w:tc>
      </w:tr>
      <w:tr>
        <w:trPr>
          <w:trHeight w:val="55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董事会秘书、 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57,300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157.59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546,800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2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2765"/>
        <w:gridCol w:w="3624"/>
        <w:gridCol w:w="2789"/>
        <w:gridCol w:w="2357"/>
        <w:gridCol w:w="234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巽鑫（上海）投资有限公司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PDF Solutions,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普迪飞半导体技术（上海）有限公司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澜起科技股份有限公司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拓荆科技股份有限公司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睿励科学仪器（上海）有限公司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拓荆科技股份有限公司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上海创徒光电技术服务有限公司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上海芯元基半导体科技有限公司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上海洪朴信息科技有限公司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杜志游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杭州中欣晶圆半导体股份有限公司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上海集成电路产业投资基金股份有限公司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上海集成电路产业投资基金管理有限公司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上海科技创业投资股份有限公司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上海科技创业投资（集团）有限公司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上海和辉光电有限公司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上海华力微电子有限公司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芯鑫融资租赁有限责任公司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上海鲲鹏投资发展有限公司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上海科技创业投资（集团）有限公司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上海产业知识产权运营投资管理有限公司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上海战新投资管理有限公司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上海联升创业投资有限公司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上海盛今创业投资有限公司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上海微电子装备（集团）股份有限公司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上海集成电路研发中心有限公司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上海正赛联创业投资有限公司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上海科技网络通信有限公司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上海合作交流燕窝国际交易中心有限公司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睿励科学仪器（上海）有限公司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上海红神信息技术有限公司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上海联升承业创业投资有限公司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国投创业投资管理有限公司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上海诚毅新能源创业投资有限公司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上海浦江科技投资有限公司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上海生物芯片有限公司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上海汇金融资担保有限公司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上海汇科创业投资有限公司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上海芯超生物科技有限公司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上海科技创业投资股份有限公司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上海八六三软件孵化器有限公司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上海明浦科技发展有限公司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上海半导体装备材料产业投资管理有限公司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投资决策委员会委员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华芯投资管理有限责任公司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投资三部副总经理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杭州长新投资管理有限公司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湖北鑫铧股权投资管理有限公司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拓荆科技股份有限公司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杭州长川科技股份有限公司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江苏鑫华半导体材料科技有限公司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浙江中巨芯材电子科技有限公司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北方华创科技集团股份有限公司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江苏雅克科技股份有限公司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烟台德邦科技有限公司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上海硅产业集团股份有限公司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ACM Research,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睿励科学仪器（上海）有限公司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上海精测半导体技术有限公司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上海华芯创业投资企业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华芯（上海）创业投资管理有限公司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Cadence Design Systems,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首席执行官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Hewlett Packard Enterprise</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苏州工业园区华芯原创投资管理有限公司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华芯原创（青岛）投资管理有限公司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青岛华芯宜原投资管理有限公司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Schneider Electric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华芯（上海）创业投资管理有限公司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义乌华芯晨枫投资管理有限公司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苏州华慧投资管理有限公司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苏州工业园区华芯原创投资管理有限公司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法定代表人总经理</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青岛华芯宜原投资管理有限公司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华芯原创（青岛）投资管理有限公司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青岛华芯博原创业投资管理中心（有限合伙）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执行事务合伙人代表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青岛华芯创原创业投资中心（有限合伙）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执行事务合伙人代表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青岛天安华登投资中心（有限合伙）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执行事务合伙人代表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合肥华登科技投资管理有限公司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合肥华登集成电路产业投资基金合伙企业（有限合伙）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执行事务合伙人代表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合肥华芯太浩集成电路科技有限公司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青岛华集投资管理有限公司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青岛锚点科技投资发展有限公司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思瑞浦微电子科技（苏州）股份有限公司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GalaxyCore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洛奇商贸（杭州）有限公司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芋头科技（杭州）有限公司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江苏中科君芯科技有限公司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Kolo Medical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Rokid Corporation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天津奈思膳品科技有限公司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上海箩箕技术有限公司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加特兰微电子科技（上海）有限公司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台湾义明科技股份有限公司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杭州灵伴科技有限公司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PerceptIn</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南京英锐创电子科技有限公司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合肥悦芯半导体科技有限公司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Mems Drive,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Innophase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BOLB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沛喆科技股份有限公司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慷智集成电路（上海）有限公司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南京魔迪多维数码科技有限公司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翱捷科技（上海）有限公司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广东大普通信技术有限公司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爱科微半导体（上海）有限公司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博思发科技（深圳）有限公司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南京芯驰半导体科技有限公司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Atmosic Technologies,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杭州宏景智驾科技有限公司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合肥芯基微电子装备股份有限公司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京西重工（上海）有限公司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青岛华芯焦点投资管理有限公司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华芯原创（青岛）投资管理有限公司上海华登商务咨询 分公司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负责人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上海矽睿科技有限公司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上海岳橙科技有限公司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济南国开兴橙投资管理有限公司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广州兴橙私募证券投资管理有限公司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中芯集成电路制造（绍兴）有限公司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北京清石华山资本投资咨询有限公司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创始合伙人、董事总经理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元禾璞华（苏州）投资管理有限公司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北京清源华信投资管理有限公司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中际旭创股份有限公司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北京清芯华创投资管理有限公司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深圳市江波龙电子股份有限公司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安集微电子科技（上海）股份有限公司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WestSummit Capital Partners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WestSummit Global Technology GP,Ltd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CCHS WSGP,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WSSLP-GP1 LTD.</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WestSummit Capital Management Ltd.</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Oriental Wall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Power Zone Holdings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Jovial Victory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Insight Power Investments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Light Spread Investment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北京智能建筑科技有限公司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灿芯半导体（上海）有限公司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广州安凯微电子股份有限公司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中欧国际工商学院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安信信托股份有限公司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东方明珠新媒体股份有限公司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珠海华发实业股份有限公司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银城国际控股有限公司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赛晶电力电子集团有限公司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上海宝库文化发展股份有限公司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联储证券有限责任公司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中国邮政储蓄银行股份有限公司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北京市中伦（上海）律师事务所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光大保德信基金管理有限公司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湖北鑫铧股权投资管理有限公司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华芯投资管理有限责任公司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风险管理部总经理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福建省安芯投资管理有限责任公司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厦门市三安集成电路有限公司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三安光电股份有限公司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赛莱克斯微系统科技（北京）有限公司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深圳市中兴微电子技术有限公司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盛科网络（苏州）有限公司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北京世纪金光半导体有限公司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上海芯铄投资管理有限公司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北京紫光展讯投资管理有限公司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芯原微电子（上海）股份有限公司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中芯南方集成电路制造有限公司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北京紫光展锐科技有限公司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上海硅产业集团股份有限公司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北京芯动能投资管理有限公司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杭州长川科技股份有限公司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上海万业企业股份有限公司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华虹半导体（无锡）有限公司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睿力集成电路有限公司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拓荆科技股份有限公司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爱奇投资顾问（上海）有限公司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义乌佳鑫新能源有限公司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华灿光电股份有限公司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美新半导体（无锡）有限公司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光华（天津）投资管理有限公司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和谐芯光（义乌）光电科技有限公司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华灿光电（苏州）有限公司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西藏祺达创业投资管理有限公司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时空电动汽车股份有限公司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云南蓝晶科技有限公司</w:t>
            </w:r>
            <w:r>
              <w:rPr>
                <w:rFonts w:ascii="Times New Roman" w:eastAsia="Times New Roman" w:hAnsi="Times New Roman" w:cs="Times New Roman"/>
                <w:color w:val="000000"/>
                <w:spacing w:val="0"/>
                <w:w w:val="100"/>
                <w:position w:val="0"/>
              </w:rPr>
              <w:t>S</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北京昆兰新能源技术有限公司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广州市远能物流自动化设备科技有限公司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杭州万高科技股份有限公司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广东爱旭科技股份有限公司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上海秀派电子科技股份有限公司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北京海博思创科技股份有限公司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西安瑞联新材料股份有限公司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浙江朗诗德健康饮水设备股份有限公司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87"/>
        <w:gridCol w:w="5102"/>
        <w:gridCol w:w="3120"/>
        <w:gridCol w:w="1987"/>
        <w:gridCol w:w="1685"/>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欣旺达电子股份有限公司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Newnagy Holdings,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Total Force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Sky Solar Holdings Co.,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海南汉草生物科技有限公司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上海爱旭新能源股份有限公司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西安奕斯伟材料科技有限公司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北京奕斯伟计算技术有限公司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北京奕斯伟封测技术有限公司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北京奕斯伟系统技术有限公司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天津环汇精创管理咨询有限公司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Square 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Inc. Asia</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在其他单位任职情 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三、董事、监事、高级管理人员和核心技术人员报酬情况</w:t>
      </w:r>
    </w:p>
    <w:p>
      <w:pPr>
        <w:widowControl w:val="0"/>
        <w:spacing w:after="59"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301"/>
        <w:gridCol w:w="9581"/>
      </w:tblGrid>
      <w:tr>
        <w:trPr>
          <w:trHeight w:val="5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根据《公司章程》、《薪酬与考核委员会管理办法》等相关规定，董事、监事和高级管理人员薪酬经董 事会薪酬与考核委员会审核。</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根据个人年度经营计划、岗位职责和管理目标等综合情况核定考核指标。</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董事、监事和高级管理人员报酬的实际支付情况与年报披露的数据相符。</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报告期末全体董事、监事和高级管理人员实 际获得的报酬合计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8720" w:right="0" w:firstLine="0"/>
              <w:jc w:val="left"/>
            </w:pPr>
            <w:r>
              <w:rPr>
                <w:rFonts w:ascii="Times New Roman" w:eastAsia="Times New Roman" w:hAnsi="Times New Roman" w:cs="Times New Roman"/>
                <w:color w:val="000000"/>
                <w:spacing w:val="0"/>
                <w:w w:val="100"/>
                <w:position w:val="0"/>
              </w:rPr>
              <w:t>1,984.87</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报告期末核心技术人员实际获得的报酬合计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8720" w:right="0" w:firstLine="0"/>
              <w:jc w:val="left"/>
            </w:pPr>
            <w:r>
              <w:rPr>
                <w:rFonts w:ascii="Times New Roman" w:eastAsia="Times New Roman" w:hAnsi="Times New Roman" w:cs="Times New Roman"/>
                <w:color w:val="000000"/>
                <w:spacing w:val="0"/>
                <w:w w:val="100"/>
                <w:position w:val="0"/>
              </w:rPr>
              <w:t>1,416.98</w:t>
            </w:r>
          </w:p>
        </w:tc>
      </w:tr>
    </w:tbl>
    <w:p>
      <w:pPr>
        <w:spacing w:lineRule="exact" w:line="1"/>
        <w:rPr>
          <w:sz w:val="2"/>
          <w:szCs w:val="2"/>
        </w:rPr>
      </w:pPr>
      <w:r>
        <w:br w:type="page"/>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四、公司董事、监事、高级管理人员和核心技术人员变动情况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3475"/>
        <w:gridCol w:w="3466"/>
        <w:gridCol w:w="3466"/>
        <w:gridCol w:w="347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bl>
    <w:p>
      <w:pPr>
        <w:widowControl w:val="0"/>
        <w:spacing w:after="219" w:line="1" w:lineRule="exact"/>
      </w:pPr>
    </w:p>
    <w:p>
      <w:pPr>
        <w:pStyle w:val="Style2"/>
        <w:keepNext w:val="0"/>
        <w:keepLines w:val="0"/>
        <w:widowControl w:val="0"/>
        <w:shd w:val="clear" w:color="auto" w:fill="auto"/>
        <w:bidi w:val="0"/>
        <w:spacing w:before="0" w:after="0" w:line="341" w:lineRule="exact"/>
        <w:ind w:left="0" w:right="0" w:firstLine="0"/>
        <w:jc w:val="left"/>
        <w:sectPr>
          <w:headerReference w:type="default" r:id="rId85"/>
          <w:footerReference w:type="default" r:id="rId86"/>
          <w:headerReference w:type="even" r:id="rId87"/>
          <w:footerReference w:type="even" r:id="rId88"/>
          <w:footnotePr>
            <w:pos w:val="pageBottom"/>
            <w:numFmt w:val="decimal"/>
            <w:numRestart w:val="continuous"/>
          </w:footnotePr>
          <w:pgSz w:w="16840" w:h="11900" w:orient="landscape"/>
          <w:pgMar w:top="1734" w:right="1507" w:bottom="1482" w:left="1417" w:header="0" w:footer="3" w:gutter="0"/>
          <w:cols w:space="720"/>
          <w:noEndnote/>
          <w:rtlGutter w:val="0"/>
          <w:docGrid w:linePitch="360"/>
        </w:sectPr>
      </w:pPr>
      <w:r>
        <w:rPr>
          <w:b/>
          <w:bCs/>
          <w:color w:val="000000"/>
          <w:spacing w:val="0"/>
          <w:w w:val="100"/>
          <w:position w:val="0"/>
        </w:rPr>
        <w:t xml:space="preserve">五、近三年受证券监管机构处罚的情况说明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2947"/>
        <w:gridCol w:w="1469"/>
        <w:gridCol w:w="1474"/>
        <w:gridCol w:w="2947"/>
      </w:tblGrid>
      <w:tr>
        <w:trPr>
          <w:trHeight w:val="28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r>
      <w:tr>
        <w:trPr>
          <w:trHeight w:val="28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r>
      <w:tr>
        <w:trPr>
          <w:trHeight w:val="27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w:t>
            </w:r>
          </w:p>
        </w:tc>
      </w:tr>
      <w:tr>
        <w:trPr>
          <w:trHeight w:val="557" w:hRule="exact"/>
        </w:trPr>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52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19</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r>
    </w:tbl>
    <w:p>
      <w:pPr>
        <w:widowControl w:val="0"/>
        <w:spacing w:after="239" w:line="1" w:lineRule="exact"/>
      </w:pPr>
    </w:p>
    <w:tbl>
      <w:tblPr>
        <w:tblOverlap w:val="never"/>
        <w:jc w:val="center"/>
        <w:tblLayout w:type="fixed"/>
      </w:tblPr>
      <w:tblGrid>
        <w:gridCol w:w="2947"/>
        <w:gridCol w:w="2942"/>
        <w:gridCol w:w="2947"/>
      </w:tblGrid>
      <w:tr>
        <w:trPr>
          <w:trHeight w:val="288" w:hRule="exact"/>
        </w:trPr>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54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191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344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134</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894</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723</w:t>
            </w:r>
          </w:p>
        </w:tc>
      </w:tr>
    </w:tbl>
    <w:p>
      <w:pPr>
        <w:widowControl w:val="0"/>
        <w:spacing w:after="279" w:line="1" w:lineRule="exact"/>
      </w:pPr>
    </w:p>
    <w:p>
      <w:pPr>
        <w:pStyle w:val="Style35"/>
        <w:keepNext/>
        <w:keepLines/>
        <w:widowControl w:val="0"/>
        <w:shd w:val="clear" w:color="auto" w:fill="auto"/>
        <w:tabs>
          <w:tab w:pos="484" w:val="left"/>
        </w:tabs>
        <w:bidi w:val="0"/>
        <w:spacing w:before="0" w:after="80" w:line="240" w:lineRule="auto"/>
        <w:ind w:left="0" w:right="0" w:firstLine="0"/>
        <w:jc w:val="left"/>
      </w:pPr>
      <w:bookmarkStart w:id="711" w:name="bookmark711"/>
      <w:bookmarkStart w:id="712" w:name="bookmark712"/>
      <w:bookmarkStart w:id="713" w:name="bookmark713"/>
      <w:bookmarkStart w:id="714" w:name="bookmark714"/>
      <w:r>
        <w:rPr>
          <w:rFonts w:ascii="Calibri" w:eastAsia="Calibri" w:hAnsi="Calibri" w:cs="Calibri"/>
          <w:color w:val="000000"/>
          <w:spacing w:val="0"/>
          <w:w w:val="100"/>
          <w:position w:val="0"/>
          <w:sz w:val="20"/>
          <w:szCs w:val="20"/>
        </w:rPr>
        <w:t>（</w:t>
      </w:r>
      <w:bookmarkEnd w:id="71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711"/>
      <w:bookmarkEnd w:id="712"/>
      <w:bookmarkEnd w:id="714"/>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公司为保障员工的合法权益，激励员工的积极性和主动性，制定并落实《员工薪酬管理制 度》，为员工塑造全面的薪酬管理及职级晋升体系。《员工薪酬福利管理办法》规定了公司员工 薪酬的体系构成、职级及薪酬调整流程、审批程序等。公司高级管理人员的薪酬由董事会拟定审 批、监督执行，其余人员在《员工薪酬福利管理办法》的制度框架内，针对不同岗位的差异，分 别制定各自薪资标准和职级晋升办法。</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公司所有员工的薪酬采取月薪制，中国籍员工的月薪主要由基本工资、岗位津贴、加班工资 和年终奖金等构成，外籍员工的月薪主要由基本工资、加班工资、福利补贴和年终奖等构成。公 司根据员工的工作量、工作强度、工作业绩等指标，按年度进行考核并发放绩效奖金，以增强员 工的工作积极性，提高整体用工效率。</w:t>
      </w:r>
    </w:p>
    <w:p>
      <w:pPr>
        <w:pStyle w:val="Style35"/>
        <w:keepNext/>
        <w:keepLines/>
        <w:widowControl w:val="0"/>
        <w:shd w:val="clear" w:color="auto" w:fill="auto"/>
        <w:tabs>
          <w:tab w:pos="484" w:val="left"/>
        </w:tabs>
        <w:bidi w:val="0"/>
        <w:spacing w:before="0" w:after="80" w:line="240" w:lineRule="auto"/>
        <w:ind w:left="0" w:right="0" w:firstLine="0"/>
        <w:jc w:val="left"/>
      </w:pPr>
      <w:bookmarkStart w:id="715" w:name="bookmark715"/>
      <w:bookmarkStart w:id="716" w:name="bookmark716"/>
      <w:bookmarkStart w:id="717" w:name="bookmark717"/>
      <w:bookmarkStart w:id="718" w:name="bookmark718"/>
      <w:r>
        <w:rPr>
          <w:rFonts w:ascii="Calibri" w:eastAsia="Calibri" w:hAnsi="Calibri" w:cs="Calibri"/>
          <w:color w:val="000000"/>
          <w:spacing w:val="0"/>
          <w:w w:val="100"/>
          <w:position w:val="0"/>
          <w:sz w:val="20"/>
          <w:szCs w:val="20"/>
        </w:rPr>
        <w:t>（</w:t>
      </w:r>
      <w:bookmarkEnd w:id="71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715"/>
      <w:bookmarkEnd w:id="716"/>
      <w:bookmarkEnd w:id="71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公司着重提升员工的半导体行业技术专业技能及管理技能，帮助员工全面成长。在专业技术 方面，为员工开设芯片制造工艺等内训课程，及解决问题的外训课程。在个人管理发展方面，开 设线上培训课程。同时，为提升公司管理人员的管理能力，公司与外部管理咨询机构合作，为管 理人员开设经理成长营等管理课程项目。</w:t>
      </w:r>
      <w:r>
        <w:br w:type="page"/>
      </w: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124,844.50（</w:t>
            </w:r>
            <w:r>
              <w:rPr>
                <w:color w:val="000000"/>
                <w:spacing w:val="0"/>
                <w:w w:val="100"/>
                <w:position w:val="0"/>
              </w:rPr>
              <w:t>小时</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734.83(</w:t>
            </w:r>
            <w:r>
              <w:rPr>
                <w:color w:val="000000"/>
                <w:spacing w:val="0"/>
                <w:w w:val="100"/>
                <w:position w:val="0"/>
              </w:rPr>
              <w:t>万元</w:t>
            </w: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80" w:line="240" w:lineRule="auto"/>
        <w:ind w:left="0" w:right="0" w:firstLine="0"/>
        <w:jc w:val="left"/>
      </w:pPr>
      <w:bookmarkStart w:id="719" w:name="bookmark719"/>
      <w:bookmarkStart w:id="720" w:name="bookmark720"/>
      <w:bookmarkStart w:id="721" w:name="bookmark721"/>
      <w:r>
        <w:rPr>
          <w:color w:val="000000"/>
          <w:spacing w:val="0"/>
          <w:w w:val="100"/>
          <w:position w:val="0"/>
        </w:rPr>
        <w:t>七、其他</w:t>
      </w:r>
      <w:bookmarkEnd w:id="719"/>
      <w:bookmarkEnd w:id="720"/>
      <w:bookmarkEnd w:id="721"/>
    </w:p>
    <w:p>
      <w:pPr>
        <w:pStyle w:val="Style2"/>
        <w:keepNext w:val="0"/>
        <w:keepLines w:val="0"/>
        <w:widowControl w:val="0"/>
        <w:shd w:val="clear" w:color="auto" w:fill="auto"/>
        <w:bidi w:val="0"/>
        <w:spacing w:before="0" w:after="340" w:line="240" w:lineRule="auto"/>
        <w:ind w:left="0" w:right="0" w:firstLine="0"/>
        <w:jc w:val="left"/>
      </w:pPr>
      <w:bookmarkStart w:id="722" w:name="bookmark722"/>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bookmarkEnd w:id="722"/>
    </w:p>
    <w:p>
      <w:pPr>
        <w:pStyle w:val="Style13"/>
        <w:keepNext/>
        <w:keepLines/>
        <w:widowControl w:val="0"/>
        <w:shd w:val="clear" w:color="auto" w:fill="auto"/>
        <w:bidi w:val="0"/>
        <w:spacing w:before="0" w:after="260" w:line="240" w:lineRule="auto"/>
        <w:ind w:left="0" w:right="0" w:firstLine="0"/>
        <w:jc w:val="center"/>
      </w:pPr>
      <w:bookmarkStart w:id="723" w:name="bookmark723"/>
      <w:bookmarkStart w:id="724" w:name="bookmark724"/>
      <w:bookmarkStart w:id="725" w:name="bookmark725"/>
      <w:r>
        <w:rPr>
          <w:color w:val="000000"/>
          <w:spacing w:val="0"/>
          <w:w w:val="100"/>
          <w:position w:val="0"/>
        </w:rPr>
        <w:t>第九节公司治理</w:t>
      </w:r>
      <w:bookmarkEnd w:id="723"/>
      <w:bookmarkEnd w:id="724"/>
      <w:bookmarkEnd w:id="725"/>
    </w:p>
    <w:p>
      <w:pPr>
        <w:pStyle w:val="Style35"/>
        <w:keepNext/>
        <w:keepLines/>
        <w:widowControl w:val="0"/>
        <w:shd w:val="clear" w:color="auto" w:fill="auto"/>
        <w:bidi w:val="0"/>
        <w:spacing w:before="0" w:after="80" w:line="240" w:lineRule="auto"/>
        <w:ind w:left="0" w:right="0" w:firstLine="0"/>
        <w:jc w:val="left"/>
      </w:pPr>
      <w:bookmarkStart w:id="726" w:name="bookmark726"/>
      <w:bookmarkStart w:id="727" w:name="bookmark727"/>
      <w:bookmarkStart w:id="728" w:name="bookmark728"/>
      <w:r>
        <w:rPr>
          <w:color w:val="000000"/>
          <w:spacing w:val="0"/>
          <w:w w:val="100"/>
          <w:position w:val="0"/>
        </w:rPr>
        <w:t>一、公司治理相关情况说明</w:t>
      </w:r>
      <w:bookmarkEnd w:id="726"/>
      <w:bookmarkEnd w:id="727"/>
      <w:bookmarkEnd w:id="72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报告期内，公司已根据《公司法》《证券法》《上海证券交易所科创板股票上市规则》及</w:t>
      </w:r>
    </w:p>
    <w:p>
      <w:pPr>
        <w:pStyle w:val="Style2"/>
        <w:keepNext w:val="0"/>
        <w:keepLines w:val="0"/>
        <w:widowControl w:val="0"/>
        <w:shd w:val="clear" w:color="auto" w:fill="auto"/>
        <w:bidi w:val="0"/>
        <w:spacing w:before="0" w:after="440" w:line="410" w:lineRule="exact"/>
        <w:ind w:left="0" w:right="0" w:firstLine="0"/>
        <w:jc w:val="left"/>
      </w:pPr>
      <w:r>
        <w:rPr>
          <w:color w:val="000000"/>
          <w:spacing w:val="0"/>
          <w:w w:val="100"/>
          <w:position w:val="0"/>
        </w:rPr>
        <w:t>《公司章程》的规定制定了股东大会、董事会及监事会的议事规则等相关内部治理制度，确定了 股东大会、董事会、监事会和管理层的运行机制并合法、有效运作。公司董事会下设战略委员 会、审计委员会、提名委员会、薪酬与考核委员会，为董事会就关联交易、业务发展等重大事项 的决策提供咨询及建议，以保证董事会议事决策的专业化和高效化。</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协议控制架构等公司治理特殊安排情况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公司治理与中国证监会相关规定的要求是否存在重大差异；如有重大差异，应当说明原因</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261"/>
        <w:gridCol w:w="2107"/>
        <w:gridCol w:w="2347"/>
        <w:gridCol w:w="2122"/>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 东大会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年第三次临时股 东大会</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bl>
    <w:p>
      <w:pPr>
        <w:widowControl w:val="0"/>
        <w:spacing w:after="259" w:line="1" w:lineRule="exact"/>
      </w:pPr>
    </w:p>
    <w:p>
      <w:pPr>
        <w:pStyle w:val="Style22"/>
        <w:keepNext w:val="0"/>
        <w:keepLines w:val="0"/>
        <w:widowControl w:val="0"/>
        <w:shd w:val="clear" w:color="auto" w:fill="auto"/>
        <w:bidi w:val="0"/>
        <w:spacing w:before="0" w:after="60" w:line="274" w:lineRule="exact"/>
        <w:ind w:left="0" w:right="0" w:firstLine="0"/>
        <w:jc w:val="left"/>
      </w:pPr>
      <w:r>
        <w:rPr>
          <w:color w:val="000000"/>
          <w:spacing w:val="0"/>
          <w:w w:val="100"/>
          <w:position w:val="0"/>
        </w:rPr>
        <w:t>股东大会情况说明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60" w:line="274" w:lineRule="exact"/>
        <w:ind w:left="0" w:right="0" w:firstLine="0"/>
        <w:jc w:val="left"/>
      </w:pPr>
      <w:r>
        <w:rPr>
          <w:b/>
          <w:bCs/>
          <w:color w:val="000000"/>
          <w:spacing w:val="0"/>
          <w:w w:val="100"/>
          <w:position w:val="0"/>
        </w:rPr>
        <w:t>三、董事履行职责情况</w:t>
      </w:r>
    </w:p>
    <w:p>
      <w:pPr>
        <w:pStyle w:val="Style22"/>
        <w:keepNext w:val="0"/>
        <w:keepLines w:val="0"/>
        <w:widowControl w:val="0"/>
        <w:shd w:val="clear" w:color="auto" w:fill="auto"/>
        <w:bidi w:val="0"/>
        <w:spacing w:before="0" w:after="60" w:line="274"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180" w:right="0" w:firstLine="0"/>
              <w:jc w:val="left"/>
            </w:pPr>
            <w:r>
              <w:rPr>
                <w:color w:val="000000"/>
                <w:spacing w:val="0"/>
                <w:w w:val="100"/>
                <w:position w:val="0"/>
              </w:rPr>
              <w:t>参加股东 大会情况</w:t>
            </w:r>
          </w:p>
        </w:tc>
      </w:tr>
      <w:tr>
        <w:trPr>
          <w:trHeight w:val="110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本年应参 加董事会 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2" w:lineRule="exact"/>
              <w:ind w:left="200" w:right="0" w:firstLine="0"/>
              <w:jc w:val="left"/>
            </w:pPr>
            <w:r>
              <w:rPr>
                <w:color w:val="000000"/>
                <w:spacing w:val="0"/>
                <w:w w:val="100"/>
                <w:position w:val="0"/>
              </w:rPr>
              <w:t>亲自 出席 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140" w:right="0" w:firstLine="0"/>
              <w:jc w:val="left"/>
            </w:pPr>
            <w:r>
              <w:rPr>
                <w:color w:val="000000"/>
                <w:spacing w:val="0"/>
                <w:w w:val="100"/>
                <w:position w:val="0"/>
              </w:rPr>
              <w:t>以通讯 方式参 加次数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200" w:right="0" w:firstLine="0"/>
              <w:jc w:val="left"/>
            </w:pPr>
            <w:r>
              <w:rPr>
                <w:color w:val="000000"/>
                <w:spacing w:val="0"/>
                <w:w w:val="100"/>
                <w:position w:val="0"/>
              </w:rPr>
              <w:t>缺席 次数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是否连续 两次未亲 自参加会</w:t>
            </w:r>
          </w:p>
          <w:p>
            <w:pPr>
              <w:pStyle w:val="Style2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bl>
    <w:tbl>
      <w:tblPr>
        <w:tblOverlap w:val="never"/>
        <w:jc w:val="center"/>
        <w:tblLayout w:type="fixed"/>
      </w:tblPr>
      <w:tblGrid>
        <w:gridCol w:w="960"/>
        <w:gridCol w:w="826"/>
        <w:gridCol w:w="1070"/>
        <w:gridCol w:w="835"/>
        <w:gridCol w:w="941"/>
        <w:gridCol w:w="883"/>
        <w:gridCol w:w="826"/>
        <w:gridCol w:w="1258"/>
        <w:gridCol w:w="1238"/>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沈伟国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w:t>
            </w:r>
          </w:p>
        </w:tc>
      </w:tr>
      <w:tr>
        <w:trPr>
          <w:trHeight w:val="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陈立武 （已离 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bl>
    <w:p>
      <w:pPr>
        <w:widowControl w:val="0"/>
        <w:spacing w:after="299" w:line="1" w:lineRule="exact"/>
      </w:pPr>
    </w:p>
    <w:p>
      <w:pPr>
        <w:pStyle w:val="Style35"/>
        <w:keepNext/>
        <w:keepLines/>
        <w:widowControl w:val="0"/>
        <w:shd w:val="clear" w:color="auto" w:fill="auto"/>
        <w:tabs>
          <w:tab w:pos="526" w:val="left"/>
        </w:tabs>
        <w:bidi w:val="0"/>
        <w:spacing w:before="0" w:after="40" w:line="271" w:lineRule="exact"/>
        <w:ind w:left="0" w:right="0" w:firstLine="0"/>
        <w:jc w:val="left"/>
      </w:pPr>
      <w:bookmarkStart w:id="729" w:name="bookmark729"/>
      <w:bookmarkStart w:id="730" w:name="bookmark730"/>
      <w:bookmarkStart w:id="731" w:name="bookmark731"/>
      <w:bookmarkStart w:id="732" w:name="bookmark732"/>
      <w:r>
        <w:rPr>
          <w:rFonts w:ascii="Calibri" w:eastAsia="Calibri" w:hAnsi="Calibri" w:cs="Calibri"/>
          <w:color w:val="000000"/>
          <w:spacing w:val="0"/>
          <w:w w:val="100"/>
          <w:position w:val="0"/>
          <w:sz w:val="20"/>
          <w:szCs w:val="20"/>
        </w:rPr>
        <w:t>（</w:t>
      </w:r>
      <w:bookmarkEnd w:id="73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729"/>
      <w:bookmarkEnd w:id="730"/>
      <w:bookmarkEnd w:id="732"/>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1" w:lineRule="exact"/>
        <w:ind w:left="0" w:right="0" w:firstLine="0"/>
        <w:jc w:val="both"/>
      </w:pPr>
      <w:bookmarkStart w:id="733" w:name="bookmark733"/>
      <w:r>
        <w:rPr>
          <w:rFonts w:ascii="Calibri" w:eastAsia="Calibri" w:hAnsi="Calibri" w:cs="Calibri"/>
          <w:b/>
          <w:bCs/>
          <w:color w:val="000000"/>
          <w:spacing w:val="0"/>
          <w:w w:val="100"/>
          <w:position w:val="0"/>
          <w:sz w:val="20"/>
          <w:szCs w:val="20"/>
        </w:rPr>
        <w:t>（</w:t>
      </w:r>
      <w:bookmarkEnd w:id="733"/>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64" w:val="left"/>
        </w:tabs>
        <w:bidi w:val="0"/>
        <w:spacing w:before="0" w:after="40" w:line="269" w:lineRule="exact"/>
        <w:ind w:left="440" w:right="0" w:hanging="440"/>
        <w:jc w:val="both"/>
      </w:pPr>
      <w:bookmarkStart w:id="734" w:name="bookmark734"/>
      <w:r>
        <w:rPr>
          <w:b/>
          <w:bCs/>
          <w:color w:val="000000"/>
          <w:spacing w:val="0"/>
          <w:w w:val="100"/>
          <w:position w:val="0"/>
        </w:rPr>
        <w:t>四</w:t>
      </w:r>
      <w:bookmarkEnd w:id="734"/>
      <w:r>
        <w:rPr>
          <w:b/>
          <w:bCs/>
          <w:color w:val="000000"/>
          <w:spacing w:val="0"/>
          <w:w w:val="100"/>
          <w:position w:val="0"/>
        </w:rPr>
        <w:t>、</w:t>
        <w:tab/>
        <w:t>董事会下设专门委员会在报告期内履行职责时所提出的重要意见和建议，存在异议事项的， 应当披露具体情况</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1" w:lineRule="exact"/>
        <w:ind w:left="0" w:right="0" w:firstLine="0"/>
        <w:jc w:val="both"/>
      </w:pPr>
      <w:bookmarkStart w:id="735" w:name="bookmark735"/>
      <w:r>
        <w:rPr>
          <w:b/>
          <w:bCs/>
          <w:color w:val="000000"/>
          <w:spacing w:val="0"/>
          <w:w w:val="100"/>
          <w:position w:val="0"/>
        </w:rPr>
        <w:t>五</w:t>
      </w:r>
      <w:bookmarkEnd w:id="735"/>
      <w:r>
        <w:rPr>
          <w:b/>
          <w:bCs/>
          <w:color w:val="000000"/>
          <w:spacing w:val="0"/>
          <w:w w:val="100"/>
          <w:position w:val="0"/>
        </w:rPr>
        <w:t>、</w:t>
        <w:tab/>
        <w:t>监事会发现公司存在风险的说明</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4" w:lineRule="exact"/>
        <w:ind w:left="440" w:right="0" w:hanging="440"/>
        <w:jc w:val="both"/>
      </w:pPr>
      <w:bookmarkStart w:id="736" w:name="bookmark736"/>
      <w:r>
        <w:rPr>
          <w:b/>
          <w:bCs/>
          <w:color w:val="000000"/>
          <w:spacing w:val="0"/>
          <w:w w:val="100"/>
          <w:position w:val="0"/>
        </w:rPr>
        <w:t>六</w:t>
      </w:r>
      <w:bookmarkEnd w:id="736"/>
      <w:r>
        <w:rPr>
          <w:b/>
          <w:bCs/>
          <w:color w:val="000000"/>
          <w:spacing w:val="0"/>
          <w:w w:val="100"/>
          <w:position w:val="0"/>
        </w:rPr>
        <w:t>、</w:t>
        <w:tab/>
        <w:t>公司就其与控股股东在业务、人员、资产、机构、财务等方面存在的不能保证独立性、不能 保持自主经营能力的情况说明</w:t>
      </w:r>
    </w:p>
    <w:p>
      <w:pPr>
        <w:pStyle w:val="Style2"/>
        <w:keepNext w:val="0"/>
        <w:keepLines w:val="0"/>
        <w:widowControl w:val="0"/>
        <w:shd w:val="clear" w:color="auto" w:fill="auto"/>
        <w:tabs>
          <w:tab w:pos="854" w:val="left"/>
        </w:tabs>
        <w:bidi w:val="0"/>
        <w:spacing w:before="0" w:after="0" w:line="271" w:lineRule="exact"/>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tabs>
          <w:tab w:pos="854" w:val="left"/>
        </w:tabs>
        <w:bidi w:val="0"/>
        <w:spacing w:before="0" w:after="340" w:line="271" w:lineRule="exact"/>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both"/>
      </w:pPr>
      <w:bookmarkStart w:id="737" w:name="bookmark737"/>
      <w:bookmarkStart w:id="738" w:name="bookmark738"/>
      <w:bookmarkStart w:id="739" w:name="bookmark739"/>
      <w:bookmarkStart w:id="740" w:name="bookmark740"/>
      <w:r>
        <w:rPr>
          <w:color w:val="000000"/>
          <w:spacing w:val="0"/>
          <w:w w:val="100"/>
          <w:position w:val="0"/>
        </w:rPr>
        <w:t>七</w:t>
      </w:r>
      <w:bookmarkEnd w:id="739"/>
      <w:r>
        <w:rPr>
          <w:color w:val="000000"/>
          <w:spacing w:val="0"/>
          <w:w w:val="100"/>
          <w:position w:val="0"/>
        </w:rPr>
        <w:t>、报告期内对高级管理人员的考评机制，以及激励机制的建立、实施情况</w:t>
      </w:r>
      <w:bookmarkEnd w:id="737"/>
      <w:bookmarkEnd w:id="738"/>
      <w:bookmarkEnd w:id="740"/>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公司制定了高级管理人员的业绩考核体系与业绩考核指标，由薪酬与考核委员会负责落实。 公司制定了较为完善的考评机制，根据年度经营责任考核相关管理办法，通过多种立体指标体系 来进行考核奖惩，调动高级管理人员的工作积极性和能动性，有效提升公司治理水平。</w:t>
      </w:r>
    </w:p>
    <w:p>
      <w:pPr>
        <w:pStyle w:val="Style35"/>
        <w:keepNext/>
        <w:keepLines/>
        <w:widowControl w:val="0"/>
        <w:shd w:val="clear" w:color="auto" w:fill="auto"/>
        <w:tabs>
          <w:tab w:pos="478" w:val="left"/>
        </w:tabs>
        <w:bidi w:val="0"/>
        <w:spacing w:before="0" w:after="10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八</w:t>
      </w:r>
      <w:bookmarkEnd w:id="743"/>
      <w:r>
        <w:rPr>
          <w:color w:val="000000"/>
          <w:spacing w:val="0"/>
          <w:w w:val="100"/>
          <w:position w:val="0"/>
        </w:rPr>
        <w:t>、</w:t>
        <w:tab/>
        <w:t>是否披露内部控制自我评价报告</w:t>
      </w:r>
      <w:bookmarkEnd w:id="741"/>
      <w:bookmarkEnd w:id="742"/>
      <w:bookmarkEnd w:id="744"/>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日在上交所网站披露的《中微半导体设备（上海）股份有限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10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九</w:t>
      </w:r>
      <w:bookmarkEnd w:id="747"/>
      <w:r>
        <w:rPr>
          <w:color w:val="000000"/>
          <w:spacing w:val="0"/>
          <w:w w:val="100"/>
          <w:position w:val="0"/>
        </w:rPr>
        <w:t>、</w:t>
        <w:tab/>
        <w:t>内部控制审计报告的相关情况说明</w:t>
      </w:r>
      <w:bookmarkEnd w:id="745"/>
      <w:bookmarkEnd w:id="746"/>
      <w:bookmarkEnd w:id="74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22" w:lineRule="exact"/>
        <w:ind w:left="0" w:right="0" w:firstLine="440"/>
        <w:jc w:val="left"/>
      </w:pPr>
      <w:r>
        <w:rPr>
          <w:color w:val="000000"/>
          <w:spacing w:val="0"/>
          <w:w w:val="100"/>
          <w:position w:val="0"/>
        </w:rPr>
        <w:t>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日在上交所网站披露的《中微半导体设备（上海）股份有限 公司内部控制鉴证报告》</w:t>
      </w:r>
    </w:p>
    <w:p>
      <w:pPr>
        <w:pStyle w:val="Style2"/>
        <w:keepNext w:val="0"/>
        <w:keepLines w:val="0"/>
        <w:widowControl w:val="0"/>
        <w:shd w:val="clear" w:color="auto" w:fill="auto"/>
        <w:bidi w:val="0"/>
        <w:spacing w:before="0" w:after="0" w:line="422"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内部控制审计报告意见类型：标准的无保留意见</w:t>
      </w:r>
    </w:p>
    <w:p>
      <w:pPr>
        <w:pStyle w:val="Style35"/>
        <w:keepNext/>
        <w:keepLines/>
        <w:widowControl w:val="0"/>
        <w:shd w:val="clear" w:color="auto" w:fill="auto"/>
        <w:bidi w:val="0"/>
        <w:spacing w:before="0" w:after="100" w:line="240" w:lineRule="auto"/>
        <w:ind w:left="0" w:right="0" w:firstLine="0"/>
        <w:jc w:val="left"/>
      </w:pPr>
      <w:bookmarkStart w:id="749" w:name="bookmark749"/>
      <w:bookmarkStart w:id="750" w:name="bookmark750"/>
      <w:bookmarkStart w:id="751" w:name="bookmark751"/>
      <w:r>
        <w:rPr>
          <w:color w:val="000000"/>
          <w:spacing w:val="0"/>
          <w:w w:val="100"/>
          <w:position w:val="0"/>
        </w:rPr>
        <w:t>十、其他</w:t>
      </w:r>
      <w:bookmarkEnd w:id="749"/>
      <w:bookmarkEnd w:id="750"/>
      <w:bookmarkEnd w:id="751"/>
    </w:p>
    <w:p>
      <w:pPr>
        <w:pStyle w:val="Style2"/>
        <w:keepNext w:val="0"/>
        <w:keepLines w:val="0"/>
        <w:widowControl w:val="0"/>
        <w:shd w:val="clear" w:color="auto" w:fill="auto"/>
        <w:bidi w:val="0"/>
        <w:spacing w:before="0" w:after="360" w:line="240" w:lineRule="auto"/>
        <w:ind w:left="0" w:right="0" w:firstLine="0"/>
        <w:jc w:val="left"/>
      </w:pPr>
      <w:bookmarkStart w:id="752" w:name="bookmark752"/>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bookmarkEnd w:id="752"/>
    </w:p>
    <w:p>
      <w:pPr>
        <w:pStyle w:val="Style13"/>
        <w:keepNext/>
        <w:keepLines/>
        <w:widowControl w:val="0"/>
        <w:shd w:val="clear" w:color="auto" w:fill="auto"/>
        <w:bidi w:val="0"/>
        <w:spacing w:before="0" w:after="100" w:line="240" w:lineRule="auto"/>
        <w:ind w:left="0" w:right="0" w:firstLine="0"/>
        <w:jc w:val="center"/>
      </w:pPr>
      <w:bookmarkStart w:id="753" w:name="bookmark753"/>
      <w:bookmarkStart w:id="754" w:name="bookmark754"/>
      <w:bookmarkStart w:id="755" w:name="bookmark755"/>
      <w:r>
        <w:rPr>
          <w:color w:val="000000"/>
          <w:spacing w:val="0"/>
          <w:w w:val="100"/>
          <w:position w:val="0"/>
        </w:rPr>
        <w:t>第十节公司债券相关情况</w:t>
      </w:r>
      <w:bookmarkEnd w:id="753"/>
      <w:bookmarkEnd w:id="754"/>
      <w:bookmarkEnd w:id="755"/>
    </w:p>
    <w:p>
      <w:pPr>
        <w:pStyle w:val="Style2"/>
        <w:keepNext w:val="0"/>
        <w:keepLines w:val="0"/>
        <w:widowControl w:val="0"/>
        <w:shd w:val="clear" w:color="auto" w:fill="auto"/>
        <w:bidi w:val="0"/>
        <w:spacing w:before="0" w:after="100" w:line="415" w:lineRule="exact"/>
        <w:ind w:left="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87" w:right="1194" w:bottom="1481" w:left="1731"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100" w:after="240" w:line="240" w:lineRule="auto"/>
        <w:ind w:left="0" w:right="0" w:firstLine="0"/>
        <w:jc w:val="center"/>
      </w:pPr>
      <w:bookmarkStart w:id="756" w:name="bookmark756"/>
      <w:bookmarkStart w:id="757" w:name="bookmark757"/>
      <w:bookmarkStart w:id="758" w:name="bookmark758"/>
      <w:r>
        <w:rPr>
          <w:rFonts w:ascii="SimSun" w:eastAsia="SimSun" w:hAnsi="SimSun" w:cs="SimSun"/>
          <w:color w:val="000000"/>
          <w:spacing w:val="0"/>
          <w:w w:val="100"/>
          <w:position w:val="0"/>
        </w:rPr>
        <w:t>第十一节财务报告</w:t>
      </w:r>
      <w:bookmarkEnd w:id="756"/>
      <w:bookmarkEnd w:id="757"/>
      <w:bookmarkEnd w:id="758"/>
    </w:p>
    <w:p>
      <w:pPr>
        <w:pStyle w:val="Style35"/>
        <w:keepNext/>
        <w:keepLines/>
        <w:widowControl w:val="0"/>
        <w:shd w:val="clear" w:color="auto" w:fill="auto"/>
        <w:bidi w:val="0"/>
        <w:spacing w:before="0" w:after="100" w:line="270" w:lineRule="exact"/>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一、审计报告</w:t>
      </w:r>
      <w:bookmarkEnd w:id="760"/>
      <w:bookmarkEnd w:id="761"/>
      <w:bookmarkEnd w:id="762"/>
      <w:bookmarkEnd w:id="759"/>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0" w:lineRule="exact"/>
        <w:ind w:left="0" w:right="0" w:firstLine="0"/>
        <w:jc w:val="left"/>
      </w:pPr>
      <w:r>
        <w:rPr>
          <w:color w:val="000000"/>
          <w:spacing w:val="0"/>
          <w:w w:val="100"/>
          <w:position w:val="0"/>
        </w:rPr>
        <w:t>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股份有限公司全体股东：</w:t>
      </w:r>
    </w:p>
    <w:p>
      <w:pPr>
        <w:pStyle w:val="Style35"/>
        <w:keepNext/>
        <w:keepLines/>
        <w:widowControl w:val="0"/>
        <w:shd w:val="clear" w:color="auto" w:fill="auto"/>
        <w:tabs>
          <w:tab w:pos="835" w:val="left"/>
        </w:tabs>
        <w:bidi w:val="0"/>
        <w:spacing w:before="0" w:after="0" w:line="269" w:lineRule="exact"/>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一</w:t>
      </w:r>
      <w:bookmarkEnd w:id="765"/>
      <w:r>
        <w:rPr>
          <w:color w:val="000000"/>
          <w:spacing w:val="0"/>
          <w:w w:val="100"/>
          <w:position w:val="0"/>
        </w:rPr>
        <w:t>、</w:t>
        <w:tab/>
        <w:t>审计意见</w:t>
      </w:r>
      <w:bookmarkEnd w:id="763"/>
      <w:bookmarkEnd w:id="764"/>
      <w:bookmarkEnd w:id="766"/>
    </w:p>
    <w:p>
      <w:pPr>
        <w:pStyle w:val="Style2"/>
        <w:keepNext w:val="0"/>
        <w:keepLines w:val="0"/>
        <w:widowControl w:val="0"/>
        <w:shd w:val="clear" w:color="auto" w:fill="auto"/>
        <w:tabs>
          <w:tab w:pos="531" w:val="left"/>
        </w:tabs>
        <w:bidi w:val="0"/>
        <w:spacing w:before="0" w:after="0" w:line="269" w:lineRule="exact"/>
        <w:ind w:left="0" w:right="0" w:firstLine="0"/>
        <w:jc w:val="left"/>
      </w:pPr>
      <w:bookmarkStart w:id="767" w:name="bookmark767"/>
      <w:r>
        <w:rPr>
          <w:rFonts w:ascii="Times New Roman" w:eastAsia="Times New Roman" w:hAnsi="Times New Roman" w:cs="Times New Roman"/>
          <w:color w:val="000000"/>
          <w:spacing w:val="0"/>
          <w:w w:val="100"/>
          <w:position w:val="0"/>
        </w:rPr>
        <w:t>（</w:t>
      </w:r>
      <w:bookmarkEnd w:id="767"/>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我们审计的内容</w:t>
      </w: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我们审计了中微半导体设备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中微公司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 合并及公司股东权益变动表以及财务报表附注。</w:t>
      </w:r>
    </w:p>
    <w:p>
      <w:pPr>
        <w:pStyle w:val="Style2"/>
        <w:keepNext w:val="0"/>
        <w:keepLines w:val="0"/>
        <w:widowControl w:val="0"/>
        <w:shd w:val="clear" w:color="auto" w:fill="auto"/>
        <w:tabs>
          <w:tab w:pos="531" w:val="left"/>
        </w:tabs>
        <w:bidi w:val="0"/>
        <w:spacing w:before="0" w:after="0" w:line="264" w:lineRule="exact"/>
        <w:ind w:left="0" w:right="0" w:firstLine="0"/>
        <w:jc w:val="left"/>
      </w:pPr>
      <w:bookmarkStart w:id="768" w:name="bookmark768"/>
      <w:r>
        <w:rPr>
          <w:rFonts w:ascii="Times New Roman" w:eastAsia="Times New Roman" w:hAnsi="Times New Roman" w:cs="Times New Roman"/>
          <w:color w:val="000000"/>
          <w:spacing w:val="0"/>
          <w:w w:val="100"/>
          <w:position w:val="0"/>
        </w:rPr>
        <w:t>（</w:t>
      </w:r>
      <w:bookmarkEnd w:id="76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我们的意见</w:t>
      </w:r>
    </w:p>
    <w:p>
      <w:pPr>
        <w:pStyle w:val="Style2"/>
        <w:keepNext w:val="0"/>
        <w:keepLines w:val="0"/>
        <w:widowControl w:val="0"/>
        <w:shd w:val="clear" w:color="auto" w:fill="auto"/>
        <w:bidi w:val="0"/>
        <w:spacing w:before="0" w:after="240" w:line="264" w:lineRule="exact"/>
        <w:ind w:left="0" w:right="0" w:firstLine="0"/>
        <w:jc w:val="left"/>
      </w:pPr>
      <w:r>
        <w:rPr>
          <w:color w:val="000000"/>
          <w:spacing w:val="0"/>
          <w:w w:val="100"/>
          <w:position w:val="0"/>
        </w:rPr>
        <w:t xml:space="preserve">我们认为，后附的财务报表在所有重大方面按照企业会计准则的规定编制，公允反映了中微公司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35"/>
        <w:keepNext/>
        <w:keepLines/>
        <w:widowControl w:val="0"/>
        <w:shd w:val="clear" w:color="auto" w:fill="auto"/>
        <w:tabs>
          <w:tab w:pos="835" w:val="left"/>
        </w:tabs>
        <w:bidi w:val="0"/>
        <w:spacing w:before="0" w:after="0" w:line="271" w:lineRule="exact"/>
        <w:ind w:left="0" w:right="0" w:firstLine="0"/>
        <w:jc w:val="left"/>
      </w:pPr>
      <w:bookmarkStart w:id="769" w:name="bookmark769"/>
      <w:bookmarkStart w:id="770" w:name="bookmark770"/>
      <w:bookmarkStart w:id="771" w:name="bookmark771"/>
      <w:bookmarkStart w:id="772" w:name="bookmark772"/>
      <w:r>
        <w:rPr>
          <w:color w:val="000000"/>
          <w:spacing w:val="0"/>
          <w:w w:val="100"/>
          <w:position w:val="0"/>
        </w:rPr>
        <w:t>二</w:t>
      </w:r>
      <w:bookmarkEnd w:id="771"/>
      <w:r>
        <w:rPr>
          <w:color w:val="000000"/>
          <w:spacing w:val="0"/>
          <w:w w:val="100"/>
          <w:position w:val="0"/>
        </w:rPr>
        <w:t>、</w:t>
        <w:tab/>
        <w:t>形成审计意见的基础</w:t>
      </w:r>
      <w:bookmarkEnd w:id="769"/>
      <w:bookmarkEnd w:id="770"/>
      <w:bookmarkEnd w:id="772"/>
    </w:p>
    <w:p>
      <w:pPr>
        <w:pStyle w:val="Style2"/>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 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部分进一步阐述了我们在这些准则下的责任。我们相信，我们获取的审计证据是充 分、适当的，为发表审计意见提供了基础。</w:t>
      </w:r>
    </w:p>
    <w:p>
      <w:pPr>
        <w:pStyle w:val="Style2"/>
        <w:keepNext w:val="0"/>
        <w:keepLines w:val="0"/>
        <w:widowControl w:val="0"/>
        <w:shd w:val="clear" w:color="auto" w:fill="auto"/>
        <w:bidi w:val="0"/>
        <w:spacing w:before="0" w:after="240" w:line="270" w:lineRule="exact"/>
        <w:ind w:left="0" w:right="0" w:firstLine="0"/>
        <w:jc w:val="left"/>
      </w:pPr>
      <w:r>
        <w:rPr>
          <w:color w:val="000000"/>
          <w:spacing w:val="0"/>
          <w:w w:val="100"/>
          <w:position w:val="0"/>
        </w:rPr>
        <w:t>按照中国注册会计师职业道德守则，我们独立于中微公司，并履行了职业道德方面的其他责任。</w:t>
      </w:r>
    </w:p>
    <w:p>
      <w:pPr>
        <w:pStyle w:val="Style35"/>
        <w:keepNext/>
        <w:keepLines/>
        <w:widowControl w:val="0"/>
        <w:shd w:val="clear" w:color="auto" w:fill="auto"/>
        <w:tabs>
          <w:tab w:pos="835" w:val="left"/>
        </w:tabs>
        <w:bidi w:val="0"/>
        <w:spacing w:before="0" w:after="0" w:line="274" w:lineRule="exact"/>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三</w:t>
      </w:r>
      <w:bookmarkEnd w:id="775"/>
      <w:r>
        <w:rPr>
          <w:color w:val="000000"/>
          <w:spacing w:val="0"/>
          <w:w w:val="100"/>
          <w:position w:val="0"/>
        </w:rPr>
        <w:t>、</w:t>
        <w:tab/>
        <w:t>关键审计事项</w:t>
      </w:r>
      <w:bookmarkEnd w:id="773"/>
      <w:bookmarkEnd w:id="774"/>
      <w:bookmarkEnd w:id="776"/>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我们在审计中识别出的关键审计事项汇总如下:</w:t>
      </w:r>
    </w:p>
    <w:p>
      <w:pPr>
        <w:pStyle w:val="Style2"/>
        <w:keepNext w:val="0"/>
        <w:keepLines w:val="0"/>
        <w:widowControl w:val="0"/>
        <w:shd w:val="clear" w:color="auto" w:fill="auto"/>
        <w:tabs>
          <w:tab w:pos="531" w:val="left"/>
        </w:tabs>
        <w:bidi w:val="0"/>
        <w:spacing w:before="0" w:after="0" w:line="240" w:lineRule="auto"/>
        <w:ind w:left="0" w:right="0" w:firstLine="0"/>
        <w:jc w:val="left"/>
      </w:pPr>
      <w:bookmarkStart w:id="777" w:name="bookmark777"/>
      <w:r>
        <w:rPr>
          <w:rFonts w:ascii="Times New Roman" w:eastAsia="Times New Roman" w:hAnsi="Times New Roman" w:cs="Times New Roman"/>
          <w:color w:val="000000"/>
          <w:spacing w:val="0"/>
          <w:w w:val="100"/>
          <w:position w:val="0"/>
        </w:rPr>
        <w:t>（</w:t>
      </w:r>
      <w:bookmarkEnd w:id="777"/>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专用设备销售收入确认</w:t>
      </w:r>
    </w:p>
    <w:p>
      <w:pPr>
        <w:pStyle w:val="Style2"/>
        <w:keepNext w:val="0"/>
        <w:keepLines w:val="0"/>
        <w:widowControl w:val="0"/>
        <w:shd w:val="clear" w:color="auto" w:fill="auto"/>
        <w:tabs>
          <w:tab w:pos="531" w:val="left"/>
        </w:tabs>
        <w:bidi w:val="0"/>
        <w:spacing w:before="0" w:after="240" w:line="240" w:lineRule="auto"/>
        <w:ind w:left="0" w:right="0" w:firstLine="0"/>
        <w:jc w:val="left"/>
      </w:pPr>
      <w:bookmarkStart w:id="778" w:name="bookmark778"/>
      <w:r>
        <w:rPr>
          <w:rFonts w:ascii="Times New Roman" w:eastAsia="Times New Roman" w:hAnsi="Times New Roman" w:cs="Times New Roman"/>
          <w:color w:val="000000"/>
          <w:spacing w:val="0"/>
          <w:w w:val="100"/>
          <w:position w:val="0"/>
        </w:rPr>
        <w:t>（</w:t>
      </w:r>
      <w:bookmarkEnd w:id="77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开发支出资本化</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我们在审计中如何应对关键审计事项</w:t>
            </w:r>
          </w:p>
        </w:tc>
      </w:tr>
      <w:tr>
        <w:trPr>
          <w:trHeight w:val="506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22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专用设备销售收入确认</w:t>
            </w:r>
          </w:p>
          <w:p>
            <w:pPr>
              <w:pStyle w:val="Style25"/>
              <w:keepNext w:val="0"/>
              <w:keepLines w:val="0"/>
              <w:widowControl w:val="0"/>
              <w:shd w:val="clear" w:color="auto" w:fill="auto"/>
              <w:bidi w:val="0"/>
              <w:spacing w:before="0" w:after="220" w:line="269" w:lineRule="exact"/>
              <w:ind w:left="0" w:right="0" w:firstLine="0"/>
              <w:jc w:val="both"/>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（38）“</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及附注七 </w:t>
            </w:r>
            <w:r>
              <w:rPr>
                <w:rFonts w:ascii="Times New Roman" w:eastAsia="Times New Roman" w:hAnsi="Times New Roman" w:cs="Times New Roman"/>
                <w:color w:val="000000"/>
                <w:spacing w:val="0"/>
                <w:w w:val="100"/>
                <w:position w:val="0"/>
              </w:rPr>
              <w:t>（61）“</w:t>
            </w:r>
            <w:r>
              <w:rPr>
                <w:color w:val="000000"/>
                <w:spacing w:val="0"/>
                <w:w w:val="100"/>
                <w:position w:val="0"/>
              </w:rPr>
              <w:t>营业收入和营业成本</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中微公司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年度合并营业收入约为人民币 </w:t>
            </w:r>
            <w:r>
              <w:rPr>
                <w:rFonts w:ascii="Times New Roman" w:eastAsia="Times New Roman" w:hAnsi="Times New Roman" w:cs="Times New Roman"/>
                <w:color w:val="000000"/>
                <w:spacing w:val="0"/>
                <w:w w:val="100"/>
                <w:position w:val="0"/>
              </w:rPr>
              <w:t>22.73</w:t>
            </w:r>
            <w:r>
              <w:rPr>
                <w:color w:val="000000"/>
                <w:spacing w:val="0"/>
                <w:w w:val="100"/>
                <w:position w:val="0"/>
              </w:rPr>
              <w:t>亿元，其中人民币</w:t>
            </w:r>
            <w:r>
              <w:rPr>
                <w:rFonts w:ascii="Times New Roman" w:eastAsia="Times New Roman" w:hAnsi="Times New Roman" w:cs="Times New Roman"/>
                <w:color w:val="000000"/>
                <w:spacing w:val="0"/>
                <w:w w:val="100"/>
                <w:position w:val="0"/>
              </w:rPr>
              <w:t>17.99</w:t>
            </w:r>
            <w:r>
              <w:rPr>
                <w:color w:val="000000"/>
                <w:spacing w:val="0"/>
                <w:w w:val="100"/>
                <w:position w:val="0"/>
              </w:rPr>
              <w:t>亿元为专用设备 销售收入，约占当年营业收入的</w:t>
            </w:r>
            <w:r>
              <w:rPr>
                <w:rFonts w:ascii="Times New Roman" w:eastAsia="Times New Roman" w:hAnsi="Times New Roman" w:cs="Times New Roman"/>
                <w:color w:val="000000"/>
                <w:spacing w:val="0"/>
                <w:w w:val="100"/>
                <w:position w:val="0"/>
              </w:rPr>
              <w:t>79.12%</w:t>
            </w:r>
            <w:r>
              <w:rPr>
                <w:color w:val="000000"/>
                <w:spacing w:val="0"/>
                <w:w w:val="100"/>
                <w:position w:val="0"/>
              </w:rPr>
              <w:t>。</w:t>
            </w:r>
          </w:p>
          <w:p>
            <w:pPr>
              <w:pStyle w:val="Style25"/>
              <w:keepNext w:val="0"/>
              <w:keepLines w:val="0"/>
              <w:widowControl w:val="0"/>
              <w:shd w:val="clear" w:color="auto" w:fill="auto"/>
              <w:bidi w:val="0"/>
              <w:spacing w:before="0" w:after="220" w:line="266" w:lineRule="exact"/>
              <w:ind w:left="0" w:right="0" w:firstLine="0"/>
              <w:jc w:val="both"/>
            </w:pPr>
            <w:r>
              <w:rPr>
                <w:color w:val="000000"/>
                <w:spacing w:val="0"/>
                <w:w w:val="100"/>
                <w:position w:val="0"/>
              </w:rPr>
              <w:t>中微公司生产专用设备并销售给各地客户，并 于客户确认验收接受该专用设备之后于当期 确认销售收入。</w:t>
            </w:r>
          </w:p>
          <w:p>
            <w:pPr>
              <w:pStyle w:val="Style2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由于中微公司专用设备销售收入占营业收入 的绝大部分，其金额重大。我们对中微公司的 专用设备销售收入确认进行了大量的审计工 作，因此，我们将其确定为关键审计事项。</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240" w:line="283" w:lineRule="exact"/>
              <w:ind w:left="0" w:right="0" w:firstLine="0"/>
              <w:jc w:val="both"/>
            </w:pPr>
            <w:r>
              <w:rPr>
                <w:color w:val="000000"/>
                <w:spacing w:val="0"/>
                <w:w w:val="100"/>
                <w:position w:val="0"/>
              </w:rPr>
              <w:t>我们对中微公司专用设备销售收入确认实施 的审计程序包括：</w:t>
            </w:r>
          </w:p>
          <w:p>
            <w:pPr>
              <w:pStyle w:val="Style2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我们了解、评估和测试了与销售收入相关的内 部控制。</w:t>
            </w:r>
          </w:p>
          <w:p>
            <w:pPr>
              <w:pStyle w:val="Style2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我们检查了中微公司主要客户的销售合同及 订单，包括检查了中微公司与客户的主要合作 条款，评估了中微公司收入确认的相关会计政 策。</w:t>
            </w:r>
          </w:p>
          <w:p>
            <w:pPr>
              <w:pStyle w:val="Style2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我们采用抽样的方法，执行了如下程序，以测 试产品销售收入的确认：</w:t>
            </w:r>
          </w:p>
          <w:p>
            <w:pPr>
              <w:pStyle w:val="Style25"/>
              <w:keepNext w:val="0"/>
              <w:keepLines w:val="0"/>
              <w:widowControl w:val="0"/>
              <w:numPr>
                <w:ilvl w:val="0"/>
                <w:numId w:val="47"/>
              </w:numPr>
              <w:shd w:val="clear" w:color="auto" w:fill="auto"/>
              <w:tabs>
                <w:tab w:pos="418" w:val="left"/>
              </w:tabs>
              <w:bidi w:val="0"/>
              <w:spacing w:before="0" w:after="0" w:line="274" w:lineRule="exact"/>
              <w:ind w:left="0" w:right="0" w:firstLine="0"/>
              <w:jc w:val="both"/>
            </w:pPr>
            <w:r>
              <w:rPr>
                <w:color w:val="000000"/>
                <w:spacing w:val="0"/>
                <w:w w:val="100"/>
                <w:position w:val="0"/>
              </w:rPr>
              <w:t>检查相关收入确认的支持性文件，如销售 合同、销售订单、销售货运单、客户验收接受 单据等；</w:t>
            </w:r>
          </w:p>
          <w:p>
            <w:pPr>
              <w:pStyle w:val="Style25"/>
              <w:keepNext w:val="0"/>
              <w:keepLines w:val="0"/>
              <w:widowControl w:val="0"/>
              <w:numPr>
                <w:ilvl w:val="0"/>
                <w:numId w:val="47"/>
              </w:numPr>
              <w:shd w:val="clear" w:color="auto" w:fill="auto"/>
              <w:tabs>
                <w:tab w:pos="418" w:val="left"/>
              </w:tabs>
              <w:bidi w:val="0"/>
              <w:spacing w:before="0" w:after="240" w:line="274" w:lineRule="exact"/>
              <w:ind w:left="0" w:right="0" w:firstLine="0"/>
              <w:jc w:val="both"/>
            </w:pPr>
            <w:r>
              <w:rPr>
                <w:color w:val="000000"/>
                <w:spacing w:val="0"/>
                <w:w w:val="100"/>
                <w:position w:val="0"/>
              </w:rPr>
              <w:t>基于交易金额、性质和客户特点的考虑， 向特定客户函证交易金额及应收账款的余额；</w:t>
            </w:r>
          </w:p>
        </w:tc>
      </w:tr>
    </w:tbl>
    <w:p>
      <w:pPr>
        <w:widowControl w:val="0"/>
        <w:spacing w:line="1" w:lineRule="exact"/>
      </w:pPr>
      <w:r>
        <w:br w:type="page"/>
      </w:r>
    </w:p>
    <w:tbl>
      <w:tblPr>
        <w:tblOverlap w:val="never"/>
        <w:jc w:val="center"/>
        <w:tblLayout w:type="fixed"/>
      </w:tblPr>
      <w:tblGrid>
        <w:gridCol w:w="4416"/>
        <w:gridCol w:w="4421"/>
      </w:tblGrid>
      <w:tr>
        <w:trPr>
          <w:trHeight w:val="2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tabs>
                <w:tab w:pos="418" w:val="left"/>
              </w:tabs>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tab/>
            </w:r>
            <w:r>
              <w:rPr>
                <w:color w:val="000000"/>
                <w:spacing w:val="0"/>
                <w:w w:val="100"/>
                <w:position w:val="0"/>
              </w:rPr>
              <w:t>针对资产负债表日前后的产品销售收入</w:t>
            </w:r>
          </w:p>
          <w:p>
            <w:pPr>
              <w:pStyle w:val="Style2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进行测试，将收入确认记录与货运单据及客户 验收接受单据等支持性文件进行核对，评估相 关产品销售收入是否确认在适用的会计期间。 此外，我们实施了包括对主要客户进行背景调 查、同行业毛利分析，以及其他和专用设备销 售收入确认相关的审计程序。</w:t>
            </w:r>
          </w:p>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基于我们所执行的审计工作，中微公司专用设 备销售收入的确认符合其收入确认的会计政 策。</w:t>
            </w:r>
          </w:p>
        </w:tc>
      </w:tr>
      <w:tr>
        <w:trPr>
          <w:trHeight w:val="53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开发支出资本化</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我们对中微公司开发支出资本化实施的审计 程序包括：</w:t>
            </w:r>
          </w:p>
        </w:tc>
      </w:tr>
      <w:tr>
        <w:trPr>
          <w:trHeight w:val="787"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（29</w:t>
            </w:r>
            <w:r>
              <w:rPr>
                <w:color w:val="000000"/>
                <w:spacing w:val="0"/>
                <w:w w:val="100"/>
                <w:position w:val="0"/>
              </w:rPr>
              <w:t xml:space="preserve">广无形资产''、附注七 </w:t>
            </w:r>
            <w:r>
              <w:rPr>
                <w:rFonts w:ascii="Times New Roman" w:eastAsia="Times New Roman" w:hAnsi="Times New Roman" w:cs="Times New Roman"/>
                <w:color w:val="000000"/>
                <w:spacing w:val="0"/>
                <w:w w:val="100"/>
                <w:position w:val="0"/>
              </w:rPr>
              <w:t>（27）“</w:t>
            </w:r>
            <w:r>
              <w:rPr>
                <w:color w:val="000000"/>
                <w:spacing w:val="0"/>
                <w:w w:val="100"/>
                <w:position w:val="0"/>
              </w:rPr>
              <w:t>开发支出</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我们了解、评估和测试了中微公司开发支出有 关的内部控制。</w:t>
            </w:r>
          </w:p>
        </w:tc>
      </w:tr>
      <w:tr>
        <w:trPr>
          <w:trHeight w:val="1061"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日，中微公司资本化开 发支出余额约为</w:t>
            </w:r>
            <w:r>
              <w:rPr>
                <w:rFonts w:ascii="Times New Roman" w:eastAsia="Times New Roman" w:hAnsi="Times New Roman" w:cs="Times New Roman"/>
                <w:color w:val="000000"/>
                <w:spacing w:val="0"/>
                <w:w w:val="100"/>
                <w:position w:val="0"/>
              </w:rPr>
              <w:t>2.71</w:t>
            </w:r>
            <w:r>
              <w:rPr>
                <w:color w:val="000000"/>
                <w:spacing w:val="0"/>
                <w:w w:val="100"/>
                <w:position w:val="0"/>
              </w:rPr>
              <w:t>亿元，当年发生资本化开 发支出金额约为</w:t>
            </w:r>
            <w:r>
              <w:rPr>
                <w:rFonts w:ascii="Times New Roman" w:eastAsia="Times New Roman" w:hAnsi="Times New Roman" w:cs="Times New Roman"/>
                <w:color w:val="000000"/>
                <w:spacing w:val="0"/>
                <w:w w:val="100"/>
                <w:position w:val="0"/>
              </w:rPr>
              <w:t>0.77</w:t>
            </w:r>
            <w:r>
              <w:rPr>
                <w:color w:val="000000"/>
                <w:spacing w:val="0"/>
                <w:w w:val="100"/>
                <w:position w:val="0"/>
              </w:rPr>
              <w:t>亿元。</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我们采用抽样的方法：</w:t>
            </w:r>
          </w:p>
          <w:p>
            <w:pPr>
              <w:pStyle w:val="Style25"/>
              <w:keepNext w:val="0"/>
              <w:keepLines w:val="0"/>
              <w:widowControl w:val="0"/>
              <w:shd w:val="clear" w:color="auto" w:fill="auto"/>
              <w:tabs>
                <w:tab w:pos="41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tab/>
            </w:r>
            <w:r>
              <w:rPr>
                <w:color w:val="000000"/>
                <w:spacing w:val="0"/>
                <w:w w:val="100"/>
                <w:position w:val="0"/>
              </w:rPr>
              <w:t>检查了研发项目立项文件、试制样机初步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研制完成相关测试报告及管理层评审记录等</w:t>
            </w:r>
          </w:p>
        </w:tc>
      </w:tr>
      <w:tr>
        <w:trPr>
          <w:trHeight w:val="161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中微公司管理层对于试制样机初步完成研制 至大规模生产之前所发生的相关成本作为开 发阶段支出。对于开发阶段支出，当同时满足 如下所列的所有开发支出资本化条件时才予 以资本化：</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40" w:line="254" w:lineRule="exact"/>
              <w:ind w:left="0" w:right="0" w:firstLine="0"/>
              <w:jc w:val="both"/>
            </w:pPr>
            <w:r>
              <w:rPr>
                <w:color w:val="000000"/>
                <w:spacing w:val="0"/>
                <w:w w:val="100"/>
                <w:position w:val="0"/>
              </w:rPr>
              <w:t>文件，核查了资本化项目是否已进入开发阶 段；</w:t>
            </w:r>
          </w:p>
          <w:p>
            <w:pPr>
              <w:pStyle w:val="Style25"/>
              <w:keepNext w:val="0"/>
              <w:keepLines w:val="0"/>
              <w:widowControl w:val="0"/>
              <w:numPr>
                <w:ilvl w:val="0"/>
                <w:numId w:val="49"/>
              </w:numPr>
              <w:shd w:val="clear" w:color="auto" w:fill="auto"/>
              <w:tabs>
                <w:tab w:pos="418" w:val="left"/>
              </w:tabs>
              <w:bidi w:val="0"/>
              <w:spacing w:before="0" w:after="40" w:line="266" w:lineRule="exact"/>
              <w:ind w:left="0" w:right="0" w:firstLine="0"/>
              <w:jc w:val="both"/>
            </w:pPr>
            <w:r>
              <w:rPr>
                <w:color w:val="000000"/>
                <w:spacing w:val="0"/>
                <w:w w:val="100"/>
                <w:position w:val="0"/>
              </w:rPr>
              <w:t xml:space="preserve">检查了 </w:t>
            </w:r>
            <w:r>
              <w:rPr>
                <w:rFonts w:ascii="Times New Roman" w:eastAsia="Times New Roman" w:hAnsi="Times New Roman" w:cs="Times New Roman"/>
                <w:color w:val="000000"/>
                <w:spacing w:val="0"/>
                <w:w w:val="100"/>
                <w:position w:val="0"/>
              </w:rPr>
              <w:t>（1 ）</w:t>
            </w:r>
            <w:r>
              <w:rPr>
                <w:color w:val="000000"/>
                <w:spacing w:val="0"/>
                <w:w w:val="100"/>
                <w:position w:val="0"/>
              </w:rPr>
              <w:t>开发项目立项文件及其他技术 团队项目论证文件；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管理层批准的项目开发 预算；</w:t>
            </w:r>
          </w:p>
          <w:p>
            <w:pPr>
              <w:pStyle w:val="Style25"/>
              <w:keepNext w:val="0"/>
              <w:keepLines w:val="0"/>
              <w:widowControl w:val="0"/>
              <w:numPr>
                <w:ilvl w:val="0"/>
                <w:numId w:val="49"/>
              </w:numPr>
              <w:shd w:val="clear" w:color="auto" w:fill="auto"/>
              <w:tabs>
                <w:tab w:pos="422" w:val="left"/>
              </w:tabs>
              <w:bidi w:val="0"/>
              <w:spacing w:before="0" w:after="40" w:line="276" w:lineRule="auto"/>
              <w:ind w:left="0" w:right="0" w:firstLine="0"/>
              <w:jc w:val="both"/>
            </w:pPr>
            <w:r>
              <w:rPr>
                <w:color w:val="000000"/>
                <w:spacing w:val="0"/>
                <w:w w:val="100"/>
                <w:position w:val="0"/>
              </w:rPr>
              <w:t>我们通过收集相关市场信息，评估管理层</w:t>
            </w:r>
          </w:p>
        </w:tc>
      </w:tr>
      <w:tr>
        <w:trPr>
          <w:trHeight w:val="3043" w:hRule="exact"/>
        </w:trPr>
        <w:tc>
          <w:tcPr>
            <w:tcBorders>
              <w:left w:val="single" w:sz="4"/>
              <w:bottom w:val="single" w:sz="4"/>
            </w:tcBorders>
            <w:shd w:val="clear" w:color="auto" w:fill="FFFFFF"/>
            <w:vAlign w:val="top"/>
          </w:tcPr>
          <w:p>
            <w:pPr>
              <w:pStyle w:val="Style25"/>
              <w:keepNext w:val="0"/>
              <w:keepLines w:val="0"/>
              <w:widowControl w:val="0"/>
              <w:numPr>
                <w:ilvl w:val="0"/>
                <w:numId w:val="51"/>
              </w:numPr>
              <w:shd w:val="clear" w:color="auto" w:fill="auto"/>
              <w:tabs>
                <w:tab w:pos="422" w:val="left"/>
              </w:tabs>
              <w:bidi w:val="0"/>
              <w:spacing w:before="0" w:after="0" w:line="273" w:lineRule="exact"/>
              <w:ind w:left="0" w:right="0" w:firstLine="0"/>
              <w:jc w:val="both"/>
            </w:pPr>
            <w:r>
              <w:rPr>
                <w:color w:val="000000"/>
                <w:spacing w:val="0"/>
                <w:w w:val="100"/>
                <w:position w:val="0"/>
              </w:rPr>
              <w:t>生产工艺的开发已经技术团队进行充分 论证；</w:t>
            </w:r>
          </w:p>
          <w:p>
            <w:pPr>
              <w:pStyle w:val="Style25"/>
              <w:keepNext w:val="0"/>
              <w:keepLines w:val="0"/>
              <w:widowControl w:val="0"/>
              <w:numPr>
                <w:ilvl w:val="0"/>
                <w:numId w:val="51"/>
              </w:numPr>
              <w:shd w:val="clear" w:color="auto" w:fill="auto"/>
              <w:tabs>
                <w:tab w:pos="422" w:val="left"/>
              </w:tabs>
              <w:bidi w:val="0"/>
              <w:spacing w:before="0" w:after="0" w:line="273" w:lineRule="exact"/>
              <w:ind w:left="0" w:right="0" w:firstLine="0"/>
              <w:jc w:val="both"/>
            </w:pPr>
            <w:r>
              <w:rPr>
                <w:color w:val="000000"/>
                <w:spacing w:val="0"/>
                <w:w w:val="100"/>
                <w:position w:val="0"/>
              </w:rPr>
              <w:t>管理层已批准生产工艺开发的预算；</w:t>
            </w:r>
          </w:p>
          <w:p>
            <w:pPr>
              <w:pStyle w:val="Style25"/>
              <w:keepNext w:val="0"/>
              <w:keepLines w:val="0"/>
              <w:widowControl w:val="0"/>
              <w:numPr>
                <w:ilvl w:val="0"/>
                <w:numId w:val="51"/>
              </w:numPr>
              <w:shd w:val="clear" w:color="auto" w:fill="auto"/>
              <w:tabs>
                <w:tab w:pos="422" w:val="left"/>
              </w:tabs>
              <w:bidi w:val="0"/>
              <w:spacing w:before="0" w:after="0" w:line="273" w:lineRule="exact"/>
              <w:ind w:left="0" w:right="0" w:firstLine="0"/>
              <w:jc w:val="both"/>
            </w:pPr>
            <w:r>
              <w:rPr>
                <w:color w:val="000000"/>
                <w:spacing w:val="0"/>
                <w:w w:val="100"/>
                <w:position w:val="0"/>
              </w:rPr>
              <w:t>前期市场调研的研究分析说明生产工艺 所生产的产品具有市场推广能力；</w:t>
            </w:r>
          </w:p>
          <w:p>
            <w:pPr>
              <w:pStyle w:val="Style25"/>
              <w:keepNext w:val="0"/>
              <w:keepLines w:val="0"/>
              <w:widowControl w:val="0"/>
              <w:numPr>
                <w:ilvl w:val="0"/>
                <w:numId w:val="51"/>
              </w:numPr>
              <w:shd w:val="clear" w:color="auto" w:fill="auto"/>
              <w:tabs>
                <w:tab w:pos="418" w:val="left"/>
              </w:tabs>
              <w:bidi w:val="0"/>
              <w:spacing w:before="0" w:after="0" w:line="273" w:lineRule="exact"/>
              <w:ind w:left="0" w:right="0" w:firstLine="0"/>
              <w:jc w:val="both"/>
            </w:pPr>
            <w:r>
              <w:rPr>
                <w:color w:val="000000"/>
                <w:spacing w:val="0"/>
                <w:w w:val="100"/>
                <w:position w:val="0"/>
              </w:rPr>
              <w:t>有足够的技术和资金支持，以进行生产工 艺的开发活动及后续的大规模生产；以及</w:t>
            </w:r>
          </w:p>
          <w:p>
            <w:pPr>
              <w:pStyle w:val="Style25"/>
              <w:keepNext w:val="0"/>
              <w:keepLines w:val="0"/>
              <w:widowControl w:val="0"/>
              <w:numPr>
                <w:ilvl w:val="0"/>
                <w:numId w:val="51"/>
              </w:numPr>
              <w:shd w:val="clear" w:color="auto" w:fill="auto"/>
              <w:tabs>
                <w:tab w:pos="422" w:val="left"/>
              </w:tabs>
              <w:bidi w:val="0"/>
              <w:spacing w:before="0" w:after="0" w:line="273" w:lineRule="exact"/>
              <w:ind w:left="0" w:right="0" w:firstLine="0"/>
              <w:jc w:val="both"/>
            </w:pPr>
            <w:r>
              <w:rPr>
                <w:color w:val="000000"/>
                <w:spacing w:val="0"/>
                <w:w w:val="100"/>
                <w:position w:val="0"/>
              </w:rPr>
              <w:t>生产工艺开发的支出能够可靠地归集。</w:t>
            </w:r>
          </w:p>
          <w:p>
            <w:pPr>
              <w:pStyle w:val="Style25"/>
              <w:keepNext w:val="0"/>
              <w:keepLines w:val="0"/>
              <w:widowControl w:val="0"/>
              <w:shd w:val="clear" w:color="auto" w:fill="auto"/>
              <w:bidi w:val="0"/>
              <w:spacing w:before="0" w:after="0" w:line="273" w:lineRule="exact"/>
              <w:ind w:left="0" w:right="0" w:firstLine="0"/>
              <w:jc w:val="both"/>
            </w:pPr>
            <w:r>
              <w:rPr>
                <w:color w:val="000000"/>
                <w:spacing w:val="0"/>
                <w:w w:val="100"/>
                <w:position w:val="0"/>
              </w:rPr>
              <w:t>由于开发支出资本化涉及重大会计判断且金 额重大，我们将开发支出资本化确定为关键审 计事项。</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的开发项目预期经济利益的分析；</w:t>
            </w:r>
          </w:p>
          <w:p>
            <w:pPr>
              <w:pStyle w:val="Style25"/>
              <w:keepNext w:val="0"/>
              <w:keepLines w:val="0"/>
              <w:widowControl w:val="0"/>
              <w:numPr>
                <w:ilvl w:val="0"/>
                <w:numId w:val="53"/>
              </w:numPr>
              <w:shd w:val="clear" w:color="auto" w:fill="auto"/>
              <w:tabs>
                <w:tab w:pos="427" w:val="left"/>
              </w:tabs>
              <w:bidi w:val="0"/>
              <w:spacing w:before="0" w:after="0" w:line="274" w:lineRule="exact"/>
              <w:ind w:left="0" w:right="0" w:firstLine="0"/>
              <w:jc w:val="both"/>
            </w:pPr>
            <w:r>
              <w:rPr>
                <w:color w:val="000000"/>
                <w:spacing w:val="0"/>
                <w:w w:val="100"/>
                <w:position w:val="0"/>
              </w:rPr>
              <w:t>结合中微公司目前资金及技术储备，评估 管理层对于开发项目及后续生产提供的资金 以及技术资源支持计划的合理性；</w:t>
            </w:r>
          </w:p>
          <w:p>
            <w:pPr>
              <w:pStyle w:val="Style25"/>
              <w:keepNext w:val="0"/>
              <w:keepLines w:val="0"/>
              <w:widowControl w:val="0"/>
              <w:numPr>
                <w:ilvl w:val="0"/>
                <w:numId w:val="53"/>
              </w:numPr>
              <w:shd w:val="clear" w:color="auto" w:fill="auto"/>
              <w:tabs>
                <w:tab w:pos="422" w:val="left"/>
              </w:tabs>
              <w:bidi w:val="0"/>
              <w:spacing w:before="0" w:after="0" w:line="277" w:lineRule="exact"/>
              <w:ind w:left="0" w:right="0" w:firstLine="0"/>
              <w:jc w:val="both"/>
            </w:pPr>
            <w:r>
              <w:rPr>
                <w:color w:val="000000"/>
                <w:spacing w:val="0"/>
                <w:w w:val="100"/>
                <w:position w:val="0"/>
              </w:rPr>
              <w:t>检查了研发成本支出的支持性文件，核对 发生的研发支出的成本费用归集范围是否恰 当，研发支出的发生是否真实，是否与相关研 发活动切实相关。</w:t>
            </w:r>
          </w:p>
          <w:p>
            <w:pPr>
              <w:pStyle w:val="Style25"/>
              <w:keepNext w:val="0"/>
              <w:keepLines w:val="0"/>
              <w:widowControl w:val="0"/>
              <w:shd w:val="clear" w:color="auto" w:fill="auto"/>
              <w:bidi w:val="0"/>
              <w:spacing w:before="0" w:after="0" w:line="277" w:lineRule="exact"/>
              <w:ind w:left="0" w:right="0" w:firstLine="0"/>
              <w:jc w:val="both"/>
            </w:pPr>
            <w:r>
              <w:rPr>
                <w:color w:val="000000"/>
                <w:spacing w:val="0"/>
                <w:w w:val="100"/>
                <w:position w:val="0"/>
              </w:rPr>
              <w:t>基于所实施的审计程序，我们取得的审计证据 可以支持管理层对开发支出资本化所做出的 会计判断。</w:t>
            </w:r>
          </w:p>
        </w:tc>
      </w:tr>
    </w:tbl>
    <w:p>
      <w:pPr>
        <w:widowControl w:val="0"/>
        <w:spacing w:after="219" w:line="1" w:lineRule="exact"/>
      </w:pPr>
    </w:p>
    <w:p>
      <w:pPr>
        <w:pStyle w:val="Style35"/>
        <w:keepNext/>
        <w:keepLines/>
        <w:widowControl w:val="0"/>
        <w:shd w:val="clear" w:color="auto" w:fill="auto"/>
        <w:bidi w:val="0"/>
        <w:spacing w:before="0" w:after="220" w:line="270" w:lineRule="exact"/>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四</w:t>
      </w:r>
      <w:bookmarkEnd w:id="781"/>
      <w:r>
        <w:rPr>
          <w:color w:val="000000"/>
          <w:spacing w:val="0"/>
          <w:w w:val="100"/>
          <w:position w:val="0"/>
        </w:rPr>
        <w:t>、其他信息</w:t>
      </w:r>
      <w:bookmarkEnd w:id="779"/>
      <w:bookmarkEnd w:id="780"/>
      <w:bookmarkEnd w:id="782"/>
    </w:p>
    <w:p>
      <w:pPr>
        <w:pStyle w:val="Style2"/>
        <w:keepNext w:val="0"/>
        <w:keepLines w:val="0"/>
        <w:widowControl w:val="0"/>
        <w:shd w:val="clear" w:color="auto" w:fill="auto"/>
        <w:bidi w:val="0"/>
        <w:spacing w:before="0" w:after="220" w:line="274" w:lineRule="exact"/>
        <w:ind w:left="0" w:right="0" w:firstLine="0"/>
        <w:jc w:val="left"/>
      </w:pPr>
      <w:r>
        <w:rPr>
          <w:color w:val="000000"/>
          <w:spacing w:val="0"/>
          <w:w w:val="100"/>
          <w:position w:val="0"/>
        </w:rPr>
        <w:t>中微公司管理层对其他信息负责。其他信息包括中微公司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 包括财务报表和我们的审计报告。</w:t>
      </w:r>
    </w:p>
    <w:p>
      <w:pPr>
        <w:pStyle w:val="Style2"/>
        <w:keepNext w:val="0"/>
        <w:keepLines w:val="0"/>
        <w:widowControl w:val="0"/>
        <w:shd w:val="clear" w:color="auto" w:fill="auto"/>
        <w:bidi w:val="0"/>
        <w:spacing w:before="0" w:after="220" w:line="269" w:lineRule="exact"/>
        <w:ind w:left="0" w:right="0" w:firstLine="0"/>
        <w:jc w:val="left"/>
      </w:pPr>
      <w:r>
        <w:rPr>
          <w:color w:val="000000"/>
          <w:spacing w:val="0"/>
          <w:w w:val="100"/>
          <w:position w:val="0"/>
        </w:rPr>
        <w:t>我们对财务报表发表的审计意见不涵盖其他信息，我们也不对其他信息发表任何形式的鉴证结 论。</w:t>
      </w:r>
    </w:p>
    <w:p>
      <w:pPr>
        <w:pStyle w:val="Style2"/>
        <w:keepNext w:val="0"/>
        <w:keepLines w:val="0"/>
        <w:widowControl w:val="0"/>
        <w:shd w:val="clear" w:color="auto" w:fill="auto"/>
        <w:bidi w:val="0"/>
        <w:spacing w:before="0" w:after="220" w:line="270" w:lineRule="exact"/>
        <w:ind w:left="0" w:right="0" w:firstLine="0"/>
        <w:jc w:val="left"/>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务报表或我们在审计过程中了解到的情况存在重大不一致或者似乎存在重大错报。基于我们已经 执行的工作，如果我们确定其他信息存在重大错报，我们应当报告该事实。在这方面，我们无任 何事项需要报告。</w:t>
      </w:r>
    </w:p>
    <w:p>
      <w:pPr>
        <w:pStyle w:val="Style35"/>
        <w:keepNext/>
        <w:keepLines/>
        <w:widowControl w:val="0"/>
        <w:shd w:val="clear" w:color="auto" w:fill="auto"/>
        <w:tabs>
          <w:tab w:pos="448" w:val="left"/>
        </w:tabs>
        <w:bidi w:val="0"/>
        <w:spacing w:before="0" w:after="240" w:line="274" w:lineRule="exact"/>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五</w:t>
      </w:r>
      <w:bookmarkEnd w:id="785"/>
      <w:r>
        <w:rPr>
          <w:color w:val="000000"/>
          <w:spacing w:val="0"/>
          <w:w w:val="100"/>
          <w:position w:val="0"/>
        </w:rPr>
        <w:t>、</w:t>
        <w:tab/>
        <w:t>管理层和治理层对财务报表的责任</w:t>
      </w:r>
      <w:bookmarkEnd w:id="783"/>
      <w:bookmarkEnd w:id="784"/>
      <w:bookmarkEnd w:id="786"/>
    </w:p>
    <w:p>
      <w:pPr>
        <w:pStyle w:val="Style2"/>
        <w:keepNext w:val="0"/>
        <w:keepLines w:val="0"/>
        <w:widowControl w:val="0"/>
        <w:shd w:val="clear" w:color="auto" w:fill="auto"/>
        <w:bidi w:val="0"/>
        <w:spacing w:before="0" w:after="240" w:line="264" w:lineRule="exact"/>
        <w:ind w:left="0" w:right="0" w:firstLine="0"/>
        <w:jc w:val="left"/>
      </w:pPr>
      <w:r>
        <w:rPr>
          <w:color w:val="000000"/>
          <w:spacing w:val="0"/>
          <w:w w:val="100"/>
          <w:position w:val="0"/>
        </w:rPr>
        <w:t>中微公司管理层负责按照企业会计准则的规定编制财务报表，使其实现公允反映，并设计、执行 和维护必要的内部控制，以使财务报表不存在由于舞弊或错误导致的重大错报。</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在编制财务报表时，管理层负责评估中微公司的持续经营能力，披露与持续经营相关的事项</w:t>
      </w:r>
      <w:r>
        <w:rPr>
          <w:rFonts w:ascii="Times New Roman" w:eastAsia="Times New Roman" w:hAnsi="Times New Roman" w:cs="Times New Roman"/>
          <w:color w:val="000000"/>
          <w:spacing w:val="0"/>
          <w:w w:val="100"/>
          <w:position w:val="0"/>
        </w:rPr>
        <w:t>（</w:t>
      </w:r>
      <w:r>
        <w:rPr>
          <w:color w:val="000000"/>
          <w:spacing w:val="0"/>
          <w:w w:val="100"/>
          <w:position w:val="0"/>
        </w:rPr>
        <w:t>如 适用</w:t>
      </w:r>
      <w:r>
        <w:rPr>
          <w:rFonts w:ascii="Times New Roman" w:eastAsia="Times New Roman" w:hAnsi="Times New Roman" w:cs="Times New Roman"/>
          <w:color w:val="000000"/>
          <w:spacing w:val="0"/>
          <w:w w:val="100"/>
          <w:position w:val="0"/>
        </w:rPr>
        <w:t>）</w:t>
      </w:r>
      <w:r>
        <w:rPr>
          <w:color w:val="000000"/>
          <w:spacing w:val="0"/>
          <w:w w:val="100"/>
          <w:position w:val="0"/>
        </w:rPr>
        <w:t>，并运用持续经营假设，除非管理层计划清算中微公司、终止运营或别无其他现实的选 择。</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治理层负责监督中微公司的财务报告过程。</w:t>
      </w:r>
    </w:p>
    <w:p>
      <w:pPr>
        <w:pStyle w:val="Style35"/>
        <w:keepNext/>
        <w:keepLines/>
        <w:widowControl w:val="0"/>
        <w:shd w:val="clear" w:color="auto" w:fill="auto"/>
        <w:tabs>
          <w:tab w:pos="453" w:val="left"/>
        </w:tabs>
        <w:bidi w:val="0"/>
        <w:spacing w:before="0" w:after="240" w:line="274" w:lineRule="exact"/>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六</w:t>
      </w:r>
      <w:bookmarkEnd w:id="789"/>
      <w:r>
        <w:rPr>
          <w:color w:val="000000"/>
          <w:spacing w:val="0"/>
          <w:w w:val="100"/>
          <w:position w:val="0"/>
        </w:rPr>
        <w:t>、</w:t>
        <w:tab/>
        <w:t>注册会计师对财务报表审计的责任</w:t>
      </w:r>
      <w:bookmarkEnd w:id="787"/>
      <w:bookmarkEnd w:id="788"/>
      <w:bookmarkEnd w:id="790"/>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 某一重大错报存在时总能发现。错报可能由于舞弊或错误导致，如果合理预期错报单独或汇总起 来可能影响财务报表使用者依据财务报表作出的经济决策，则通常认为错报是重大的。</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在按照审计准则执行审计工作的过程中，我们运用职业判断，并保持职业怀疑。同时，我们也执 行以下工作：</w:t>
      </w:r>
    </w:p>
    <w:p>
      <w:pPr>
        <w:pStyle w:val="Style2"/>
        <w:keepNext w:val="0"/>
        <w:keepLines w:val="0"/>
        <w:widowControl w:val="0"/>
        <w:shd w:val="clear" w:color="auto" w:fill="auto"/>
        <w:tabs>
          <w:tab w:pos="501" w:val="left"/>
        </w:tabs>
        <w:bidi w:val="0"/>
        <w:spacing w:before="0" w:after="240" w:line="274" w:lineRule="exact"/>
        <w:ind w:left="0" w:right="0" w:firstLine="0"/>
        <w:jc w:val="left"/>
      </w:pPr>
      <w:bookmarkStart w:id="791" w:name="bookmark791"/>
      <w:r>
        <w:rPr>
          <w:rFonts w:ascii="Times New Roman" w:eastAsia="Times New Roman" w:hAnsi="Times New Roman" w:cs="Times New Roman"/>
          <w:color w:val="000000"/>
          <w:spacing w:val="0"/>
          <w:w w:val="100"/>
          <w:position w:val="0"/>
        </w:rPr>
        <w:t>（</w:t>
      </w:r>
      <w:bookmarkEnd w:id="79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2"/>
        <w:keepNext w:val="0"/>
        <w:keepLines w:val="0"/>
        <w:widowControl w:val="0"/>
        <w:shd w:val="clear" w:color="auto" w:fill="auto"/>
        <w:tabs>
          <w:tab w:pos="501" w:val="left"/>
        </w:tabs>
        <w:bidi w:val="0"/>
        <w:spacing w:before="0" w:after="240" w:line="274" w:lineRule="exact"/>
        <w:ind w:left="0" w:right="0" w:firstLine="0"/>
        <w:jc w:val="left"/>
      </w:pPr>
      <w:bookmarkStart w:id="792" w:name="bookmark792"/>
      <w:r>
        <w:rPr>
          <w:rFonts w:ascii="Times New Roman" w:eastAsia="Times New Roman" w:hAnsi="Times New Roman" w:cs="Times New Roman"/>
          <w:color w:val="000000"/>
          <w:spacing w:val="0"/>
          <w:w w:val="100"/>
          <w:position w:val="0"/>
        </w:rPr>
        <w:t>（</w:t>
      </w:r>
      <w:bookmarkEnd w:id="79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w:t>
      </w:r>
    </w:p>
    <w:p>
      <w:pPr>
        <w:pStyle w:val="Style2"/>
        <w:keepNext w:val="0"/>
        <w:keepLines w:val="0"/>
        <w:widowControl w:val="0"/>
        <w:shd w:val="clear" w:color="auto" w:fill="auto"/>
        <w:tabs>
          <w:tab w:pos="501" w:val="left"/>
        </w:tabs>
        <w:bidi w:val="0"/>
        <w:spacing w:before="0" w:after="240" w:line="274" w:lineRule="exact"/>
        <w:ind w:left="0" w:right="0" w:firstLine="0"/>
        <w:jc w:val="left"/>
      </w:pPr>
      <w:bookmarkStart w:id="793" w:name="bookmark793"/>
      <w:r>
        <w:rPr>
          <w:rFonts w:ascii="Times New Roman" w:eastAsia="Times New Roman" w:hAnsi="Times New Roman" w:cs="Times New Roman"/>
          <w:color w:val="000000"/>
          <w:spacing w:val="0"/>
          <w:w w:val="100"/>
          <w:position w:val="0"/>
        </w:rPr>
        <w:t>（</w:t>
      </w:r>
      <w:bookmarkEnd w:id="79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2"/>
        <w:keepNext w:val="0"/>
        <w:keepLines w:val="0"/>
        <w:widowControl w:val="0"/>
        <w:shd w:val="clear" w:color="auto" w:fill="auto"/>
        <w:bidi w:val="0"/>
        <w:spacing w:before="0" w:after="240" w:line="272" w:lineRule="exact"/>
        <w:ind w:left="0" w:right="0" w:firstLine="0"/>
        <w:jc w:val="left"/>
      </w:pPr>
      <w:bookmarkStart w:id="794" w:name="bookmark794"/>
      <w:r>
        <w:rPr>
          <w:rFonts w:ascii="Times New Roman" w:eastAsia="Times New Roman" w:hAnsi="Times New Roman" w:cs="Times New Roman"/>
          <w:color w:val="000000"/>
          <w:spacing w:val="0"/>
          <w:w w:val="100"/>
          <w:position w:val="0"/>
        </w:rPr>
        <w:t>（</w:t>
      </w:r>
      <w:bookmarkEnd w:id="79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对管理层使用持续经营假设的恰当性得出结论。同时，根据获取的审计证据，就可能导致 对中微公司持续经营能力产生重大疑虑的事项或情况是否存在重大不确定性得出结论。如果我们 得出结论认为存在重大不确定性，审计准则要求我们在审计报告中提请报表使用者注意财务报表 中的相关披露；如果披露不充分，我们应当发表非无保留意见。我们的结论基于截至审计报告日 可获得的信息。然而，未来的事项或情况可能导致中微公司不能持续经营。</w:t>
      </w:r>
    </w:p>
    <w:p>
      <w:pPr>
        <w:pStyle w:val="Style2"/>
        <w:keepNext w:val="0"/>
        <w:keepLines w:val="0"/>
        <w:widowControl w:val="0"/>
        <w:shd w:val="clear" w:color="auto" w:fill="auto"/>
        <w:bidi w:val="0"/>
        <w:spacing w:before="0" w:after="240" w:line="274" w:lineRule="exact"/>
        <w:ind w:left="0" w:right="0" w:firstLine="0"/>
        <w:jc w:val="left"/>
      </w:pPr>
      <w:bookmarkStart w:id="795" w:name="bookmark795"/>
      <w:r>
        <w:rPr>
          <w:rFonts w:ascii="Times New Roman" w:eastAsia="Times New Roman" w:hAnsi="Times New Roman" w:cs="Times New Roman"/>
          <w:color w:val="000000"/>
          <w:spacing w:val="0"/>
          <w:w w:val="100"/>
          <w:position w:val="0"/>
        </w:rPr>
        <w:t>（</w:t>
      </w:r>
      <w:bookmarkEnd w:id="795"/>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评价财务报表的总体列报</w:t>
      </w:r>
      <w:r>
        <w:rPr>
          <w:rFonts w:ascii="Times New Roman" w:eastAsia="Times New Roman" w:hAnsi="Times New Roman" w:cs="Times New Roman"/>
          <w:color w:val="000000"/>
          <w:spacing w:val="0"/>
          <w:w w:val="100"/>
          <w:position w:val="0"/>
        </w:rPr>
        <w:t>（</w:t>
      </w:r>
      <w:r>
        <w:rPr>
          <w:color w:val="000000"/>
          <w:spacing w:val="0"/>
          <w:w w:val="100"/>
          <w:position w:val="0"/>
        </w:rPr>
        <w:t>包括披露</w:t>
      </w:r>
      <w:r>
        <w:rPr>
          <w:rFonts w:ascii="Times New Roman" w:eastAsia="Times New Roman" w:hAnsi="Times New Roman" w:cs="Times New Roman"/>
          <w:color w:val="000000"/>
          <w:spacing w:val="0"/>
          <w:w w:val="100"/>
          <w:position w:val="0"/>
        </w:rPr>
        <w:t>）</w:t>
      </w:r>
      <w:r>
        <w:rPr>
          <w:color w:val="000000"/>
          <w:spacing w:val="0"/>
          <w:w w:val="100"/>
          <w:position w:val="0"/>
        </w:rPr>
        <w:t>、结构和内容，并评价财务报表是否公允反映相关交易 和事项。</w:t>
      </w:r>
    </w:p>
    <w:p>
      <w:pPr>
        <w:pStyle w:val="Style2"/>
        <w:keepNext w:val="0"/>
        <w:keepLines w:val="0"/>
        <w:widowControl w:val="0"/>
        <w:shd w:val="clear" w:color="auto" w:fill="auto"/>
        <w:tabs>
          <w:tab w:pos="501" w:val="left"/>
        </w:tabs>
        <w:bidi w:val="0"/>
        <w:spacing w:before="0" w:after="240" w:line="269" w:lineRule="exact"/>
        <w:ind w:left="0" w:right="0" w:firstLine="0"/>
        <w:jc w:val="left"/>
      </w:pPr>
      <w:bookmarkStart w:id="796" w:name="bookmark796"/>
      <w:r>
        <w:rPr>
          <w:rFonts w:ascii="Times New Roman" w:eastAsia="Times New Roman" w:hAnsi="Times New Roman" w:cs="Times New Roman"/>
          <w:color w:val="000000"/>
          <w:spacing w:val="0"/>
          <w:w w:val="100"/>
          <w:position w:val="0"/>
        </w:rPr>
        <w:t>（</w:t>
      </w:r>
      <w:bookmarkEnd w:id="796"/>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就中微公司中实体或业务活动的财务信息获取充分、适当的审计证据，以对合并财务报表 发表审计意见。我们负责指导、监督和执行集团审计，并对审计意见承担全部责任。</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 形下，如果合理预期在审计报告中沟通某事项造成的负面后果超过在公众利益方面产生的益处， 我们确定不应在审计报告中沟通该事项。</w:t>
      </w:r>
      <w:r>
        <w:br w:type="page"/>
      </w:r>
    </w:p>
    <w:p>
      <w:pPr>
        <w:widowControl w:val="0"/>
        <w:spacing w:line="1" w:lineRule="exact"/>
      </w:pPr>
      <w:r>
        <mc:AlternateContent>
          <mc:Choice Requires="wps">
            <w:drawing>
              <wp:anchor distT="0" distB="1202055" distL="0" distR="0" simplePos="0" relativeHeight="125829386" behindDoc="0" locked="0" layoutInCell="1" allowOverlap="1">
                <wp:simplePos x="0" y="0"/>
                <wp:positionH relativeFrom="page">
                  <wp:posOffset>1201420</wp:posOffset>
                </wp:positionH>
                <wp:positionV relativeFrom="paragraph">
                  <wp:posOffset>0</wp:posOffset>
                </wp:positionV>
                <wp:extent cx="1715770" cy="353695"/>
                <wp:wrapTopAndBottom/>
                <wp:docPr id="195" name="Shape 195"/>
                <a:graphic xmlns:a="http://schemas.openxmlformats.org/drawingml/2006/main">
                  <a:graphicData uri="http://schemas.microsoft.com/office/word/2010/wordprocessingShape">
                    <wps:wsp>
                      <wps:cNvSpPr txBox="1"/>
                      <wps:spPr>
                        <a:xfrm>
                          <a:ext cx="1715770" cy="35369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普华永道中天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wps:txbx>
                      <wps:bodyPr lIns="0" tIns="0" rIns="0" bIns="0">
                        <a:noAutoFit/>
                      </wps:bodyPr>
                    </wps:wsp>
                  </a:graphicData>
                </a:graphic>
              </wp:anchor>
            </w:drawing>
          </mc:Choice>
          <mc:Fallback>
            <w:pict>
              <v:shape id="_x0000_s1221" type="#_x0000_t202" style="position:absolute;margin-left:94.600000000000009pt;margin-top:0;width:135.09999999999999pt;height:27.850000000000001pt;z-index:-125829367;mso-wrap-distance-left:0;mso-wrap-distance-right:0;mso-wrap-distance-bottom:94.650000000000006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普华永道中天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0" distB="1384935" distL="0" distR="0" simplePos="0" relativeHeight="125829388" behindDoc="0" locked="0" layoutInCell="1" allowOverlap="1">
                <wp:simplePos x="0" y="0"/>
                <wp:positionH relativeFrom="page">
                  <wp:posOffset>3736975</wp:posOffset>
                </wp:positionH>
                <wp:positionV relativeFrom="paragraph">
                  <wp:posOffset>0</wp:posOffset>
                </wp:positionV>
                <wp:extent cx="694690" cy="170815"/>
                <wp:wrapTopAndBottom/>
                <wp:docPr id="197" name="Shape 197"/>
                <a:graphic xmlns:a="http://schemas.openxmlformats.org/drawingml/2006/main">
                  <a:graphicData uri="http://schemas.microsoft.com/office/word/2010/wordprocessingShape">
                    <wps:wsp>
                      <wps:cNvSpPr txBox="1"/>
                      <wps:spPr>
                        <a:xfrm>
                          <a:ext cx="69469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注册会计师</w:t>
                            </w:r>
                          </w:p>
                        </w:txbxContent>
                      </wps:txbx>
                      <wps:bodyPr wrap="none" lIns="0" tIns="0" rIns="0" bIns="0">
                        <a:noAutoFit/>
                      </wps:bodyPr>
                    </wps:wsp>
                  </a:graphicData>
                </a:graphic>
              </wp:anchor>
            </w:drawing>
          </mc:Choice>
          <mc:Fallback>
            <w:pict>
              <v:shape id="_x0000_s1223" type="#_x0000_t202" style="position:absolute;margin-left:294.25pt;margin-top:0;width:54.700000000000003pt;height:13.450000000000001pt;z-index:-125829365;mso-wrap-distance-left:0;mso-wrap-distance-right:0;mso-wrap-distance-bottom:109.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注册会计师</w:t>
                      </w:r>
                    </w:p>
                  </w:txbxContent>
                </v:textbox>
                <w10:wrap type="topAndBottom" anchorx="page"/>
              </v:shape>
            </w:pict>
          </mc:Fallback>
        </mc:AlternateContent>
      </w:r>
      <w:r>
        <mc:AlternateContent>
          <mc:Choice Requires="wps">
            <w:drawing>
              <wp:anchor distT="0" distB="1376045" distL="0" distR="0" simplePos="0" relativeHeight="125829390" behindDoc="0" locked="0" layoutInCell="1" allowOverlap="1">
                <wp:simplePos x="0" y="0"/>
                <wp:positionH relativeFrom="page">
                  <wp:posOffset>4709795</wp:posOffset>
                </wp:positionH>
                <wp:positionV relativeFrom="paragraph">
                  <wp:posOffset>0</wp:posOffset>
                </wp:positionV>
                <wp:extent cx="1115695" cy="179705"/>
                <wp:wrapTopAndBottom/>
                <wp:docPr id="199" name="Shape 199"/>
                <a:graphic xmlns:a="http://schemas.openxmlformats.org/drawingml/2006/main">
                  <a:graphicData uri="http://schemas.microsoft.com/office/word/2010/wordprocessingShape">
                    <wps:wsp>
                      <wps:cNvSpPr txBox="1"/>
                      <wps:spPr>
                        <a:xfrm>
                          <a:ext cx="111569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赵波</w:t>
                            </w:r>
                            <w:r>
                              <w:rPr>
                                <w:rFonts w:ascii="Times New Roman" w:eastAsia="Times New Roman" w:hAnsi="Times New Roman" w:cs="Times New Roman"/>
                                <w:color w:val="000000"/>
                                <w:spacing w:val="0"/>
                                <w:w w:val="100"/>
                                <w:position w:val="0"/>
                              </w:rPr>
                              <w:t>（</w:t>
                            </w:r>
                            <w:r>
                              <w:rPr>
                                <w:color w:val="000000"/>
                                <w:spacing w:val="0"/>
                                <w:w w:val="100"/>
                                <w:position w:val="0"/>
                              </w:rPr>
                              <w:t>项目合伙人</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225" type="#_x0000_t202" style="position:absolute;margin-left:370.85000000000002pt;margin-top:0;width:87.850000000000009pt;height:14.15pt;z-index:-125829363;mso-wrap-distance-left:0;mso-wrap-distance-right:0;mso-wrap-distance-bottom:108.3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赵波</w:t>
                      </w:r>
                      <w:r>
                        <w:rPr>
                          <w:rFonts w:ascii="Times New Roman" w:eastAsia="Times New Roman" w:hAnsi="Times New Roman" w:cs="Times New Roman"/>
                          <w:color w:val="000000"/>
                          <w:spacing w:val="0"/>
                          <w:w w:val="100"/>
                          <w:position w:val="0"/>
                        </w:rPr>
                        <w:t>（</w:t>
                      </w:r>
                      <w:r>
                        <w:rPr>
                          <w:color w:val="000000"/>
                          <w:spacing w:val="0"/>
                          <w:w w:val="100"/>
                          <w:position w:val="0"/>
                        </w:rPr>
                        <w:t>项目合伙人</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807720" distB="406400" distL="0" distR="0" simplePos="0" relativeHeight="125829392" behindDoc="0" locked="0" layoutInCell="1" allowOverlap="1">
                <wp:simplePos x="0" y="0"/>
                <wp:positionH relativeFrom="page">
                  <wp:posOffset>1198245</wp:posOffset>
                </wp:positionH>
                <wp:positionV relativeFrom="paragraph">
                  <wp:posOffset>807720</wp:posOffset>
                </wp:positionV>
                <wp:extent cx="1063625" cy="341630"/>
                <wp:wrapTopAndBottom/>
                <wp:docPr id="201" name="Shape 201"/>
                <a:graphic xmlns:a="http://schemas.openxmlformats.org/drawingml/2006/main">
                  <a:graphicData uri="http://schemas.microsoft.com/office/word/2010/wordprocessingShape">
                    <wps:wsp>
                      <wps:cNvSpPr txBox="1"/>
                      <wps:spPr>
                        <a:xfrm>
                          <a:ext cx="1063625" cy="3416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上海市</w:t>
                            </w: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227" type="#_x0000_t202" style="position:absolute;margin-left:94.350000000000009pt;margin-top:63.600000000000001pt;width:83.75pt;height:26.900000000000002pt;z-index:-125829361;mso-wrap-distance-left:0;mso-wrap-distance-top:63.600000000000001pt;mso-wrap-distance-right:0;mso-wrap-distance-bottom:3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上海市</w:t>
                      </w: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xbxContent>
                </v:textbox>
                <w10:wrap type="topAndBottom" anchorx="page"/>
              </v:shape>
            </w:pict>
          </mc:Fallback>
        </mc:AlternateContent>
      </w:r>
      <w:r>
        <mc:AlternateContent>
          <mc:Choice Requires="wps">
            <w:drawing>
              <wp:anchor distT="941705" distB="443230" distL="0" distR="0" simplePos="0" relativeHeight="125829394" behindDoc="0" locked="0" layoutInCell="1" allowOverlap="1">
                <wp:simplePos x="0" y="0"/>
                <wp:positionH relativeFrom="page">
                  <wp:posOffset>3736975</wp:posOffset>
                </wp:positionH>
                <wp:positionV relativeFrom="paragraph">
                  <wp:posOffset>941705</wp:posOffset>
                </wp:positionV>
                <wp:extent cx="1731010" cy="170815"/>
                <wp:wrapTopAndBottom/>
                <wp:docPr id="203" name="Shape 203"/>
                <a:graphic xmlns:a="http://schemas.openxmlformats.org/drawingml/2006/main">
                  <a:graphicData uri="http://schemas.microsoft.com/office/word/2010/wordprocessingShape">
                    <wps:wsp>
                      <wps:cNvSpPr txBox="1"/>
                      <wps:spPr>
                        <a:xfrm>
                          <a:ext cx="1731010" cy="170815"/>
                        </a:xfrm>
                        <a:prstGeom prst="rect"/>
                        <a:noFill/>
                      </wps:spPr>
                      <wps:txbx>
                        <w:txbxContent>
                          <w:p>
                            <w:pPr>
                              <w:pStyle w:val="Style2"/>
                              <w:keepNext w:val="0"/>
                              <w:keepLines w:val="0"/>
                              <w:widowControl w:val="0"/>
                              <w:shd w:val="clear" w:color="auto" w:fill="auto"/>
                              <w:tabs>
                                <w:tab w:pos="1632" w:val="left"/>
                              </w:tabs>
                              <w:bidi w:val="0"/>
                              <w:spacing w:before="0" w:after="0" w:line="240" w:lineRule="auto"/>
                              <w:ind w:left="0" w:right="0" w:firstLine="0"/>
                              <w:jc w:val="center"/>
                            </w:pPr>
                            <w:r>
                              <w:rPr>
                                <w:color w:val="000000"/>
                                <w:spacing w:val="0"/>
                                <w:w w:val="100"/>
                                <w:position w:val="0"/>
                              </w:rPr>
                              <w:t>注册会计师</w:t>
                              <w:tab/>
                              <w:t>孙吾伊</w:t>
                            </w:r>
                          </w:p>
                        </w:txbxContent>
                      </wps:txbx>
                      <wps:bodyPr wrap="none" lIns="0" tIns="0" rIns="0" bIns="0">
                        <a:noAutoFit/>
                      </wps:bodyPr>
                    </wps:wsp>
                  </a:graphicData>
                </a:graphic>
              </wp:anchor>
            </w:drawing>
          </mc:Choice>
          <mc:Fallback>
            <w:pict>
              <v:shape id="_x0000_s1229" type="#_x0000_t202" style="position:absolute;margin-left:294.25pt;margin-top:74.150000000000006pt;width:136.30000000000001pt;height:13.450000000000001pt;z-index:-125829359;mso-wrap-distance-left:0;mso-wrap-distance-top:74.150000000000006pt;mso-wrap-distance-right:0;mso-wrap-distance-bottom:34.899999999999999pt;mso-position-horizontal-relative:page" filled="f" stroked="f">
                <v:textbox inset="0,0,0,0">
                  <w:txbxContent>
                    <w:p>
                      <w:pPr>
                        <w:pStyle w:val="Style2"/>
                        <w:keepNext w:val="0"/>
                        <w:keepLines w:val="0"/>
                        <w:widowControl w:val="0"/>
                        <w:shd w:val="clear" w:color="auto" w:fill="auto"/>
                        <w:tabs>
                          <w:tab w:pos="1632" w:val="left"/>
                        </w:tabs>
                        <w:bidi w:val="0"/>
                        <w:spacing w:before="0" w:after="0" w:line="240" w:lineRule="auto"/>
                        <w:ind w:left="0" w:right="0" w:firstLine="0"/>
                        <w:jc w:val="center"/>
                      </w:pPr>
                      <w:r>
                        <w:rPr>
                          <w:color w:val="000000"/>
                          <w:spacing w:val="0"/>
                          <w:w w:val="100"/>
                          <w:position w:val="0"/>
                        </w:rPr>
                        <w:t>注册会计师</w:t>
                        <w:tab/>
                        <w:t>孙吾伊</w:t>
                      </w:r>
                    </w:p>
                  </w:txbxContent>
                </v:textbox>
                <w10:wrap type="topAndBottom" anchorx="page"/>
              </v:shape>
            </w:pict>
          </mc:Fallback>
        </mc:AlternateContent>
      </w:r>
    </w:p>
    <w:p>
      <w:pPr>
        <w:pStyle w:val="Style35"/>
        <w:keepNext/>
        <w:keepLines/>
        <w:widowControl w:val="0"/>
        <w:shd w:val="clear" w:color="auto" w:fill="auto"/>
        <w:bidi w:val="0"/>
        <w:spacing w:before="0" w:after="100" w:line="240" w:lineRule="auto"/>
        <w:ind w:left="0" w:right="0" w:firstLine="0"/>
        <w:jc w:val="left"/>
      </w:pPr>
      <w:bookmarkStart w:id="797" w:name="bookmark797"/>
      <w:bookmarkStart w:id="798" w:name="bookmark798"/>
      <w:bookmarkStart w:id="799" w:name="bookmark799"/>
      <w:r>
        <w:rPr>
          <w:color w:val="000000"/>
          <w:spacing w:val="0"/>
          <w:w w:val="100"/>
          <w:position w:val="0"/>
        </w:rPr>
        <w:t>二、财务报表</w:t>
      </w:r>
      <w:bookmarkEnd w:id="797"/>
      <w:bookmarkEnd w:id="798"/>
      <w:bookmarkEnd w:id="799"/>
    </w:p>
    <w:p>
      <w:pPr>
        <w:pStyle w:val="Style35"/>
        <w:keepNext/>
        <w:keepLines/>
        <w:widowControl w:val="0"/>
        <w:shd w:val="clear" w:color="auto" w:fill="auto"/>
        <w:bidi w:val="0"/>
        <w:spacing w:before="0" w:after="100" w:line="240" w:lineRule="auto"/>
        <w:ind w:left="0" w:right="0" w:firstLine="0"/>
        <w:jc w:val="center"/>
      </w:pPr>
      <w:bookmarkStart w:id="797" w:name="bookmark797"/>
      <w:bookmarkStart w:id="798" w:name="bookmark798"/>
      <w:bookmarkStart w:id="800" w:name="bookmark800"/>
      <w:r>
        <w:rPr>
          <w:color w:val="000000"/>
          <w:spacing w:val="0"/>
          <w:w w:val="100"/>
          <w:position w:val="0"/>
        </w:rPr>
        <w:t>合并资产负债表</w:t>
      </w:r>
      <w:bookmarkEnd w:id="797"/>
      <w:bookmarkEnd w:id="798"/>
      <w:bookmarkEnd w:id="800"/>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编制单位：中微半导体设备（上海）股份有限公司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1,131,669,784.82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944,808,769.63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1,505,200,119.62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1,367,735,787.66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105,477,921.32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79,202,578.94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278,869,785.15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287,227,747.19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9,102,717.62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19,141,104.17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32,808,408.70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5,890,325.08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1,874,350.10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1,063,864,875.83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1,087,971,705.59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70,641,210.02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54,312,682.07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4,197,634,823.08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3,846,290,700.33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32,208,048.56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31,251,192.58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424,269,937.29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168,929,494.97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7,447,415.65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7,860,909.07</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182,946,651.32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154,798,804.99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13,944,386.94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7,567,294.96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289,266,460.84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295,758,028.50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271,208,056.35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231,603,182.86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2,734,115.91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8,308,821.56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21,685,874.22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1,603,242,072.86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927,763,603.71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5,800,876,895.94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4,774,054,304.04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422,217,875.80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221,679,872.59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517,498,868.04</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592,139,816.14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_</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106,560,316.11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86,079,601.37</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18,933,391.30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6,010,415.65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29,998,179.58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24,836,762.97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62,781,288.38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39,990,773.90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1,232,630,867.31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896,096,294.52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3,385,625.20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16,067,280.23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37,908,758.39</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173,156,162.00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88,836,145.60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6,329,976.78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198,939,044.21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126,744,903.99</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1,431,569,911.52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1,022,841,198.51</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534,862,237.00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534,862,237.00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3,819,339,882.51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3,688,892,805.25</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-21,987,926.37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-17,322,422.32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69,631,992.01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26,767,419.64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-32,788,490.39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-482,123,079.33</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4,369,057,694.76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3,751,076,960.24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249,289.66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136,145.29</w:t>
            </w:r>
          </w:p>
        </w:tc>
      </w:tr>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4,369,306,984.42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3,751,213,105.53</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5,800,876,895.94</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4,774,054,304.04</w:t>
            </w:r>
          </w:p>
        </w:tc>
      </w:tr>
    </w:tbl>
    <w:p>
      <w:pPr>
        <w:widowControl w:val="0"/>
        <w:spacing w:after="179" w:line="1" w:lineRule="exact"/>
      </w:pPr>
    </w:p>
    <w:p>
      <w:pPr>
        <w:pStyle w:val="Style2"/>
        <w:keepNext w:val="0"/>
        <w:keepLines w:val="0"/>
        <w:widowControl w:val="0"/>
        <w:shd w:val="clear" w:color="auto" w:fill="auto"/>
        <w:bidi w:val="0"/>
        <w:spacing w:before="0" w:after="260" w:line="293"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 人：陈伟文</w:t>
      </w:r>
    </w:p>
    <w:p>
      <w:pPr>
        <w:pStyle w:val="Style2"/>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br/>
        <w:t>编制单位</w:t>
      </w:r>
      <w:r>
        <w:rPr>
          <w:rFonts w:ascii="Times New Roman" w:eastAsia="Times New Roman" w:hAnsi="Times New Roman" w:cs="Times New Roman"/>
          <w:color w:val="000000"/>
          <w:spacing w:val="0"/>
          <w:w w:val="100"/>
          <w:position w:val="0"/>
        </w:rPr>
        <w:t>:</w:t>
      </w:r>
      <w:r>
        <w:rPr>
          <w:color w:val="000000"/>
          <w:spacing w:val="0"/>
          <w:w w:val="100"/>
          <w:position w:val="0"/>
        </w:rPr>
        <w:t>中微半导体设备（上海）股份有限公司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964,659,736.16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675,618,057.40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1,445,200,119.62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1,267,234,897.26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409,482,811.02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490,008,130.78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6,899,490.72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13,343,988.03</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6,279,653.00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37,178,954.32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1,858,454.66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950,886,971.84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918,281,645.26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41,460,058.52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1,429,237.02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3,824,868,840.88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3,403,094,910.07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4,536,488.24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4,500,187.13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763,146,972.07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295,612,262.07</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235,055,000.00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177,424,743.45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147,768,534.91</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4,734,684.69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7,567,294.96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289,185,330.67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295,376,798.00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271,208,056.35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231,603,182.86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1,750,291,275.47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982,428,259.93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5,575,160,116.35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4,385,523,170.00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405,478,403.03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204,357,346.10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79,099,502.48</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400,756,163.11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80,936,842.93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61,145,655.97</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7,266,212.34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3,527,203.43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82,660,006.51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81,771,807.98</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28,085,346.58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30,846,627.23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1,005,182,974.50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460,748,143.19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3,385,625.20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837,310.04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8,469,206.03</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173,156,162.00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88,836,145.60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6,329,976.78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183,709,074.02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97,305,351.63</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1,188,892,048.52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558,053,494.82</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534,862,237.00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534,862,237.00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3,145,117,623.30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3,014,664,758.86</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69,631,992.01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26,767,419.64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636,956,411.00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251,175,259.68</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4,386,268,067.83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3,827,469,675.18</w:t>
            </w:r>
          </w:p>
        </w:tc>
      </w:tr>
      <w:tr>
        <w:trPr>
          <w:trHeight w:val="57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5,575,160,116.35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4,385,523,170.00</w:t>
            </w:r>
          </w:p>
        </w:tc>
      </w:tr>
    </w:tbl>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 人：陈伟文</w:t>
      </w:r>
    </w:p>
    <w:p>
      <w:pPr>
        <w:widowControl w:val="0"/>
        <w:spacing w:after="299" w:line="1" w:lineRule="exact"/>
      </w:pPr>
    </w:p>
    <w:p>
      <w:pPr>
        <w:pStyle w:val="Style35"/>
        <w:keepNext/>
        <w:keepLines/>
        <w:widowControl w:val="0"/>
        <w:shd w:val="clear" w:color="auto" w:fill="auto"/>
        <w:bidi w:val="0"/>
        <w:spacing w:before="0" w:after="80" w:line="240" w:lineRule="auto"/>
        <w:ind w:left="0" w:right="0" w:firstLine="0"/>
        <w:jc w:val="center"/>
      </w:pPr>
      <w:bookmarkStart w:id="801" w:name="bookmark801"/>
      <w:bookmarkStart w:id="802" w:name="bookmark802"/>
      <w:bookmarkStart w:id="803" w:name="bookmark803"/>
      <w:r>
        <w:rPr>
          <w:color w:val="000000"/>
          <w:spacing w:val="0"/>
          <w:w w:val="100"/>
          <w:position w:val="0"/>
        </w:rPr>
        <w:t>合并利润表</w:t>
      </w:r>
      <w:bookmarkEnd w:id="801"/>
      <w:bookmarkEnd w:id="802"/>
      <w:bookmarkEnd w:id="803"/>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2,273,291,898.06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1,946,949,250.75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2,273,291,898.06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1,946,949,250.75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2,131,867,176.08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1,807,380,802.14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1,417,050,103.40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1,266,894,868.37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1,853,296.26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2,184,906.78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236,663,836.29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196,968,842.38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153,003,346.20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108,841,554.44</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330,721,402.07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233,729,647.57</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-7,424,808.14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-1,239,017.40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797,537.44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9,774,035.37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14,168,064.82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106,137,676.62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103,732,740.52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27,014,730.35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1,553,792.50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-17,348,516.45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-12,566,282.74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257,464,331.96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7,735,787.66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-189,697.64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-2,764,023.63</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-16,986,044.49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-49,673,147.49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-2,234,720.02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514,823,346.11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197,918,878.15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95,433.28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495,010.26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2,221,977.29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31,653.37</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512,696,802.10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198,382,235.04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20,390,283.60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9,799,428.32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492,306,518.50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188,582,806.72</w:t>
            </w: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i/>
                <w:iCs/>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492,306,518.50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188,582,806.72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终止经营净利润（净亏损以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 （净亏损以号填列）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492,199,161.31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188,564,219.09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107,357.19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18,587.63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-4,665,504.05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1,677,862.75</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-4,665,504.05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1,677,862.75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-4,665,504.05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1,677,862.75</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-4,365,308.57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1,677,862.75</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487,641,014.45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190,260,669.47</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487,533,657.26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190,242,081.84</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107,357.19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18,587.63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bl>
    <w:p>
      <w:pPr>
        <w:widowControl w:val="0"/>
        <w:spacing w:after="239" w:line="1" w:lineRule="exact"/>
      </w:pP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 人：陈伟文</w:t>
      </w:r>
    </w:p>
    <w:p>
      <w:pPr>
        <w:pStyle w:val="Style35"/>
        <w:keepNext/>
        <w:keepLines/>
        <w:widowControl w:val="0"/>
        <w:shd w:val="clear" w:color="auto" w:fill="auto"/>
        <w:bidi w:val="0"/>
        <w:spacing w:before="0" w:after="100" w:line="276" w:lineRule="exact"/>
        <w:ind w:left="0" w:right="0" w:firstLine="0"/>
        <w:jc w:val="center"/>
      </w:pPr>
      <w:bookmarkStart w:id="804" w:name="bookmark804"/>
      <w:bookmarkStart w:id="805" w:name="bookmark805"/>
      <w:bookmarkStart w:id="806" w:name="bookmark806"/>
      <w:r>
        <w:rPr>
          <w:color w:val="000000"/>
          <w:spacing w:val="0"/>
          <w:w w:val="100"/>
          <w:position w:val="0"/>
        </w:rPr>
        <w:t>母公司利润表</w:t>
      </w:r>
      <w:bookmarkEnd w:id="804"/>
      <w:bookmarkEnd w:id="805"/>
      <w:bookmarkEnd w:id="806"/>
    </w:p>
    <w:p>
      <w:pPr>
        <w:pStyle w:val="Style58"/>
        <w:keepNext w:val="0"/>
        <w:keepLines w:val="0"/>
        <w:widowControl w:val="0"/>
        <w:shd w:val="clear" w:color="auto" w:fill="auto"/>
        <w:bidi w:val="0"/>
        <w:spacing w:before="0" w:after="0" w:line="288"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1,987,682,271.30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1,710,712,555.78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1,309,891,197.97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1,151,155,993.28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1,074,661.18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1,258,125.57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88,863,770.14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73,853,507.67</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122,156,993.49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85,460,492.92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302,716,185.48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197,883,164.02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-124,584.54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-580,998.49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797,537.44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7,471,302.76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11,709,299.78</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10,590,811.22</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8,913,893.18</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24,752,382.46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775,682.92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-17,348,516.45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-12,566,282.74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257,965,222.36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7,234,897.26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-945,887.46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5,343,029.39</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-18,503,617.65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-49,737,676.75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-497,255.23</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436,920,585.84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173,714,841.58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65,006.46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64,011.51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1,750,862.43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6,469.41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435,234,729.87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173,772,383.68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6,589,006.18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2,616,052.53</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428,645,723.69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171,156,331.15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6" w:lineRule="exact"/>
              <w:ind w:left="0" w:right="0" w:firstLine="320"/>
              <w:jc w:val="both"/>
            </w:pPr>
            <w:r>
              <w:rPr>
                <w:color w:val="000000"/>
                <w:spacing w:val="0"/>
                <w:w w:val="100"/>
                <w:position w:val="0"/>
              </w:rPr>
              <w:t>（一）持续经营净利润（净亏损 以</w:t>
            </w:r>
            <w:r>
              <w:rPr>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428,645,723.69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171,156,331.15</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320"/>
              <w:jc w:val="both"/>
            </w:pPr>
            <w:r>
              <w:rPr>
                <w:color w:val="000000"/>
                <w:spacing w:val="0"/>
                <w:w w:val="100"/>
                <w:position w:val="0"/>
              </w:rPr>
              <w:t>（二）终止经营净利润（净亏损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-300,195.48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428,345,528.21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171,156,331.15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
        <w:keepNext w:val="0"/>
        <w:keepLines w:val="0"/>
        <w:widowControl w:val="0"/>
        <w:shd w:val="clear" w:color="auto" w:fill="auto"/>
        <w:bidi w:val="0"/>
        <w:spacing w:before="0" w:after="760" w:line="293"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 人：陈伟文</w:t>
      </w:r>
    </w:p>
    <w:p>
      <w:pPr>
        <w:pStyle w:val="Style35"/>
        <w:keepNext/>
        <w:keepLines/>
        <w:widowControl w:val="0"/>
        <w:shd w:val="clear" w:color="auto" w:fill="auto"/>
        <w:bidi w:val="0"/>
        <w:spacing w:before="0" w:after="0" w:line="240" w:lineRule="auto"/>
        <w:ind w:left="0" w:right="0" w:firstLine="0"/>
        <w:jc w:val="center"/>
      </w:pPr>
      <w:bookmarkStart w:id="807" w:name="bookmark807"/>
      <w:bookmarkStart w:id="808" w:name="bookmark808"/>
      <w:bookmarkStart w:id="809" w:name="bookmark809"/>
      <w:r>
        <w:rPr>
          <w:color w:val="000000"/>
          <w:spacing w:val="0"/>
          <w:w w:val="100"/>
          <w:position w:val="0"/>
        </w:rPr>
        <w:t>合并现金流量表</w:t>
      </w:r>
      <w:bookmarkEnd w:id="807"/>
      <w:bookmarkEnd w:id="808"/>
      <w:bookmarkEnd w:id="809"/>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2,428,017,644.20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1,993,214,420.17</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45,307,152.14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50,629,287.03</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463,271,926.96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242,555,925.86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2,936,596,723.30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2,286,399,633.06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1,517,838,447.35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1,643,846,200.39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370,889,290.30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286,807,088.18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120,286,655.88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103,700,147.60</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81,289,474.73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118,775,205.35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2,090,303,868.26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2,153,128,641.52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846,292,855.04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133,270,991.54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4,319,949,951.88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1,857,000,000.00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44,884,419.89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20,095,019.90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305,031.83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4,376,904,371.77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1,877,400,051.73</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251,789,687.97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44,915,673.73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4,587,288,546.90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2,998,299,732.22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74,675,786.06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163,122,286.09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4,913,754,020.93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3,206,337,692.04</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-536,849,649.16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-1,328,937,640.31</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1,463,956,941.78</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35,394,000.00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35,394,000.00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1,463,956,941.78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33,145,000.00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72,063,600.00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887,376.73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1,444,824.58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23,062,716.98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34,850,599.40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96,013,693.71</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543,400.60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1,367,943,248.07</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-25,179,900.09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3,870,722.72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284,806,706.39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176,147,322.02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828,619,907.81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652,472,585.79</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1,113,426,614.20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828,619,907.81</w:t>
            </w:r>
          </w:p>
        </w:tc>
      </w:tr>
    </w:tbl>
    <w:p>
      <w:pPr>
        <w:widowControl w:val="0"/>
        <w:spacing w:after="219" w:line="1" w:lineRule="exact"/>
      </w:pPr>
    </w:p>
    <w:p>
      <w:pPr>
        <w:pStyle w:val="Style2"/>
        <w:keepNext w:val="0"/>
        <w:keepLines w:val="0"/>
        <w:widowControl w:val="0"/>
        <w:shd w:val="clear" w:color="auto" w:fill="auto"/>
        <w:bidi w:val="0"/>
        <w:spacing w:before="0" w:after="300" w:line="293"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（尹志尧）主管会计工作负责人：陈伟文会计机构负责人: 陈伟文</w:t>
      </w:r>
    </w:p>
    <w:p>
      <w:pPr>
        <w:pStyle w:val="Style35"/>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母公司现金流量表</w:t>
      </w:r>
      <w:bookmarkEnd w:id="810"/>
      <w:bookmarkEnd w:id="811"/>
      <w:bookmarkEnd w:id="812"/>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2,391,452,577.15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1,300,929,758.17</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13,521,411.93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394,562,721.65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149,910,989.18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2,799,536,710.73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1,450,840,747.35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1,410,895,052.64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1,290,816,835.48</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266,256,407.42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173,482,706.66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55,659,105.41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33,681,844.33</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52,782,215.82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94,135,998.54</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1,785,592,781.29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1,592,117,385.01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1,013,943,929.44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-141,276,637.66</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4,030,700,000.00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1,747,000,000.00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42,622,072.00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19,316,910.32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55,735.80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4,073,322,072.00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1,766,372,646.12</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54,705,806.92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38,012,405.90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4,542,288,546.90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2,766,613,858.00</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74,675,786.06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163,122,286.09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4,671,670,139.88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2,967,748,549.99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-598,348,067.88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-1,201,375,903.87</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1,463,806,941.78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35,394,000.00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35,394,000.00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1,463,806,941.78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33,145,000.00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72,063,600.00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887,376.73</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1,444,824.58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23,062,716.98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34,850,599.40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96,013,693.71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543,400.60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1,367,793,248.07</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-19,788,303.54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2,796,283.71</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396,350,958.62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27,936,990.25</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560,450,481.76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532,513,491.51</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956,801,440.38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560,450,481.76</w:t>
            </w:r>
          </w:p>
        </w:tc>
      </w:tr>
    </w:tbl>
    <w:p>
      <w:pPr>
        <w:widowControl w:val="0"/>
        <w:spacing w:after="219" w:line="1" w:lineRule="exact"/>
      </w:pPr>
    </w:p>
    <w:p>
      <w:pPr>
        <w:pStyle w:val="Style2"/>
        <w:keepNext w:val="0"/>
        <w:keepLines w:val="0"/>
        <w:widowControl w:val="0"/>
        <w:shd w:val="clear" w:color="auto" w:fill="auto"/>
        <w:bidi w:val="0"/>
        <w:spacing w:before="0" w:after="0" w:line="293" w:lineRule="exact"/>
        <w:ind w:left="0" w:right="0" w:firstLine="0"/>
        <w:jc w:val="left"/>
        <w:sectPr>
          <w:footnotePr>
            <w:pos w:val="pageBottom"/>
            <w:numFmt w:val="decimal"/>
            <w:numRestart w:val="continuous"/>
          </w:footnotePr>
          <w:pgSz w:w="11900" w:h="16840"/>
          <w:pgMar w:top="1508" w:right="1208" w:bottom="1503" w:left="1731" w:header="0" w:footer="3" w:gutter="0"/>
          <w:cols w:space="720"/>
          <w:noEndnote/>
          <w:rtlGutter w:val="0"/>
          <w:docGrid w:linePitch="360"/>
        </w:sectP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（尹志尧）主管会计工作负责人：陈伟文会计机构负责人：陈 伟文</w:t>
      </w:r>
    </w:p>
    <w:p>
      <w:pPr>
        <w:pStyle w:val="Style35"/>
        <w:keepNext/>
        <w:keepLines/>
        <w:widowControl w:val="0"/>
        <w:shd w:val="clear" w:color="auto" w:fill="auto"/>
        <w:bidi w:val="0"/>
        <w:spacing w:before="300" w:after="0" w:line="240" w:lineRule="auto"/>
        <w:ind w:left="0" w:right="0" w:firstLine="0"/>
        <w:jc w:val="center"/>
      </w:pPr>
      <w:bookmarkStart w:id="813" w:name="bookmark813"/>
      <w:bookmarkStart w:id="814" w:name="bookmark814"/>
      <w:bookmarkStart w:id="815" w:name="bookmark815"/>
      <w:r>
        <w:rPr>
          <w:color w:val="000000"/>
          <w:spacing w:val="0"/>
          <w:w w:val="100"/>
          <w:position w:val="0"/>
        </w:rPr>
        <w:t>合并所有者权益变动表</w:t>
      </w:r>
      <w:bookmarkEnd w:id="813"/>
      <w:bookmarkEnd w:id="814"/>
      <w:bookmarkEnd w:id="815"/>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3"/>
        <w:gridCol w:w="1027"/>
        <w:gridCol w:w="576"/>
        <w:gridCol w:w="581"/>
        <w:gridCol w:w="581"/>
        <w:gridCol w:w="1123"/>
        <w:gridCol w:w="581"/>
        <w:gridCol w:w="965"/>
        <w:gridCol w:w="581"/>
        <w:gridCol w:w="965"/>
        <w:gridCol w:w="576"/>
        <w:gridCol w:w="1032"/>
        <w:gridCol w:w="624"/>
        <w:gridCol w:w="1128"/>
        <w:gridCol w:w="802"/>
        <w:gridCol w:w="1133"/>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680" w:right="0" w:firstLine="0"/>
              <w:jc w:val="left"/>
              <w:rPr>
                <w:sz w:val="12"/>
                <w:szCs w:val="12"/>
              </w:rPr>
            </w:pPr>
            <w:r>
              <w:rPr>
                <w:rFonts w:ascii="Times New Roman" w:eastAsia="Times New Roman" w:hAnsi="Times New Roman" w:cs="Times New Roman"/>
                <w:color w:val="000000"/>
                <w:spacing w:val="0"/>
                <w:w w:val="100"/>
                <w:position w:val="0"/>
                <w:sz w:val="8"/>
                <w:szCs w:val="8"/>
              </w:rPr>
              <w:t>2020</w:t>
            </w:r>
            <w:r>
              <w:rPr>
                <w:rFonts w:ascii="SimHei" w:eastAsia="SimHei" w:hAnsi="SimHei" w:cs="SimHei"/>
                <w:color w:val="000000"/>
                <w:spacing w:val="0"/>
                <w:w w:val="100"/>
                <w:position w:val="0"/>
                <w:sz w:val="12"/>
                <w:szCs w:val="12"/>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68" w:lineRule="exact"/>
              <w:ind w:left="0" w:right="0" w:firstLine="0"/>
              <w:jc w:val="center"/>
              <w:rPr>
                <w:sz w:val="12"/>
                <w:szCs w:val="12"/>
              </w:rPr>
            </w:pPr>
            <w:r>
              <w:rPr>
                <w:rFonts w:ascii="SimHei" w:eastAsia="SimHei" w:hAnsi="SimHei" w:cs="SimHei"/>
                <w:color w:val="000000"/>
                <w:spacing w:val="0"/>
                <w:w w:val="100"/>
                <w:position w:val="0"/>
                <w:sz w:val="12"/>
                <w:szCs w:val="12"/>
              </w:rPr>
              <w:t>少数股东 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实收资本（或</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2"/>
                <w:szCs w:val="12"/>
              </w:rPr>
            </w:pPr>
            <w:r>
              <w:rPr>
                <w:rFonts w:ascii="SimHei" w:eastAsia="SimHei" w:hAnsi="SimHei" w:cs="SimHei"/>
                <w:color w:val="000000"/>
                <w:spacing w:val="0"/>
                <w:w w:val="100"/>
                <w:position w:val="0"/>
                <w:sz w:val="12"/>
                <w:szCs w:val="12"/>
              </w:rPr>
              <w:t>减：</w:t>
            </w:r>
          </w:p>
          <w:p>
            <w:pPr>
              <w:pStyle w:val="Style25"/>
              <w:keepNext w:val="0"/>
              <w:keepLines w:val="0"/>
              <w:widowControl w:val="0"/>
              <w:shd w:val="clear" w:color="auto" w:fill="auto"/>
              <w:bidi w:val="0"/>
              <w:spacing w:before="0" w:after="100" w:line="240" w:lineRule="auto"/>
              <w:ind w:left="0" w:right="0" w:firstLine="0"/>
              <w:jc w:val="center"/>
              <w:rPr>
                <w:sz w:val="12"/>
                <w:szCs w:val="12"/>
              </w:rPr>
            </w:pPr>
            <w:r>
              <w:rPr>
                <w:rFonts w:ascii="SimHei" w:eastAsia="SimHei" w:hAnsi="SimHei" w:cs="SimHei"/>
                <w:color w:val="000000"/>
                <w:spacing w:val="0"/>
                <w:w w:val="100"/>
                <w:position w:val="0"/>
                <w:sz w:val="12"/>
                <w:szCs w:val="12"/>
              </w:rPr>
              <w:t>库存</w:t>
            </w:r>
          </w:p>
          <w:p>
            <w:pPr>
              <w:pStyle w:val="Style25"/>
              <w:keepNext w:val="0"/>
              <w:keepLines w:val="0"/>
              <w:widowControl w:val="0"/>
              <w:shd w:val="clear" w:color="auto" w:fill="auto"/>
              <w:bidi w:val="0"/>
              <w:spacing w:before="0" w:after="100" w:line="240" w:lineRule="auto"/>
              <w:ind w:left="0" w:right="0" w:firstLine="0"/>
              <w:jc w:val="center"/>
              <w:rPr>
                <w:sz w:val="12"/>
                <w:szCs w:val="12"/>
              </w:rPr>
            </w:pPr>
            <w:r>
              <w:rPr>
                <w:rFonts w:ascii="SimHei" w:eastAsia="SimHei" w:hAnsi="SimHei" w:cs="SimHei"/>
                <w:color w:val="000000"/>
                <w:spacing w:val="0"/>
                <w:w w:val="100"/>
                <w:position w:val="0"/>
                <w:sz w:val="12"/>
                <w:szCs w:val="12"/>
              </w:rPr>
              <w:t>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专项</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一般</w:t>
            </w:r>
          </w:p>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风险</w:t>
            </w:r>
          </w:p>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优先</w:t>
            </w:r>
          </w:p>
          <w:p>
            <w:pPr>
              <w:pStyle w:val="Style25"/>
              <w:keepNext w:val="0"/>
              <w:keepLines w:val="0"/>
              <w:widowControl w:val="0"/>
              <w:shd w:val="clear" w:color="auto" w:fill="auto"/>
              <w:bidi w:val="0"/>
              <w:spacing w:before="0" w:after="0" w:line="240" w:lineRule="auto"/>
              <w:ind w:left="0" w:right="0" w:firstLine="220"/>
              <w:jc w:val="left"/>
              <w:rPr>
                <w:sz w:val="12"/>
                <w:szCs w:val="12"/>
              </w:rPr>
            </w:pPr>
            <w:r>
              <w:rPr>
                <w:rFonts w:ascii="SimHei" w:eastAsia="SimHei" w:hAnsi="SimHei" w:cs="SimHei"/>
                <w:color w:val="000000"/>
                <w:spacing w:val="0"/>
                <w:w w:val="100"/>
                <w:position w:val="0"/>
                <w:sz w:val="12"/>
                <w:szCs w:val="12"/>
              </w:rPr>
              <w:t>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60"/>
              <w:jc w:val="left"/>
              <w:rPr>
                <w:sz w:val="12"/>
                <w:szCs w:val="12"/>
              </w:rPr>
            </w:pPr>
            <w:r>
              <w:rPr>
                <w:rFonts w:ascii="SimHei" w:eastAsia="SimHei" w:hAnsi="SimHei" w:cs="SimHei"/>
                <w:color w:val="000000"/>
                <w:spacing w:val="0"/>
                <w:w w:val="100"/>
                <w:position w:val="0"/>
                <w:sz w:val="12"/>
                <w:szCs w:val="12"/>
              </w:rPr>
              <w:t>永续</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3,688,892,805.25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17,322,422.32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26,767,419.64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482,123,079.33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3,751,076,960.24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136,145.29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3,751,213,105.53</w:t>
            </w: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360"/>
              <w:jc w:val="left"/>
              <w:rPr>
                <w:sz w:val="12"/>
                <w:szCs w:val="12"/>
              </w:rPr>
            </w:pPr>
            <w:r>
              <w:rPr>
                <w:rFonts w:ascii="SimHei" w:eastAsia="SimHei" w:hAnsi="SimHei" w:cs="SimHei"/>
                <w:color w:val="000000"/>
                <w:spacing w:val="0"/>
                <w:w w:val="100"/>
                <w:position w:val="0"/>
                <w:sz w:val="12"/>
                <w:szCs w:val="12"/>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3,688,892,805.25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17,322,422.32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26,767,419.64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482,123,079.33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3,751,076,960.24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136,145.29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3,751,213,105.53</w:t>
            </w:r>
          </w:p>
        </w:tc>
      </w:tr>
      <w:tr>
        <w:trPr>
          <w:trHeight w:val="5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5" w:lineRule="exact"/>
              <w:ind w:left="0" w:right="0" w:firstLine="0"/>
              <w:jc w:val="left"/>
              <w:rPr>
                <w:sz w:val="12"/>
                <w:szCs w:val="12"/>
              </w:rPr>
            </w:pPr>
            <w:r>
              <w:rPr>
                <w:rFonts w:ascii="SimHei" w:eastAsia="SimHei" w:hAnsi="SimHei" w:cs="SimHei"/>
                <w:color w:val="000000"/>
                <w:spacing w:val="0"/>
                <w:w w:val="100"/>
                <w:position w:val="0"/>
                <w:sz w:val="12"/>
                <w:szCs w:val="12"/>
              </w:rPr>
              <w:t>三、本期增减变动金额 （减少以“一”号填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130,447,077.26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-4,665,504.05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449,334,588.94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617,980,734.52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113,144.37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618,093,878.89</w:t>
            </w: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-4,665,504.05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492,199,161.31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487,533,657.26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107,357.19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487,641,014.45</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2"/>
                <w:szCs w:val="12"/>
              </w:rPr>
            </w:pPr>
            <w:r>
              <w:rPr>
                <w:rFonts w:ascii="SimHei" w:eastAsia="SimHei" w:hAnsi="SimHei" w:cs="SimHei"/>
                <w:color w:val="000000"/>
                <w:spacing w:val="0"/>
                <w:w w:val="100"/>
                <w:position w:val="0"/>
                <w:sz w:val="12"/>
                <w:szCs w:val="12"/>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118,022,315.69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118,022,315.69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5,787.18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118,028,102.87</w:t>
            </w: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118,022,315.69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118,022,315.69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5,787.18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118,028,102.87</w:t>
            </w: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left"/>
              <w:rPr>
                <w:sz w:val="12"/>
                <w:szCs w:val="12"/>
              </w:rPr>
            </w:pPr>
            <w:r>
              <w:rPr>
                <w:rFonts w:ascii="SimHei" w:eastAsia="SimHei" w:hAnsi="SimHei" w:cs="SimHei"/>
                <w:color w:val="000000"/>
                <w:spacing w:val="0"/>
                <w:w w:val="100"/>
                <w:position w:val="0"/>
                <w:sz w:val="12"/>
                <w:szCs w:val="12"/>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,资本公积转增资本</w:t>
            </w:r>
          </w:p>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027"/>
        <w:gridCol w:w="576"/>
        <w:gridCol w:w="581"/>
        <w:gridCol w:w="581"/>
        <w:gridCol w:w="1123"/>
        <w:gridCol w:w="581"/>
        <w:gridCol w:w="965"/>
        <w:gridCol w:w="581"/>
        <w:gridCol w:w="965"/>
        <w:gridCol w:w="576"/>
        <w:gridCol w:w="1032"/>
        <w:gridCol w:w="624"/>
        <w:gridCol w:w="1128"/>
        <w:gridCol w:w="802"/>
        <w:gridCol w:w="1133"/>
      </w:tblGrid>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5</w:t>
            </w:r>
            <w:r>
              <w:rPr>
                <w:rFonts w:ascii="SimHei" w:eastAsia="SimHei" w:hAnsi="SimHei" w:cs="SimHei"/>
                <w:color w:val="000000"/>
                <w:spacing w:val="0"/>
                <w:w w:val="100"/>
                <w:position w:val="0"/>
                <w:sz w:val="12"/>
                <w:szCs w:val="12"/>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12,424,761.57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12,424,761.57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12,424,761.57</w:t>
            </w:r>
          </w:p>
        </w:tc>
      </w:tr>
      <w:tr>
        <w:trPr>
          <w:trHeight w:val="32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3,819,339,882.51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21,987,926.37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69,631,992.01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-32,788,490.39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4,369,057,694.76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249,289.66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4,369,306,984.42</w:t>
            </w:r>
          </w:p>
        </w:tc>
      </w:tr>
    </w:tbl>
    <w:p>
      <w:pPr>
        <w:widowControl w:val="0"/>
        <w:spacing w:after="519" w:line="1" w:lineRule="exact"/>
      </w:pPr>
    </w:p>
    <w:tbl>
      <w:tblPr>
        <w:tblOverlap w:val="never"/>
        <w:jc w:val="center"/>
        <w:tblLayout w:type="fixed"/>
      </w:tblPr>
      <w:tblGrid>
        <w:gridCol w:w="1627"/>
        <w:gridCol w:w="1027"/>
        <w:gridCol w:w="571"/>
        <w:gridCol w:w="571"/>
        <w:gridCol w:w="571"/>
        <w:gridCol w:w="1123"/>
        <w:gridCol w:w="571"/>
        <w:gridCol w:w="965"/>
        <w:gridCol w:w="571"/>
        <w:gridCol w:w="965"/>
        <w:gridCol w:w="571"/>
        <w:gridCol w:w="1027"/>
        <w:gridCol w:w="653"/>
        <w:gridCol w:w="1128"/>
        <w:gridCol w:w="802"/>
        <w:gridCol w:w="1133"/>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6660" w:right="0" w:firstLine="0"/>
              <w:jc w:val="left"/>
              <w:rPr>
                <w:sz w:val="12"/>
                <w:szCs w:val="12"/>
              </w:rPr>
            </w:pPr>
            <w:r>
              <w:rPr>
                <w:rFonts w:ascii="Times New Roman" w:eastAsia="Times New Roman" w:hAnsi="Times New Roman" w:cs="Times New Roman"/>
                <w:color w:val="000000"/>
                <w:spacing w:val="0"/>
                <w:w w:val="100"/>
                <w:position w:val="0"/>
                <w:sz w:val="8"/>
                <w:szCs w:val="8"/>
              </w:rPr>
              <w:t>2019</w:t>
            </w:r>
            <w:r>
              <w:rPr>
                <w:rFonts w:ascii="SimHei" w:eastAsia="SimHei" w:hAnsi="SimHei" w:cs="SimHei"/>
                <w:color w:val="000000"/>
                <w:spacing w:val="0"/>
                <w:w w:val="100"/>
                <w:position w:val="0"/>
                <w:sz w:val="12"/>
                <w:szCs w:val="12"/>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3" w:lineRule="exact"/>
              <w:ind w:left="0" w:right="0" w:firstLine="0"/>
              <w:jc w:val="center"/>
              <w:rPr>
                <w:sz w:val="12"/>
                <w:szCs w:val="12"/>
              </w:rPr>
            </w:pPr>
            <w:r>
              <w:rPr>
                <w:rFonts w:ascii="SimHei" w:eastAsia="SimHei" w:hAnsi="SimHei" w:cs="SimHei"/>
                <w:color w:val="000000"/>
                <w:spacing w:val="0"/>
                <w:w w:val="100"/>
                <w:position w:val="0"/>
                <w:sz w:val="12"/>
                <w:szCs w:val="12"/>
              </w:rPr>
              <w:t>少数股东 权益</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所有者权益合计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实收资本（或</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center"/>
              <w:rPr>
                <w:sz w:val="12"/>
                <w:szCs w:val="12"/>
              </w:rPr>
            </w:pPr>
            <w:r>
              <w:rPr>
                <w:rFonts w:ascii="SimHei" w:eastAsia="SimHei" w:hAnsi="SimHei" w:cs="SimHei"/>
                <w:color w:val="000000"/>
                <w:spacing w:val="0"/>
                <w:w w:val="100"/>
                <w:position w:val="0"/>
                <w:sz w:val="12"/>
                <w:szCs w:val="12"/>
              </w:rPr>
              <w:t>减：</w:t>
            </w:r>
          </w:p>
          <w:p>
            <w:pPr>
              <w:pStyle w:val="Style25"/>
              <w:keepNext w:val="0"/>
              <w:keepLines w:val="0"/>
              <w:widowControl w:val="0"/>
              <w:shd w:val="clear" w:color="auto" w:fill="auto"/>
              <w:bidi w:val="0"/>
              <w:spacing w:before="0" w:after="100" w:line="240" w:lineRule="auto"/>
              <w:ind w:left="0" w:right="0" w:firstLine="0"/>
              <w:jc w:val="center"/>
              <w:rPr>
                <w:sz w:val="12"/>
                <w:szCs w:val="12"/>
              </w:rPr>
            </w:pPr>
            <w:r>
              <w:rPr>
                <w:rFonts w:ascii="SimHei" w:eastAsia="SimHei" w:hAnsi="SimHei" w:cs="SimHei"/>
                <w:color w:val="000000"/>
                <w:spacing w:val="0"/>
                <w:w w:val="100"/>
                <w:position w:val="0"/>
                <w:sz w:val="12"/>
                <w:szCs w:val="12"/>
              </w:rPr>
              <w:t>库存</w:t>
            </w:r>
          </w:p>
          <w:p>
            <w:pPr>
              <w:pStyle w:val="Style25"/>
              <w:keepNext w:val="0"/>
              <w:keepLines w:val="0"/>
              <w:widowControl w:val="0"/>
              <w:shd w:val="clear" w:color="auto" w:fill="auto"/>
              <w:bidi w:val="0"/>
              <w:spacing w:before="0" w:after="100" w:line="240" w:lineRule="auto"/>
              <w:ind w:left="0" w:right="0" w:firstLine="0"/>
              <w:jc w:val="center"/>
              <w:rPr>
                <w:sz w:val="12"/>
                <w:szCs w:val="12"/>
              </w:rPr>
            </w:pPr>
            <w:r>
              <w:rPr>
                <w:rFonts w:ascii="SimHei" w:eastAsia="SimHei" w:hAnsi="SimHei" w:cs="SimHei"/>
                <w:color w:val="000000"/>
                <w:spacing w:val="0"/>
                <w:w w:val="100"/>
                <w:position w:val="0"/>
                <w:sz w:val="12"/>
                <w:szCs w:val="12"/>
              </w:rPr>
              <w:t>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其他综合收</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专项</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一般</w:t>
            </w:r>
          </w:p>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风险</w:t>
            </w:r>
          </w:p>
          <w:p>
            <w:pPr>
              <w:pStyle w:val="Style25"/>
              <w:keepNext w:val="0"/>
              <w:keepLines w:val="0"/>
              <w:widowControl w:val="0"/>
              <w:shd w:val="clear" w:color="auto" w:fill="auto"/>
              <w:bidi w:val="0"/>
              <w:spacing w:before="0" w:after="80" w:line="240" w:lineRule="auto"/>
              <w:ind w:left="0" w:right="0" w:firstLine="0"/>
              <w:jc w:val="center"/>
              <w:rPr>
                <w:sz w:val="12"/>
                <w:szCs w:val="12"/>
              </w:rPr>
            </w:pPr>
            <w:r>
              <w:rPr>
                <w:rFonts w:ascii="SimHei" w:eastAsia="SimHei" w:hAnsi="SimHei" w:cs="SimHei"/>
                <w:color w:val="000000"/>
                <w:spacing w:val="0"/>
                <w:w w:val="100"/>
                <w:position w:val="0"/>
                <w:sz w:val="12"/>
                <w:szCs w:val="12"/>
              </w:rPr>
              <w:t>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优先</w:t>
            </w:r>
          </w:p>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center"/>
              <w:rPr>
                <w:sz w:val="12"/>
                <w:szCs w:val="12"/>
              </w:rPr>
            </w:pPr>
            <w:r>
              <w:rPr>
                <w:rFonts w:ascii="SimHei" w:eastAsia="SimHei" w:hAnsi="SimHei" w:cs="SimHei"/>
                <w:color w:val="000000"/>
                <w:spacing w:val="0"/>
                <w:w w:val="100"/>
                <w:position w:val="0"/>
                <w:sz w:val="12"/>
                <w:szCs w:val="12"/>
              </w:rPr>
              <w:t>永续 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481,376,013.00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2,297,949,965.59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18,772,175.48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9,651,786.52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653,799,774.89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2,116,405,814.74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-32,442.34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2,116,373,372.40</w:t>
            </w: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-228,109.59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228,109.59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8" w:lineRule="exact"/>
              <w:ind w:left="0" w:right="0" w:firstLine="360"/>
              <w:jc w:val="left"/>
              <w:rPr>
                <w:sz w:val="12"/>
                <w:szCs w:val="12"/>
              </w:rPr>
            </w:pPr>
            <w:r>
              <w:rPr>
                <w:rFonts w:ascii="SimHei" w:eastAsia="SimHei" w:hAnsi="SimHei" w:cs="SimHei"/>
                <w:color w:val="000000"/>
                <w:spacing w:val="0"/>
                <w:w w:val="100"/>
                <w:position w:val="0"/>
                <w:sz w:val="12"/>
                <w:szCs w:val="12"/>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481,376,013.00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2,297,949,965.59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19,000,285.07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9,651,786.52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653,571,665.30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2,116,405,814.74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-32,442.34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2,116,373,372.40</w:t>
            </w:r>
          </w:p>
        </w:tc>
      </w:tr>
      <w:tr>
        <w:trPr>
          <w:trHeight w:val="5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75" w:lineRule="exact"/>
              <w:ind w:left="0" w:right="0" w:firstLine="0"/>
              <w:jc w:val="left"/>
              <w:rPr>
                <w:sz w:val="12"/>
                <w:szCs w:val="12"/>
              </w:rPr>
            </w:pPr>
            <w:r>
              <w:rPr>
                <w:rFonts w:ascii="SimHei" w:eastAsia="SimHei" w:hAnsi="SimHei" w:cs="SimHei"/>
                <w:color w:val="000000"/>
                <w:spacing w:val="0"/>
                <w:w w:val="100"/>
                <w:position w:val="0"/>
                <w:sz w:val="12"/>
                <w:szCs w:val="12"/>
              </w:rPr>
              <w:t>三、本期增减变动金额 （减少以“一”号填 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53,486,224.00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1,390,942,839.66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1,677,862.75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171,448,585.97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1,634,671,145.50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168,587.63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1,634,839,733.13</w:t>
            </w: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1,677,862.75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188,564,219.09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190,242,081.84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18,587.63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190,260,669.47</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2"/>
                <w:szCs w:val="12"/>
              </w:rPr>
            </w:pPr>
            <w:r>
              <w:rPr>
                <w:rFonts w:ascii="SimHei" w:eastAsia="SimHei" w:hAnsi="SimHei" w:cs="SimHei"/>
                <w:color w:val="000000"/>
                <w:spacing w:val="0"/>
                <w:w w:val="100"/>
                <w:position w:val="0"/>
                <w:sz w:val="12"/>
                <w:szCs w:val="12"/>
              </w:rPr>
              <w:t>（二）所有者投入和减 少资本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53,486,224.00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1,386,016,592.75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1,439,502,816.75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1,439,652,816.75</w:t>
            </w:r>
          </w:p>
        </w:tc>
      </w:tr>
      <w:tr>
        <w:trPr>
          <w:trHeight w:val="1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53,486,224.00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1,386,016,592.75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1,439,502,816.75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1,439,502,816.75</w:t>
            </w: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6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150,000.00</w:t>
            </w:r>
          </w:p>
        </w:tc>
      </w:tr>
      <w:tr>
        <w:trPr>
          <w:trHeight w:val="1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7"/>
        <w:gridCol w:w="1027"/>
        <w:gridCol w:w="571"/>
        <w:gridCol w:w="571"/>
        <w:gridCol w:w="571"/>
        <w:gridCol w:w="1123"/>
        <w:gridCol w:w="571"/>
        <w:gridCol w:w="965"/>
        <w:gridCol w:w="581"/>
        <w:gridCol w:w="955"/>
        <w:gridCol w:w="571"/>
        <w:gridCol w:w="1027"/>
        <w:gridCol w:w="653"/>
        <w:gridCol w:w="1128"/>
        <w:gridCol w:w="802"/>
        <w:gridCol w:w="1133"/>
      </w:tblGrid>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2"/>
                <w:szCs w:val="12"/>
              </w:rPr>
            </w:pPr>
            <w:r>
              <w:rPr>
                <w:rFonts w:ascii="SimHei" w:eastAsia="SimHei" w:hAnsi="SimHei" w:cs="SimHei"/>
                <w:color w:val="000000"/>
                <w:spacing w:val="0"/>
                <w:w w:val="100"/>
                <w:position w:val="0"/>
                <w:sz w:val="12"/>
                <w:szCs w:val="12"/>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,资本公积转增资本</w:t>
            </w:r>
          </w:p>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,盈余公积转增资本</w:t>
            </w:r>
          </w:p>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2"/>
                <w:szCs w:val="12"/>
              </w:rPr>
            </w:pPr>
            <w:r>
              <w:rPr>
                <w:rFonts w:ascii="Times New Roman" w:eastAsia="Times New Roman" w:hAnsi="Times New Roman" w:cs="Times New Roman"/>
                <w:color w:val="000000"/>
                <w:spacing w:val="0"/>
                <w:w w:val="100"/>
                <w:position w:val="0"/>
                <w:sz w:val="8"/>
                <w:szCs w:val="8"/>
              </w:rPr>
              <w:t>5</w:t>
            </w:r>
            <w:r>
              <w:rPr>
                <w:rFonts w:ascii="SimHei" w:eastAsia="SimHei" w:hAnsi="SimHei" w:cs="SimHei"/>
                <w:color w:val="000000"/>
                <w:spacing w:val="0"/>
                <w:w w:val="100"/>
                <w:position w:val="0"/>
                <w:sz w:val="12"/>
                <w:szCs w:val="12"/>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4,926,246.91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4,926,246.91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4,926,246.91</w:t>
            </w:r>
          </w:p>
        </w:tc>
      </w:tr>
      <w:tr>
        <w:trPr>
          <w:trHeight w:val="32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3,688,892,805.25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17,322,422.32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26,767,419.64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482,123,079.33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3,751,076,960.24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136,145.29</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3,751,213,105.53</w:t>
            </w:r>
          </w:p>
        </w:tc>
      </w:tr>
    </w:tbl>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（尹志尧）主管会计工作负责人：陈伟文会计机构负责人：陈伟文</w:t>
      </w:r>
    </w:p>
    <w:p>
      <w:pPr>
        <w:pStyle w:val="Style35"/>
        <w:keepNext/>
        <w:keepLines/>
        <w:widowControl w:val="0"/>
        <w:shd w:val="clear" w:color="auto" w:fill="auto"/>
        <w:bidi w:val="0"/>
        <w:spacing w:before="0" w:after="0" w:line="240" w:lineRule="auto"/>
        <w:ind w:left="0" w:right="0" w:firstLine="0"/>
        <w:jc w:val="center"/>
      </w:pPr>
      <w:bookmarkStart w:id="816" w:name="bookmark816"/>
      <w:bookmarkStart w:id="817" w:name="bookmark817"/>
      <w:bookmarkStart w:id="818" w:name="bookmark818"/>
      <w:r>
        <w:rPr>
          <w:color w:val="000000"/>
          <w:spacing w:val="0"/>
          <w:w w:val="100"/>
          <w:position w:val="0"/>
        </w:rPr>
        <w:t>母公司所有者权益变动表</w:t>
      </w:r>
      <w:bookmarkEnd w:id="816"/>
      <w:bookmarkEnd w:id="817"/>
      <w:bookmarkEnd w:id="818"/>
    </w:p>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18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8"/>
                <w:szCs w:val="8"/>
              </w:rPr>
              <w:t>2020</w:t>
            </w:r>
            <w:r>
              <w:rPr>
                <w:rFonts w:ascii="SimHei" w:eastAsia="SimHei" w:hAnsi="SimHei" w:cs="SimHei"/>
                <w:color w:val="000000"/>
                <w:spacing w:val="0"/>
                <w:w w:val="100"/>
                <w:position w:val="0"/>
                <w:sz w:val="12"/>
                <w:szCs w:val="12"/>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63" w:lineRule="exact"/>
              <w:ind w:left="0" w:right="0" w:firstLine="0"/>
              <w:jc w:val="center"/>
              <w:rPr>
                <w:sz w:val="12"/>
                <w:szCs w:val="12"/>
              </w:rPr>
            </w:pPr>
            <w:r>
              <w:rPr>
                <w:rFonts w:ascii="SimHei" w:eastAsia="SimHei" w:hAnsi="SimHei" w:cs="SimHei"/>
                <w:color w:val="000000"/>
                <w:spacing w:val="0"/>
                <w:w w:val="100"/>
                <w:position w:val="0"/>
                <w:sz w:val="12"/>
                <w:szCs w:val="12"/>
              </w:rPr>
              <w:t>实收资本（或 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专项储备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178" w:lineRule="exact"/>
              <w:ind w:left="0" w:right="0" w:firstLine="0"/>
              <w:jc w:val="center"/>
              <w:rPr>
                <w:sz w:val="12"/>
                <w:szCs w:val="12"/>
              </w:rPr>
            </w:pPr>
            <w:r>
              <w:rPr>
                <w:rFonts w:ascii="SimHei" w:eastAsia="SimHei" w:hAnsi="SimHei" w:cs="SimHei"/>
                <w:color w:val="000000"/>
                <w:spacing w:val="0"/>
                <w:w w:val="100"/>
                <w:position w:val="0"/>
                <w:sz w:val="12"/>
                <w:szCs w:val="12"/>
              </w:rPr>
              <w:t>所有者权益合 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3,014,664,758.</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26,767,419.64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251,175,259.6</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3,827,469,675.</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w:t>
            </w: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3,014,664,758.</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26,767,419.64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251,175,259.6</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3,827,469,675.</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92" w:lineRule="exact"/>
              <w:ind w:left="0" w:right="0" w:firstLine="0"/>
              <w:jc w:val="left"/>
              <w:rPr>
                <w:sz w:val="12"/>
                <w:szCs w:val="12"/>
              </w:rPr>
            </w:pPr>
            <w:r>
              <w:rPr>
                <w:rFonts w:ascii="SimHei" w:eastAsia="SimHei" w:hAnsi="SimHei" w:cs="SimHei"/>
                <w:color w:val="000000"/>
                <w:spacing w:val="0"/>
                <w:w w:val="100"/>
                <w:position w:val="0"/>
                <w:sz w:val="12"/>
                <w:szCs w:val="12"/>
              </w:rPr>
              <w:t>三、本期增减变动金额（减少以</w:t>
            </w:r>
            <w:r>
              <w:rPr>
                <w:rFonts w:ascii="Times New Roman" w:eastAsia="Times New Roman" w:hAnsi="Times New Roman" w:cs="Times New Roman"/>
                <w:color w:val="000000"/>
                <w:spacing w:val="0"/>
                <w:w w:val="100"/>
                <w:position w:val="0"/>
                <w:sz w:val="13"/>
                <w:szCs w:val="13"/>
              </w:rPr>
              <w:t>“</w:t>
            </w:r>
            <w:r>
              <w:rPr>
                <w:rFonts w:ascii="SimHei" w:eastAsia="SimHei" w:hAnsi="SimHei" w:cs="SimHei"/>
                <w:color w:val="000000"/>
                <w:spacing w:val="0"/>
                <w:w w:val="100"/>
                <w:position w:val="0"/>
                <w:sz w:val="12"/>
                <w:szCs w:val="12"/>
              </w:rPr>
              <w:t>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130,452,864.44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-300,195.48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385,781,151.3</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558,798,392.6</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w:t>
            </w: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-300,195.48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428,645,723.6</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428,345,528.2</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w:t>
            </w: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118,028,102.87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118,028,102.8</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w:t>
            </w: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118,028,102.87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118,028,102.8</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w:t>
            </w: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1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2"/>
                <w:szCs w:val="12"/>
              </w:rPr>
              <w:t>.</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-42,864,572.37</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2"/>
                <w:szCs w:val="12"/>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2"/>
                <w:szCs w:val="12"/>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5</w:t>
            </w:r>
            <w:r>
              <w:rPr>
                <w:rFonts w:ascii="SimHei" w:eastAsia="SimHei" w:hAnsi="SimHei" w:cs="SimHei"/>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12,424,761.57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12,424,761.57</w:t>
            </w:r>
          </w:p>
        </w:tc>
      </w:tr>
      <w:tr>
        <w:trPr>
          <w:trHeight w:val="32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3,145,117,623.</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-300,195.48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69,631,992.01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636,956,411.0</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4,386,268,067.</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w:t>
            </w:r>
          </w:p>
        </w:tc>
      </w:tr>
    </w:tbl>
    <w:p>
      <w:pPr>
        <w:widowControl w:val="0"/>
        <w:spacing w:after="299" w:line="1" w:lineRule="exact"/>
      </w:pP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19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8"/>
                <w:szCs w:val="8"/>
              </w:rPr>
              <w:t>2019</w:t>
            </w:r>
            <w:r>
              <w:rPr>
                <w:rFonts w:ascii="SimHei" w:eastAsia="SimHei" w:hAnsi="SimHei" w:cs="SimHei"/>
                <w:color w:val="000000"/>
                <w:spacing w:val="0"/>
                <w:w w:val="100"/>
                <w:position w:val="0"/>
                <w:sz w:val="12"/>
                <w:szCs w:val="12"/>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68" w:lineRule="exact"/>
              <w:ind w:left="0" w:right="0" w:firstLine="0"/>
              <w:jc w:val="center"/>
              <w:rPr>
                <w:sz w:val="12"/>
                <w:szCs w:val="12"/>
              </w:rPr>
            </w:pPr>
            <w:r>
              <w:rPr>
                <w:rFonts w:ascii="SimHei" w:eastAsia="SimHei" w:hAnsi="SimHei" w:cs="SimHei"/>
                <w:color w:val="000000"/>
                <w:spacing w:val="0"/>
                <w:w w:val="100"/>
                <w:position w:val="0"/>
                <w:sz w:val="12"/>
                <w:szCs w:val="12"/>
              </w:rPr>
              <w:t>实收资本（或 股本）</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减：库存股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000000"/>
                <w:spacing w:val="0"/>
                <w:w w:val="100"/>
                <w:position w:val="0"/>
                <w:sz w:val="12"/>
                <w:szCs w:val="12"/>
              </w:rPr>
              <w:t>其他综合收益</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专项储备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12"/>
                <w:szCs w:val="12"/>
              </w:rPr>
            </w:pPr>
            <w:r>
              <w:rPr>
                <w:rFonts w:ascii="SimHei" w:eastAsia="SimHei" w:hAnsi="SimHei" w:cs="SimHei"/>
                <w:color w:val="000000"/>
                <w:spacing w:val="0"/>
                <w:w w:val="100"/>
                <w:position w:val="0"/>
                <w:sz w:val="12"/>
                <w:szCs w:val="12"/>
              </w:rPr>
              <w:t>未分配利润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182" w:lineRule="exact"/>
              <w:ind w:left="0" w:right="0" w:firstLine="0"/>
              <w:jc w:val="center"/>
              <w:rPr>
                <w:sz w:val="12"/>
                <w:szCs w:val="12"/>
              </w:rPr>
            </w:pPr>
            <w:r>
              <w:rPr>
                <w:rFonts w:ascii="SimHei" w:eastAsia="SimHei" w:hAnsi="SimHei" w:cs="SimHei"/>
                <w:color w:val="000000"/>
                <w:spacing w:val="0"/>
                <w:w w:val="100"/>
                <w:position w:val="0"/>
                <w:sz w:val="12"/>
                <w:szCs w:val="12"/>
              </w:rPr>
              <w:t>所有者权益合 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一、上年年末余额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481,376,013.00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1,623,721,919.</w:t>
            </w:r>
          </w:p>
          <w:p>
            <w:pPr>
              <w:pStyle w:val="Style25"/>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228,109.59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9,651,786.52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96,906,452.06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2,211,884,280.</w:t>
            </w:r>
          </w:p>
          <w:p>
            <w:pPr>
              <w:pStyle w:val="Style25"/>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37</w:t>
            </w:r>
          </w:p>
        </w:tc>
      </w:tr>
      <w:tr>
        <w:trPr>
          <w:trHeight w:val="1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-228,109.59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228,109.59</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2"/>
                <w:szCs w:val="12"/>
              </w:rPr>
            </w:pPr>
            <w:r>
              <w:rPr>
                <w:rFonts w:ascii="SimHei" w:eastAsia="SimHei" w:hAnsi="SimHei" w:cs="SimHei"/>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2"/>
                <w:szCs w:val="12"/>
              </w:rPr>
            </w:pP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二、本年期初余额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481,376,013.00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1,623,721,919.</w:t>
            </w:r>
          </w:p>
          <w:p>
            <w:pPr>
              <w:pStyle w:val="Style25"/>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9,651,786.52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97,134,561.65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2,211,884,280.</w:t>
            </w:r>
          </w:p>
          <w:p>
            <w:pPr>
              <w:pStyle w:val="Style25"/>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37</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left"/>
              <w:rPr>
                <w:sz w:val="12"/>
                <w:szCs w:val="12"/>
              </w:rPr>
            </w:pPr>
            <w:r>
              <w:rPr>
                <w:rFonts w:ascii="SimHei" w:eastAsia="SimHei" w:hAnsi="SimHei" w:cs="SimHei"/>
                <w:color w:val="000000"/>
                <w:spacing w:val="0"/>
                <w:w w:val="100"/>
                <w:position w:val="0"/>
                <w:sz w:val="12"/>
                <w:szCs w:val="12"/>
              </w:rPr>
              <w:t>三、本期增减变动金额（减少以 “一”号填列）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53,486,224.00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1,390,942,839.</w:t>
            </w:r>
          </w:p>
          <w:p>
            <w:pPr>
              <w:pStyle w:val="Style25"/>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154,040,698.0</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1,615,585,394.</w:t>
            </w:r>
          </w:p>
          <w:p>
            <w:pPr>
              <w:pStyle w:val="Style25"/>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81</w:t>
            </w: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171,156,331.1</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171,156,331.1</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w:t>
            </w: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53,486,224.00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1,386,016,592.</w:t>
            </w:r>
          </w:p>
          <w:p>
            <w:pPr>
              <w:pStyle w:val="Style25"/>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1,439,502,816.</w:t>
            </w:r>
          </w:p>
          <w:p>
            <w:pPr>
              <w:pStyle w:val="Style25"/>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75</w:t>
            </w:r>
          </w:p>
        </w:tc>
      </w:tr>
      <w:tr>
        <w:trPr>
          <w:trHeight w:val="31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所有者投入的普通股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53,486,224.00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1,386,016,592.</w:t>
            </w:r>
          </w:p>
          <w:p>
            <w:pPr>
              <w:pStyle w:val="Style25"/>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1,439,502,816.</w:t>
            </w:r>
          </w:p>
          <w:p>
            <w:pPr>
              <w:pStyle w:val="Style25"/>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75</w:t>
            </w: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-17,115,633.12</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1</w:t>
            </w:r>
            <w:r>
              <w:rPr>
                <w:rFonts w:ascii="SimHei" w:eastAsia="SimHei" w:hAnsi="SimHei" w:cs="SimHei"/>
                <w:color w:val="000000"/>
                <w:spacing w:val="0"/>
                <w:w w:val="100"/>
                <w:position w:val="0"/>
                <w:sz w:val="12"/>
                <w:szCs w:val="12"/>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3</w:t>
            </w:r>
            <w:r>
              <w:rPr>
                <w:rFonts w:ascii="SimHei" w:eastAsia="SimHei" w:hAnsi="SimHei" w:cs="SimHei"/>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4</w:t>
            </w:r>
            <w:r>
              <w:rPr>
                <w:rFonts w:ascii="SimHei" w:eastAsia="SimHei" w:hAnsi="SimHei" w:cs="SimHei"/>
                <w:color w:val="000000"/>
                <w:spacing w:val="0"/>
                <w:w w:val="100"/>
                <w:position w:val="0"/>
                <w:sz w:val="12"/>
                <w:szCs w:val="12"/>
              </w:rPr>
              <w:t>.设定受益计划变动额结转留存收益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19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5</w:t>
            </w:r>
            <w:r>
              <w:rPr>
                <w:rFonts w:ascii="SimHei" w:eastAsia="SimHei" w:hAnsi="SimHei" w:cs="SimHei"/>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6</w:t>
            </w:r>
            <w:r>
              <w:rPr>
                <w:rFonts w:ascii="SimHei" w:eastAsia="SimHei" w:hAnsi="SimHei" w:cs="SimHei"/>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L</w:t>
            </w:r>
            <w:r>
              <w:rPr>
                <w:rFonts w:ascii="SimHei" w:eastAsia="SimHei" w:hAnsi="SimHei" w:cs="SimHei"/>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8"/>
                <w:szCs w:val="8"/>
              </w:rPr>
              <w:t>2</w:t>
            </w:r>
            <w:r>
              <w:rPr>
                <w:rFonts w:ascii="SimHei" w:eastAsia="SimHei" w:hAnsi="SimHei" w:cs="SimHei"/>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4,926,246.91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4,926,246.91</w:t>
            </w:r>
          </w:p>
        </w:tc>
      </w:tr>
      <w:tr>
        <w:trPr>
          <w:trHeight w:val="32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四、本期期末余额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534,862,237.00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3,014,664,758.</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26,767,419.64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251,175,259.6</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3,827,469,675.</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w:t>
            </w:r>
          </w:p>
        </w:tc>
      </w:tr>
    </w:tbl>
    <w:p>
      <w:pPr>
        <w:pStyle w:val="Style2"/>
        <w:keepNext w:val="0"/>
        <w:keepLines w:val="0"/>
        <w:widowControl w:val="0"/>
        <w:shd w:val="clear" w:color="auto" w:fill="auto"/>
        <w:bidi w:val="0"/>
        <w:spacing w:before="0" w:after="0" w:line="240" w:lineRule="auto"/>
        <w:ind w:left="0"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pgSz w:w="16840" w:h="11900" w:orient="landscape"/>
          <w:pgMar w:top="1273" w:right="1302" w:bottom="1905" w:left="1484" w:header="0" w:footer="3" w:gutter="0"/>
          <w:cols w:space="720"/>
          <w:noEndnote/>
          <w:rtlGutter w:val="0"/>
          <w:docGrid w:linePitch="360"/>
        </w:sectP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（尹志尧）主管会计工作负责人：陈伟文会计机构负责人：陈伟文</w:t>
      </w:r>
    </w:p>
    <w:p>
      <w:pPr>
        <w:pStyle w:val="Style35"/>
        <w:keepNext/>
        <w:keepLines/>
        <w:widowControl w:val="0"/>
        <w:shd w:val="clear" w:color="auto" w:fill="auto"/>
        <w:bidi w:val="0"/>
        <w:spacing w:before="0" w:after="40" w:line="270" w:lineRule="exact"/>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三</w:t>
      </w:r>
      <w:bookmarkEnd w:id="821"/>
      <w:r>
        <w:rPr>
          <w:color w:val="000000"/>
          <w:spacing w:val="0"/>
          <w:w w:val="100"/>
          <w:position w:val="0"/>
        </w:rPr>
        <w:t>、公司基本情况</w:t>
      </w:r>
      <w:bookmarkEnd w:id="819"/>
      <w:bookmarkEnd w:id="820"/>
      <w:bookmarkEnd w:id="822"/>
    </w:p>
    <w:p>
      <w:pPr>
        <w:pStyle w:val="Style35"/>
        <w:keepNext/>
        <w:keepLines/>
        <w:widowControl w:val="0"/>
        <w:numPr>
          <w:ilvl w:val="0"/>
          <w:numId w:val="55"/>
        </w:numPr>
        <w:shd w:val="clear" w:color="auto" w:fill="auto"/>
        <w:bidi w:val="0"/>
        <w:spacing w:before="0" w:after="100" w:line="270" w:lineRule="exact"/>
        <w:ind w:left="0" w:right="0" w:firstLine="0"/>
        <w:jc w:val="left"/>
      </w:pPr>
      <w:bookmarkStart w:id="819" w:name="bookmark819"/>
      <w:bookmarkStart w:id="820" w:name="bookmark820"/>
      <w:bookmarkStart w:id="823" w:name="bookmark823"/>
      <w:bookmarkStart w:id="824" w:name="bookmark824"/>
      <w:bookmarkEnd w:id="823"/>
      <w:r>
        <w:rPr>
          <w:color w:val="000000"/>
          <w:spacing w:val="0"/>
          <w:w w:val="100"/>
          <w:position w:val="0"/>
        </w:rPr>
        <w:t>公司概况</w:t>
      </w:r>
      <w:bookmarkEnd w:id="819"/>
      <w:bookmarkEnd w:id="820"/>
      <w:bookmarkEnd w:id="824"/>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64" w:lineRule="exact"/>
        <w:ind w:left="0" w:right="0" w:firstLine="0"/>
        <w:jc w:val="left"/>
      </w:pPr>
      <w:r>
        <w:rPr>
          <w:color w:val="000000"/>
          <w:spacing w:val="0"/>
          <w:w w:val="100"/>
          <w:position w:val="0"/>
        </w:rPr>
        <w:t>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的前身为中微半导体设备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 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原公司</w:t>
      </w:r>
      <w:r>
        <w:rPr>
          <w:rFonts w:ascii="Times New Roman" w:eastAsia="Times New Roman" w:hAnsi="Times New Roman" w:cs="Times New Roman"/>
          <w:color w:val="000000"/>
          <w:spacing w:val="0"/>
          <w:w w:val="100"/>
          <w:position w:val="0"/>
        </w:rPr>
        <w:t>”）</w:t>
      </w:r>
      <w:r>
        <w:rPr>
          <w:color w:val="000000"/>
          <w:spacing w:val="0"/>
          <w:w w:val="100"/>
          <w:position w:val="0"/>
        </w:rPr>
        <w:t>由</w:t>
      </w:r>
      <w:r>
        <w:rPr>
          <w:rFonts w:ascii="Times New Roman" w:eastAsia="Times New Roman" w:hAnsi="Times New Roman" w:cs="Times New Roman"/>
          <w:color w:val="000000"/>
          <w:spacing w:val="0"/>
          <w:w w:val="100"/>
          <w:position w:val="0"/>
        </w:rPr>
        <w:t>Advanced Micro-Fabrication Equipment Inc. Asia（</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中微亚洲</w:t>
      </w:r>
      <w:r>
        <w:rPr>
          <w:rFonts w:ascii="Times New Roman" w:eastAsia="Times New Roman" w:hAnsi="Times New Roman" w:cs="Times New Roman"/>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日在中华人民共和国上海市成立。</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根据原公司全体股东于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日签署的《中微半导体设备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股份有限公司创立大 会暨</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年第一次临时股东大会决议》，本公司整体改制变更为股份有限公司。于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日取得新营业执照，统一社会信用代码为</w:t>
      </w:r>
      <w:r>
        <w:rPr>
          <w:rFonts w:ascii="Times New Roman" w:eastAsia="Times New Roman" w:hAnsi="Times New Roman" w:cs="Times New Roman"/>
          <w:color w:val="000000"/>
          <w:spacing w:val="0"/>
          <w:w w:val="100"/>
          <w:position w:val="0"/>
        </w:rPr>
        <w:t>913101157626272806</w:t>
      </w:r>
      <w:r>
        <w:rPr>
          <w:color w:val="000000"/>
          <w:spacing w:val="0"/>
          <w:w w:val="100"/>
          <w:position w:val="0"/>
        </w:rPr>
        <w:t>,证照编号为</w:t>
      </w:r>
    </w:p>
    <w:p>
      <w:pPr>
        <w:pStyle w:val="Style2"/>
        <w:keepNext w:val="0"/>
        <w:keepLines w:val="0"/>
        <w:widowControl w:val="0"/>
        <w:shd w:val="clear" w:color="auto" w:fill="auto"/>
        <w:bidi w:val="0"/>
        <w:spacing w:before="0" w:after="260" w:line="275" w:lineRule="exact"/>
        <w:ind w:left="0" w:right="0" w:firstLine="0"/>
        <w:jc w:val="left"/>
      </w:pPr>
      <w:r>
        <w:rPr>
          <w:rFonts w:ascii="Times New Roman" w:eastAsia="Times New Roman" w:hAnsi="Times New Roman" w:cs="Times New Roman"/>
          <w:color w:val="000000"/>
          <w:spacing w:val="0"/>
          <w:w w:val="100"/>
          <w:position w:val="0"/>
        </w:rPr>
        <w:t>00000002201812210004</w:t>
      </w:r>
      <w:r>
        <w:rPr>
          <w:color w:val="000000"/>
          <w:spacing w:val="0"/>
          <w:w w:val="100"/>
          <w:position w:val="0"/>
        </w:rPr>
        <w:t>。本次整体变更后，原公司各股东截止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日在原公司中享有 的全部股东权益按截至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日的持股比例相应折为其持有的发起人股，各发起人持有 的股比与其在原公司中持有的股比相同。</w:t>
      </w:r>
    </w:p>
    <w:p>
      <w:pPr>
        <w:pStyle w:val="Style2"/>
        <w:keepNext w:val="0"/>
        <w:keepLines w:val="0"/>
        <w:widowControl w:val="0"/>
        <w:shd w:val="clear" w:color="auto" w:fill="auto"/>
        <w:bidi w:val="0"/>
        <w:spacing w:before="0" w:after="260" w:line="270" w:lineRule="exact"/>
        <w:ind w:left="0" w:right="0" w:firstLine="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[2019]1168</w:t>
      </w:r>
      <w:r>
        <w:rPr>
          <w:color w:val="000000"/>
          <w:spacing w:val="0"/>
          <w:w w:val="100"/>
          <w:position w:val="0"/>
        </w:rPr>
        <w:t>号文《关于同意中微半导体设备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 xml:space="preserve">股份有 限公司首次公开发行股票注册的批复》的核准，本公司向境内投资者首次公开发行人民币普通股 </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）53,486,224</w:t>
      </w:r>
      <w:r>
        <w:rPr>
          <w:color w:val="000000"/>
          <w:spacing w:val="0"/>
          <w:w w:val="100"/>
          <w:position w:val="0"/>
        </w:rPr>
        <w:t>股，并于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日在上海证券交易所挂牌上市交易。于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日，本公司的总股本为</w:t>
      </w:r>
      <w:r>
        <w:rPr>
          <w:rFonts w:ascii="Times New Roman" w:eastAsia="Times New Roman" w:hAnsi="Times New Roman" w:cs="Times New Roman"/>
          <w:color w:val="000000"/>
          <w:spacing w:val="0"/>
          <w:w w:val="100"/>
          <w:position w:val="0"/>
        </w:rPr>
        <w:t>534,862,237</w:t>
      </w:r>
      <w:r>
        <w:rPr>
          <w:color w:val="000000"/>
          <w:spacing w:val="0"/>
          <w:w w:val="100"/>
          <w:position w:val="0"/>
        </w:rPr>
        <w:t>元，每股面值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本公司及子公司</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主要经营业务为研发、组装集成电路设备、泛半导体设备和 其他微观加工设备及环保设备，包括配套设备和零配件，销售自产产品；提供技术咨询、技术服 务。</w:t>
      </w:r>
    </w:p>
    <w:p>
      <w:pPr>
        <w:pStyle w:val="Style2"/>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本年度纳入合并范围的主要子公司详见本节附注三、</w:t>
      </w:r>
      <w:r>
        <w:rPr>
          <w:rFonts w:ascii="Times New Roman" w:eastAsia="Times New Roman" w:hAnsi="Times New Roman" w:cs="Times New Roman"/>
          <w:color w:val="000000"/>
          <w:spacing w:val="0"/>
          <w:w w:val="100"/>
          <w:position w:val="0"/>
        </w:rPr>
        <w:t>2</w:t>
      </w:r>
      <w:r>
        <w:rPr>
          <w:color w:val="000000"/>
          <w:spacing w:val="0"/>
          <w:w w:val="100"/>
          <w:position w:val="0"/>
        </w:rPr>
        <w:t>,本年度新纳入合并范围的子公司为中微 半导体</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日批准报出。</w:t>
      </w:r>
    </w:p>
    <w:p>
      <w:pPr>
        <w:pStyle w:val="Style35"/>
        <w:keepNext/>
        <w:keepLines/>
        <w:widowControl w:val="0"/>
        <w:numPr>
          <w:ilvl w:val="0"/>
          <w:numId w:val="55"/>
        </w:numPr>
        <w:shd w:val="clear" w:color="auto" w:fill="auto"/>
        <w:bidi w:val="0"/>
        <w:spacing w:before="0" w:after="10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合并财务报表范围</w:t>
      </w:r>
      <w:bookmarkEnd w:id="825"/>
      <w:bookmarkEnd w:id="826"/>
      <w:bookmarkEnd w:id="828"/>
    </w:p>
    <w:p>
      <w:pPr>
        <w:pStyle w:val="Style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tbl>
      <w:tblPr>
        <w:tblOverlap w:val="never"/>
        <w:jc w:val="center"/>
        <w:tblLayout w:type="fixed"/>
      </w:tblPr>
      <w:tblGrid>
        <w:gridCol w:w="264"/>
        <w:gridCol w:w="5165"/>
        <w:gridCol w:w="1541"/>
        <w:gridCol w:w="1190"/>
      </w:tblGrid>
      <w:tr>
        <w:trPr>
          <w:trHeight w:val="259"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子公司简称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中微惠创科技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中微惠创</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中微半导体设备</w:t>
            </w:r>
            <w:r>
              <w:rPr>
                <w:rFonts w:ascii="Times New Roman" w:eastAsia="Times New Roman" w:hAnsi="Times New Roman" w:cs="Times New Roman"/>
                <w:color w:val="000000"/>
                <w:spacing w:val="0"/>
                <w:w w:val="100"/>
                <w:position w:val="0"/>
              </w:rPr>
              <w:t>（</w:t>
            </w:r>
            <w:r>
              <w:rPr>
                <w:color w:val="000000"/>
                <w:spacing w:val="0"/>
                <w:w w:val="100"/>
                <w:position w:val="0"/>
              </w:rPr>
              <w:t>厦门</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中微厦门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6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南昌中微半导体设备有限公司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中微南昌</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中微汇链科技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中微汇链</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95%</w:t>
            </w:r>
          </w:p>
        </w:tc>
      </w:tr>
      <w:tr>
        <w:trPr>
          <w:trHeight w:val="27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中微半导体</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中微临港</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47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shd w:val="clear" w:color="auto" w:fill="FFFFFF"/>
            <w:vAlign w:val="top"/>
          </w:tcPr>
          <w:p>
            <w:pPr>
              <w:pStyle w:val="Style25"/>
              <w:keepNext w:val="0"/>
              <w:keepLines w:val="0"/>
              <w:widowControl w:val="0"/>
              <w:shd w:val="clear" w:color="auto" w:fill="auto"/>
              <w:bidi w:val="0"/>
              <w:spacing w:before="0" w:after="0" w:line="257" w:lineRule="auto"/>
              <w:ind w:left="140" w:right="0" w:firstLine="0"/>
              <w:jc w:val="left"/>
            </w:pPr>
            <w:r>
              <w:rPr>
                <w:rFonts w:ascii="Times New Roman" w:eastAsia="Times New Roman" w:hAnsi="Times New Roman" w:cs="Times New Roman"/>
                <w:color w:val="000000"/>
                <w:spacing w:val="0"/>
                <w:w w:val="100"/>
                <w:position w:val="0"/>
              </w:rPr>
              <w:t>Advanced Micro-Fabrication Equipment International Pte. Ltd.</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中微国际</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78"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AMEC Japan Co., Inc.</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中微日本</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5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AMEC North America, Inc.</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中微北美</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Advanced Micro-Fabrication Equipment Korea Ltd.</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中微韩国</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bl>
    <w:p>
      <w:pPr>
        <w:widowControl w:val="0"/>
        <w:spacing w:after="619" w:line="1" w:lineRule="exact"/>
      </w:pPr>
    </w:p>
    <w:p>
      <w:pPr>
        <w:pStyle w:val="Style35"/>
        <w:keepNext/>
        <w:keepLines/>
        <w:widowControl w:val="0"/>
        <w:shd w:val="clear" w:color="auto" w:fill="auto"/>
        <w:bidi w:val="0"/>
        <w:spacing w:before="0" w:after="4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四</w:t>
      </w:r>
      <w:bookmarkEnd w:id="831"/>
      <w:r>
        <w:rPr>
          <w:color w:val="000000"/>
          <w:spacing w:val="0"/>
          <w:w w:val="100"/>
          <w:position w:val="0"/>
        </w:rPr>
        <w:t>、财务报表的编制基础</w:t>
      </w:r>
      <w:bookmarkEnd w:id="829"/>
      <w:bookmarkEnd w:id="830"/>
      <w:bookmarkEnd w:id="832"/>
    </w:p>
    <w:p>
      <w:pPr>
        <w:pStyle w:val="Style35"/>
        <w:keepNext/>
        <w:keepLines/>
        <w:widowControl w:val="0"/>
        <w:numPr>
          <w:ilvl w:val="0"/>
          <w:numId w:val="57"/>
        </w:numPr>
        <w:shd w:val="clear" w:color="auto" w:fill="auto"/>
        <w:bidi w:val="0"/>
        <w:spacing w:before="0" w:after="40" w:line="276" w:lineRule="exact"/>
        <w:ind w:left="0" w:right="0" w:firstLine="0"/>
        <w:jc w:val="left"/>
      </w:pPr>
      <w:bookmarkStart w:id="829" w:name="bookmark829"/>
      <w:bookmarkStart w:id="830" w:name="bookmark830"/>
      <w:bookmarkStart w:id="833" w:name="bookmark833"/>
      <w:bookmarkStart w:id="834" w:name="bookmark834"/>
      <w:bookmarkEnd w:id="833"/>
      <w:r>
        <w:rPr>
          <w:color w:val="000000"/>
          <w:spacing w:val="0"/>
          <w:w w:val="100"/>
          <w:position w:val="0"/>
        </w:rPr>
        <w:t>编制基础</w:t>
      </w:r>
      <w:bookmarkEnd w:id="829"/>
      <w:bookmarkEnd w:id="830"/>
      <w:bookmarkEnd w:id="834"/>
    </w:p>
    <w:p>
      <w:pPr>
        <w:pStyle w:val="Style2"/>
        <w:keepNext w:val="0"/>
        <w:keepLines w:val="0"/>
        <w:widowControl w:val="0"/>
        <w:shd w:val="clear" w:color="auto" w:fill="auto"/>
        <w:bidi w:val="0"/>
        <w:spacing w:before="0" w:after="260" w:line="276" w:lineRule="exact"/>
        <w:ind w:left="0" w:right="0" w:firstLine="0"/>
        <w:jc w:val="left"/>
      </w:pPr>
      <w:r>
        <w:rPr>
          <w:color w:val="000000"/>
          <w:spacing w:val="0"/>
          <w:w w:val="100"/>
          <w:position w:val="0"/>
        </w:rPr>
        <w:t>本财务报表按照财政部于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日及以后期间颁布的《企业会计准则一基本准则》、 各项具体会计准则及相关规定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企业会计准则''）、以及中国证券监督管理委员会《公开 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号一财务报告的一般规定》的披露规定编制。</w:t>
      </w:r>
    </w:p>
    <w:p>
      <w:pPr>
        <w:pStyle w:val="Style35"/>
        <w:keepNext/>
        <w:keepLines/>
        <w:widowControl w:val="0"/>
        <w:numPr>
          <w:ilvl w:val="0"/>
          <w:numId w:val="57"/>
        </w:numPr>
        <w:shd w:val="clear" w:color="auto" w:fill="auto"/>
        <w:bidi w:val="0"/>
        <w:spacing w:before="0" w:after="100" w:line="269" w:lineRule="exact"/>
        <w:ind w:left="0" w:right="0" w:firstLine="0"/>
        <w:jc w:val="both"/>
      </w:pPr>
      <w:bookmarkStart w:id="835" w:name="bookmark835"/>
      <w:bookmarkStart w:id="836" w:name="bookmark836"/>
      <w:bookmarkStart w:id="837" w:name="bookmark837"/>
      <w:bookmarkStart w:id="838" w:name="bookmark838"/>
      <w:bookmarkEnd w:id="837"/>
      <w:r>
        <w:rPr>
          <w:color w:val="000000"/>
          <w:spacing w:val="0"/>
          <w:w w:val="100"/>
          <w:position w:val="0"/>
        </w:rPr>
        <w:t>持续经营</w:t>
      </w:r>
      <w:bookmarkEnd w:id="835"/>
      <w:bookmarkEnd w:id="836"/>
      <w:bookmarkEnd w:id="838"/>
    </w:p>
    <w:p>
      <w:pPr>
        <w:pStyle w:val="Style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本公司财务报表以持续经营为编制基础。</w:t>
      </w:r>
    </w:p>
    <w:p>
      <w:pPr>
        <w:pStyle w:val="Style35"/>
        <w:keepNext/>
        <w:keepLines/>
        <w:widowControl w:val="0"/>
        <w:shd w:val="clear" w:color="auto" w:fill="auto"/>
        <w:bidi w:val="0"/>
        <w:spacing w:before="0" w:after="40" w:line="269" w:lineRule="exact"/>
        <w:ind w:left="0" w:right="0" w:firstLine="0"/>
        <w:jc w:val="both"/>
      </w:pPr>
      <w:bookmarkStart w:id="839" w:name="bookmark839"/>
      <w:bookmarkStart w:id="840" w:name="bookmark840"/>
      <w:bookmarkStart w:id="841" w:name="bookmark841"/>
      <w:bookmarkStart w:id="842" w:name="bookmark842"/>
      <w:r>
        <w:rPr>
          <w:color w:val="000000"/>
          <w:spacing w:val="0"/>
          <w:w w:val="100"/>
          <w:position w:val="0"/>
        </w:rPr>
        <w:t>五</w:t>
      </w:r>
      <w:bookmarkEnd w:id="841"/>
      <w:r>
        <w:rPr>
          <w:color w:val="000000"/>
          <w:spacing w:val="0"/>
          <w:w w:val="100"/>
          <w:position w:val="0"/>
        </w:rPr>
        <w:t>、重要会计政策及会计估计</w:t>
      </w:r>
      <w:bookmarkEnd w:id="839"/>
      <w:bookmarkEnd w:id="840"/>
      <w:bookmarkEnd w:id="842"/>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本集团根据生产经营特点确定具体会计政策和会计估计，主要体现在应收款项的预期信用损失的 计量（附注七</w:t>
      </w:r>
      <w:r>
        <w:rPr>
          <w:rFonts w:ascii="Times New Roman" w:eastAsia="Times New Roman" w:hAnsi="Times New Roman" w:cs="Times New Roman"/>
          <w:color w:val="000000"/>
          <w:spacing w:val="0"/>
          <w:w w:val="100"/>
          <w:position w:val="0"/>
        </w:rPr>
        <w:t>（71））</w:t>
      </w:r>
      <w:r>
        <w:rPr>
          <w:color w:val="000000"/>
          <w:spacing w:val="0"/>
          <w:w w:val="100"/>
          <w:position w:val="0"/>
        </w:rPr>
        <w:t>、存货的计价方法（附注五</w:t>
      </w:r>
      <w:r>
        <w:rPr>
          <w:rFonts w:ascii="Times New Roman" w:eastAsia="Times New Roman" w:hAnsi="Times New Roman" w:cs="Times New Roman"/>
          <w:color w:val="000000"/>
          <w:spacing w:val="0"/>
          <w:w w:val="100"/>
          <w:position w:val="0"/>
        </w:rPr>
        <w:t>（15））</w:t>
      </w:r>
      <w:r>
        <w:rPr>
          <w:color w:val="000000"/>
          <w:spacing w:val="0"/>
          <w:w w:val="100"/>
          <w:position w:val="0"/>
        </w:rPr>
        <w:t>、投资性房地产的计量模式（附注五</w:t>
      </w:r>
      <w:r>
        <w:rPr>
          <w:rFonts w:ascii="Times New Roman" w:eastAsia="Times New Roman" w:hAnsi="Times New Roman" w:cs="Times New Roman"/>
          <w:color w:val="000000"/>
          <w:spacing w:val="0"/>
          <w:w w:val="100"/>
          <w:position w:val="0"/>
        </w:rPr>
        <w:t>（22））</w:t>
      </w:r>
      <w:r>
        <w:rPr>
          <w:color w:val="000000"/>
          <w:spacing w:val="0"/>
          <w:w w:val="100"/>
          <w:position w:val="0"/>
        </w:rPr>
        <w:t>、固 定资产折旧和无形资产摊销（附注五</w:t>
      </w:r>
      <w:r>
        <w:rPr>
          <w:rFonts w:ascii="Times New Roman" w:eastAsia="Times New Roman" w:hAnsi="Times New Roman" w:cs="Times New Roman"/>
          <w:color w:val="000000"/>
          <w:spacing w:val="0"/>
          <w:w w:val="100"/>
          <w:position w:val="0"/>
        </w:rPr>
        <w:t>（23）</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、开发支出资本化的判断标准（附注七</w:t>
      </w:r>
      <w:r>
        <w:rPr>
          <w:rFonts w:ascii="Times New Roman" w:eastAsia="Times New Roman" w:hAnsi="Times New Roman" w:cs="Times New Roman"/>
          <w:color w:val="000000"/>
          <w:spacing w:val="0"/>
          <w:w w:val="100"/>
          <w:position w:val="0"/>
        </w:rPr>
        <w:t>（27））</w:t>
      </w:r>
      <w:r>
        <w:rPr>
          <w:color w:val="000000"/>
          <w:spacing w:val="0"/>
          <w:w w:val="100"/>
          <w:position w:val="0"/>
        </w:rPr>
        <w:t>、收 入的确认时点（附注五</w:t>
      </w:r>
      <w:r>
        <w:rPr>
          <w:rFonts w:ascii="Times New Roman" w:eastAsia="Times New Roman" w:hAnsi="Times New Roman" w:cs="Times New Roman"/>
          <w:color w:val="000000"/>
          <w:spacing w:val="0"/>
          <w:w w:val="100"/>
          <w:position w:val="0"/>
        </w:rPr>
        <w:t>（38））</w:t>
      </w:r>
      <w:r>
        <w:rPr>
          <w:color w:val="000000"/>
          <w:spacing w:val="0"/>
          <w:w w:val="100"/>
          <w:position w:val="0"/>
        </w:rPr>
        <w:t>等。</w:t>
      </w:r>
    </w:p>
    <w:p>
      <w:pPr>
        <w:pStyle w:val="Style2"/>
        <w:keepNext w:val="0"/>
        <w:keepLines w:val="0"/>
        <w:widowControl w:val="0"/>
        <w:shd w:val="clear" w:color="auto" w:fill="auto"/>
        <w:bidi w:val="0"/>
        <w:spacing w:before="0" w:after="300" w:line="264" w:lineRule="exact"/>
        <w:ind w:left="0" w:right="0" w:firstLine="0"/>
        <w:jc w:val="both"/>
      </w:pPr>
      <w:r>
        <w:rPr>
          <w:color w:val="000000"/>
          <w:spacing w:val="0"/>
          <w:w w:val="100"/>
          <w:position w:val="0"/>
        </w:rPr>
        <w:t xml:space="preserve">本集团在确定重要的会计政策时所运用的关键判断、重要会计估计及其关键假设详见附注五 </w:t>
      </w:r>
      <w:r>
        <w:rPr>
          <w:rFonts w:ascii="Times New Roman" w:eastAsia="Times New Roman" w:hAnsi="Times New Roman" w:cs="Times New Roman"/>
          <w:color w:val="000000"/>
          <w:spacing w:val="0"/>
          <w:w w:val="100"/>
          <w:position w:val="0"/>
        </w:rPr>
        <w:t>（43）</w:t>
      </w:r>
      <w:r>
        <w:rPr>
          <w:color w:val="000000"/>
          <w:spacing w:val="0"/>
          <w:w w:val="100"/>
          <w:position w:val="0"/>
        </w:rPr>
        <w:t>。</w:t>
      </w:r>
    </w:p>
    <w:p>
      <w:pPr>
        <w:pStyle w:val="Style35"/>
        <w:keepNext/>
        <w:keepLines/>
        <w:widowControl w:val="0"/>
        <w:numPr>
          <w:ilvl w:val="0"/>
          <w:numId w:val="59"/>
        </w:numPr>
        <w:shd w:val="clear" w:color="auto" w:fill="auto"/>
        <w:tabs>
          <w:tab w:pos="419" w:val="left"/>
        </w:tabs>
        <w:bidi w:val="0"/>
        <w:spacing w:before="0" w:after="40" w:line="269" w:lineRule="exact"/>
        <w:ind w:left="0" w:right="0" w:firstLine="0"/>
        <w:jc w:val="both"/>
      </w:pPr>
      <w:bookmarkStart w:id="843" w:name="bookmark843"/>
      <w:bookmarkStart w:id="844" w:name="bookmark844"/>
      <w:bookmarkStart w:id="845" w:name="bookmark845"/>
      <w:bookmarkStart w:id="846" w:name="bookmark846"/>
      <w:bookmarkEnd w:id="845"/>
      <w:r>
        <w:rPr>
          <w:color w:val="000000"/>
          <w:spacing w:val="0"/>
          <w:w w:val="100"/>
          <w:position w:val="0"/>
        </w:rPr>
        <w:t>遵循企业会计准则的声明</w:t>
      </w:r>
      <w:bookmarkEnd w:id="843"/>
      <w:bookmarkEnd w:id="844"/>
      <w:bookmarkEnd w:id="846"/>
    </w:p>
    <w:p>
      <w:pPr>
        <w:pStyle w:val="Style2"/>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年度的合并及公司经营成果和现金流量等有关信息。</w:t>
      </w:r>
    </w:p>
    <w:p>
      <w:pPr>
        <w:pStyle w:val="Style35"/>
        <w:keepNext/>
        <w:keepLines/>
        <w:widowControl w:val="0"/>
        <w:numPr>
          <w:ilvl w:val="0"/>
          <w:numId w:val="59"/>
        </w:numPr>
        <w:shd w:val="clear" w:color="auto" w:fill="auto"/>
        <w:tabs>
          <w:tab w:pos="419" w:val="left"/>
        </w:tabs>
        <w:bidi w:val="0"/>
        <w:spacing w:before="0" w:after="40" w:line="269" w:lineRule="exact"/>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会计期间</w:t>
      </w:r>
      <w:bookmarkEnd w:id="847"/>
      <w:bookmarkEnd w:id="848"/>
      <w:bookmarkEnd w:id="850"/>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numPr>
          <w:ilvl w:val="0"/>
          <w:numId w:val="59"/>
        </w:numPr>
        <w:shd w:val="clear" w:color="auto" w:fill="auto"/>
        <w:tabs>
          <w:tab w:pos="419" w:val="left"/>
        </w:tabs>
        <w:bidi w:val="0"/>
        <w:spacing w:before="0" w:after="40" w:line="269" w:lineRule="exact"/>
        <w:ind w:left="0" w:right="0" w:firstLine="0"/>
        <w:jc w:val="both"/>
      </w:pPr>
      <w:bookmarkStart w:id="851" w:name="bookmark851"/>
      <w:bookmarkStart w:id="852" w:name="bookmark852"/>
      <w:bookmarkStart w:id="853" w:name="bookmark853"/>
      <w:bookmarkStart w:id="854" w:name="bookmark854"/>
      <w:bookmarkEnd w:id="853"/>
      <w:r>
        <w:rPr>
          <w:color w:val="000000"/>
          <w:spacing w:val="0"/>
          <w:w w:val="100"/>
          <w:position w:val="0"/>
        </w:rPr>
        <w:t>营业周期</w:t>
      </w:r>
      <w:bookmarkEnd w:id="851"/>
      <w:bookmarkEnd w:id="852"/>
      <w:bookmarkEnd w:id="854"/>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59"/>
        </w:numPr>
        <w:shd w:val="clear" w:color="auto" w:fill="auto"/>
        <w:tabs>
          <w:tab w:pos="419" w:val="left"/>
        </w:tabs>
        <w:bidi w:val="0"/>
        <w:spacing w:before="0" w:after="40" w:line="269" w:lineRule="exact"/>
        <w:ind w:left="0" w:right="0" w:firstLine="0"/>
        <w:jc w:val="both"/>
      </w:pPr>
      <w:bookmarkStart w:id="855" w:name="bookmark855"/>
      <w:bookmarkStart w:id="856" w:name="bookmark856"/>
      <w:bookmarkStart w:id="857" w:name="bookmark857"/>
      <w:bookmarkStart w:id="858" w:name="bookmark858"/>
      <w:bookmarkEnd w:id="857"/>
      <w:r>
        <w:rPr>
          <w:color w:val="000000"/>
          <w:spacing w:val="0"/>
          <w:w w:val="100"/>
          <w:position w:val="0"/>
        </w:rPr>
        <w:t>记账本位币</w:t>
      </w:r>
      <w:bookmarkEnd w:id="855"/>
      <w:bookmarkEnd w:id="856"/>
      <w:bookmarkEnd w:id="858"/>
    </w:p>
    <w:p>
      <w:pPr>
        <w:pStyle w:val="Style2"/>
        <w:keepNext w:val="0"/>
        <w:keepLines w:val="0"/>
        <w:widowControl w:val="0"/>
        <w:shd w:val="clear" w:color="auto" w:fill="auto"/>
        <w:bidi w:val="0"/>
        <w:spacing w:before="0" w:after="600" w:line="274" w:lineRule="exact"/>
        <w:ind w:left="0" w:right="0" w:firstLine="440"/>
        <w:jc w:val="both"/>
      </w:pPr>
      <w:r>
        <w:rPr>
          <w:color w:val="000000"/>
          <w:spacing w:val="0"/>
          <w:w w:val="100"/>
          <w:position w:val="0"/>
        </w:rPr>
        <w:t>本公司记账本位币为人民币。本公司及下属子公司根据其经营所处的主要经济环境确定其记 账本位币。本财务报表以人民币列示。</w:t>
      </w:r>
    </w:p>
    <w:p>
      <w:pPr>
        <w:pStyle w:val="Style35"/>
        <w:keepNext/>
        <w:keepLines/>
        <w:widowControl w:val="0"/>
        <w:numPr>
          <w:ilvl w:val="0"/>
          <w:numId w:val="59"/>
        </w:numPr>
        <w:shd w:val="clear" w:color="auto" w:fill="auto"/>
        <w:bidi w:val="0"/>
        <w:spacing w:before="0" w:after="100" w:line="273" w:lineRule="exact"/>
        <w:ind w:left="0" w:right="0" w:firstLine="0"/>
        <w:jc w:val="both"/>
      </w:pPr>
      <w:bookmarkStart w:id="859" w:name="bookmark859"/>
      <w:bookmarkStart w:id="860" w:name="bookmark860"/>
      <w:bookmarkStart w:id="861" w:name="bookmark861"/>
      <w:bookmarkStart w:id="862" w:name="bookmark862"/>
      <w:bookmarkEnd w:id="861"/>
      <w:r>
        <w:rPr>
          <w:color w:val="000000"/>
          <w:spacing w:val="0"/>
          <w:w w:val="100"/>
          <w:position w:val="0"/>
        </w:rPr>
        <w:t>同一控制下和非同一控制下企业合并的会计处理方法</w:t>
      </w:r>
      <w:bookmarkEnd w:id="859"/>
      <w:bookmarkEnd w:id="860"/>
      <w:bookmarkEnd w:id="862"/>
    </w:p>
    <w:p>
      <w:pPr>
        <w:pStyle w:val="Style2"/>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tabs>
          <w:tab w:pos="856" w:val="left"/>
        </w:tabs>
        <w:bidi w:val="0"/>
        <w:spacing w:before="0" w:after="180" w:line="286" w:lineRule="auto"/>
        <w:ind w:left="0" w:right="0" w:firstLine="440"/>
        <w:jc w:val="both"/>
      </w:pPr>
      <w:bookmarkStart w:id="863" w:name="bookmark863"/>
      <w:r>
        <w:rPr>
          <w:rFonts w:ascii="Times New Roman" w:eastAsia="Times New Roman" w:hAnsi="Times New Roman" w:cs="Times New Roman"/>
          <w:color w:val="000000"/>
          <w:spacing w:val="0"/>
          <w:w w:val="100"/>
          <w:position w:val="0"/>
        </w:rPr>
        <w:t>（</w:t>
      </w:r>
      <w:bookmarkEnd w:id="863"/>
      <w:r>
        <w:rPr>
          <w:rFonts w:ascii="Times New Roman" w:eastAsia="Times New Roman" w:hAnsi="Times New Roman" w:cs="Times New Roman"/>
          <w:color w:val="000000"/>
          <w:spacing w:val="0"/>
          <w:w w:val="100"/>
          <w:position w:val="0"/>
        </w:rPr>
        <w:t>a）</w:t>
        <w:tab/>
      </w:r>
      <w:r>
        <w:rPr>
          <w:color w:val="000000"/>
          <w:spacing w:val="0"/>
          <w:w w:val="100"/>
          <w:position w:val="0"/>
        </w:rPr>
        <w:t>同一控制下的企业合并</w:t>
      </w:r>
    </w:p>
    <w:p>
      <w:pPr>
        <w:pStyle w:val="Style2"/>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本集团支付的合并对价及取得的净资产均按账面价值计量，如被合并方是最终控制方以前年 度从第三方收购来的，则以被合并方的资产、负债</w:t>
      </w:r>
      <w:r>
        <w:rPr>
          <w:rFonts w:ascii="Arial" w:eastAsia="Arial" w:hAnsi="Arial" w:cs="Arial"/>
          <w:color w:val="000000"/>
          <w:spacing w:val="0"/>
          <w:w w:val="100"/>
          <w:position w:val="0"/>
        </w:rPr>
        <w:t>（</w:t>
      </w:r>
      <w:r>
        <w:rPr>
          <w:color w:val="000000"/>
          <w:spacing w:val="0"/>
          <w:w w:val="100"/>
          <w:position w:val="0"/>
        </w:rPr>
        <w:t>包括最终控制方收购被合并方而形成的商誉</w:t>
      </w:r>
      <w:r>
        <w:rPr>
          <w:color w:val="000000"/>
          <w:spacing w:val="0"/>
          <w:w w:val="100"/>
          <w:position w:val="0"/>
          <w:sz w:val="24"/>
          <w:szCs w:val="24"/>
        </w:rPr>
        <w:t>）</w:t>
      </w:r>
      <w:r>
        <w:rPr>
          <w:rFonts w:ascii="Arial" w:eastAsia="Arial" w:hAnsi="Arial" w:cs="Arial"/>
          <w:color w:val="000000"/>
          <w:spacing w:val="0"/>
          <w:w w:val="100"/>
          <w:position w:val="0"/>
        </w:rPr>
        <w:t xml:space="preserve"> </w:t>
      </w:r>
      <w:r>
        <w:rPr>
          <w:color w:val="000000"/>
          <w:spacing w:val="0"/>
          <w:w w:val="100"/>
          <w:position w:val="0"/>
        </w:rPr>
        <w:t>在最终控制方合并财务报表中的账面价值为基础。本集团取得的净资产账面价值与支付的合并对 价账面价值的差额，调整资本公积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；资本公积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不足以冲减的，调整留存收 益。为进行企业合并发生的直接相关费用于发生时计入当期损益。为企业合并而发行权益性证券 或债务性证券的交易费用，计入权益性证券或债务性证券的初始确认金额。</w:t>
      </w:r>
    </w:p>
    <w:p>
      <w:pPr>
        <w:pStyle w:val="Style2"/>
        <w:keepNext w:val="0"/>
        <w:keepLines w:val="0"/>
        <w:widowControl w:val="0"/>
        <w:shd w:val="clear" w:color="auto" w:fill="auto"/>
        <w:tabs>
          <w:tab w:pos="866" w:val="left"/>
        </w:tabs>
        <w:bidi w:val="0"/>
        <w:spacing w:before="0" w:after="180" w:line="286" w:lineRule="auto"/>
        <w:ind w:left="0" w:right="0" w:firstLine="440"/>
        <w:jc w:val="both"/>
      </w:pPr>
      <w:bookmarkStart w:id="864" w:name="bookmark864"/>
      <w:r>
        <w:rPr>
          <w:rFonts w:ascii="Times New Roman" w:eastAsia="Times New Roman" w:hAnsi="Times New Roman" w:cs="Times New Roman"/>
          <w:color w:val="000000"/>
          <w:spacing w:val="0"/>
          <w:w w:val="100"/>
          <w:position w:val="0"/>
        </w:rPr>
        <w:t>（</w:t>
      </w:r>
      <w:bookmarkEnd w:id="864"/>
      <w:r>
        <w:rPr>
          <w:rFonts w:ascii="Times New Roman" w:eastAsia="Times New Roman" w:hAnsi="Times New Roman" w:cs="Times New Roman"/>
          <w:color w:val="000000"/>
          <w:spacing w:val="0"/>
          <w:w w:val="100"/>
          <w:position w:val="0"/>
        </w:rPr>
        <w:t>b）</w:t>
        <w:tab/>
      </w:r>
      <w:r>
        <w:rPr>
          <w:color w:val="000000"/>
          <w:spacing w:val="0"/>
          <w:w w:val="100"/>
          <w:position w:val="0"/>
        </w:rPr>
        <w:t>非同一控制下的企业合并</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 xml:space="preserve">本集团发生的合并成本及在合并中取得的可辨认净资产按购买日的公允价值计量。合并成本 大于合并中取得的被购买方于购买日可辨认净资产公允价值份额的差额，确认为商誉；合并成本 小于合并中取得的被购买方可辨认净资产公允价值份额的差额，计入当期损益。为进行企业合并 </w:t>
      </w:r>
      <w:r>
        <w:rPr>
          <w:color w:val="000000"/>
          <w:spacing w:val="0"/>
          <w:w w:val="100"/>
          <w:position w:val="0"/>
        </w:rPr>
        <w:t>发生的直接相关费用于发生时计入当期损益。为企业合并而发行权益性证券或债务性证券的交易 费用，计入权益性证券或债务性证券的初始确认金额。</w:t>
      </w:r>
    </w:p>
    <w:p>
      <w:pPr>
        <w:pStyle w:val="Style35"/>
        <w:keepNext/>
        <w:keepLines/>
        <w:widowControl w:val="0"/>
        <w:numPr>
          <w:ilvl w:val="0"/>
          <w:numId w:val="59"/>
        </w:numPr>
        <w:shd w:val="clear" w:color="auto" w:fill="auto"/>
        <w:tabs>
          <w:tab w:pos="422" w:val="left"/>
        </w:tabs>
        <w:bidi w:val="0"/>
        <w:spacing w:before="0" w:after="100" w:line="272" w:lineRule="exact"/>
        <w:ind w:left="0" w:right="0" w:firstLine="0"/>
        <w:jc w:val="both"/>
      </w:pPr>
      <w:bookmarkStart w:id="865" w:name="bookmark865"/>
      <w:bookmarkStart w:id="866" w:name="bookmark866"/>
      <w:bookmarkStart w:id="867" w:name="bookmark867"/>
      <w:bookmarkStart w:id="868" w:name="bookmark868"/>
      <w:bookmarkEnd w:id="867"/>
      <w:r>
        <w:rPr>
          <w:color w:val="000000"/>
          <w:spacing w:val="0"/>
          <w:w w:val="100"/>
          <w:position w:val="0"/>
        </w:rPr>
        <w:t>合并财务报表的编制方法</w:t>
      </w:r>
      <w:bookmarkEnd w:id="865"/>
      <w:bookmarkEnd w:id="866"/>
      <w:bookmarkEnd w:id="868"/>
    </w:p>
    <w:p>
      <w:pPr>
        <w:pStyle w:val="Style2"/>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编制合并财务报表时，合并范围包括本公司及全部子公司。</w:t>
      </w:r>
    </w:p>
    <w:p>
      <w:pPr>
        <w:pStyle w:val="Style2"/>
        <w:keepNext w:val="0"/>
        <w:keepLines w:val="0"/>
        <w:widowControl w:val="0"/>
        <w:shd w:val="clear" w:color="auto" w:fill="auto"/>
        <w:bidi w:val="0"/>
        <w:spacing w:before="0" w:after="260" w:line="276" w:lineRule="exact"/>
        <w:ind w:left="0" w:right="0" w:firstLine="440"/>
        <w:jc w:val="both"/>
      </w:pPr>
      <w:r>
        <w:rPr>
          <w:color w:val="000000"/>
          <w:spacing w:val="0"/>
          <w:w w:val="100"/>
          <w:position w:val="0"/>
        </w:rPr>
        <w:t>从取得子公司的实际控制权之日起，本集团开始将其纳入合并范围；从丧失实际控制权之日 起停止纳入合并范围。对于同一控制下企业合并取得的子公司，自其与本公司同受最终控制方控 制之日起纳入本公司合并范围，并将其在合并日前实现的净利润在合并利润表中单列项目反映。</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本集团内所有重大往来余额、交易及未实现利润在合并财务报表编制时予以抵销。子公司的 股东权益、当期净损益及综合收益中不属于本公司所拥有的部分分别作为少数股东权益、少数股 东损益及归属于少数股东的综合收益总额在合并财务报表中股东权益、净利润及综合收益总额项 下单独列示。子公司少数股东分担的当期亏损超过了少数股东在该子公司期初所有者权益中所享 有的份额的，其余额冲减少数股东权益。本公司向子公司出售资产所发生的未实现内部交易损 益，全额抵销归属于母公司股东的净利润；子公司向本公司出售资产所发生的未实现内部交易损 益，按本公司对该子公司的分配比例在归属于母公司股东的净利润和少数股东损益之间分配抵 销。子公司之间出售资产所发生的未实现内部交易损益，按照母公司对出售方子公司的分配比例 在归属于母公司股东的净利润和少数股东损益之间分配抵销。</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如果以本集团为会计主体与以本公司或子公司为会计主体对同一交易的认定不同时，从本集 团的角度对该交易予以调整。</w:t>
      </w:r>
    </w:p>
    <w:p>
      <w:pPr>
        <w:pStyle w:val="Style35"/>
        <w:keepNext/>
        <w:keepLines/>
        <w:widowControl w:val="0"/>
        <w:numPr>
          <w:ilvl w:val="0"/>
          <w:numId w:val="59"/>
        </w:numPr>
        <w:shd w:val="clear" w:color="auto" w:fill="auto"/>
        <w:tabs>
          <w:tab w:pos="422" w:val="left"/>
        </w:tabs>
        <w:bidi w:val="0"/>
        <w:spacing w:before="0" w:after="60" w:line="272" w:lineRule="exact"/>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合营安排分类及共同经营会计处理方法</w:t>
      </w:r>
      <w:bookmarkEnd w:id="869"/>
      <w:bookmarkEnd w:id="870"/>
      <w:bookmarkEnd w:id="872"/>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59"/>
        </w:numPr>
        <w:shd w:val="clear" w:color="auto" w:fill="auto"/>
        <w:tabs>
          <w:tab w:pos="422" w:val="left"/>
        </w:tabs>
        <w:bidi w:val="0"/>
        <w:spacing w:before="0" w:after="60" w:line="272" w:lineRule="exact"/>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现金及现金等价物的确定标准</w:t>
      </w:r>
      <w:bookmarkEnd w:id="873"/>
      <w:bookmarkEnd w:id="874"/>
      <w:bookmarkEnd w:id="876"/>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现金及现金等价物是指库存现金，可随时用于支付的存款，以及持有的期限短、流动性强、 易于转换为已知金额现金、价值变动风险很小的投资。</w:t>
      </w:r>
    </w:p>
    <w:p>
      <w:pPr>
        <w:pStyle w:val="Style35"/>
        <w:keepNext/>
        <w:keepLines/>
        <w:widowControl w:val="0"/>
        <w:numPr>
          <w:ilvl w:val="0"/>
          <w:numId w:val="59"/>
        </w:numPr>
        <w:shd w:val="clear" w:color="auto" w:fill="auto"/>
        <w:tabs>
          <w:tab w:pos="422" w:val="left"/>
        </w:tabs>
        <w:bidi w:val="0"/>
        <w:spacing w:before="0" w:after="100" w:line="272" w:lineRule="exact"/>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外币业务和外币报表折算</w:t>
      </w:r>
      <w:bookmarkEnd w:id="877"/>
      <w:bookmarkEnd w:id="878"/>
      <w:bookmarkEnd w:id="880"/>
    </w:p>
    <w:p>
      <w:pPr>
        <w:pStyle w:val="Style2"/>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61"/>
        </w:numPr>
        <w:shd w:val="clear" w:color="auto" w:fill="auto"/>
        <w:tabs>
          <w:tab w:pos="851" w:val="left"/>
        </w:tabs>
        <w:bidi w:val="0"/>
        <w:spacing w:before="0" w:after="180" w:line="283" w:lineRule="auto"/>
        <w:ind w:left="0" w:right="0" w:firstLine="440"/>
        <w:jc w:val="both"/>
      </w:pPr>
      <w:bookmarkStart w:id="881" w:name="bookmark881"/>
      <w:bookmarkEnd w:id="881"/>
      <w:r>
        <w:rPr>
          <w:color w:val="000000"/>
          <w:spacing w:val="0"/>
          <w:w w:val="100"/>
          <w:position w:val="0"/>
        </w:rPr>
        <w:t>外币交易</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外币交易按交易发生日的即期汇率将外币金额折算为记账本位币入账。</w:t>
      </w:r>
    </w:p>
    <w:p>
      <w:pPr>
        <w:pStyle w:val="Style2"/>
        <w:keepNext w:val="0"/>
        <w:keepLines w:val="0"/>
        <w:widowControl w:val="0"/>
        <w:shd w:val="clear" w:color="auto" w:fill="auto"/>
        <w:bidi w:val="0"/>
        <w:spacing w:before="0" w:after="260" w:line="270" w:lineRule="exact"/>
        <w:ind w:left="0" w:right="0" w:firstLine="440"/>
        <w:jc w:val="both"/>
      </w:pPr>
      <w:r>
        <w:rPr>
          <w:color w:val="000000"/>
          <w:spacing w:val="0"/>
          <w:w w:val="100"/>
          <w:position w:val="0"/>
        </w:rPr>
        <w:t>于资产负债表日，外币货币性项目采用资产负债表日的即期汇率折算为记账本位币。为购建 符合借款费用资本化条件的资产而借入的外币专门借款产生的汇兑差额在资本化期间内予以资本 化；其他汇兑差额直接计入当期损益。以历史成本计量的外币非货币性项目，于资产负债表日采 用交易发生日的即期汇率折算。汇率变动对现金的影响额，在现金流量表中单独列示。</w:t>
      </w:r>
    </w:p>
    <w:p>
      <w:pPr>
        <w:pStyle w:val="Style2"/>
        <w:keepNext w:val="0"/>
        <w:keepLines w:val="0"/>
        <w:widowControl w:val="0"/>
        <w:numPr>
          <w:ilvl w:val="0"/>
          <w:numId w:val="61"/>
        </w:numPr>
        <w:shd w:val="clear" w:color="auto" w:fill="auto"/>
        <w:tabs>
          <w:tab w:pos="860" w:val="left"/>
        </w:tabs>
        <w:bidi w:val="0"/>
        <w:spacing w:before="0" w:after="260" w:line="283" w:lineRule="auto"/>
        <w:ind w:left="0" w:right="0" w:firstLine="440"/>
        <w:jc w:val="both"/>
      </w:pPr>
      <w:bookmarkStart w:id="882" w:name="bookmark882"/>
      <w:bookmarkEnd w:id="882"/>
      <w:r>
        <w:rPr>
          <w:color w:val="000000"/>
          <w:spacing w:val="0"/>
          <w:w w:val="100"/>
          <w:position w:val="0"/>
        </w:rPr>
        <w:t>外币财务报表的折算</w:t>
      </w:r>
    </w:p>
    <w:p>
      <w:pPr>
        <w:pStyle w:val="Style2"/>
        <w:keepNext w:val="0"/>
        <w:keepLines w:val="0"/>
        <w:widowControl w:val="0"/>
        <w:shd w:val="clear" w:color="auto" w:fill="auto"/>
        <w:bidi w:val="0"/>
        <w:spacing w:before="0" w:after="580" w:line="271" w:lineRule="exact"/>
        <w:ind w:left="0" w:right="0" w:firstLine="440"/>
        <w:jc w:val="both"/>
      </w:pPr>
      <w:r>
        <w:rPr>
          <w:color w:val="000000"/>
          <w:spacing w:val="0"/>
          <w:w w:val="100"/>
          <w:position w:val="0"/>
        </w:rPr>
        <w:t>境外经营的资产负债表中的资产和负债项目，采用资产负债表日的即期汇率折算，股东权益 中除未分配利润项目外，其他项目采用发生时的即期汇率折算。境外经营的利润表中的收入与费 用项目，采用交易发生日的即期汇率折算。上述折算产生的外币报表折算差额，计入其他综合收 益。境外经营的现金流量项目，采用现金流量发生日的即期汇率折算。汇率变动对现金的影响 额，在现金流量表中单独列示。</w:t>
      </w:r>
    </w:p>
    <w:p>
      <w:pPr>
        <w:pStyle w:val="Style35"/>
        <w:keepNext/>
        <w:keepLines/>
        <w:widowControl w:val="0"/>
        <w:numPr>
          <w:ilvl w:val="0"/>
          <w:numId w:val="59"/>
        </w:numPr>
        <w:shd w:val="clear" w:color="auto" w:fill="auto"/>
        <w:bidi w:val="0"/>
        <w:spacing w:before="0" w:after="80" w:line="273" w:lineRule="exact"/>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金融工具</w:t>
      </w:r>
      <w:bookmarkEnd w:id="883"/>
      <w:bookmarkEnd w:id="884"/>
      <w:bookmarkEnd w:id="886"/>
    </w:p>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金融工具，是指形成一方的金融资产并形成其他方的金融负债或权益工具的合同。当本集团 成为金融工具合同的一方时，确认相关的金融资产或金融负债。</w:t>
      </w:r>
    </w:p>
    <w:p>
      <w:pPr>
        <w:pStyle w:val="Style2"/>
        <w:keepNext w:val="0"/>
        <w:keepLines w:val="0"/>
        <w:widowControl w:val="0"/>
        <w:shd w:val="clear" w:color="auto" w:fill="auto"/>
        <w:bidi w:val="0"/>
        <w:spacing w:before="0" w:after="220" w:line="286" w:lineRule="auto"/>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金融资产</w:t>
      </w:r>
    </w:p>
    <w:p>
      <w:pPr>
        <w:pStyle w:val="Style2"/>
        <w:keepNext w:val="0"/>
        <w:keepLines w:val="0"/>
        <w:widowControl w:val="0"/>
        <w:shd w:val="clear" w:color="auto" w:fill="auto"/>
        <w:bidi w:val="0"/>
        <w:spacing w:before="0" w:after="220" w:line="273"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分类和计量</w:t>
      </w:r>
    </w:p>
    <w:p>
      <w:pPr>
        <w:pStyle w:val="Style2"/>
        <w:keepNext w:val="0"/>
        <w:keepLines w:val="0"/>
        <w:widowControl w:val="0"/>
        <w:shd w:val="clear" w:color="auto" w:fill="auto"/>
        <w:bidi w:val="0"/>
        <w:spacing w:before="0" w:after="220" w:line="269" w:lineRule="exact"/>
        <w:ind w:left="0" w:right="0" w:firstLine="440"/>
        <w:jc w:val="both"/>
      </w:pPr>
      <w:r>
        <w:rPr>
          <w:color w:val="000000"/>
          <w:spacing w:val="0"/>
          <w:w w:val="100"/>
          <w:position w:val="0"/>
        </w:rPr>
        <w:t xml:space="preserve">本集团根据管理金融资产的业务模式和金融资产的合同现金流量特征，将金融资产划分为： </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以公允价值计量且其变动计入其他综合收益的金融资产； </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本集团按照预期有权收取的对价金额作为初始确认金额。</w:t>
      </w:r>
    </w:p>
    <w:p>
      <w:pPr>
        <w:pStyle w:val="Style2"/>
        <w:keepNext w:val="0"/>
        <w:keepLines w:val="0"/>
        <w:widowControl w:val="0"/>
        <w:shd w:val="clear" w:color="auto" w:fill="auto"/>
        <w:bidi w:val="0"/>
        <w:spacing w:before="0" w:after="220" w:line="273" w:lineRule="exact"/>
        <w:ind w:left="0" w:right="0" w:firstLine="440"/>
        <w:jc w:val="both"/>
      </w:pPr>
      <w:r>
        <w:rPr>
          <w:color w:val="000000"/>
          <w:spacing w:val="0"/>
          <w:w w:val="100"/>
          <w:position w:val="0"/>
        </w:rPr>
        <w:t>债务工具</w:t>
      </w:r>
    </w:p>
    <w:p>
      <w:pPr>
        <w:pStyle w:val="Style2"/>
        <w:keepNext w:val="0"/>
        <w:keepLines w:val="0"/>
        <w:widowControl w:val="0"/>
        <w:shd w:val="clear" w:color="auto" w:fill="auto"/>
        <w:bidi w:val="0"/>
        <w:spacing w:before="0" w:after="220" w:line="269" w:lineRule="exact"/>
        <w:ind w:left="0" w:right="0" w:firstLine="440"/>
        <w:jc w:val="both"/>
      </w:pPr>
      <w:r>
        <w:rPr>
          <w:color w:val="000000"/>
          <w:spacing w:val="0"/>
          <w:w w:val="100"/>
          <w:position w:val="0"/>
        </w:rPr>
        <w:t>本集团持有的债务工具是指从发行方角度分析符合金融负债定义的工具，分别采用以下三种 方式进行计量：</w:t>
      </w:r>
    </w:p>
    <w:p>
      <w:pPr>
        <w:pStyle w:val="Style2"/>
        <w:keepNext w:val="0"/>
        <w:keepLines w:val="0"/>
        <w:widowControl w:val="0"/>
        <w:shd w:val="clear" w:color="auto" w:fill="auto"/>
        <w:bidi w:val="0"/>
        <w:spacing w:before="0" w:after="220" w:line="273" w:lineRule="exact"/>
        <w:ind w:left="0" w:right="0" w:firstLine="440"/>
        <w:jc w:val="both"/>
      </w:pPr>
      <w:r>
        <w:rPr>
          <w:color w:val="000000"/>
          <w:spacing w:val="0"/>
          <w:w w:val="100"/>
          <w:position w:val="0"/>
        </w:rPr>
        <w:t>以摊余成本计量：</w:t>
      </w:r>
    </w:p>
    <w:p>
      <w:pPr>
        <w:pStyle w:val="Style2"/>
        <w:keepNext w:val="0"/>
        <w:keepLines w:val="0"/>
        <w:widowControl w:val="0"/>
        <w:shd w:val="clear" w:color="auto" w:fill="auto"/>
        <w:bidi w:val="0"/>
        <w:spacing w:before="0" w:after="220" w:line="273" w:lineRule="exact"/>
        <w:ind w:left="0" w:right="0" w:firstLine="440"/>
        <w:jc w:val="both"/>
      </w:pPr>
      <w:r>
        <w:rPr>
          <w:color w:val="000000"/>
          <w:spacing w:val="0"/>
          <w:w w:val="100"/>
          <w:position w:val="0"/>
        </w:rPr>
        <w:t>本集团管理此类金融资产的业务模式为以收取合同现金流量为目标，且此类金融资产的合同 现金流量特征与基本借贷安排相一致，即在特定日期产生的现金流量，仅为对本金和以未偿付本 金金额为基础的利息的支付。本集团对于此类金融资产按照实际利率法确认利息收入。此类金融 资产主要包括货币资金、应收票据、应收账款、其他应收款、债权投资和长期应收款等。本集团 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到期的债权投资和长期应收款，列示为一年内到期的非流动 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的债权投资列示为其他流动资产。</w:t>
      </w:r>
    </w:p>
    <w:p>
      <w:pPr>
        <w:pStyle w:val="Style2"/>
        <w:keepNext w:val="0"/>
        <w:keepLines w:val="0"/>
        <w:widowControl w:val="0"/>
        <w:shd w:val="clear" w:color="auto" w:fill="auto"/>
        <w:bidi w:val="0"/>
        <w:spacing w:before="0" w:after="220" w:line="273" w:lineRule="exact"/>
        <w:ind w:left="0" w:right="0" w:firstLine="440"/>
        <w:jc w:val="left"/>
      </w:pPr>
      <w:r>
        <w:rPr>
          <w:color w:val="000000"/>
          <w:spacing w:val="0"/>
          <w:w w:val="100"/>
          <w:position w:val="0"/>
        </w:rPr>
        <w:t>以公允价值计量且其变动计入其他综合收益：</w:t>
      </w:r>
    </w:p>
    <w:p>
      <w:pPr>
        <w:pStyle w:val="Style2"/>
        <w:keepNext w:val="0"/>
        <w:keepLines w:val="0"/>
        <w:widowControl w:val="0"/>
        <w:shd w:val="clear" w:color="auto" w:fill="auto"/>
        <w:bidi w:val="0"/>
        <w:spacing w:before="0" w:after="220" w:line="273" w:lineRule="exact"/>
        <w:ind w:left="0" w:right="0" w:firstLine="440"/>
        <w:jc w:val="both"/>
      </w:pPr>
      <w:r>
        <w:rPr>
          <w:color w:val="000000"/>
          <w:spacing w:val="0"/>
          <w:w w:val="100"/>
          <w:position w:val="0"/>
        </w:rPr>
        <w:t>本集团管理此类金融资产的业务模式为既以收取合同现金流量为目标又以出售为目标，且此 类金融资产的合同现金流量特征与基本借贷安排相一致。此类金融资产按照公允价值计量且其变 动计入其他综合收益，但减值损失或利得、汇兑损益和按照实际利率法计算的利息收入计入当期 损益。此类金融资产主要包括应收款项融资、其他债权投资等。本集团将自资产负债表日起一年 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到期的其他债权投资，列示为一年内到期的非流动资产；取得时期限在一年内</w:t>
      </w:r>
      <w:r>
        <w:rPr>
          <w:rFonts w:ascii="Times New Roman" w:eastAsia="Times New Roman" w:hAnsi="Times New Roman" w:cs="Times New Roman"/>
          <w:color w:val="000000"/>
          <w:spacing w:val="0"/>
          <w:w w:val="100"/>
          <w:position w:val="0"/>
        </w:rPr>
        <w:t>（</w:t>
      </w:r>
      <w:r>
        <w:rPr>
          <w:color w:val="000000"/>
          <w:spacing w:val="0"/>
          <w:w w:val="100"/>
          <w:position w:val="0"/>
        </w:rPr>
        <w:t>含一 年</w:t>
      </w:r>
      <w:r>
        <w:rPr>
          <w:rFonts w:ascii="Times New Roman" w:eastAsia="Times New Roman" w:hAnsi="Times New Roman" w:cs="Times New Roman"/>
          <w:color w:val="000000"/>
          <w:spacing w:val="0"/>
          <w:w w:val="100"/>
          <w:position w:val="0"/>
        </w:rPr>
        <w:t>）</w:t>
      </w:r>
      <w:r>
        <w:rPr>
          <w:color w:val="000000"/>
          <w:spacing w:val="0"/>
          <w:w w:val="100"/>
          <w:position w:val="0"/>
        </w:rPr>
        <w:t>的其他债权投资列示为其他流动资产。</w:t>
      </w:r>
    </w:p>
    <w:p>
      <w:pPr>
        <w:pStyle w:val="Style2"/>
        <w:keepNext w:val="0"/>
        <w:keepLines w:val="0"/>
        <w:widowControl w:val="0"/>
        <w:shd w:val="clear" w:color="auto" w:fill="auto"/>
        <w:bidi w:val="0"/>
        <w:spacing w:before="0" w:after="220" w:line="273" w:lineRule="exact"/>
        <w:ind w:left="0" w:right="0" w:firstLine="440"/>
        <w:jc w:val="both"/>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本集团将持有的未划分为以摊余成本计量和以公允价值计量且其变动计入其他综合收益的债 务工具，以公允价值计量且其变动计入当期损益。在初始确认时，本集团为了消除或显著减少会 计错配，将部分金融资产指定为以公允价值计量且其变动计入当期损益的金融资产。自资产负债 表日起超过一年到期且预期持有超过一年的，列示为其他非流动金融资产，其余列示为交易性金 融资产。</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权益工具</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本集团将对其没有控制、共同控制和重大影响的权益工具投资按照公允价值计量且其变动计 入当期损益，列示为交易性金融资产；自资产负债表日起预期持有超过一年的，列示为其他非流 动金融资产。</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此外，本集团将部分非交易性权益工具投资指定为以公允价值计量且其变动计入其他综合收 益的金融资产，列示为其他权益工具投资。该类金融资产的相关股利收入计入当期损益。</w:t>
      </w:r>
    </w:p>
    <w:p>
      <w:pPr>
        <w:pStyle w:val="Style58"/>
        <w:keepNext w:val="0"/>
        <w:keepLines w:val="0"/>
        <w:widowControl w:val="0"/>
        <w:shd w:val="clear" w:color="auto" w:fill="auto"/>
        <w:bidi w:val="0"/>
        <w:spacing w:before="0" w:after="180" w:line="283" w:lineRule="auto"/>
        <w:ind w:left="0" w:right="0" w:firstLine="440"/>
        <w:jc w:val="both"/>
      </w:pPr>
      <w:r>
        <w:rPr>
          <w:color w:val="000000"/>
          <w:spacing w:val="0"/>
          <w:w w:val="100"/>
          <w:position w:val="0"/>
        </w:rPr>
        <w:t>(ii)</w:t>
      </w:r>
      <w:r>
        <w:rPr>
          <w:rFonts w:ascii="SimSun" w:eastAsia="SimSun" w:hAnsi="SimSun" w:cs="SimSun"/>
          <w:color w:val="000000"/>
          <w:spacing w:val="0"/>
          <w:w w:val="100"/>
          <w:position w:val="0"/>
        </w:rPr>
        <w:t>减值</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本集团对于以摊余成本计量的金融资产、以公允价值计量且其变动计入其他综合收益的债务 工具投资、合同资产、应收租赁款和财务担保合同等，以预期信用损失为基础确认损失准备。</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本集团考虑有关过去事项、当前状况以及对未来经济状况的预测等合理且有依据的信息，以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于每个资产负债表日，本集团对于处于不同阶段的金融工具的预期信用损失分别进行计量。 金融工具自初始确认后信用风险未显著增加的，处于第一阶段，本集团按照未来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 期信用损失计量损失准备；金融工具自初始确认后信用风险已显著增加但尚未发生信用减值的， 处于第二阶段，本集团按照该工具整个存续期的预期信用损失计量损失准备；金融工具自初始确 认后已经发生信用减值的，处于第三阶段，本集团按照该工具整个存续期的预期信用损失计量损 失准备。</w:t>
      </w:r>
    </w:p>
    <w:p>
      <w:pPr>
        <w:pStyle w:val="Style2"/>
        <w:keepNext w:val="0"/>
        <w:keepLines w:val="0"/>
        <w:widowControl w:val="0"/>
        <w:shd w:val="clear" w:color="auto" w:fill="auto"/>
        <w:bidi w:val="0"/>
        <w:spacing w:before="0" w:after="260" w:line="250" w:lineRule="exact"/>
        <w:ind w:left="0" w:right="0" w:firstLine="440"/>
        <w:jc w:val="both"/>
      </w:pPr>
      <w:r>
        <w:rPr>
          <w:color w:val="000000"/>
          <w:spacing w:val="0"/>
          <w:w w:val="100"/>
          <w:position w:val="0"/>
        </w:rPr>
        <w:t>对于在资产负债表日具有较低信用风险的金融工具，本集团假设其信用风险自初始确认后并 未显著增加，按照未来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本集团对于处于第一阶段和第二阶段、以及较低信用风险的金融工具，按照其未扣除减值准 备的账面余额和实际利率计算利息收入。对于处于第三阶段的金融工具，按照其账面余额减已计 提减值准备后的摊余成本和实际利率计算利息收入。</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对于因销售商品、提供劳务等日常经营活动形成的应收票据、应收账款、应收款项融资和合 同资产，无论是否存在重大融资成分，本集团均按照整个存续期的预期信用损失计量损失准备。 对于应收租赁款，本集团亦选择按照整个存续期的预期信用损失计量损失准备。</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当单项金融资产无法以合理成本评估预期信用损失的信息时，本集团依据信用风险特征将应 收款项划分为若干组合，在组合基础上计算预期信用损失，确定组合的依据和计提方法如下：</w:t>
      </w:r>
    </w:p>
    <w:p>
      <w:pPr>
        <w:pStyle w:val="Style2"/>
        <w:keepNext w:val="0"/>
        <w:keepLines w:val="0"/>
        <w:widowControl w:val="0"/>
        <w:shd w:val="clear" w:color="auto" w:fill="auto"/>
        <w:tabs>
          <w:tab w:pos="4297" w:val="left"/>
        </w:tabs>
        <w:bidi w:val="0"/>
        <w:spacing w:before="0" w:after="0" w:line="272" w:lineRule="exact"/>
        <w:ind w:left="0" w:right="0" w:firstLine="740"/>
        <w:jc w:val="both"/>
      </w:pPr>
      <w:r>
        <w:rPr>
          <w:color w:val="000000"/>
          <w:spacing w:val="0"/>
          <w:w w:val="100"/>
          <w:position w:val="0"/>
        </w:rPr>
        <w:t>利息及银行承兑汇票</w:t>
        <w:tab/>
        <w:t>利息及银行承兑汇票</w:t>
      </w:r>
    </w:p>
    <w:p>
      <w:pPr>
        <w:pStyle w:val="Style2"/>
        <w:keepNext w:val="0"/>
        <w:keepLines w:val="0"/>
        <w:widowControl w:val="0"/>
        <w:shd w:val="clear" w:color="auto" w:fill="auto"/>
        <w:tabs>
          <w:tab w:pos="4297" w:val="left"/>
        </w:tabs>
        <w:bidi w:val="0"/>
        <w:spacing w:before="0" w:after="0" w:line="272" w:lineRule="exact"/>
        <w:ind w:left="0" w:right="0" w:firstLine="740"/>
        <w:jc w:val="both"/>
      </w:pPr>
      <w:r>
        <w:rPr>
          <w:color w:val="000000"/>
          <w:spacing w:val="0"/>
          <w:w w:val="100"/>
          <w:position w:val="0"/>
        </w:rPr>
        <w:t>押金组合</w:t>
        <w:tab/>
        <w:t>备用押金、保证金等信用风险较低的应收款项</w:t>
      </w:r>
    </w:p>
    <w:p>
      <w:pPr>
        <w:pStyle w:val="Style2"/>
        <w:keepNext w:val="0"/>
        <w:keepLines w:val="0"/>
        <w:widowControl w:val="0"/>
        <w:shd w:val="clear" w:color="auto" w:fill="auto"/>
        <w:tabs>
          <w:tab w:pos="4297" w:val="left"/>
        </w:tabs>
        <w:bidi w:val="0"/>
        <w:spacing w:before="0" w:after="0" w:line="272" w:lineRule="exact"/>
        <w:ind w:left="0" w:right="0" w:firstLine="740"/>
        <w:jc w:val="both"/>
      </w:pPr>
      <w:r>
        <w:rPr>
          <w:color w:val="000000"/>
          <w:spacing w:val="0"/>
          <w:w w:val="100"/>
          <w:position w:val="0"/>
        </w:rPr>
        <w:t>应收账款组合</w:t>
        <w:tab/>
        <w:t>应收账款</w:t>
      </w:r>
    </w:p>
    <w:p>
      <w:pPr>
        <w:pStyle w:val="Style2"/>
        <w:keepNext w:val="0"/>
        <w:keepLines w:val="0"/>
        <w:widowControl w:val="0"/>
        <w:shd w:val="clear" w:color="auto" w:fill="auto"/>
        <w:tabs>
          <w:tab w:pos="4297" w:val="left"/>
        </w:tabs>
        <w:bidi w:val="0"/>
        <w:spacing w:before="0" w:after="260" w:line="272" w:lineRule="exact"/>
        <w:ind w:left="0" w:right="0" w:firstLine="740"/>
        <w:jc w:val="both"/>
      </w:pPr>
      <w:r>
        <w:rPr>
          <w:color w:val="000000"/>
          <w:spacing w:val="0"/>
          <w:w w:val="100"/>
          <w:position w:val="0"/>
        </w:rPr>
        <w:t>其他组合</w:t>
        <w:tab/>
        <w:t>除以上组合以外的应收款项</w:t>
      </w:r>
    </w:p>
    <w:p>
      <w:pPr>
        <w:pStyle w:val="Style2"/>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对于划分为组合的应收账款和因销售商品、提供劳务等日常经营活动形成的应收票据和应收 款项融资，本集团参考历史信用损失经验，结合当前状况以及对未来经济状况的预测，编制应收 账款逾期天数与整个存续期预期信用损失率对照表，计算预期信用损失。除此以外的应收票据、 应收款项融资和划分为组合的其他应收款，本集团参考历史信用损失经验，结合当前状况以及对 未来经济状况的预测，通过违约风险敞口和未来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 预期信用损失。</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本集团将计提或转回的损失准备计入当期损益。对于持有的以公允价值计量且其变动计入其 他综合收益的债务工具，本集团在将减值损失或利得计入当期损益的同时调整其他综合收益。</w:t>
      </w:r>
    </w:p>
    <w:p>
      <w:pPr>
        <w:pStyle w:val="Style2"/>
        <w:keepNext w:val="0"/>
        <w:keepLines w:val="0"/>
        <w:widowControl w:val="0"/>
        <w:shd w:val="clear" w:color="auto" w:fill="auto"/>
        <w:bidi w:val="0"/>
        <w:spacing w:before="0" w:after="180" w:line="286" w:lineRule="auto"/>
        <w:ind w:left="0" w:right="0" w:firstLine="440"/>
        <w:jc w:val="both"/>
      </w:pPr>
      <w:r>
        <w:rPr>
          <w:rFonts w:ascii="Times New Roman" w:eastAsia="Times New Roman" w:hAnsi="Times New Roman" w:cs="Times New Roman"/>
          <w:color w:val="000000"/>
          <w:spacing w:val="0"/>
          <w:w w:val="100"/>
          <w:position w:val="0"/>
        </w:rPr>
        <w:t>(iii)</w:t>
      </w:r>
      <w:r>
        <w:rPr>
          <w:color w:val="000000"/>
          <w:spacing w:val="0"/>
          <w:w w:val="100"/>
          <w:position w:val="0"/>
        </w:rPr>
        <w:t>终止确认</w:t>
      </w:r>
    </w:p>
    <w:p>
      <w:pPr>
        <w:pStyle w:val="Style2"/>
        <w:keepNext w:val="0"/>
        <w:keepLines w:val="0"/>
        <w:widowControl w:val="0"/>
        <w:shd w:val="clear" w:color="auto" w:fill="auto"/>
        <w:bidi w:val="0"/>
        <w:spacing w:before="0" w:after="240" w:line="270" w:lineRule="exact"/>
        <w:ind w:left="0" w:right="0" w:firstLine="440"/>
        <w:jc w:val="left"/>
      </w:pPr>
      <w:r>
        <w:rPr>
          <w:color w:val="000000"/>
          <w:spacing w:val="0"/>
          <w:w w:val="100"/>
          <w:position w:val="0"/>
        </w:rPr>
        <w:t>金融资产满足下列条件之一的，予以终止确认：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 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该金融资产已转移，且本集团将金融资产所有权上几乎所有的风险和报酬转移给转入 方；</w:t>
      </w:r>
      <w:r>
        <w:rPr>
          <w:rFonts w:ascii="Times New Roman" w:eastAsia="Times New Roman" w:hAnsi="Times New Roman" w:cs="Times New Roman"/>
          <w:color w:val="000000"/>
          <w:spacing w:val="0"/>
          <w:w w:val="100"/>
          <w:position w:val="0"/>
        </w:rPr>
        <w:t>(3)</w:t>
      </w:r>
      <w:r>
        <w:rPr>
          <w:color w:val="000000"/>
          <w:spacing w:val="0"/>
          <w:w w:val="100"/>
          <w:position w:val="0"/>
        </w:rPr>
        <w:t>该金融资产已转移，虽然本集团既没有转移也没有保留金融资产所有权上几乎所有的 风险和报酬，但是放弃了对该金融资产控制。</w:t>
      </w:r>
    </w:p>
    <w:p>
      <w:pPr>
        <w:pStyle w:val="Style2"/>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其他权益工具投资终止确认时，其账面价值与收到的对价以及原直接计入其他综合收益的公 允价值变动累计额之和的差额，计入留存收益；其余金融资产终止确认时，其账面价值与收到的 对价以及原直接计入其他综合收益的公允价值变动累计额之和的差额，计入当期损益。</w:t>
      </w:r>
    </w:p>
    <w:p>
      <w:pPr>
        <w:pStyle w:val="Style2"/>
        <w:keepNext w:val="0"/>
        <w:keepLines w:val="0"/>
        <w:widowControl w:val="0"/>
        <w:numPr>
          <w:ilvl w:val="0"/>
          <w:numId w:val="63"/>
        </w:numPr>
        <w:shd w:val="clear" w:color="auto" w:fill="auto"/>
        <w:tabs>
          <w:tab w:pos="839" w:val="left"/>
        </w:tabs>
        <w:bidi w:val="0"/>
        <w:spacing w:before="0" w:after="180" w:line="286" w:lineRule="auto"/>
        <w:ind w:left="0" w:right="0" w:firstLine="440"/>
        <w:jc w:val="both"/>
      </w:pPr>
      <w:bookmarkStart w:id="887" w:name="bookmark887"/>
      <w:bookmarkEnd w:id="887"/>
      <w:r>
        <w:rPr>
          <w:color w:val="000000"/>
          <w:spacing w:val="0"/>
          <w:w w:val="100"/>
          <w:position w:val="0"/>
        </w:rPr>
        <w:t>金融负债</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金融负债于初始确认时分类为以摊余成本计量的金融负债和以公允价值计量且其变动计入当 期损益的金融负债。</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本集团的金融负债主要为以摊余成本计量的金融负债，包括应付票据、应付账款、其他应付 款、借款及应付债券等。该类金融负债按其公允价值扣除交易费用后的金额进行初始计量，并采 用实际利率法进行后续计量。期限在一年以下</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的，列示为流动负债；期限在一年以上但 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到期的，列示为一年内到期的非流动负债；其余列示为非流动 负债。</w:t>
      </w:r>
    </w:p>
    <w:p>
      <w:pPr>
        <w:pStyle w:val="Style2"/>
        <w:keepNext w:val="0"/>
        <w:keepLines w:val="0"/>
        <w:widowControl w:val="0"/>
        <w:shd w:val="clear" w:color="auto" w:fill="auto"/>
        <w:bidi w:val="0"/>
        <w:spacing w:before="0" w:after="300" w:line="264" w:lineRule="exact"/>
        <w:ind w:left="0" w:right="0" w:firstLine="440"/>
        <w:jc w:val="both"/>
      </w:pPr>
      <w:r>
        <w:rPr>
          <w:color w:val="000000"/>
          <w:spacing w:val="0"/>
          <w:w w:val="100"/>
          <w:position w:val="0"/>
        </w:rPr>
        <w:t>当金融负债的现时义务全部或部分已经解除时，本集团终止确认该金融负债或义务已解除的 部分。终止确认部分的账面价值与支付的对价之间的差额，计入当期损益。</w:t>
      </w:r>
    </w:p>
    <w:p>
      <w:pPr>
        <w:pStyle w:val="Style2"/>
        <w:keepNext w:val="0"/>
        <w:keepLines w:val="0"/>
        <w:widowControl w:val="0"/>
        <w:numPr>
          <w:ilvl w:val="0"/>
          <w:numId w:val="63"/>
        </w:numPr>
        <w:shd w:val="clear" w:color="auto" w:fill="auto"/>
        <w:tabs>
          <w:tab w:pos="839" w:val="left"/>
        </w:tabs>
        <w:bidi w:val="0"/>
        <w:spacing w:before="0" w:after="180" w:line="286" w:lineRule="auto"/>
        <w:ind w:left="0" w:right="0" w:firstLine="440"/>
        <w:jc w:val="both"/>
      </w:pPr>
      <w:bookmarkStart w:id="888" w:name="bookmark888"/>
      <w:bookmarkEnd w:id="888"/>
      <w:r>
        <w:rPr>
          <w:color w:val="000000"/>
          <w:spacing w:val="0"/>
          <w:w w:val="100"/>
          <w:position w:val="0"/>
        </w:rPr>
        <w:t>权益工具</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权益工具，是指能证明拥有某一方在扣除所有负债后的资产中的剩余权益的合同。</w:t>
      </w:r>
    </w:p>
    <w:p>
      <w:pPr>
        <w:pStyle w:val="Style2"/>
        <w:keepNext w:val="0"/>
        <w:keepLines w:val="0"/>
        <w:widowControl w:val="0"/>
        <w:numPr>
          <w:ilvl w:val="0"/>
          <w:numId w:val="63"/>
        </w:numPr>
        <w:shd w:val="clear" w:color="auto" w:fill="auto"/>
        <w:tabs>
          <w:tab w:pos="839" w:val="left"/>
        </w:tabs>
        <w:bidi w:val="0"/>
        <w:spacing w:before="0" w:after="180" w:line="286" w:lineRule="auto"/>
        <w:ind w:left="0" w:right="0" w:firstLine="440"/>
        <w:jc w:val="both"/>
      </w:pPr>
      <w:bookmarkStart w:id="889" w:name="bookmark889"/>
      <w:bookmarkEnd w:id="889"/>
      <w:r>
        <w:rPr>
          <w:color w:val="000000"/>
          <w:spacing w:val="0"/>
          <w:w w:val="100"/>
          <w:position w:val="0"/>
        </w:rPr>
        <w:t>金融工具的公允价值确定</w:t>
      </w:r>
    </w:p>
    <w:p>
      <w:pPr>
        <w:pStyle w:val="Style2"/>
        <w:keepNext w:val="0"/>
        <w:keepLines w:val="0"/>
        <w:widowControl w:val="0"/>
        <w:shd w:val="clear" w:color="auto" w:fill="auto"/>
        <w:bidi w:val="0"/>
        <w:spacing w:before="0" w:after="300" w:line="276"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具，采用估值技术确定其公允价值。在估值时，本集团采用在当前情况下适用并且有足够可利用 数据和其他信息支持的估值技术，选择与市场参与者在相关资产或负债的交易中所考虑的资产或 负债特征相一致的输入值，并尽可能优先使用相关可观察输入值。在相关可观察输入值无法取得 或取得不切实可行的情况下，使用不可观察输入值。</w:t>
      </w:r>
    </w:p>
    <w:p>
      <w:pPr>
        <w:pStyle w:val="Style35"/>
        <w:keepNext/>
        <w:keepLines/>
        <w:widowControl w:val="0"/>
        <w:numPr>
          <w:ilvl w:val="0"/>
          <w:numId w:val="59"/>
        </w:numPr>
        <w:shd w:val="clear" w:color="auto" w:fill="auto"/>
        <w:bidi w:val="0"/>
        <w:spacing w:before="0" w:after="40" w:line="274" w:lineRule="exact"/>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应收票据</w:t>
      </w:r>
      <w:bookmarkEnd w:id="890"/>
      <w:bookmarkEnd w:id="891"/>
      <w:bookmarkEnd w:id="893"/>
    </w:p>
    <w:p>
      <w:pPr>
        <w:pStyle w:val="Style35"/>
        <w:keepNext/>
        <w:keepLines/>
        <w:widowControl w:val="0"/>
        <w:shd w:val="clear" w:color="auto" w:fill="auto"/>
        <w:bidi w:val="0"/>
        <w:spacing w:before="0" w:after="100" w:line="274" w:lineRule="exact"/>
        <w:ind w:left="0" w:right="0" w:firstLine="0"/>
        <w:jc w:val="left"/>
      </w:pPr>
      <w:bookmarkStart w:id="890" w:name="bookmark890"/>
      <w:bookmarkStart w:id="891" w:name="bookmark891"/>
      <w:bookmarkStart w:id="894" w:name="bookmark894"/>
      <w:r>
        <w:rPr>
          <w:color w:val="000000"/>
          <w:spacing w:val="0"/>
          <w:w w:val="100"/>
          <w:position w:val="0"/>
        </w:rPr>
        <w:t>应收票据的预期信用损失的确定方法及会计处理方法</w:t>
      </w:r>
      <w:bookmarkEnd w:id="890"/>
      <w:bookmarkEnd w:id="891"/>
      <w:bookmarkEnd w:id="894"/>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详见第十一节财务报告五、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keepLines/>
        <w:widowControl w:val="0"/>
        <w:numPr>
          <w:ilvl w:val="0"/>
          <w:numId w:val="59"/>
        </w:numPr>
        <w:shd w:val="clear" w:color="auto" w:fill="auto"/>
        <w:tabs>
          <w:tab w:pos="430" w:val="left"/>
        </w:tabs>
        <w:bidi w:val="0"/>
        <w:spacing w:before="0" w:after="80" w:line="274" w:lineRule="exact"/>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应收账款</w:t>
      </w:r>
      <w:bookmarkEnd w:id="895"/>
      <w:bookmarkEnd w:id="896"/>
      <w:bookmarkEnd w:id="898"/>
    </w:p>
    <w:p>
      <w:pPr>
        <w:pStyle w:val="Style35"/>
        <w:keepNext/>
        <w:keepLines/>
        <w:widowControl w:val="0"/>
        <w:shd w:val="clear" w:color="auto" w:fill="auto"/>
        <w:bidi w:val="0"/>
        <w:spacing w:before="0" w:after="80" w:line="274" w:lineRule="exact"/>
        <w:ind w:left="0" w:right="0" w:firstLine="0"/>
        <w:jc w:val="left"/>
      </w:pPr>
      <w:bookmarkStart w:id="895" w:name="bookmark895"/>
      <w:bookmarkStart w:id="896" w:name="bookmark896"/>
      <w:bookmarkStart w:id="899" w:name="bookmark899"/>
      <w:r>
        <w:rPr>
          <w:color w:val="000000"/>
          <w:spacing w:val="0"/>
          <w:w w:val="100"/>
          <w:position w:val="0"/>
        </w:rPr>
        <w:t>应收账款的预期信用损失的确定方法及会计处理方法</w:t>
      </w:r>
      <w:bookmarkEnd w:id="895"/>
      <w:bookmarkEnd w:id="896"/>
      <w:bookmarkEnd w:id="899"/>
    </w:p>
    <w:p>
      <w:pPr>
        <w:pStyle w:val="Style2"/>
        <w:keepNext w:val="0"/>
        <w:keepLines w:val="0"/>
        <w:widowControl w:val="0"/>
        <w:shd w:val="clear" w:color="auto" w:fill="auto"/>
        <w:bidi w:val="0"/>
        <w:spacing w:before="0" w:after="300" w:line="274"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详见第十一节财务报告五、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keepLines/>
        <w:widowControl w:val="0"/>
        <w:numPr>
          <w:ilvl w:val="0"/>
          <w:numId w:val="59"/>
        </w:numPr>
        <w:shd w:val="clear" w:color="auto" w:fill="auto"/>
        <w:tabs>
          <w:tab w:pos="430" w:val="left"/>
        </w:tabs>
        <w:bidi w:val="0"/>
        <w:spacing w:before="0" w:after="80" w:line="274" w:lineRule="exact"/>
        <w:ind w:left="0" w:right="0" w:firstLine="0"/>
        <w:jc w:val="left"/>
      </w:pPr>
      <w:bookmarkStart w:id="900" w:name="bookmark900"/>
      <w:bookmarkStart w:id="901" w:name="bookmark901"/>
      <w:bookmarkStart w:id="902" w:name="bookmark902"/>
      <w:bookmarkStart w:id="903" w:name="bookmark903"/>
      <w:bookmarkEnd w:id="902"/>
      <w:r>
        <w:rPr>
          <w:color w:val="000000"/>
          <w:spacing w:val="0"/>
          <w:w w:val="100"/>
          <w:position w:val="0"/>
        </w:rPr>
        <w:t>应收款项融资</w:t>
      </w:r>
      <w:bookmarkEnd w:id="900"/>
      <w:bookmarkEnd w:id="901"/>
      <w:bookmarkEnd w:id="903"/>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59"/>
        </w:numPr>
        <w:shd w:val="clear" w:color="auto" w:fill="auto"/>
        <w:tabs>
          <w:tab w:pos="430" w:val="left"/>
        </w:tabs>
        <w:bidi w:val="0"/>
        <w:spacing w:before="0" w:after="80" w:line="274" w:lineRule="exact"/>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其他应收款</w:t>
      </w:r>
      <w:bookmarkEnd w:id="904"/>
      <w:bookmarkEnd w:id="905"/>
      <w:bookmarkEnd w:id="907"/>
    </w:p>
    <w:p>
      <w:pPr>
        <w:pStyle w:val="Style35"/>
        <w:keepNext/>
        <w:keepLines/>
        <w:widowControl w:val="0"/>
        <w:shd w:val="clear" w:color="auto" w:fill="auto"/>
        <w:bidi w:val="0"/>
        <w:spacing w:before="0" w:after="80" w:line="274" w:lineRule="exact"/>
        <w:ind w:left="0" w:right="0" w:firstLine="0"/>
        <w:jc w:val="left"/>
      </w:pPr>
      <w:bookmarkStart w:id="904" w:name="bookmark904"/>
      <w:bookmarkStart w:id="905" w:name="bookmark905"/>
      <w:bookmarkStart w:id="908" w:name="bookmark908"/>
      <w:r>
        <w:rPr>
          <w:color w:val="000000"/>
          <w:spacing w:val="0"/>
          <w:w w:val="100"/>
          <w:position w:val="0"/>
        </w:rPr>
        <w:t>其他应收款预期信用损失的确定方法及会计处理方法</w:t>
      </w:r>
      <w:bookmarkEnd w:id="904"/>
      <w:bookmarkEnd w:id="905"/>
      <w:bookmarkEnd w:id="908"/>
    </w:p>
    <w:p>
      <w:pPr>
        <w:pStyle w:val="Style2"/>
        <w:keepNext w:val="0"/>
        <w:keepLines w:val="0"/>
        <w:widowControl w:val="0"/>
        <w:shd w:val="clear" w:color="auto" w:fill="auto"/>
        <w:bidi w:val="0"/>
        <w:spacing w:before="0" w:after="300" w:line="274"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详见第十一节财务报告五、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keepLines/>
        <w:widowControl w:val="0"/>
        <w:numPr>
          <w:ilvl w:val="0"/>
          <w:numId w:val="59"/>
        </w:numPr>
        <w:shd w:val="clear" w:color="auto" w:fill="auto"/>
        <w:tabs>
          <w:tab w:pos="430" w:val="left"/>
        </w:tabs>
        <w:bidi w:val="0"/>
        <w:spacing w:before="0" w:after="80" w:line="274" w:lineRule="exact"/>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存货</w:t>
      </w:r>
      <w:bookmarkEnd w:id="909"/>
      <w:bookmarkEnd w:id="910"/>
      <w:bookmarkEnd w:id="912"/>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58"/>
        <w:keepNext w:val="0"/>
        <w:keepLines w:val="0"/>
        <w:widowControl w:val="0"/>
        <w:numPr>
          <w:ilvl w:val="0"/>
          <w:numId w:val="65"/>
        </w:numPr>
        <w:shd w:val="clear" w:color="auto" w:fill="auto"/>
        <w:tabs>
          <w:tab w:pos="856" w:val="left"/>
        </w:tabs>
        <w:bidi w:val="0"/>
        <w:spacing w:before="0" w:after="180" w:line="286" w:lineRule="auto"/>
        <w:ind w:left="0" w:right="0" w:firstLine="440"/>
        <w:jc w:val="left"/>
      </w:pPr>
      <w:bookmarkStart w:id="913" w:name="bookmark913"/>
      <w:bookmarkEnd w:id="913"/>
      <w:r>
        <w:rPr>
          <w:rFonts w:ascii="SimSun" w:eastAsia="SimSun" w:hAnsi="SimSun" w:cs="SimSun"/>
          <w:color w:val="000000"/>
          <w:spacing w:val="0"/>
          <w:w w:val="100"/>
          <w:position w:val="0"/>
        </w:rPr>
        <w:t>分类</w:t>
      </w:r>
    </w:p>
    <w:p>
      <w:pPr>
        <w:pStyle w:val="Style2"/>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存货包括原材料、在产品、发出商品和产成品，按成本与可变现净值孰低列示。</w:t>
      </w:r>
    </w:p>
    <w:p>
      <w:pPr>
        <w:pStyle w:val="Style2"/>
        <w:keepNext w:val="0"/>
        <w:keepLines w:val="0"/>
        <w:widowControl w:val="0"/>
        <w:numPr>
          <w:ilvl w:val="0"/>
          <w:numId w:val="65"/>
        </w:numPr>
        <w:shd w:val="clear" w:color="auto" w:fill="auto"/>
        <w:tabs>
          <w:tab w:pos="866" w:val="left"/>
        </w:tabs>
        <w:bidi w:val="0"/>
        <w:spacing w:before="0" w:after="180" w:line="286" w:lineRule="auto"/>
        <w:ind w:left="0" w:right="0" w:firstLine="440"/>
        <w:jc w:val="left"/>
      </w:pPr>
      <w:bookmarkStart w:id="914" w:name="bookmark914"/>
      <w:bookmarkEnd w:id="914"/>
      <w:r>
        <w:rPr>
          <w:color w:val="000000"/>
          <w:spacing w:val="0"/>
          <w:w w:val="100"/>
          <w:position w:val="0"/>
        </w:rPr>
        <w:t>发出存货的计价方法</w:t>
      </w:r>
    </w:p>
    <w:p>
      <w:pPr>
        <w:pStyle w:val="Style2"/>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存货发出时的成本按加权平均法核算，库存商品和在产品成本包括原材料、直接人工以及在 正常生产能力下按系统的方法分配的制造费用。</w:t>
      </w:r>
    </w:p>
    <w:p>
      <w:pPr>
        <w:pStyle w:val="Style2"/>
        <w:keepNext w:val="0"/>
        <w:keepLines w:val="0"/>
        <w:widowControl w:val="0"/>
        <w:numPr>
          <w:ilvl w:val="0"/>
          <w:numId w:val="65"/>
        </w:numPr>
        <w:shd w:val="clear" w:color="auto" w:fill="auto"/>
        <w:tabs>
          <w:tab w:pos="866" w:val="left"/>
        </w:tabs>
        <w:bidi w:val="0"/>
        <w:spacing w:before="0" w:after="180" w:line="286" w:lineRule="auto"/>
        <w:ind w:left="0" w:right="0" w:firstLine="440"/>
        <w:jc w:val="left"/>
      </w:pPr>
      <w:bookmarkStart w:id="915" w:name="bookmark915"/>
      <w:bookmarkEnd w:id="915"/>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300" w:line="278" w:lineRule="exact"/>
        <w:ind w:left="0" w:right="0" w:firstLine="440"/>
        <w:jc w:val="left"/>
      </w:pPr>
      <w:r>
        <w:rPr>
          <w:color w:val="000000"/>
          <w:spacing w:val="0"/>
          <w:w w:val="100"/>
          <w:position w:val="0"/>
        </w:rPr>
        <w:t>存货跌价准备按存货成本高于其可变现净值的差额计提。可变现净值按日常活动中，以存货 的估计售价减去至完工时估计将要发生的成本、估计的销售费用以及相关税费后的金额确定。</w:t>
      </w:r>
    </w:p>
    <w:p>
      <w:pPr>
        <w:pStyle w:val="Style2"/>
        <w:keepNext w:val="0"/>
        <w:keepLines w:val="0"/>
        <w:widowControl w:val="0"/>
        <w:numPr>
          <w:ilvl w:val="0"/>
          <w:numId w:val="65"/>
        </w:numPr>
        <w:shd w:val="clear" w:color="auto" w:fill="auto"/>
        <w:tabs>
          <w:tab w:pos="866" w:val="left"/>
        </w:tabs>
        <w:bidi w:val="0"/>
        <w:spacing w:before="0" w:after="240" w:line="286" w:lineRule="auto"/>
        <w:ind w:left="0" w:right="0" w:firstLine="440"/>
        <w:jc w:val="left"/>
      </w:pPr>
      <w:bookmarkStart w:id="916" w:name="bookmark916"/>
      <w:bookmarkEnd w:id="916"/>
      <w:r>
        <w:rPr>
          <w:color w:val="000000"/>
          <w:spacing w:val="0"/>
          <w:w w:val="100"/>
          <w:position w:val="0"/>
        </w:rPr>
        <w:t>本集团的存货盘存制度采用永续盘存制。</w:t>
      </w:r>
    </w:p>
    <w:p>
      <w:pPr>
        <w:pStyle w:val="Style2"/>
        <w:keepNext w:val="0"/>
        <w:keepLines w:val="0"/>
        <w:widowControl w:val="0"/>
        <w:numPr>
          <w:ilvl w:val="0"/>
          <w:numId w:val="65"/>
        </w:numPr>
        <w:shd w:val="clear" w:color="auto" w:fill="auto"/>
        <w:tabs>
          <w:tab w:pos="866" w:val="left"/>
        </w:tabs>
        <w:bidi w:val="0"/>
        <w:spacing w:before="0" w:after="180" w:line="286" w:lineRule="auto"/>
        <w:ind w:left="0" w:right="0" w:firstLine="440"/>
        <w:jc w:val="left"/>
      </w:pPr>
      <w:bookmarkStart w:id="917" w:name="bookmark917"/>
      <w:bookmarkEnd w:id="917"/>
      <w:r>
        <w:rPr>
          <w:color w:val="000000"/>
          <w:spacing w:val="0"/>
          <w:w w:val="100"/>
          <w:position w:val="0"/>
        </w:rPr>
        <w:t>低值易耗品和包装物的摊销方法</w:t>
      </w:r>
    </w:p>
    <w:p>
      <w:pPr>
        <w:pStyle w:val="Style2"/>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周转材料包括低值易耗品和包装物等，低值易耗品采用分次摊销法、包装物采用一次转销法 进行摊销。</w:t>
      </w:r>
    </w:p>
    <w:p>
      <w:pPr>
        <w:pStyle w:val="Style35"/>
        <w:keepNext/>
        <w:keepLines/>
        <w:widowControl w:val="0"/>
        <w:numPr>
          <w:ilvl w:val="0"/>
          <w:numId w:val="59"/>
        </w:numPr>
        <w:shd w:val="clear" w:color="auto" w:fill="auto"/>
        <w:tabs>
          <w:tab w:pos="430" w:val="left"/>
        </w:tabs>
        <w:bidi w:val="0"/>
        <w:spacing w:before="0" w:after="80" w:line="274" w:lineRule="exact"/>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合同资产</w:t>
      </w:r>
      <w:bookmarkEnd w:id="918"/>
      <w:bookmarkEnd w:id="919"/>
      <w:bookmarkEnd w:id="921"/>
    </w:p>
    <w:p>
      <w:pPr>
        <w:pStyle w:val="Style35"/>
        <w:keepNext/>
        <w:keepLines/>
        <w:widowControl w:val="0"/>
        <w:numPr>
          <w:ilvl w:val="0"/>
          <w:numId w:val="67"/>
        </w:numPr>
        <w:shd w:val="clear" w:color="auto" w:fill="auto"/>
        <w:tabs>
          <w:tab w:pos="430" w:val="left"/>
        </w:tabs>
        <w:bidi w:val="0"/>
        <w:spacing w:before="0" w:after="80" w:line="274" w:lineRule="exact"/>
        <w:ind w:left="0" w:right="0" w:firstLine="0"/>
        <w:jc w:val="left"/>
      </w:pPr>
      <w:bookmarkStart w:id="918" w:name="bookmark918"/>
      <w:bookmarkStart w:id="919" w:name="bookmark919"/>
      <w:bookmarkStart w:id="922" w:name="bookmark922"/>
      <w:bookmarkStart w:id="923" w:name="bookmark923"/>
      <w:bookmarkEnd w:id="922"/>
      <w:r>
        <w:rPr>
          <w:color w:val="000000"/>
          <w:spacing w:val="0"/>
          <w:w w:val="100"/>
          <w:position w:val="0"/>
        </w:rPr>
        <w:t>.</w:t>
      </w:r>
      <w:r>
        <w:rPr>
          <w:color w:val="000000"/>
          <w:spacing w:val="0"/>
          <w:w w:val="100"/>
          <w:position w:val="0"/>
        </w:rPr>
        <w:t>合同资产的确认方法及标准</w:t>
      </w:r>
      <w:bookmarkEnd w:id="918"/>
      <w:bookmarkEnd w:id="919"/>
      <w:bookmarkEnd w:id="923"/>
    </w:p>
    <w:p>
      <w:pPr>
        <w:pStyle w:val="Style2"/>
        <w:keepNext w:val="0"/>
        <w:keepLines w:val="0"/>
        <w:widowControl w:val="0"/>
        <w:shd w:val="clear" w:color="auto" w:fill="auto"/>
        <w:bidi w:val="0"/>
        <w:spacing w:before="0" w:after="300" w:line="269"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详见第十一节财务报告五、</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35"/>
        <w:keepNext/>
        <w:keepLines/>
        <w:widowControl w:val="0"/>
        <w:numPr>
          <w:ilvl w:val="0"/>
          <w:numId w:val="67"/>
        </w:numPr>
        <w:shd w:val="clear" w:color="auto" w:fill="auto"/>
        <w:tabs>
          <w:tab w:pos="430" w:val="left"/>
        </w:tabs>
        <w:bidi w:val="0"/>
        <w:spacing w:before="0" w:after="80" w:line="274" w:lineRule="exact"/>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w:t>
      </w:r>
      <w:r>
        <w:rPr>
          <w:color w:val="000000"/>
          <w:spacing w:val="0"/>
          <w:w w:val="100"/>
          <w:position w:val="0"/>
        </w:rPr>
        <w:t>合同资产预期信用损失的确定方法及会计处理方法</w:t>
      </w:r>
      <w:bookmarkEnd w:id="924"/>
      <w:bookmarkEnd w:id="925"/>
      <w:bookmarkEnd w:id="927"/>
    </w:p>
    <w:p>
      <w:pPr>
        <w:pStyle w:val="Style2"/>
        <w:keepNext w:val="0"/>
        <w:keepLines w:val="0"/>
        <w:widowControl w:val="0"/>
        <w:shd w:val="clear" w:color="auto" w:fill="auto"/>
        <w:bidi w:val="0"/>
        <w:spacing w:before="0" w:after="360" w:line="259"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详见第十一节财务报告五、</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35"/>
        <w:keepNext/>
        <w:keepLines/>
        <w:widowControl w:val="0"/>
        <w:numPr>
          <w:ilvl w:val="0"/>
          <w:numId w:val="59"/>
        </w:numPr>
        <w:shd w:val="clear" w:color="auto" w:fill="auto"/>
        <w:bidi w:val="0"/>
        <w:spacing w:before="0" w:after="80" w:line="240" w:lineRule="auto"/>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持有待售资产</w:t>
      </w:r>
      <w:bookmarkEnd w:id="928"/>
      <w:bookmarkEnd w:id="929"/>
      <w:bookmarkEnd w:id="931"/>
    </w:p>
    <w:p>
      <w:pPr>
        <w:pStyle w:val="Style2"/>
        <w:keepNext w:val="0"/>
        <w:keepLines w:val="0"/>
        <w:widowControl w:val="0"/>
        <w:shd w:val="clear" w:color="auto" w:fill="auto"/>
        <w:bidi w:val="0"/>
        <w:spacing w:before="0" w:after="180" w:line="240" w:lineRule="auto"/>
        <w:ind w:left="0" w:right="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22" w:right="1780" w:bottom="1552" w:left="1250" w:header="0" w:footer="3" w:gutter="0"/>
          <w:cols w:space="720"/>
          <w:noEndnote/>
          <w:rtlGutter w:val="0"/>
          <w:docGrid w:linePitch="360"/>
        </w:sectPr>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59"/>
        </w:numPr>
        <w:shd w:val="clear" w:color="auto" w:fill="auto"/>
        <w:tabs>
          <w:tab w:pos="430" w:val="left"/>
        </w:tabs>
        <w:bidi w:val="0"/>
        <w:spacing w:before="0" w:after="60" w:line="274"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债权投资</w:t>
      </w:r>
      <w:bookmarkEnd w:id="932"/>
      <w:bookmarkEnd w:id="933"/>
      <w:bookmarkEnd w:id="935"/>
    </w:p>
    <w:p>
      <w:pPr>
        <w:pStyle w:val="Style35"/>
        <w:keepNext/>
        <w:keepLines/>
        <w:widowControl w:val="0"/>
        <w:numPr>
          <w:ilvl w:val="0"/>
          <w:numId w:val="69"/>
        </w:numPr>
        <w:shd w:val="clear" w:color="auto" w:fill="auto"/>
        <w:bidi w:val="0"/>
        <w:spacing w:before="0" w:after="60" w:line="274" w:lineRule="exact"/>
        <w:ind w:left="0" w:right="0" w:firstLine="0"/>
        <w:jc w:val="left"/>
      </w:pPr>
      <w:bookmarkStart w:id="932" w:name="bookmark932"/>
      <w:bookmarkStart w:id="933" w:name="bookmark933"/>
      <w:bookmarkStart w:id="936" w:name="bookmark936"/>
      <w:bookmarkStart w:id="937" w:name="bookmark937"/>
      <w:bookmarkEnd w:id="936"/>
      <w:r>
        <w:rPr>
          <w:color w:val="000000"/>
          <w:spacing w:val="0"/>
          <w:w w:val="100"/>
          <w:position w:val="0"/>
        </w:rPr>
        <w:t>.</w:t>
      </w:r>
      <w:r>
        <w:rPr>
          <w:color w:val="000000"/>
          <w:spacing w:val="0"/>
          <w:w w:val="100"/>
          <w:position w:val="0"/>
        </w:rPr>
        <w:t>债权投资预期信用损失的确定方法及会计处理方法</w:t>
      </w:r>
      <w:bookmarkEnd w:id="932"/>
      <w:bookmarkEnd w:id="933"/>
      <w:bookmarkEnd w:id="937"/>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59"/>
        </w:numPr>
        <w:shd w:val="clear" w:color="auto" w:fill="auto"/>
        <w:tabs>
          <w:tab w:pos="430" w:val="left"/>
        </w:tabs>
        <w:bidi w:val="0"/>
        <w:spacing w:before="0" w:after="60" w:line="274" w:lineRule="exact"/>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其他债权投资</w:t>
      </w:r>
      <w:bookmarkEnd w:id="938"/>
      <w:bookmarkEnd w:id="939"/>
      <w:bookmarkEnd w:id="941"/>
    </w:p>
    <w:p>
      <w:pPr>
        <w:pStyle w:val="Style35"/>
        <w:keepNext/>
        <w:keepLines/>
        <w:widowControl w:val="0"/>
        <w:numPr>
          <w:ilvl w:val="0"/>
          <w:numId w:val="71"/>
        </w:numPr>
        <w:shd w:val="clear" w:color="auto" w:fill="auto"/>
        <w:bidi w:val="0"/>
        <w:spacing w:before="0" w:after="60" w:line="274" w:lineRule="exact"/>
        <w:ind w:left="0" w:right="0" w:firstLine="0"/>
        <w:jc w:val="left"/>
      </w:pPr>
      <w:bookmarkStart w:id="938" w:name="bookmark938"/>
      <w:bookmarkStart w:id="939" w:name="bookmark939"/>
      <w:bookmarkStart w:id="942" w:name="bookmark942"/>
      <w:bookmarkStart w:id="943" w:name="bookmark943"/>
      <w:bookmarkEnd w:id="942"/>
      <w:r>
        <w:rPr>
          <w:color w:val="000000"/>
          <w:spacing w:val="0"/>
          <w:w w:val="100"/>
          <w:position w:val="0"/>
        </w:rPr>
        <w:t>.</w:t>
      </w:r>
      <w:r>
        <w:rPr>
          <w:color w:val="000000"/>
          <w:spacing w:val="0"/>
          <w:w w:val="100"/>
          <w:position w:val="0"/>
        </w:rPr>
        <w:t>其他债权投资预期信用损失的确定方法及会计处理方法</w:t>
      </w:r>
      <w:bookmarkEnd w:id="938"/>
      <w:bookmarkEnd w:id="939"/>
      <w:bookmarkEnd w:id="943"/>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59"/>
        </w:numPr>
        <w:shd w:val="clear" w:color="auto" w:fill="auto"/>
        <w:tabs>
          <w:tab w:pos="445" w:val="left"/>
        </w:tabs>
        <w:bidi w:val="0"/>
        <w:spacing w:before="0" w:after="60" w:line="274"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长期应收款</w:t>
      </w:r>
      <w:bookmarkEnd w:id="944"/>
      <w:bookmarkEnd w:id="945"/>
      <w:bookmarkEnd w:id="947"/>
    </w:p>
    <w:p>
      <w:pPr>
        <w:pStyle w:val="Style35"/>
        <w:keepNext/>
        <w:keepLines/>
        <w:widowControl w:val="0"/>
        <w:numPr>
          <w:ilvl w:val="0"/>
          <w:numId w:val="73"/>
        </w:numPr>
        <w:shd w:val="clear" w:color="auto" w:fill="auto"/>
        <w:bidi w:val="0"/>
        <w:spacing w:before="0" w:after="60" w:line="274" w:lineRule="exact"/>
        <w:ind w:left="0" w:right="0" w:firstLine="0"/>
        <w:jc w:val="left"/>
      </w:pPr>
      <w:bookmarkStart w:id="944" w:name="bookmark944"/>
      <w:bookmarkStart w:id="945" w:name="bookmark945"/>
      <w:bookmarkStart w:id="948" w:name="bookmark948"/>
      <w:bookmarkStart w:id="949" w:name="bookmark949"/>
      <w:bookmarkEnd w:id="948"/>
      <w:r>
        <w:rPr>
          <w:color w:val="000000"/>
          <w:spacing w:val="0"/>
          <w:w w:val="100"/>
          <w:position w:val="0"/>
        </w:rPr>
        <w:t>.</w:t>
      </w:r>
      <w:r>
        <w:rPr>
          <w:color w:val="000000"/>
          <w:spacing w:val="0"/>
          <w:w w:val="100"/>
          <w:position w:val="0"/>
        </w:rPr>
        <w:t>长期应收款预期信用损失的确定方法及会计处理方法</w:t>
      </w:r>
      <w:bookmarkEnd w:id="944"/>
      <w:bookmarkEnd w:id="945"/>
      <w:bookmarkEnd w:id="949"/>
    </w:p>
    <w:p>
      <w:pPr>
        <w:pStyle w:val="Style2"/>
        <w:keepNext w:val="0"/>
        <w:keepLines w:val="0"/>
        <w:widowControl w:val="0"/>
        <w:shd w:val="clear" w:color="auto" w:fill="auto"/>
        <w:bidi w:val="0"/>
        <w:spacing w:before="0" w:after="300" w:line="274"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详见第十一节财务报告五、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keepLines/>
        <w:widowControl w:val="0"/>
        <w:numPr>
          <w:ilvl w:val="0"/>
          <w:numId w:val="59"/>
        </w:numPr>
        <w:shd w:val="clear" w:color="auto" w:fill="auto"/>
        <w:tabs>
          <w:tab w:pos="445" w:val="left"/>
        </w:tabs>
        <w:bidi w:val="0"/>
        <w:spacing w:before="0" w:after="100" w:line="274" w:lineRule="exact"/>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长期股权投资</w:t>
      </w:r>
      <w:bookmarkEnd w:id="950"/>
      <w:bookmarkEnd w:id="951"/>
      <w:bookmarkEnd w:id="953"/>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长期股权投资包括：本公司对子公司的长期股权投资；本集团对联营企业的长期股权投资。</w:t>
      </w:r>
    </w:p>
    <w:p>
      <w:pPr>
        <w:pStyle w:val="Style2"/>
        <w:keepNext w:val="0"/>
        <w:keepLines w:val="0"/>
        <w:widowControl w:val="0"/>
        <w:shd w:val="clear" w:color="auto" w:fill="auto"/>
        <w:bidi w:val="0"/>
        <w:spacing w:before="0" w:after="240" w:line="278" w:lineRule="exact"/>
        <w:ind w:left="0" w:right="0" w:firstLine="440"/>
        <w:jc w:val="both"/>
      </w:pPr>
      <w:r>
        <w:rPr>
          <w:color w:val="000000"/>
          <w:spacing w:val="0"/>
          <w:w w:val="100"/>
          <w:position w:val="0"/>
        </w:rPr>
        <w:t>子公司为本公司能够对其实施控制的被投资单位。联营企业为本集团能够对其财务和经营决 策具有重大影响的被投资单位。</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对子公司的投资，在公司财务报表中按照成本法确定的金额列示，在编制合并财务报表时按 权益法调整后进行合并；对联营企业投资采用权益法核算。</w:t>
      </w:r>
    </w:p>
    <w:p>
      <w:pPr>
        <w:pStyle w:val="Style2"/>
        <w:keepNext w:val="0"/>
        <w:keepLines w:val="0"/>
        <w:widowControl w:val="0"/>
        <w:numPr>
          <w:ilvl w:val="0"/>
          <w:numId w:val="75"/>
        </w:numPr>
        <w:shd w:val="clear" w:color="auto" w:fill="auto"/>
        <w:tabs>
          <w:tab w:pos="856" w:val="left"/>
        </w:tabs>
        <w:bidi w:val="0"/>
        <w:spacing w:before="0" w:after="180" w:line="286" w:lineRule="auto"/>
        <w:ind w:left="0" w:right="0" w:firstLine="440"/>
        <w:jc w:val="both"/>
      </w:pPr>
      <w:bookmarkStart w:id="954" w:name="bookmark954"/>
      <w:bookmarkEnd w:id="954"/>
      <w:r>
        <w:rPr>
          <w:color w:val="000000"/>
          <w:spacing w:val="0"/>
          <w:w w:val="100"/>
          <w:position w:val="0"/>
        </w:rPr>
        <w:t>投资成本确定</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同一控制下企业合并取得的长期股权投资，在合并日按照被合并方所有者权益在最终控制方 合并财务报表中的账面价值的份额作为投资成本；非同一控制下企业合并取得的长期股权投资， 按照合并成本作为长期股权投资的投资成本。</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对于以企业合并以外的其他方式取得的长期股权投资</w:t>
      </w:r>
      <w:r>
        <w:rPr>
          <w:color w:val="000000"/>
          <w:spacing w:val="0"/>
          <w:w w:val="100"/>
          <w:position w:val="0"/>
        </w:rPr>
        <w:t>，</w:t>
      </w:r>
      <w:r>
        <w:rPr>
          <w:color w:val="000000"/>
          <w:spacing w:val="0"/>
          <w:w w:val="100"/>
          <w:position w:val="0"/>
        </w:rPr>
        <w:t>以支付现金取得的长期股权投资，按 照实际支付的购买价款作为初始投资成本；以发行权益性证券取得的长期股权投资，按发行权益 性证券的公允价值确认为初始投资成本。</w:t>
      </w:r>
    </w:p>
    <w:p>
      <w:pPr>
        <w:pStyle w:val="Style2"/>
        <w:keepNext w:val="0"/>
        <w:keepLines w:val="0"/>
        <w:widowControl w:val="0"/>
        <w:numPr>
          <w:ilvl w:val="0"/>
          <w:numId w:val="75"/>
        </w:numPr>
        <w:shd w:val="clear" w:color="auto" w:fill="auto"/>
        <w:tabs>
          <w:tab w:pos="866" w:val="left"/>
        </w:tabs>
        <w:bidi w:val="0"/>
        <w:spacing w:before="0" w:after="180" w:line="286" w:lineRule="auto"/>
        <w:ind w:left="0" w:right="0" w:firstLine="440"/>
        <w:jc w:val="both"/>
      </w:pPr>
      <w:bookmarkStart w:id="955" w:name="bookmark955"/>
      <w:bookmarkEnd w:id="955"/>
      <w:r>
        <w:rPr>
          <w:color w:val="000000"/>
          <w:spacing w:val="0"/>
          <w:w w:val="100"/>
          <w:position w:val="0"/>
        </w:rPr>
        <w:t>后续计量及损益确认方法</w:t>
      </w:r>
    </w:p>
    <w:p>
      <w:pPr>
        <w:pStyle w:val="Style2"/>
        <w:keepNext w:val="0"/>
        <w:keepLines w:val="0"/>
        <w:widowControl w:val="0"/>
        <w:shd w:val="clear" w:color="auto" w:fill="auto"/>
        <w:bidi w:val="0"/>
        <w:spacing w:before="0" w:after="240" w:line="269" w:lineRule="exact"/>
        <w:ind w:left="0" w:right="0" w:firstLine="440"/>
        <w:jc w:val="both"/>
      </w:pPr>
      <w:r>
        <w:rPr>
          <w:color w:val="000000"/>
          <w:spacing w:val="0"/>
          <w:w w:val="100"/>
          <w:position w:val="0"/>
        </w:rPr>
        <w:t>采用成本法核算的长期股权投资，按照初始投资成本计量，被投资单位宣告分派的现金股利 或利润，确认为投资收益计入当期损益。</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采用权益法核算的长期股权投资，初始投资成本大于投资时应享有被投资单位可辨认净资产 公允价值份额的，以初始投资成本作为长期股权投资成本；初始投资成本小于投资时应享有被投 资单位可辨认净资产公允价值份额的，其差额计入当期损益，并相应调增长期股权投资成本。</w:t>
      </w:r>
    </w:p>
    <w:p>
      <w:pPr>
        <w:pStyle w:val="Style2"/>
        <w:keepNext w:val="0"/>
        <w:keepLines w:val="0"/>
        <w:widowControl w:val="0"/>
        <w:shd w:val="clear" w:color="auto" w:fill="auto"/>
        <w:bidi w:val="0"/>
        <w:spacing w:before="0" w:after="180" w:line="273" w:lineRule="exact"/>
        <w:ind w:left="0" w:right="0" w:firstLine="440"/>
        <w:jc w:val="both"/>
      </w:pPr>
      <w:r>
        <w:rPr>
          <w:color w:val="000000"/>
          <w:spacing w:val="0"/>
          <w:w w:val="100"/>
          <w:position w:val="0"/>
        </w:rPr>
        <w:t>采用权益法核算的长期股权投资，本集团按应享有或应分担的被投资单位的净损益份额确认 当期投资损益。确认被投资单位发生的净亏损，以长期股权投资的账面价值以及其他实质上构成 对被投资单位净投资的长期权益减记至零为限，但本集团负有承担额外损失义务且符合或有事项 准则所规定的预计负债确认条件的，继续确认投资损失并作为预计负债核算。被投资单位除净损 益、其他综合收益和利润分配以外所有者权益的其他变动，调整长期股权投资的账面价值并计入 资本公积。被投资单位分派的利润或现金股利于宣告分派时按照本集团应分得的部分，相应减少</w:t>
      </w:r>
    </w:p>
    <w:p>
      <w:pPr>
        <w:pStyle w:val="Style45"/>
        <w:keepNext w:val="0"/>
        <w:keepLines w:val="0"/>
        <w:widowControl w:val="0"/>
        <w:shd w:val="clear" w:color="auto" w:fill="auto"/>
        <w:bidi w:val="0"/>
        <w:spacing w:before="0" w:after="200" w:line="240" w:lineRule="auto"/>
        <w:ind w:left="0" w:right="0" w:firstLine="0"/>
        <w:jc w:val="cente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743" w:right="1780" w:bottom="1196" w:left="1249" w:header="0" w:footer="768" w:gutter="0"/>
          <w:cols w:space="720"/>
          <w:noEndnote/>
          <w:rtlGutter w:val="0"/>
          <w:docGrid w:linePitch="360"/>
        </w:sectPr>
      </w:pPr>
      <w:r>
        <w:rPr>
          <w:color w:val="000000"/>
          <w:spacing w:val="0"/>
          <w:w w:val="100"/>
          <w:position w:val="0"/>
        </w:rPr>
        <w:t xml:space="preserve">120 </w:t>
      </w:r>
      <w:r>
        <w:rPr>
          <w:b w:val="0"/>
          <w:bCs w:val="0"/>
          <w:color w:val="000000"/>
          <w:spacing w:val="0"/>
          <w:w w:val="100"/>
          <w:position w:val="0"/>
        </w:rPr>
        <w:t xml:space="preserve">/ </w:t>
      </w:r>
      <w:r>
        <w:rPr>
          <w:color w:val="000000"/>
          <w:spacing w:val="0"/>
          <w:w w:val="100"/>
          <w:position w:val="0"/>
        </w:rPr>
        <w:t>193</w:t>
      </w:r>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长期股权投资的账面价值。本集团与被投资单位之间未实现的内部交易损益按照持股比例计算归 属于本集团的部分，予以抵销，在此基础上确认投资损益。本集团与被投资单位发生的内部交易 损失，其中属于资产减值损失的部分，相应的未实现损失不予抵销。</w:t>
      </w:r>
    </w:p>
    <w:p>
      <w:pPr>
        <w:pStyle w:val="Style2"/>
        <w:keepNext w:val="0"/>
        <w:keepLines w:val="0"/>
        <w:widowControl w:val="0"/>
        <w:numPr>
          <w:ilvl w:val="0"/>
          <w:numId w:val="75"/>
        </w:numPr>
        <w:shd w:val="clear" w:color="auto" w:fill="auto"/>
        <w:tabs>
          <w:tab w:pos="844" w:val="left"/>
        </w:tabs>
        <w:bidi w:val="0"/>
        <w:spacing w:before="0" w:after="180" w:line="286" w:lineRule="auto"/>
        <w:ind w:left="0" w:right="0" w:firstLine="440"/>
        <w:jc w:val="both"/>
      </w:pPr>
      <w:bookmarkStart w:id="956" w:name="bookmark956"/>
      <w:bookmarkEnd w:id="956"/>
      <w:r>
        <w:rPr>
          <w:color w:val="000000"/>
          <w:spacing w:val="0"/>
          <w:w w:val="100"/>
          <w:position w:val="0"/>
        </w:rPr>
        <w:t>确定对被投资单位具有控制、共同控制、重大影响的依据</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控制是指拥有对被投资单位的权力，通过参与被投资单位的相关活动而享有可变回报，并且 有能力运用对被投资单位的权力影响其回报金额。</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共同控制是指按照相关约定对某项安排所共有的控制，并且该安排的相关活动必须经过本集 团及分享控制权的其他参与方一致同意后才能决策。</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重大影响是指对被投资单位的财务和经营政策有参与决策的权力，但并不能够控制或者与其 他方一起共同控制这些政策的制定。</w:t>
      </w:r>
    </w:p>
    <w:p>
      <w:pPr>
        <w:pStyle w:val="Style2"/>
        <w:keepNext w:val="0"/>
        <w:keepLines w:val="0"/>
        <w:widowControl w:val="0"/>
        <w:numPr>
          <w:ilvl w:val="0"/>
          <w:numId w:val="75"/>
        </w:numPr>
        <w:shd w:val="clear" w:color="auto" w:fill="auto"/>
        <w:tabs>
          <w:tab w:pos="854" w:val="left"/>
        </w:tabs>
        <w:bidi w:val="0"/>
        <w:spacing w:before="0" w:after="180" w:line="286" w:lineRule="auto"/>
        <w:ind w:left="0" w:right="0" w:firstLine="440"/>
        <w:jc w:val="both"/>
      </w:pPr>
      <w:bookmarkStart w:id="957" w:name="bookmark957"/>
      <w:bookmarkEnd w:id="957"/>
      <w:r>
        <w:rPr>
          <w:color w:val="000000"/>
          <w:spacing w:val="0"/>
          <w:w w:val="100"/>
          <w:position w:val="0"/>
        </w:rPr>
        <w:t>长期股权投资减值</w:t>
      </w:r>
    </w:p>
    <w:p>
      <w:pPr>
        <w:pStyle w:val="Style2"/>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对子公司、联营企业的长期股权投资，当其可收回金额低于其账面价值时，账面价值减记至 可收回金额</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35"/>
        <w:keepNext/>
        <w:keepLines/>
        <w:widowControl w:val="0"/>
        <w:numPr>
          <w:ilvl w:val="0"/>
          <w:numId w:val="59"/>
        </w:numPr>
        <w:shd w:val="clear" w:color="auto" w:fill="auto"/>
        <w:bidi w:val="0"/>
        <w:spacing w:before="0" w:after="60" w:line="274" w:lineRule="exact"/>
        <w:ind w:left="0" w:right="0" w:firstLine="0"/>
        <w:jc w:val="both"/>
      </w:pPr>
      <w:bookmarkStart w:id="958" w:name="bookmark958"/>
      <w:bookmarkStart w:id="959" w:name="bookmark959"/>
      <w:bookmarkStart w:id="960" w:name="bookmark960"/>
      <w:bookmarkStart w:id="961" w:name="bookmark961"/>
      <w:bookmarkEnd w:id="960"/>
      <w:r>
        <w:rPr>
          <w:color w:val="000000"/>
          <w:spacing w:val="0"/>
          <w:w w:val="100"/>
          <w:position w:val="0"/>
        </w:rPr>
        <w:t>投资性房地产</w:t>
      </w:r>
      <w:bookmarkEnd w:id="958"/>
      <w:bookmarkEnd w:id="959"/>
      <w:bookmarkEnd w:id="961"/>
    </w:p>
    <w:p>
      <w:pPr>
        <w:pStyle w:val="Style35"/>
        <w:keepNext/>
        <w:keepLines/>
        <w:widowControl w:val="0"/>
        <w:numPr>
          <w:ilvl w:val="0"/>
          <w:numId w:val="77"/>
        </w:numPr>
        <w:shd w:val="clear" w:color="auto" w:fill="auto"/>
        <w:bidi w:val="0"/>
        <w:spacing w:before="0" w:after="60" w:line="274" w:lineRule="exact"/>
        <w:ind w:left="0" w:right="0" w:firstLine="0"/>
        <w:jc w:val="both"/>
      </w:pPr>
      <w:bookmarkStart w:id="958" w:name="bookmark958"/>
      <w:bookmarkStart w:id="959" w:name="bookmark959"/>
      <w:bookmarkStart w:id="962" w:name="bookmark962"/>
      <w:bookmarkStart w:id="963" w:name="bookmark963"/>
      <w:bookmarkEnd w:id="962"/>
      <w:r>
        <w:rPr>
          <w:color w:val="000000"/>
          <w:spacing w:val="0"/>
          <w:w w:val="100"/>
          <w:position w:val="0"/>
        </w:rPr>
        <w:t>.</w:t>
      </w:r>
      <w:r>
        <w:rPr>
          <w:color w:val="000000"/>
          <w:spacing w:val="0"/>
          <w:w w:val="100"/>
          <w:position w:val="0"/>
        </w:rPr>
        <w:t>如果采用成本计量模式的：</w:t>
      </w:r>
      <w:bookmarkEnd w:id="958"/>
      <w:bookmarkEnd w:id="959"/>
      <w:bookmarkEnd w:id="963"/>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投资性房地产包括已出租的土地使用权和以出租为目的的建筑物以及正在建造或开发过程中 将用于出租的建筑物，以成本进行初始计量。与投资性房地产有关的后续支出，在相关的经济利 益很可能流入本集团且其成本能够可靠的计量时，计入投资性房地产成本；否则，于发生时计入 当期损益。</w:t>
      </w:r>
    </w:p>
    <w:p>
      <w:pPr>
        <w:pStyle w:val="Style22"/>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本集团对所有投资性房地产采用成本模式进行后续计量，按其预计使用寿命及净残值率对建 筑物和土地使用权计提折旧或摊销。投资性房地产的预计使用寿命、净残值率及年折旧(摊销)率 列示如下：</w:t>
      </w:r>
    </w:p>
    <w:tbl>
      <w:tblPr>
        <w:tblOverlap w:val="never"/>
        <w:jc w:val="center"/>
        <w:tblLayout w:type="fixed"/>
      </w:tblPr>
      <w:tblGrid>
        <w:gridCol w:w="2208"/>
        <w:gridCol w:w="2208"/>
        <w:gridCol w:w="2203"/>
        <w:gridCol w:w="221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r>
    </w:tbl>
    <w:p>
      <w:pPr>
        <w:widowControl w:val="0"/>
        <w:spacing w:after="259" w:line="1" w:lineRule="exact"/>
      </w:pP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投资性房地产的用途改变为自用时，自改变之日起，将该投资性房地产转换为固定资产或无 形资产。自用房地产的用途改变为赚取租金或资本增值时，自改变之日起，将固定资产或无形资 产转换为投资性房地产。发生转换时，以转换前的账面价值作为转换后的入账价值。</w:t>
      </w:r>
    </w:p>
    <w:p>
      <w:pPr>
        <w:pStyle w:val="Style2"/>
        <w:keepNext w:val="0"/>
        <w:keepLines w:val="0"/>
        <w:widowControl w:val="0"/>
        <w:shd w:val="clear" w:color="auto" w:fill="auto"/>
        <w:bidi w:val="0"/>
        <w:spacing w:before="0" w:after="260" w:line="259" w:lineRule="exact"/>
        <w:ind w:left="0" w:right="0" w:firstLine="440"/>
        <w:jc w:val="both"/>
      </w:pPr>
      <w:r>
        <w:rPr>
          <w:color w:val="000000"/>
          <w:spacing w:val="0"/>
          <w:w w:val="100"/>
          <w:position w:val="0"/>
        </w:rPr>
        <w:t>对投资性房地产的预计使用寿命、预计净残值和折旧(摊销)方法于每年年度终了进行复核并 作适当调整。</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税费后计入当期损益。</w:t>
      </w:r>
    </w:p>
    <w:p>
      <w:pPr>
        <w:pStyle w:val="Style2"/>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 xml:space="preserve">当投资性房地产的可收回金额低于其账面价值时，账面价值减记至可收回金额(附注七 </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5"/>
        <w:keepNext/>
        <w:keepLines/>
        <w:widowControl w:val="0"/>
        <w:numPr>
          <w:ilvl w:val="0"/>
          <w:numId w:val="59"/>
        </w:numPr>
        <w:shd w:val="clear" w:color="auto" w:fill="auto"/>
        <w:bidi w:val="0"/>
        <w:spacing w:before="0" w:after="100" w:line="269" w:lineRule="exact"/>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固定资产</w:t>
      </w:r>
      <w:bookmarkEnd w:id="964"/>
      <w:bookmarkEnd w:id="965"/>
      <w:bookmarkEnd w:id="967"/>
    </w:p>
    <w:p>
      <w:pPr>
        <w:pStyle w:val="Style35"/>
        <w:keepNext/>
        <w:keepLines/>
        <w:widowControl w:val="0"/>
        <w:numPr>
          <w:ilvl w:val="0"/>
          <w:numId w:val="79"/>
        </w:numPr>
        <w:shd w:val="clear" w:color="auto" w:fill="auto"/>
        <w:bidi w:val="0"/>
        <w:spacing w:before="0" w:after="100" w:line="269" w:lineRule="exact"/>
        <w:ind w:left="0" w:right="0" w:firstLine="0"/>
        <w:jc w:val="left"/>
      </w:pPr>
      <w:bookmarkStart w:id="964" w:name="bookmark964"/>
      <w:bookmarkStart w:id="965" w:name="bookmark965"/>
      <w:bookmarkStart w:id="968" w:name="bookmark968"/>
      <w:bookmarkStart w:id="969" w:name="bookmark969"/>
      <w:bookmarkEnd w:id="968"/>
      <w:r>
        <w:rPr>
          <w:color w:val="000000"/>
          <w:spacing w:val="0"/>
          <w:w w:val="100"/>
          <w:position w:val="0"/>
        </w:rPr>
        <w:t>.</w:t>
      </w:r>
      <w:r>
        <w:rPr>
          <w:color w:val="000000"/>
          <w:spacing w:val="0"/>
          <w:w w:val="100"/>
          <w:position w:val="0"/>
        </w:rPr>
        <w:t>确认条件</w:t>
      </w:r>
      <w:bookmarkEnd w:id="964"/>
      <w:bookmarkEnd w:id="965"/>
      <w:bookmarkEnd w:id="969"/>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固定资产包括房屋及建筑物、机器设备、计算机及电子设备、办公设备等以及运输工具。</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固定资产在与其有关的经济利益很可能流入本集团、且其成本能够可靠计量时予以确认。购 置或新建的固定资产按取得时的成本进行初始计量。</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与固定资产有关的后续支出，在与其有关的经济利益很可能流入本集团且其成本能够可靠计 量时，计入固定资产成本；对于被替换的部分，终止确认其账面价值；所有其他后续支出于发生 时计入当期损益。</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3 - 7</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13.57%-33.33%</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计算机及电子 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3 - 10 </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9.50%-31.67%</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33.33%</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对固定资产的预计使用寿命、预计净残值和折旧方法于每年年度终了进行复核并作适当调</w:t>
      </w:r>
    </w:p>
    <w:p>
      <w:pPr>
        <w:pStyle w:val="Style2"/>
        <w:keepNext w:val="0"/>
        <w:keepLines w:val="0"/>
        <w:widowControl w:val="0"/>
        <w:shd w:val="clear" w:color="auto" w:fill="auto"/>
        <w:bidi w:val="0"/>
        <w:spacing w:before="0" w:after="260" w:line="270" w:lineRule="exact"/>
        <w:ind w:left="0" w:right="0" w:firstLine="0"/>
        <w:jc w:val="left"/>
      </w:pPr>
      <w:r>
        <w:rPr>
          <w:color w:val="000000"/>
          <w:spacing w:val="0"/>
          <w:w w:val="100"/>
          <w:position w:val="0"/>
        </w:rPr>
        <w:t>整。</w:t>
      </w:r>
    </w:p>
    <w:p>
      <w:pPr>
        <w:pStyle w:val="Style2"/>
        <w:keepNext w:val="0"/>
        <w:keepLines w:val="0"/>
        <w:widowControl w:val="0"/>
        <w:shd w:val="clear" w:color="auto" w:fill="auto"/>
        <w:bidi w:val="0"/>
        <w:spacing w:before="0" w:after="260" w:line="270" w:lineRule="exact"/>
        <w:ind w:left="0" w:right="0" w:firstLine="440"/>
        <w:jc w:val="both"/>
      </w:pPr>
      <w:r>
        <w:rPr>
          <w:color w:val="000000"/>
          <w:spacing w:val="0"/>
          <w:w w:val="100"/>
          <w:position w:val="0"/>
        </w:rPr>
        <w:t>当固定资产的可收回金额低于其账面价值时，账面价值减记至可收回金额(附注七</w:t>
      </w:r>
      <w:r>
        <w:rPr>
          <w:rFonts w:ascii="Times New Roman" w:eastAsia="Times New Roman" w:hAnsi="Times New Roman" w:cs="Times New Roman"/>
          <w:color w:val="000000"/>
          <w:spacing w:val="0"/>
          <w:w w:val="100"/>
          <w:position w:val="0"/>
        </w:rPr>
        <w:t>(21))</w:t>
      </w:r>
      <w:r>
        <w:rPr>
          <w:color w:val="000000"/>
          <w:spacing w:val="0"/>
          <w:w w:val="100"/>
          <w:position w:val="0"/>
        </w:rPr>
        <w:t>。</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当固定资产被处置、或者预期通过使用或处置不能产生经济利益时，终止确认该固定资产。 固定资产出售、转让、报废或毁损的处置收入扣除其账面价值和相关税费后的金额计入当期损</w:t>
      </w:r>
    </w:p>
    <w:p>
      <w:pPr>
        <w:pStyle w:val="Style2"/>
        <w:keepNext w:val="0"/>
        <w:keepLines w:val="0"/>
        <w:widowControl w:val="0"/>
        <w:shd w:val="clear" w:color="auto" w:fill="auto"/>
        <w:bidi w:val="0"/>
        <w:spacing w:before="0" w:after="32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35"/>
        <w:keepNext/>
        <w:keepLines/>
        <w:widowControl w:val="0"/>
        <w:numPr>
          <w:ilvl w:val="0"/>
          <w:numId w:val="67"/>
        </w:numPr>
        <w:shd w:val="clear" w:color="auto" w:fill="auto"/>
        <w:bidi w:val="0"/>
        <w:spacing w:before="0" w:after="100" w:line="270" w:lineRule="exact"/>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w:t>
      </w:r>
      <w:r>
        <w:rPr>
          <w:color w:val="000000"/>
          <w:spacing w:val="0"/>
          <w:w w:val="100"/>
          <w:position w:val="0"/>
        </w:rPr>
        <w:t>融资租入固定资产的认定依据、计价和折旧方法</w:t>
      </w:r>
      <w:bookmarkEnd w:id="970"/>
      <w:bookmarkEnd w:id="971"/>
      <w:bookmarkEnd w:id="973"/>
    </w:p>
    <w:p>
      <w:pPr>
        <w:pStyle w:val="Style2"/>
        <w:keepNext w:val="0"/>
        <w:keepLines w:val="0"/>
        <w:widowControl w:val="0"/>
        <w:shd w:val="clear" w:color="auto" w:fill="auto"/>
        <w:bidi w:val="0"/>
        <w:spacing w:before="0" w:after="320" w:line="270"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59"/>
        </w:numPr>
        <w:shd w:val="clear" w:color="auto" w:fill="auto"/>
        <w:tabs>
          <w:tab w:pos="445" w:val="left"/>
        </w:tabs>
        <w:bidi w:val="0"/>
        <w:spacing w:before="0" w:after="100" w:line="270"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在建工程</w:t>
      </w:r>
      <w:bookmarkEnd w:id="974"/>
      <w:bookmarkEnd w:id="975"/>
      <w:bookmarkEnd w:id="977"/>
    </w:p>
    <w:p>
      <w:pPr>
        <w:pStyle w:val="Style2"/>
        <w:keepNext w:val="0"/>
        <w:keepLines w:val="0"/>
        <w:widowControl w:val="0"/>
        <w:shd w:val="clear" w:color="auto" w:fill="auto"/>
        <w:tabs>
          <w:tab w:pos="778" w:val="left"/>
        </w:tabs>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在建工程按实际发生的成本计量。实际成本包括建筑成本、安装成本、符合资本化条件的借 款费用以及其他为使在建工程达到预定可使用状态所发生的必要支出。在建工程在达到预定可使 用状态时，转入固定资产并自次月起开始计提折旧。当在建工程的可收回金额低于其账面价值 时，账面价值减记至可收回金额(附注七</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35"/>
        <w:keepNext/>
        <w:keepLines/>
        <w:widowControl w:val="0"/>
        <w:numPr>
          <w:ilvl w:val="0"/>
          <w:numId w:val="81"/>
        </w:numPr>
        <w:shd w:val="clear" w:color="auto" w:fill="auto"/>
        <w:tabs>
          <w:tab w:pos="445" w:val="left"/>
        </w:tabs>
        <w:bidi w:val="0"/>
        <w:spacing w:before="0" w:after="100" w:line="270" w:lineRule="exact"/>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借款费用</w:t>
      </w:r>
      <w:bookmarkEnd w:id="978"/>
      <w:bookmarkEnd w:id="979"/>
      <w:bookmarkEnd w:id="981"/>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0" w:lineRule="exact"/>
        <w:ind w:left="0" w:right="0" w:firstLine="440"/>
        <w:jc w:val="both"/>
      </w:pPr>
      <w:r>
        <w:rPr>
          <w:color w:val="000000"/>
          <w:spacing w:val="0"/>
          <w:w w:val="100"/>
          <w:position w:val="0"/>
        </w:rPr>
        <w:t>本集团发生的可直接归属于需要经过相当长时间的购建活动才能达到预定可使用状态之资产 的购建的借款费用，在资产支出及借款费用已经发生、为使资产达到预定可使用状态所必要的购 建活动已经开始时，开始资本化并计入该资产的成本。当购建的资产达到预定可使用状态时停止 资本化，其后发生的借款费用计入当期损益。如果资产的购建活动发生非正常中断，并且中断时 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个月，暂停借款费用的资本化，直至资产的购建活动重新开始。</w:t>
      </w:r>
    </w:p>
    <w:p>
      <w:pPr>
        <w:pStyle w:val="Style2"/>
        <w:keepNext w:val="0"/>
        <w:keepLines w:val="0"/>
        <w:widowControl w:val="0"/>
        <w:shd w:val="clear" w:color="auto" w:fill="auto"/>
        <w:bidi w:val="0"/>
        <w:spacing w:before="0" w:after="220" w:line="276" w:lineRule="exact"/>
        <w:ind w:left="0" w:right="0" w:firstLine="440"/>
        <w:jc w:val="both"/>
      </w:pPr>
      <w:r>
        <w:rPr>
          <w:color w:val="000000"/>
          <w:spacing w:val="0"/>
          <w:w w:val="100"/>
          <w:position w:val="0"/>
        </w:rPr>
        <w:t>对于为购建符合资本化条件的资产而借入的专门借款，以专门借款当期实际发生的利息费用 减去尚未动用的借款资金存入银行取得的利息收入或进行暂时性投资取得的投资收益后的金额确 定专门借款借款费用的资本化金额。</w:t>
      </w:r>
    </w:p>
    <w:p>
      <w:pPr>
        <w:pStyle w:val="Style2"/>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对于为购建符合资本化条件的资产而占用的一般借款，按照累计资产支出超过专门借款部分 的资本支出加权平均数乘以所占用一般借款的加权平均实际利率计算确定一般借款借款费用的资 本化金额。实际利率为将借款在预期存续期间或适用的更短期间内的未来现金流量折现为该借款 初始确认金额所使用的利率。</w:t>
      </w:r>
    </w:p>
    <w:p>
      <w:pPr>
        <w:pStyle w:val="Style35"/>
        <w:keepNext/>
        <w:keepLines/>
        <w:widowControl w:val="0"/>
        <w:numPr>
          <w:ilvl w:val="0"/>
          <w:numId w:val="83"/>
        </w:numPr>
        <w:shd w:val="clear" w:color="auto" w:fill="auto"/>
        <w:tabs>
          <w:tab w:pos="445" w:val="left"/>
        </w:tabs>
        <w:bidi w:val="0"/>
        <w:spacing w:before="0" w:after="60" w:line="276"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生物资产</w:t>
      </w:r>
      <w:bookmarkEnd w:id="982"/>
      <w:bookmarkEnd w:id="983"/>
      <w:bookmarkEnd w:id="985"/>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5" w:val="left"/>
        </w:tabs>
        <w:bidi w:val="0"/>
        <w:spacing w:before="0" w:after="60" w:line="276" w:lineRule="exact"/>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油气资产</w:t>
      </w:r>
      <w:bookmarkEnd w:id="986"/>
      <w:bookmarkEnd w:id="987"/>
      <w:bookmarkEnd w:id="989"/>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5" w:val="left"/>
        </w:tabs>
        <w:bidi w:val="0"/>
        <w:spacing w:before="0" w:after="60" w:line="276" w:lineRule="exact"/>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使用权资产</w:t>
      </w:r>
      <w:bookmarkEnd w:id="990"/>
      <w:bookmarkEnd w:id="991"/>
      <w:bookmarkEnd w:id="993"/>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5" w:val="left"/>
        </w:tabs>
        <w:bidi w:val="0"/>
        <w:spacing w:before="0" w:after="60" w:line="276" w:lineRule="exact"/>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无形资产</w:t>
      </w:r>
      <w:bookmarkEnd w:id="994"/>
      <w:bookmarkEnd w:id="995"/>
      <w:bookmarkEnd w:id="997"/>
    </w:p>
    <w:p>
      <w:pPr>
        <w:pStyle w:val="Style35"/>
        <w:keepNext/>
        <w:keepLines/>
        <w:widowControl w:val="0"/>
        <w:numPr>
          <w:ilvl w:val="0"/>
          <w:numId w:val="85"/>
        </w:numPr>
        <w:shd w:val="clear" w:color="auto" w:fill="auto"/>
        <w:bidi w:val="0"/>
        <w:spacing w:before="0" w:after="60" w:line="276" w:lineRule="exact"/>
        <w:ind w:left="0" w:right="0" w:firstLine="0"/>
        <w:jc w:val="left"/>
      </w:pPr>
      <w:bookmarkStart w:id="994" w:name="bookmark994"/>
      <w:bookmarkStart w:id="995" w:name="bookmark995"/>
      <w:bookmarkStart w:id="998" w:name="bookmark998"/>
      <w:bookmarkStart w:id="999" w:name="bookmark999"/>
      <w:bookmarkEnd w:id="998"/>
      <w:r>
        <w:rPr>
          <w:color w:val="000000"/>
          <w:spacing w:val="0"/>
          <w:w w:val="100"/>
          <w:position w:val="0"/>
        </w:rPr>
        <w:t>.</w:t>
      </w:r>
      <w:r>
        <w:rPr>
          <w:color w:val="000000"/>
          <w:spacing w:val="0"/>
          <w:w w:val="100"/>
          <w:position w:val="0"/>
        </w:rPr>
        <w:t>计价方法、使用寿命、减值测试</w:t>
      </w:r>
      <w:bookmarkEnd w:id="994"/>
      <w:bookmarkEnd w:id="995"/>
      <w:bookmarkEnd w:id="999"/>
    </w:p>
    <w:p>
      <w:pPr>
        <w:pStyle w:val="Style2"/>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6" w:lineRule="exact"/>
        <w:ind w:left="0" w:right="0" w:firstLine="440"/>
        <w:jc w:val="left"/>
      </w:pPr>
      <w:r>
        <w:rPr>
          <w:color w:val="000000"/>
          <w:spacing w:val="0"/>
          <w:w w:val="100"/>
          <w:position w:val="0"/>
        </w:rPr>
        <w:t>无形资产包括土地使用权、专有技术权、内部开发技术以及外购软件，以成本计量。</w:t>
      </w:r>
    </w:p>
    <w:p>
      <w:pPr>
        <w:pStyle w:val="Style2"/>
        <w:keepNext w:val="0"/>
        <w:keepLines w:val="0"/>
        <w:widowControl w:val="0"/>
        <w:numPr>
          <w:ilvl w:val="0"/>
          <w:numId w:val="87"/>
        </w:numPr>
        <w:shd w:val="clear" w:color="auto" w:fill="auto"/>
        <w:tabs>
          <w:tab w:pos="856" w:val="left"/>
        </w:tabs>
        <w:bidi w:val="0"/>
        <w:spacing w:before="0" w:after="160" w:line="288" w:lineRule="auto"/>
        <w:ind w:left="0" w:right="0" w:firstLine="440"/>
        <w:jc w:val="both"/>
      </w:pPr>
      <w:bookmarkStart w:id="1000" w:name="bookmark1000"/>
      <w:bookmarkEnd w:id="1000"/>
      <w:r>
        <w:rPr>
          <w:color w:val="000000"/>
          <w:spacing w:val="0"/>
          <w:w w:val="100"/>
          <w:position w:val="0"/>
        </w:rPr>
        <w:t>土地使用权</w:t>
      </w:r>
    </w:p>
    <w:p>
      <w:pPr>
        <w:pStyle w:val="Style2"/>
        <w:keepNext w:val="0"/>
        <w:keepLines w:val="0"/>
        <w:widowControl w:val="0"/>
        <w:shd w:val="clear" w:color="auto" w:fill="auto"/>
        <w:bidi w:val="0"/>
        <w:spacing w:before="0" w:after="300" w:line="283" w:lineRule="exact"/>
        <w:ind w:left="0" w:right="0" w:firstLine="440"/>
        <w:jc w:val="left"/>
      </w:pPr>
      <w:r>
        <w:rPr>
          <w:color w:val="000000"/>
          <w:spacing w:val="0"/>
          <w:w w:val="100"/>
          <w:position w:val="0"/>
        </w:rPr>
        <w:t>土地使用权按使用年限</w:t>
      </w:r>
      <w:r>
        <w:rPr>
          <w:rFonts w:ascii="Times New Roman" w:eastAsia="Times New Roman" w:hAnsi="Times New Roman" w:cs="Times New Roman"/>
          <w:color w:val="000000"/>
          <w:spacing w:val="0"/>
          <w:w w:val="100"/>
          <w:position w:val="0"/>
        </w:rPr>
        <w:t>50</w:t>
      </w:r>
      <w:r>
        <w:rPr>
          <w:color w:val="000000"/>
          <w:spacing w:val="0"/>
          <w:w w:val="100"/>
          <w:position w:val="0"/>
        </w:rPr>
        <w:t>年平均摊销。外购土地及建筑物的价款难以在土地使用权与建筑 物之间合理分配的，全部作为固定资产。</w:t>
      </w:r>
    </w:p>
    <w:p>
      <w:pPr>
        <w:pStyle w:val="Style2"/>
        <w:keepNext w:val="0"/>
        <w:keepLines w:val="0"/>
        <w:widowControl w:val="0"/>
        <w:numPr>
          <w:ilvl w:val="0"/>
          <w:numId w:val="87"/>
        </w:numPr>
        <w:shd w:val="clear" w:color="auto" w:fill="auto"/>
        <w:tabs>
          <w:tab w:pos="866" w:val="left"/>
        </w:tabs>
        <w:bidi w:val="0"/>
        <w:spacing w:before="0" w:after="160" w:line="288" w:lineRule="auto"/>
        <w:ind w:left="0" w:right="0" w:firstLine="440"/>
        <w:jc w:val="left"/>
      </w:pPr>
      <w:bookmarkStart w:id="1001" w:name="bookmark1001"/>
      <w:bookmarkEnd w:id="1001"/>
      <w:r>
        <w:rPr>
          <w:color w:val="000000"/>
          <w:spacing w:val="0"/>
          <w:w w:val="100"/>
          <w:position w:val="0"/>
        </w:rPr>
        <w:t>专有技术权</w:t>
      </w:r>
    </w:p>
    <w:p>
      <w:pPr>
        <w:pStyle w:val="Style2"/>
        <w:keepNext w:val="0"/>
        <w:keepLines w:val="0"/>
        <w:widowControl w:val="0"/>
        <w:shd w:val="clear" w:color="auto" w:fill="auto"/>
        <w:bidi w:val="0"/>
        <w:spacing w:before="0" w:after="300" w:line="276" w:lineRule="exact"/>
        <w:ind w:left="0" w:right="0" w:firstLine="440"/>
        <w:jc w:val="left"/>
      </w:pPr>
      <w:r>
        <w:rPr>
          <w:color w:val="000000"/>
          <w:spacing w:val="0"/>
          <w:w w:val="100"/>
          <w:position w:val="0"/>
        </w:rPr>
        <w:t>专有技术按投资各方确认的价值入账，并按预计使用年限</w:t>
      </w:r>
      <w:r>
        <w:rPr>
          <w:rFonts w:ascii="Times New Roman" w:eastAsia="Times New Roman" w:hAnsi="Times New Roman" w:cs="Times New Roman"/>
          <w:color w:val="000000"/>
          <w:spacing w:val="0"/>
          <w:w w:val="100"/>
          <w:position w:val="0"/>
        </w:rPr>
        <w:t>10</w:t>
      </w:r>
      <w:r>
        <w:rPr>
          <w:color w:val="000000"/>
          <w:spacing w:val="0"/>
          <w:w w:val="100"/>
          <w:position w:val="0"/>
        </w:rPr>
        <w:t>年平均摊销。</w:t>
      </w:r>
    </w:p>
    <w:p>
      <w:pPr>
        <w:pStyle w:val="Style2"/>
        <w:keepNext w:val="0"/>
        <w:keepLines w:val="0"/>
        <w:widowControl w:val="0"/>
        <w:numPr>
          <w:ilvl w:val="0"/>
          <w:numId w:val="87"/>
        </w:numPr>
        <w:shd w:val="clear" w:color="auto" w:fill="auto"/>
        <w:tabs>
          <w:tab w:pos="866" w:val="left"/>
        </w:tabs>
        <w:bidi w:val="0"/>
        <w:spacing w:before="0" w:after="160" w:line="288" w:lineRule="auto"/>
        <w:ind w:left="0" w:right="0" w:firstLine="440"/>
        <w:jc w:val="both"/>
      </w:pPr>
      <w:bookmarkStart w:id="1002" w:name="bookmark1002"/>
      <w:bookmarkEnd w:id="1002"/>
      <w:r>
        <w:rPr>
          <w:color w:val="000000"/>
          <w:spacing w:val="0"/>
          <w:w w:val="100"/>
          <w:position w:val="0"/>
        </w:rPr>
        <w:t>内部开发技术</w:t>
      </w:r>
    </w:p>
    <w:p>
      <w:pPr>
        <w:pStyle w:val="Style2"/>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内部开发技术按开发阶段满足资本化条件发生的实际成本入账，并按预计使用年限</w:t>
      </w:r>
      <w:r>
        <w:rPr>
          <w:rFonts w:ascii="Times New Roman" w:eastAsia="Times New Roman" w:hAnsi="Times New Roman" w:cs="Times New Roman"/>
          <w:color w:val="000000"/>
          <w:spacing w:val="0"/>
          <w:w w:val="100"/>
          <w:position w:val="0"/>
        </w:rPr>
        <w:t>7</w:t>
      </w:r>
      <w:r>
        <w:rPr>
          <w:color w:val="000000"/>
          <w:spacing w:val="0"/>
          <w:w w:val="100"/>
          <w:position w:val="0"/>
        </w:rPr>
        <w:t>年平均 摊销。</w:t>
      </w:r>
    </w:p>
    <w:p>
      <w:pPr>
        <w:pStyle w:val="Style58"/>
        <w:keepNext w:val="0"/>
        <w:keepLines w:val="0"/>
        <w:widowControl w:val="0"/>
        <w:numPr>
          <w:ilvl w:val="0"/>
          <w:numId w:val="87"/>
        </w:numPr>
        <w:shd w:val="clear" w:color="auto" w:fill="auto"/>
        <w:tabs>
          <w:tab w:pos="866" w:val="left"/>
        </w:tabs>
        <w:bidi w:val="0"/>
        <w:spacing w:before="0" w:after="160" w:line="288" w:lineRule="auto"/>
        <w:ind w:left="0" w:right="0" w:firstLine="440"/>
        <w:jc w:val="left"/>
      </w:pPr>
      <w:bookmarkStart w:id="1003" w:name="bookmark1003"/>
      <w:bookmarkEnd w:id="1003"/>
      <w:r>
        <w:rPr>
          <w:rFonts w:ascii="SimSun" w:eastAsia="SimSun" w:hAnsi="SimSun" w:cs="SimSun"/>
          <w:color w:val="000000"/>
          <w:spacing w:val="0"/>
          <w:w w:val="100"/>
          <w:position w:val="0"/>
        </w:rPr>
        <w:t>软件</w:t>
      </w:r>
    </w:p>
    <w:p>
      <w:pPr>
        <w:pStyle w:val="Style2"/>
        <w:keepNext w:val="0"/>
        <w:keepLines w:val="0"/>
        <w:widowControl w:val="0"/>
        <w:shd w:val="clear" w:color="auto" w:fill="auto"/>
        <w:bidi w:val="0"/>
        <w:spacing w:before="0" w:after="300" w:line="276" w:lineRule="exact"/>
        <w:ind w:left="0" w:right="0" w:firstLine="440"/>
        <w:jc w:val="left"/>
      </w:pPr>
      <w:r>
        <w:rPr>
          <w:color w:val="000000"/>
          <w:spacing w:val="0"/>
          <w:w w:val="100"/>
          <w:position w:val="0"/>
        </w:rPr>
        <w:t>购入的软件按照实际支付的价款作为实际成本，并按预计使用年限</w:t>
      </w:r>
      <w:r>
        <w:rPr>
          <w:rFonts w:ascii="Times New Roman" w:eastAsia="Times New Roman" w:hAnsi="Times New Roman" w:cs="Times New Roman"/>
          <w:color w:val="000000"/>
          <w:spacing w:val="0"/>
          <w:w w:val="100"/>
          <w:position w:val="0"/>
        </w:rPr>
        <w:t>3</w:t>
      </w:r>
      <w:r>
        <w:rPr>
          <w:color w:val="000000"/>
          <w:spacing w:val="0"/>
          <w:w w:val="100"/>
          <w:position w:val="0"/>
        </w:rPr>
        <w:t>年或者</w:t>
      </w:r>
      <w:r>
        <w:rPr>
          <w:rFonts w:ascii="Times New Roman" w:eastAsia="Times New Roman" w:hAnsi="Times New Roman" w:cs="Times New Roman"/>
          <w:color w:val="000000"/>
          <w:spacing w:val="0"/>
          <w:w w:val="100"/>
          <w:position w:val="0"/>
        </w:rPr>
        <w:t>5</w:t>
      </w:r>
      <w:r>
        <w:rPr>
          <w:color w:val="000000"/>
          <w:spacing w:val="0"/>
          <w:w w:val="100"/>
          <w:position w:val="0"/>
        </w:rPr>
        <w:t>年平均摊销。</w:t>
      </w:r>
    </w:p>
    <w:p>
      <w:pPr>
        <w:pStyle w:val="Style2"/>
        <w:keepNext w:val="0"/>
        <w:keepLines w:val="0"/>
        <w:widowControl w:val="0"/>
        <w:numPr>
          <w:ilvl w:val="0"/>
          <w:numId w:val="87"/>
        </w:numPr>
        <w:shd w:val="clear" w:color="auto" w:fill="auto"/>
        <w:tabs>
          <w:tab w:pos="866" w:val="left"/>
        </w:tabs>
        <w:bidi w:val="0"/>
        <w:spacing w:before="0" w:after="160" w:line="288" w:lineRule="auto"/>
        <w:ind w:left="0" w:right="0" w:firstLine="440"/>
        <w:jc w:val="left"/>
      </w:pPr>
      <w:bookmarkStart w:id="1004" w:name="bookmark1004"/>
      <w:bookmarkEnd w:id="1004"/>
      <w:r>
        <w:rPr>
          <w:color w:val="000000"/>
          <w:spacing w:val="0"/>
          <w:w w:val="100"/>
          <w:position w:val="0"/>
        </w:rPr>
        <w:t>定期复核使用寿命和摊销方法</w:t>
      </w:r>
    </w:p>
    <w:p>
      <w:pPr>
        <w:pStyle w:val="Style2"/>
        <w:keepNext w:val="0"/>
        <w:keepLines w:val="0"/>
        <w:widowControl w:val="0"/>
        <w:shd w:val="clear" w:color="auto" w:fill="auto"/>
        <w:bidi w:val="0"/>
        <w:spacing w:before="0" w:after="300" w:line="264" w:lineRule="exact"/>
        <w:ind w:left="0" w:right="0" w:firstLine="440"/>
        <w:jc w:val="both"/>
      </w:pPr>
      <w:r>
        <w:rPr>
          <w:color w:val="000000"/>
          <w:spacing w:val="0"/>
          <w:w w:val="100"/>
          <w:position w:val="0"/>
        </w:rPr>
        <w:t>对使用寿命有限的无形资产的预计使用寿命及摊销方法于每年年度终了进行复核并作适当调 整。</w:t>
      </w:r>
    </w:p>
    <w:p>
      <w:pPr>
        <w:pStyle w:val="Style2"/>
        <w:keepNext w:val="0"/>
        <w:keepLines w:val="0"/>
        <w:widowControl w:val="0"/>
        <w:numPr>
          <w:ilvl w:val="0"/>
          <w:numId w:val="87"/>
        </w:numPr>
        <w:shd w:val="clear" w:color="auto" w:fill="auto"/>
        <w:tabs>
          <w:tab w:pos="866" w:val="left"/>
        </w:tabs>
        <w:bidi w:val="0"/>
        <w:spacing w:before="0" w:after="160" w:line="288" w:lineRule="auto"/>
        <w:ind w:left="0" w:right="0" w:firstLine="440"/>
        <w:jc w:val="left"/>
      </w:pPr>
      <w:bookmarkStart w:id="1005" w:name="bookmark1005"/>
      <w:bookmarkEnd w:id="1005"/>
      <w:r>
        <w:rPr>
          <w:color w:val="000000"/>
          <w:spacing w:val="0"/>
          <w:w w:val="100"/>
          <w:position w:val="0"/>
        </w:rPr>
        <w:t>无形资产减值</w:t>
      </w:r>
    </w:p>
    <w:p>
      <w:pPr>
        <w:pStyle w:val="Style2"/>
        <w:keepNext w:val="0"/>
        <w:keepLines w:val="0"/>
        <w:widowControl w:val="0"/>
        <w:shd w:val="clear" w:color="auto" w:fill="auto"/>
        <w:bidi w:val="0"/>
        <w:spacing w:before="0" w:after="200" w:line="276" w:lineRule="exact"/>
        <w:ind w:left="0" w:right="0" w:firstLine="440"/>
        <w:jc w:val="left"/>
      </w:pPr>
      <w:r>
        <w:rPr>
          <w:color w:val="000000"/>
          <w:spacing w:val="0"/>
          <w:w w:val="100"/>
          <w:position w:val="0"/>
        </w:rPr>
        <w:t>当无形资产的可收回金额低于其账面价值时，账面价值减记至可收回金额。</w:t>
      </w:r>
    </w:p>
    <w:p>
      <w:pPr>
        <w:pStyle w:val="Style35"/>
        <w:keepNext/>
        <w:keepLines/>
        <w:widowControl w:val="0"/>
        <w:numPr>
          <w:ilvl w:val="0"/>
          <w:numId w:val="85"/>
        </w:numPr>
        <w:shd w:val="clear" w:color="auto" w:fill="auto"/>
        <w:bidi w:val="0"/>
        <w:spacing w:before="0" w:after="80" w:line="272"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w:t>
      </w:r>
      <w:r>
        <w:rPr>
          <w:color w:val="000000"/>
          <w:spacing w:val="0"/>
          <w:w w:val="100"/>
          <w:position w:val="0"/>
        </w:rPr>
        <w:t>内部研究开发支出会计政策</w:t>
      </w:r>
      <w:bookmarkEnd w:id="1006"/>
      <w:bookmarkEnd w:id="1007"/>
      <w:bookmarkEnd w:id="1009"/>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内部研究开发项目支出根据其性质以及研发活动最终形成无形资产是否具有较大不确定性， 被分为研究阶段支出和开发阶段支出。</w:t>
      </w:r>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试制样机初步完成研制之前，为研究生产工艺而进行的有计划的调查、评价和选择阶段的支 出为研究阶段的支出，于发生时计入当期损益；试制样机初步完成研制至大规模生产之前，针对 生产工艺最终应用的相关设计、测试阶段的支出为开发阶段的支出，同时满足下列条件的，予以 资本化：</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-生产工艺的开发已经技术团队进行充分论证；</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-管理层已批准生产工艺开发的预算；</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-前期市场调研的研究分析说明生产工艺所生产的产品具有市场推广能力；</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-有足够的技术和资金支持，以进行生产工艺的开发活动及后续的大规模生产；以及</w:t>
      </w:r>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-生产工艺开发的支出能够可靠地归集。</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不满足上述条件的开发阶段的支出，于发生时计入当期损益。以前期间已计入损益的开发支 出不在以后期间重新确认为资产。已资本化的开发阶段的支出在资产负债表上列示为开发支出， 自该项目达到预定用途之日起转为无形资产。</w:t>
      </w:r>
    </w:p>
    <w:p>
      <w:pPr>
        <w:pStyle w:val="Style35"/>
        <w:keepNext/>
        <w:keepLines/>
        <w:widowControl w:val="0"/>
        <w:numPr>
          <w:ilvl w:val="0"/>
          <w:numId w:val="83"/>
        </w:numPr>
        <w:shd w:val="clear" w:color="auto" w:fill="auto"/>
        <w:tabs>
          <w:tab w:pos="440" w:val="left"/>
        </w:tabs>
        <w:bidi w:val="0"/>
        <w:spacing w:before="0" w:after="80" w:line="272" w:lineRule="exact"/>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长期资产减值</w:t>
      </w:r>
      <w:bookmarkEnd w:id="1010"/>
      <w:bookmarkEnd w:id="1011"/>
      <w:bookmarkEnd w:id="1013"/>
    </w:p>
    <w:p>
      <w:pPr>
        <w:pStyle w:val="Style2"/>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固定资产、在建工程、使用寿命有限的无形资产及对子公司、合营企业、联营企业的长期股 权投资等，于资产负债表日存在减值迹象的，进行减值测试；尚未达到可使用状态的无形资产， 无论是否存在减值迹象，至少每年进行减值测试。减值测试结果表明资产的可收回金额低于其账 面价值的，按其差额计提减值准备并计入减值损失。可收回金额为资产的公允价值减去处置费用 后的净额与资产预计未来现金流量的现值两者之间的较高者。资产减值准备按单项资产为基础计 算并确认，如果难以对单项资产的可收回金额进行估计的，以该资产所属的资产组确定资产组的 可收回金额。资产组是能够独立产生现金流入的最小资产组合。</w:t>
      </w:r>
    </w:p>
    <w:p>
      <w:pPr>
        <w:pStyle w:val="Style2"/>
        <w:keepNext w:val="0"/>
        <w:keepLines w:val="0"/>
        <w:widowControl w:val="0"/>
        <w:shd w:val="clear" w:color="auto" w:fill="auto"/>
        <w:bidi w:val="0"/>
        <w:spacing w:before="0" w:after="320" w:line="272" w:lineRule="exact"/>
        <w:ind w:left="0" w:right="0" w:firstLine="440"/>
        <w:jc w:val="left"/>
      </w:pPr>
      <w:r>
        <w:rPr>
          <w:color w:val="000000"/>
          <w:spacing w:val="0"/>
          <w:w w:val="100"/>
          <w:position w:val="0"/>
        </w:rPr>
        <w:t>上述资产减值损失一经确认，以后期间不予转回价值得以恢复的部分。</w:t>
      </w:r>
    </w:p>
    <w:p>
      <w:pPr>
        <w:pStyle w:val="Style35"/>
        <w:keepNext/>
        <w:keepLines/>
        <w:widowControl w:val="0"/>
        <w:numPr>
          <w:ilvl w:val="0"/>
          <w:numId w:val="83"/>
        </w:numPr>
        <w:shd w:val="clear" w:color="auto" w:fill="auto"/>
        <w:tabs>
          <w:tab w:pos="440" w:val="left"/>
        </w:tabs>
        <w:bidi w:val="0"/>
        <w:spacing w:before="0" w:after="80" w:line="272" w:lineRule="exact"/>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长期待摊费用</w:t>
      </w:r>
      <w:bookmarkEnd w:id="1014"/>
      <w:bookmarkEnd w:id="1015"/>
      <w:bookmarkEnd w:id="1017"/>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长期待摊费用包括经营租入固定资产改良及其他已经发生但应由本期和以后各期负担的、分 摊期限在一年以上的各项费用，按预计受益期间分期平均摊销，并以实际支出减去累计摊销后的 净额列示。</w:t>
      </w:r>
    </w:p>
    <w:p>
      <w:pPr>
        <w:pStyle w:val="Style35"/>
        <w:keepNext/>
        <w:keepLines/>
        <w:widowControl w:val="0"/>
        <w:numPr>
          <w:ilvl w:val="0"/>
          <w:numId w:val="83"/>
        </w:numPr>
        <w:shd w:val="clear" w:color="auto" w:fill="auto"/>
        <w:tabs>
          <w:tab w:pos="440" w:val="left"/>
        </w:tabs>
        <w:bidi w:val="0"/>
        <w:spacing w:before="0" w:after="80" w:line="272" w:lineRule="exact"/>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合同负债</w:t>
      </w:r>
      <w:bookmarkEnd w:id="1018"/>
      <w:bookmarkEnd w:id="1019"/>
      <w:bookmarkEnd w:id="1021"/>
    </w:p>
    <w:p>
      <w:pPr>
        <w:pStyle w:val="Style35"/>
        <w:keepNext/>
        <w:keepLines/>
        <w:widowControl w:val="0"/>
        <w:numPr>
          <w:ilvl w:val="0"/>
          <w:numId w:val="89"/>
        </w:numPr>
        <w:shd w:val="clear" w:color="auto" w:fill="auto"/>
        <w:bidi w:val="0"/>
        <w:spacing w:before="0" w:after="80" w:line="272" w:lineRule="exact"/>
        <w:ind w:left="0" w:right="0" w:firstLine="0"/>
        <w:jc w:val="left"/>
      </w:pPr>
      <w:bookmarkStart w:id="1018" w:name="bookmark1018"/>
      <w:bookmarkStart w:id="1019" w:name="bookmark1019"/>
      <w:bookmarkStart w:id="1022" w:name="bookmark1022"/>
      <w:bookmarkStart w:id="1023" w:name="bookmark1023"/>
      <w:bookmarkEnd w:id="1022"/>
      <w:r>
        <w:rPr>
          <w:color w:val="000000"/>
          <w:spacing w:val="0"/>
          <w:w w:val="100"/>
          <w:position w:val="0"/>
        </w:rPr>
        <w:t>.</w:t>
      </w:r>
      <w:r>
        <w:rPr>
          <w:color w:val="000000"/>
          <w:spacing w:val="0"/>
          <w:w w:val="100"/>
          <w:position w:val="0"/>
        </w:rPr>
        <w:t>合同负债的确认方法</w:t>
      </w:r>
      <w:bookmarkEnd w:id="1018"/>
      <w:bookmarkEnd w:id="1019"/>
      <w:bookmarkEnd w:id="1023"/>
    </w:p>
    <w:p>
      <w:pPr>
        <w:pStyle w:val="Style2"/>
        <w:keepNext w:val="0"/>
        <w:keepLines w:val="0"/>
        <w:widowControl w:val="0"/>
        <w:shd w:val="clear" w:color="auto" w:fill="auto"/>
        <w:bidi w:val="0"/>
        <w:spacing w:before="0" w:after="320" w:line="269"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详见第十二节财务报告五、</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35"/>
        <w:keepNext/>
        <w:keepLines/>
        <w:widowControl w:val="0"/>
        <w:numPr>
          <w:ilvl w:val="0"/>
          <w:numId w:val="83"/>
        </w:numPr>
        <w:shd w:val="clear" w:color="auto" w:fill="auto"/>
        <w:tabs>
          <w:tab w:pos="440" w:val="left"/>
        </w:tabs>
        <w:bidi w:val="0"/>
        <w:spacing w:before="0" w:after="80" w:line="272" w:lineRule="exact"/>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职工薪酬</w:t>
      </w:r>
      <w:bookmarkEnd w:id="1024"/>
      <w:bookmarkEnd w:id="1025"/>
      <w:bookmarkEnd w:id="1027"/>
    </w:p>
    <w:p>
      <w:pPr>
        <w:pStyle w:val="Style35"/>
        <w:keepNext/>
        <w:keepLines/>
        <w:widowControl w:val="0"/>
        <w:numPr>
          <w:ilvl w:val="0"/>
          <w:numId w:val="91"/>
        </w:numPr>
        <w:shd w:val="clear" w:color="auto" w:fill="auto"/>
        <w:bidi w:val="0"/>
        <w:spacing w:before="0" w:after="80" w:line="272" w:lineRule="exact"/>
        <w:ind w:left="0" w:right="0" w:firstLine="0"/>
        <w:jc w:val="left"/>
      </w:pPr>
      <w:bookmarkStart w:id="1024" w:name="bookmark1024"/>
      <w:bookmarkStart w:id="1025" w:name="bookmark1025"/>
      <w:bookmarkStart w:id="1028" w:name="bookmark1028"/>
      <w:bookmarkStart w:id="1029" w:name="bookmark1029"/>
      <w:bookmarkEnd w:id="1028"/>
      <w:r>
        <w:rPr>
          <w:color w:val="000000"/>
          <w:spacing w:val="0"/>
          <w:w w:val="100"/>
          <w:position w:val="0"/>
        </w:rPr>
        <w:t>.</w:t>
      </w:r>
      <w:r>
        <w:rPr>
          <w:color w:val="000000"/>
          <w:spacing w:val="0"/>
          <w:w w:val="100"/>
          <w:position w:val="0"/>
        </w:rPr>
        <w:t>短期薪酬的会计处理方法</w:t>
      </w:r>
      <w:bookmarkEnd w:id="1024"/>
      <w:bookmarkEnd w:id="1025"/>
      <w:bookmarkEnd w:id="1029"/>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职工薪酬是本集团为获得职工提供的服务或解除劳动关系而给予的各种形式的报酬或补偿， 包括短期薪酬、离职后福利、辞退福利和其他长期职工福利等。</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短期薪酬</w:t>
      </w:r>
    </w:p>
    <w:p>
      <w:pPr>
        <w:pStyle w:val="Style2"/>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短期薪酬包括工资、奖金、津贴和补贴、职工福利费、医疗保险费、工伤保险费、生育保险 费、住房公积金、工会和教育经费、短期带薪缺勤等。本集团在职工提供服务的会计期间，将实 际发生的短期薪酬确认为负债，并计入当期损益。其中，非货币性福利按照公允价值计量。</w:t>
      </w:r>
    </w:p>
    <w:p>
      <w:pPr>
        <w:pStyle w:val="Style35"/>
        <w:keepNext/>
        <w:keepLines/>
        <w:widowControl w:val="0"/>
        <w:numPr>
          <w:ilvl w:val="0"/>
          <w:numId w:val="91"/>
        </w:numPr>
        <w:shd w:val="clear" w:color="auto" w:fill="auto"/>
        <w:tabs>
          <w:tab w:pos="430" w:val="left"/>
        </w:tabs>
        <w:bidi w:val="0"/>
        <w:spacing w:before="0" w:after="100" w:line="274" w:lineRule="exact"/>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w:t>
      </w:r>
      <w:r>
        <w:rPr>
          <w:color w:val="000000"/>
          <w:spacing w:val="0"/>
          <w:w w:val="100"/>
          <w:position w:val="0"/>
        </w:rPr>
        <w:t>离职后福利的会计处理方法</w:t>
      </w:r>
      <w:bookmarkEnd w:id="1030"/>
      <w:bookmarkEnd w:id="1031"/>
      <w:bookmarkEnd w:id="1033"/>
    </w:p>
    <w:p>
      <w:pPr>
        <w:pStyle w:val="Style2"/>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0" w:lineRule="exact"/>
        <w:ind w:left="0" w:right="0" w:firstLine="440"/>
        <w:jc w:val="both"/>
      </w:pPr>
      <w:r>
        <w:rPr>
          <w:color w:val="000000"/>
          <w:spacing w:val="0"/>
          <w:w w:val="100"/>
          <w:position w:val="0"/>
        </w:rPr>
        <w:t>本集团将离职后福利计划分类为设定提存计划和设定受益计划。设定提存计划是本集团向独 立的基金缴存固定费用后，不再承担进一步支付义务的离职后福利计划；设定受益计划是除设定 提存计划以外的离职后福利计划。于报告期内，本集团的离职后福利主要是为员工缴纳的基本养 老保险和失业保险，均属于设定提存计划。</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基本养老保险</w:t>
      </w:r>
    </w:p>
    <w:p>
      <w:pPr>
        <w:pStyle w:val="Style2"/>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本集团职工参加了由当地劳动和社会保障部门组织实施的社会基本养老保险。本集团以当地 规定的社会基本养老保险缴纳基数和比例，按月向当地社会基本养老保险经办机构缴纳养老保险 费。职工退休后，当地劳动及社会保障部门有责任向已退休员工支付社会基本养老金。本集团在 职工提供服务的会计期间，将根据上述社保规定计算应缴纳的金额确认为负债，并计入当期损益 或相关资产成本。</w:t>
      </w:r>
    </w:p>
    <w:p>
      <w:pPr>
        <w:pStyle w:val="Style35"/>
        <w:keepNext/>
        <w:keepLines/>
        <w:widowControl w:val="0"/>
        <w:numPr>
          <w:ilvl w:val="0"/>
          <w:numId w:val="91"/>
        </w:numPr>
        <w:shd w:val="clear" w:color="auto" w:fill="auto"/>
        <w:tabs>
          <w:tab w:pos="430" w:val="left"/>
        </w:tabs>
        <w:bidi w:val="0"/>
        <w:spacing w:before="0" w:after="100" w:line="274"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w:t>
      </w:r>
      <w:r>
        <w:rPr>
          <w:color w:val="000000"/>
          <w:spacing w:val="0"/>
          <w:w w:val="100"/>
          <w:position w:val="0"/>
        </w:rPr>
        <w:t>辞退福利的会计处理方法</w:t>
      </w:r>
      <w:bookmarkEnd w:id="1034"/>
      <w:bookmarkEnd w:id="1035"/>
      <w:bookmarkEnd w:id="1037"/>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本集团在职工劳动合同到期之前解除与职工的劳动关系、或者为鼓励职工自愿接受裁减而提 出给予补偿，在本集团不能单方面撤回解除劳动关系计划或裁减建议时和确认与涉及支付辞退福 利的重组相关的成本费用时两者孰早日，确认因解除与职工的劳动关系给予补偿而产生的负债， 同时计入当期损益。</w:t>
      </w:r>
    </w:p>
    <w:p>
      <w:pPr>
        <w:pStyle w:val="Style2"/>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预期在资产负债表日起一年内需支付的辞退福利，列示为应付职工薪酬。</w:t>
      </w:r>
    </w:p>
    <w:p>
      <w:pPr>
        <w:pStyle w:val="Style35"/>
        <w:keepNext/>
        <w:keepLines/>
        <w:widowControl w:val="0"/>
        <w:numPr>
          <w:ilvl w:val="0"/>
          <w:numId w:val="91"/>
        </w:numPr>
        <w:shd w:val="clear" w:color="auto" w:fill="auto"/>
        <w:tabs>
          <w:tab w:pos="430" w:val="left"/>
        </w:tabs>
        <w:bidi w:val="0"/>
        <w:spacing w:before="0" w:after="60" w:line="274" w:lineRule="exact"/>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w:t>
      </w:r>
      <w:r>
        <w:rPr>
          <w:color w:val="000000"/>
          <w:spacing w:val="0"/>
          <w:w w:val="100"/>
          <w:position w:val="0"/>
        </w:rPr>
        <w:t>其他长期职工福利的会计处理方法</w:t>
      </w:r>
      <w:bookmarkEnd w:id="1038"/>
      <w:bookmarkEnd w:id="1039"/>
      <w:bookmarkEnd w:id="1041"/>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0" w:val="left"/>
        </w:tabs>
        <w:bidi w:val="0"/>
        <w:spacing w:before="0" w:after="60" w:line="274" w:lineRule="exact"/>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租赁负债</w:t>
      </w:r>
      <w:bookmarkEnd w:id="1042"/>
      <w:bookmarkEnd w:id="1043"/>
      <w:bookmarkEnd w:id="1045"/>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0" w:val="left"/>
        </w:tabs>
        <w:bidi w:val="0"/>
        <w:spacing w:before="0" w:after="100" w:line="274" w:lineRule="exact"/>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预计负债</w:t>
      </w:r>
      <w:bookmarkEnd w:id="1046"/>
      <w:bookmarkEnd w:id="1047"/>
      <w:bookmarkEnd w:id="1049"/>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因产品质量保证、亏损合同等形成的现时义务，当履行该义务很可能导致经济利益的流出， 且其金额能够可靠计量时，确认为预计负债。</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金流出进行折现后确定最佳估计数；因随着时间推移所进行的折现还原而导致的预计负债账面价 值的增加金额，确认为利息费用。</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于资产负债表日，对预计负债的账面价值进行复核并作适当调整，以反映当前的最佳估计 数。</w:t>
      </w:r>
    </w:p>
    <w:p>
      <w:pPr>
        <w:pStyle w:val="Style2"/>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预期在资产负债表日起一年内需支付的预计负债，列示为其他流动负债。</w:t>
      </w:r>
    </w:p>
    <w:p>
      <w:pPr>
        <w:pStyle w:val="Style35"/>
        <w:keepNext/>
        <w:keepLines/>
        <w:widowControl w:val="0"/>
        <w:numPr>
          <w:ilvl w:val="0"/>
          <w:numId w:val="83"/>
        </w:numPr>
        <w:shd w:val="clear" w:color="auto" w:fill="auto"/>
        <w:bidi w:val="0"/>
        <w:spacing w:before="0" w:after="100" w:line="278" w:lineRule="exact"/>
        <w:ind w:left="0" w:right="0" w:firstLine="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股份支付</w:t>
      </w:r>
      <w:bookmarkEnd w:id="1050"/>
      <w:bookmarkEnd w:id="1051"/>
      <w:bookmarkEnd w:id="1053"/>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460" w:line="278" w:lineRule="exact"/>
        <w:ind w:left="0" w:right="0" w:firstLine="440"/>
        <w:jc w:val="both"/>
      </w:pPr>
      <w:r>
        <w:rPr>
          <w:color w:val="000000"/>
          <w:spacing w:val="0"/>
          <w:w w:val="100"/>
          <w:position w:val="0"/>
        </w:rPr>
        <w:t>股份支付分为以权益结算的股份支付和以现金结算的股份支付。以权益结算的股份支付，是 指集团为获取服务以股份或其他权益工具为对价进行结算的交易。</w:t>
      </w:r>
    </w:p>
    <w:p>
      <w:pPr>
        <w:pStyle w:val="Style2"/>
        <w:keepNext w:val="0"/>
        <w:keepLines w:val="0"/>
        <w:widowControl w:val="0"/>
        <w:shd w:val="clear" w:color="auto" w:fill="auto"/>
        <w:bidi w:val="0"/>
        <w:spacing w:before="0" w:after="460" w:line="272" w:lineRule="exact"/>
        <w:ind w:left="0" w:right="0" w:firstLine="440"/>
        <w:jc w:val="both"/>
      </w:pPr>
      <w:r>
        <w:rPr>
          <w:color w:val="000000"/>
          <w:spacing w:val="0"/>
          <w:w w:val="100"/>
          <w:position w:val="0"/>
        </w:rPr>
        <w:t>以权益结算的股份支付换取职工提供服务的，以授予职工权益工具的公允价值计量。授予后 立即可行权的，在授予日按照公允价值计入当期损益，相应增加资本公积；完成等待期内的服务 或达到规定业绩条件才可行权的，在等待期内每个资产负债表日，本集团根据最新取得的可行权 职工人数变动、是否达到规定业绩条件等后续信息对可行权权益工具数量作出最佳估计，并以此 为基础，按照授予日的公允价值，将当期取得的服务计入当期损益。</w:t>
      </w:r>
    </w:p>
    <w:p>
      <w:pPr>
        <w:pStyle w:val="Style2"/>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对于最终未能达到可行权条件的股份支付，本集团不确认成本或费用，除非该可行权条件是 市场条件或非可行权条件，此时无论是否满足市场条件或非可行权条件，只要满足所有可行权条 件中的非市场条件，即视为可行权。</w:t>
      </w:r>
    </w:p>
    <w:p>
      <w:pPr>
        <w:pStyle w:val="Style2"/>
        <w:keepNext w:val="0"/>
        <w:keepLines w:val="0"/>
        <w:widowControl w:val="0"/>
        <w:shd w:val="clear" w:color="auto" w:fill="auto"/>
        <w:bidi w:val="0"/>
        <w:spacing w:before="0" w:after="460" w:line="272" w:lineRule="exact"/>
        <w:ind w:left="0" w:right="0" w:firstLine="440"/>
        <w:jc w:val="both"/>
      </w:pPr>
      <w:r>
        <w:rPr>
          <w:color w:val="000000"/>
          <w:spacing w:val="0"/>
          <w:w w:val="100"/>
          <w:position w:val="0"/>
        </w:rPr>
        <w:t>本集团修改股份支付计划条款时，如果修改增加了所授予权益工具的公允价值，本集团根据 修改前后的权益工具在修改日公允价值之间的差额相应确认取得服务的增加。如果本集团按照有 利于职工的方式修改可行权条件，本集团按照修改后的可行权条件核算；如果本集团以不利于职 工的方式修改可行权条件，核算时不予以考虑，除非本集团取消了部分或全部已授予的权益工 具。如果本集团取消了所授予的权益工具，则于取消日作为加速行权处理，将原本应在剩余等待 期内确认的金额立即计入当期损益，同时确认资本公积。</w:t>
      </w:r>
    </w:p>
    <w:p>
      <w:pPr>
        <w:pStyle w:val="Style2"/>
        <w:keepNext w:val="0"/>
        <w:keepLines w:val="0"/>
        <w:widowControl w:val="0"/>
        <w:shd w:val="clear" w:color="auto" w:fill="auto"/>
        <w:bidi w:val="0"/>
        <w:spacing w:before="0" w:after="380" w:line="274" w:lineRule="exact"/>
        <w:ind w:left="0" w:right="0" w:firstLine="440"/>
        <w:jc w:val="both"/>
      </w:pPr>
      <w:r>
        <w:rPr>
          <w:color w:val="000000"/>
          <w:spacing w:val="0"/>
          <w:w w:val="100"/>
          <w:position w:val="0"/>
        </w:rPr>
        <w:t>如果本集团需要按事先约定的回购价格回购未解锁而失效或作废的限制性股票，本集团按照 限制性股票的数量以及相应的回购价格确认负债及库存股。</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以现金结算的股份支付，是指本集团因获取服务或商品、承担以股份或其他权益工具为基础 计算确定交付现金或其他资产义务的交易。</w:t>
      </w:r>
    </w:p>
    <w:p>
      <w:pPr>
        <w:pStyle w:val="Style2"/>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以现金结算的股份支付，本集团按照企业承担的以股份或其他权益工具为基础计算确定的负 债的公允价值计量。授予后立即可行权的以现金结算的股份支付，在授权日以承担负债的公允价 值计入相关成本或费用，相应增加负债。完成等待期内的服务或达到规定业绩条件以后才可行权 的以现金结算的股份支付，在等待期内的每个资产负债表日，以对可行权情况的最佳估计为基 础，按照承担负债的公允价值金额，将当期取得的服务计入成本或费用和负债。在资产负债表 日，后续信息表明当期承担债务的公允价值与以前估计不同的，进行调整；在可行权日，调整至 实际可行权水平。本集团在相关负债结算前的每个资产负债表日以及结算日，对负债的公允价值 重新计量、其变动计入当期损益。</w:t>
      </w:r>
    </w:p>
    <w:p>
      <w:pPr>
        <w:pStyle w:val="Style35"/>
        <w:keepNext/>
        <w:keepLines/>
        <w:widowControl w:val="0"/>
        <w:numPr>
          <w:ilvl w:val="0"/>
          <w:numId w:val="83"/>
        </w:numPr>
        <w:shd w:val="clear" w:color="auto" w:fill="auto"/>
        <w:bidi w:val="0"/>
        <w:spacing w:before="0" w:after="60" w:line="272" w:lineRule="exact"/>
        <w:ind w:left="0" w:right="0" w:firstLine="0"/>
        <w:jc w:val="both"/>
      </w:pPr>
      <w:bookmarkStart w:id="1054" w:name="bookmark1054"/>
      <w:bookmarkStart w:id="1055" w:name="bookmark1055"/>
      <w:bookmarkStart w:id="1056" w:name="bookmark1056"/>
      <w:bookmarkStart w:id="1057" w:name="bookmark1057"/>
      <w:bookmarkEnd w:id="1056"/>
      <w:r>
        <w:rPr>
          <w:color w:val="000000"/>
          <w:spacing w:val="0"/>
          <w:w w:val="100"/>
          <w:position w:val="0"/>
        </w:rPr>
        <w:t>优先股、永续债等其他金融工具</w:t>
      </w:r>
      <w:bookmarkEnd w:id="1054"/>
      <w:bookmarkEnd w:id="1055"/>
      <w:bookmarkEnd w:id="1057"/>
    </w:p>
    <w:p>
      <w:pPr>
        <w:pStyle w:val="Style2"/>
        <w:keepNext w:val="0"/>
        <w:keepLines w:val="0"/>
        <w:widowControl w:val="0"/>
        <w:shd w:val="clear" w:color="auto" w:fill="auto"/>
        <w:bidi w:val="0"/>
        <w:spacing w:before="0" w:after="300" w:line="27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0" w:val="left"/>
        </w:tabs>
        <w:bidi w:val="0"/>
        <w:spacing w:before="0" w:after="60" w:line="271" w:lineRule="exact"/>
        <w:ind w:left="0" w:right="0" w:firstLine="0"/>
        <w:jc w:val="both"/>
      </w:pPr>
      <w:bookmarkStart w:id="1058" w:name="bookmark1058"/>
      <w:bookmarkStart w:id="1059" w:name="bookmark1059"/>
      <w:bookmarkStart w:id="1060" w:name="bookmark1060"/>
      <w:bookmarkStart w:id="1061" w:name="bookmark1061"/>
      <w:bookmarkEnd w:id="1060"/>
      <w:r>
        <w:rPr>
          <w:color w:val="000000"/>
          <w:spacing w:val="0"/>
          <w:w w:val="100"/>
          <w:position w:val="0"/>
        </w:rPr>
        <w:t>收入</w:t>
      </w:r>
      <w:bookmarkEnd w:id="1058"/>
      <w:bookmarkEnd w:id="1059"/>
      <w:bookmarkEnd w:id="1061"/>
    </w:p>
    <w:p>
      <w:pPr>
        <w:pStyle w:val="Style35"/>
        <w:keepNext/>
        <w:keepLines/>
        <w:widowControl w:val="0"/>
        <w:numPr>
          <w:ilvl w:val="0"/>
          <w:numId w:val="93"/>
        </w:numPr>
        <w:shd w:val="clear" w:color="auto" w:fill="auto"/>
        <w:tabs>
          <w:tab w:pos="430" w:val="left"/>
        </w:tabs>
        <w:bidi w:val="0"/>
        <w:spacing w:before="0" w:after="120" w:line="271" w:lineRule="exact"/>
        <w:ind w:left="0" w:right="0" w:firstLine="0"/>
        <w:jc w:val="both"/>
      </w:pPr>
      <w:bookmarkStart w:id="1058" w:name="bookmark1058"/>
      <w:bookmarkStart w:id="1059" w:name="bookmark1059"/>
      <w:bookmarkStart w:id="1062" w:name="bookmark1062"/>
      <w:bookmarkStart w:id="1063" w:name="bookmark1063"/>
      <w:bookmarkEnd w:id="1062"/>
      <w:r>
        <w:rPr>
          <w:color w:val="000000"/>
          <w:spacing w:val="0"/>
          <w:w w:val="100"/>
          <w:position w:val="0"/>
        </w:rPr>
        <w:t>.</w:t>
      </w:r>
      <w:r>
        <w:rPr>
          <w:color w:val="000000"/>
          <w:spacing w:val="0"/>
          <w:w w:val="100"/>
          <w:position w:val="0"/>
        </w:rPr>
        <w:t>收入确认和计量所采用的会计政策</w:t>
      </w:r>
      <w:bookmarkEnd w:id="1058"/>
      <w:bookmarkEnd w:id="1059"/>
      <w:bookmarkEnd w:id="1063"/>
    </w:p>
    <w:p>
      <w:pPr>
        <w:pStyle w:val="Style2"/>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本集团在客户取得相关商品或服务的控制权时，按预期有权收取的对价金额确认收入。</w:t>
      </w:r>
    </w:p>
    <w:p>
      <w:pPr>
        <w:pStyle w:val="Style2"/>
        <w:keepNext w:val="0"/>
        <w:keepLines w:val="0"/>
        <w:widowControl w:val="0"/>
        <w:numPr>
          <w:ilvl w:val="0"/>
          <w:numId w:val="95"/>
        </w:numPr>
        <w:shd w:val="clear" w:color="auto" w:fill="auto"/>
        <w:tabs>
          <w:tab w:pos="856" w:val="left"/>
        </w:tabs>
        <w:bidi w:val="0"/>
        <w:spacing w:before="0" w:after="180" w:line="283" w:lineRule="auto"/>
        <w:ind w:left="0" w:right="0" w:firstLine="440"/>
        <w:jc w:val="both"/>
      </w:pPr>
      <w:bookmarkStart w:id="1064" w:name="bookmark1064"/>
      <w:bookmarkEnd w:id="1064"/>
      <w:r>
        <w:rPr>
          <w:color w:val="000000"/>
          <w:spacing w:val="0"/>
          <w:w w:val="100"/>
          <w:position w:val="0"/>
        </w:rPr>
        <w:t>销售商品</w:t>
      </w:r>
    </w:p>
    <w:p>
      <w:pPr>
        <w:pStyle w:val="Style2"/>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本集团生产产品并销售予各地客户。</w:t>
      </w:r>
    </w:p>
    <w:p>
      <w:pPr>
        <w:pStyle w:val="Style2"/>
        <w:keepNext w:val="0"/>
        <w:keepLines w:val="0"/>
        <w:widowControl w:val="0"/>
        <w:shd w:val="clear" w:color="auto" w:fill="auto"/>
        <w:bidi w:val="0"/>
        <w:spacing w:before="0" w:after="240" w:line="269" w:lineRule="exact"/>
        <w:ind w:left="0" w:right="0" w:firstLine="440"/>
        <w:jc w:val="both"/>
      </w:pPr>
      <w:r>
        <w:rPr>
          <w:color w:val="000000"/>
          <w:spacing w:val="0"/>
          <w:w w:val="100"/>
          <w:position w:val="0"/>
        </w:rPr>
        <w:t>本集团将专用设备产品按照协议合同规定运至约定交货地点，由客户调试确认验收后，确认 收入。专用设备产品经客户调试验收后，客户具有自行使用产品的权利并承担该产品可能发生价 格波动或毁损的风险。</w:t>
      </w:r>
    </w:p>
    <w:p>
      <w:pPr>
        <w:pStyle w:val="Style2"/>
        <w:keepNext w:val="0"/>
        <w:keepLines w:val="0"/>
        <w:widowControl w:val="0"/>
        <w:shd w:val="clear" w:color="auto" w:fill="auto"/>
        <w:bidi w:val="0"/>
        <w:spacing w:before="0" w:after="240" w:line="269" w:lineRule="exact"/>
        <w:ind w:left="0" w:right="0" w:firstLine="440"/>
        <w:jc w:val="both"/>
      </w:pPr>
      <w:r>
        <w:rPr>
          <w:color w:val="000000"/>
          <w:spacing w:val="0"/>
          <w:w w:val="100"/>
          <w:position w:val="0"/>
        </w:rPr>
        <w:t>本集团备品备件产品按照协议合同规定运至约定交货地点，由客户确认接收后，确认收入。 备品备件产品交付后，客户具有自行使用产品的权利并承担该产品可能发生价格波动或毁损的风 险。</w:t>
      </w:r>
    </w:p>
    <w:p>
      <w:pPr>
        <w:pStyle w:val="Style2"/>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本集团给予客户的信用期根据客户的信用风险特征确定，与行业惯例一致，不存在重大融资 成分。本集团已收或应收客户对价而应向客户转让商品的义务列示为合同负债。</w:t>
      </w:r>
    </w:p>
    <w:p>
      <w:pPr>
        <w:pStyle w:val="Style2"/>
        <w:keepNext w:val="0"/>
        <w:keepLines w:val="0"/>
        <w:widowControl w:val="0"/>
        <w:numPr>
          <w:ilvl w:val="0"/>
          <w:numId w:val="95"/>
        </w:numPr>
        <w:shd w:val="clear" w:color="auto" w:fill="auto"/>
        <w:tabs>
          <w:tab w:pos="866" w:val="left"/>
        </w:tabs>
        <w:bidi w:val="0"/>
        <w:spacing w:before="0" w:after="180" w:line="283" w:lineRule="auto"/>
        <w:ind w:left="0" w:right="0" w:firstLine="440"/>
        <w:jc w:val="both"/>
      </w:pPr>
      <w:bookmarkStart w:id="1065" w:name="bookmark1065"/>
      <w:bookmarkEnd w:id="1065"/>
      <w:r>
        <w:rPr>
          <w:color w:val="000000"/>
          <w:spacing w:val="0"/>
          <w:w w:val="100"/>
          <w:position w:val="0"/>
        </w:rPr>
        <w:t>提供劳务</w:t>
      </w:r>
    </w:p>
    <w:p>
      <w:pPr>
        <w:pStyle w:val="Style2"/>
        <w:keepNext w:val="0"/>
        <w:keepLines w:val="0"/>
        <w:widowControl w:val="0"/>
        <w:shd w:val="clear" w:color="auto" w:fill="auto"/>
        <w:bidi w:val="0"/>
        <w:spacing w:before="0" w:after="240" w:line="276" w:lineRule="exact"/>
        <w:ind w:left="0" w:right="0" w:firstLine="440"/>
        <w:jc w:val="both"/>
      </w:pPr>
      <w:r>
        <w:rPr>
          <w:color w:val="000000"/>
          <w:spacing w:val="0"/>
          <w:w w:val="100"/>
          <w:position w:val="0"/>
        </w:rPr>
        <w:t>本集团对外提供劳务，根据已完成劳务的进度在一段时间内确认收入，其中，已完成劳务的 进度按照已发生的成本占预计总成本的比例确定。于资产负债表日，本集团对已完成劳务的进度 进行重新估计，以使其能够反映履约情况的变化。</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本集团按照已完成劳务的进度确认收入时，对于本集团已经取得无条件收款权的部分，确认 为应收账款，其余部分确认为合同资产，并对应收账款和合同资产以预期信用损失为基础确认损 失准备</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第十二节财务报告五、</w:t>
      </w:r>
      <w:r>
        <w:rPr>
          <w:rFonts w:ascii="Times New Roman" w:eastAsia="Times New Roman" w:hAnsi="Times New Roman" w:cs="Times New Roman"/>
          <w:color w:val="000000"/>
          <w:spacing w:val="0"/>
          <w:w w:val="100"/>
          <w:position w:val="0"/>
        </w:rPr>
        <w:t>10)</w:t>
      </w:r>
      <w:r>
        <w:rPr>
          <w:color w:val="000000"/>
          <w:spacing w:val="0"/>
          <w:w w:val="100"/>
          <w:position w:val="0"/>
        </w:rPr>
        <w:t>；如果本集团已收或应收的合同价款超过已完成的劳务，则将 超过部分确认为合同负债。本集团对于同一合同下的合同资产和合同负债以净额列示。</w:t>
      </w:r>
    </w:p>
    <w:p>
      <w:pPr>
        <w:pStyle w:val="Style35"/>
        <w:keepNext/>
        <w:keepLines/>
        <w:widowControl w:val="0"/>
        <w:numPr>
          <w:ilvl w:val="0"/>
          <w:numId w:val="93"/>
        </w:numPr>
        <w:shd w:val="clear" w:color="auto" w:fill="auto"/>
        <w:tabs>
          <w:tab w:pos="430" w:val="left"/>
        </w:tabs>
        <w:bidi w:val="0"/>
        <w:spacing w:before="0" w:after="60" w:line="271" w:lineRule="exact"/>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同类业务采用不同经营模式导致收入确认会计政策存在差异的情况</w:t>
      </w:r>
      <w:bookmarkEnd w:id="1066"/>
      <w:bookmarkEnd w:id="1067"/>
      <w:bookmarkEnd w:id="1069"/>
    </w:p>
    <w:p>
      <w:pPr>
        <w:pStyle w:val="Style2"/>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0" w:val="left"/>
        </w:tabs>
        <w:bidi w:val="0"/>
        <w:spacing w:before="0" w:after="60" w:line="271" w:lineRule="exact"/>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合同成本</w:t>
      </w:r>
      <w:bookmarkEnd w:id="1070"/>
      <w:bookmarkEnd w:id="1071"/>
      <w:bookmarkEnd w:id="1073"/>
    </w:p>
    <w:p>
      <w:pPr>
        <w:pStyle w:val="Style2"/>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tabs>
          <w:tab w:pos="445" w:val="left"/>
        </w:tabs>
        <w:bidi w:val="0"/>
        <w:spacing w:before="0" w:after="120" w:line="271"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政府补助</w:t>
      </w:r>
      <w:bookmarkEnd w:id="1074"/>
      <w:bookmarkEnd w:id="1075"/>
      <w:bookmarkEnd w:id="1077"/>
    </w:p>
    <w:p>
      <w:pPr>
        <w:pStyle w:val="Style2"/>
        <w:keepNext w:val="0"/>
        <w:keepLines w:val="0"/>
        <w:widowControl w:val="0"/>
        <w:shd w:val="clear" w:color="auto" w:fill="auto"/>
        <w:bidi w:val="0"/>
        <w:spacing w:before="0" w:after="0" w:line="283"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40" w:line="271" w:lineRule="exact"/>
        <w:ind w:left="0" w:right="0" w:firstLine="440"/>
        <w:jc w:val="both"/>
      </w:pPr>
      <w:r>
        <w:rPr>
          <w:color w:val="000000"/>
          <w:spacing w:val="0"/>
          <w:w w:val="100"/>
          <w:position w:val="0"/>
        </w:rPr>
        <w:t>政府补助为本集团从政府无偿取得的货币性资产或非货币性资产，包括税费返还、财政补贴</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政府补助在本集团能够满足其所附的条件并且能够收到时，予以确认。政府补助为货币性资 产的，按照收到或应收的金额计量。政府补助为非货币性资产的，按照公允价值计量；公允价值 不能可靠取得的，按照名义金额计量。</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与资产相关的政府补助，是指本集团取得的、用于购建或以其他方式形成长期资产的政府补 助。与收益相关的政府补助，是指除与资产相关的政府补助之外的政府补助。</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本集团将与资产相关的政府补助确认为递延收益，并在相关资产的使用寿命内按照合理、系 统的方法分期计入当期损益。与收益相关的政府补助，若用于补偿以后期间的相关成本费用或损 失的，确认为递延收益，并在确认相关成本费用或损失的期间，冲减相关成本费用；若用于补偿 已经发生的相关成本费用或损失的，直接冲减相关成本。</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本集团对于同类政府补助采用相同的列报方式。</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与日常活动相关的政府补助纳入营业利润，与日常活动无关的政府补助计入营业外收支。</w:t>
      </w:r>
    </w:p>
    <w:p>
      <w:pPr>
        <w:pStyle w:val="Style35"/>
        <w:keepNext/>
        <w:keepLines/>
        <w:widowControl w:val="0"/>
        <w:numPr>
          <w:ilvl w:val="0"/>
          <w:numId w:val="83"/>
        </w:numPr>
        <w:shd w:val="clear" w:color="auto" w:fill="auto"/>
        <w:tabs>
          <w:tab w:pos="445" w:val="left"/>
        </w:tabs>
        <w:bidi w:val="0"/>
        <w:spacing w:before="0" w:after="100" w:line="273" w:lineRule="exact"/>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78"/>
      <w:bookmarkEnd w:id="1079"/>
      <w:bookmarkEnd w:id="1081"/>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递延所得税资产和递延所得税负债根据资产和负债的计税基础与其账面价值的差额(暂时性 差异)计算确认。对于按照税法规定能够于以后年度抵减应纳税所得额的可抵扣亏损，确认相应 的递延所得税资产。对于商誉的初始确认产生的暂时性差异，不确认相应的递延所得税负债。对 于既不影响会计利润也不影响应纳税所得额(或可抵扣亏损)的非企业合并的交易中产生的资产或 负债的初始确认形成的暂时性差异，不确认相应的递延所得税资产和递延所得税负债。于资产负 债表日，递延所得税资产和递延所得税负债，按照预期收回该资产或清偿该负债期间的适用税率 计量。</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递延所得税资产的确认以很可能取得用来抵扣可抵扣暂时性差异、可抵扣亏损和税款抵减的 应纳税所得额为限。</w:t>
      </w:r>
    </w:p>
    <w:p>
      <w:pPr>
        <w:pStyle w:val="Style2"/>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对与子公司及联营企业投资相关的应纳税暂时性差异，确认递延所得税负债，除非本集团能 够控制该暂时性差异转回的时间且该暂时性差异在可预见的未来很可能不会转回。对与子公司及 联营企业投资相关的可抵扣暂时性差异，当该暂时性差异在可预见的未来很可能转回且未来很可 能获得用来抵扣可抵扣暂时性差异的应纳税所得额时，确认递延所得税资产。</w:t>
      </w:r>
    </w:p>
    <w:p>
      <w:pPr>
        <w:pStyle w:val="Style2"/>
        <w:keepNext w:val="0"/>
        <w:keepLines w:val="0"/>
        <w:widowControl w:val="0"/>
        <w:shd w:val="clear" w:color="auto" w:fill="auto"/>
        <w:bidi w:val="0"/>
        <w:spacing w:before="0" w:after="260" w:line="273" w:lineRule="exact"/>
        <w:ind w:left="0" w:right="0" w:firstLine="440"/>
        <w:jc w:val="left"/>
      </w:pPr>
      <w:r>
        <w:rPr>
          <w:color w:val="000000"/>
          <w:spacing w:val="0"/>
          <w:w w:val="100"/>
          <w:position w:val="0"/>
        </w:rPr>
        <w:t>同时满足下列条件的递延所得税资产和递延所得税负债以抵销后的净额列示：</w:t>
      </w:r>
    </w:p>
    <w:p>
      <w:pPr>
        <w:pStyle w:val="Style2"/>
        <w:keepNext w:val="0"/>
        <w:keepLines w:val="0"/>
        <w:widowControl w:val="0"/>
        <w:shd w:val="clear" w:color="auto" w:fill="auto"/>
        <w:bidi w:val="0"/>
        <w:spacing w:before="0" w:after="0" w:line="269" w:lineRule="exact"/>
        <w:ind w:left="0" w:right="0" w:firstLine="440"/>
        <w:jc w:val="both"/>
      </w:pPr>
      <w:r>
        <w:rPr>
          <w:color w:val="000000"/>
          <w:spacing w:val="0"/>
          <w:w w:val="100"/>
          <w:position w:val="0"/>
        </w:rPr>
        <w:t>•递延所得税资产和递延所得税负债与同一税收征管部门对本集团内同一纳税主体征收的所 得税相关；</w:t>
      </w:r>
    </w:p>
    <w:p>
      <w:pPr>
        <w:pStyle w:val="Style2"/>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w:t>
      </w:r>
      <w:r>
        <w:rPr>
          <w:color w:val="000000"/>
          <w:spacing w:val="0"/>
          <w:w w:val="100"/>
          <w:position w:val="0"/>
        </w:rPr>
        <w:t>本集团内该纳税主体拥有以净额结算当期所得税资产及当期所得税负债的法定权利。</w:t>
      </w:r>
    </w:p>
    <w:p>
      <w:pPr>
        <w:pStyle w:val="Style35"/>
        <w:keepNext/>
        <w:keepLines/>
        <w:widowControl w:val="0"/>
        <w:numPr>
          <w:ilvl w:val="0"/>
          <w:numId w:val="83"/>
        </w:numPr>
        <w:shd w:val="clear" w:color="auto" w:fill="auto"/>
        <w:tabs>
          <w:tab w:pos="445" w:val="left"/>
        </w:tabs>
        <w:bidi w:val="0"/>
        <w:spacing w:before="0" w:after="60" w:line="273" w:lineRule="exact"/>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租赁</w:t>
      </w:r>
      <w:bookmarkEnd w:id="1082"/>
      <w:bookmarkEnd w:id="1083"/>
      <w:bookmarkEnd w:id="1085"/>
    </w:p>
    <w:p>
      <w:pPr>
        <w:pStyle w:val="Style35"/>
        <w:keepNext/>
        <w:keepLines/>
        <w:widowControl w:val="0"/>
        <w:numPr>
          <w:ilvl w:val="0"/>
          <w:numId w:val="97"/>
        </w:numPr>
        <w:shd w:val="clear" w:color="auto" w:fill="auto"/>
        <w:tabs>
          <w:tab w:pos="430" w:val="left"/>
        </w:tabs>
        <w:bidi w:val="0"/>
        <w:spacing w:before="0" w:after="100" w:line="273" w:lineRule="exact"/>
        <w:ind w:left="0" w:right="0" w:firstLine="0"/>
        <w:jc w:val="left"/>
      </w:pPr>
      <w:bookmarkStart w:id="1082" w:name="bookmark1082"/>
      <w:bookmarkStart w:id="1083" w:name="bookmark1083"/>
      <w:bookmarkStart w:id="1086" w:name="bookmark1086"/>
      <w:bookmarkStart w:id="1087" w:name="bookmark1087"/>
      <w:bookmarkEnd w:id="1086"/>
      <w:r>
        <w:rPr>
          <w:color w:val="000000"/>
          <w:spacing w:val="0"/>
          <w:w w:val="100"/>
          <w:position w:val="0"/>
        </w:rPr>
        <w:t>.</w:t>
      </w:r>
      <w:r>
        <w:rPr>
          <w:color w:val="000000"/>
          <w:spacing w:val="0"/>
          <w:w w:val="100"/>
          <w:position w:val="0"/>
        </w:rPr>
        <w:t>经营租赁的会计处理方法</w:t>
      </w:r>
      <w:bookmarkEnd w:id="1082"/>
      <w:bookmarkEnd w:id="1083"/>
      <w:bookmarkEnd w:id="1087"/>
    </w:p>
    <w:p>
      <w:pPr>
        <w:pStyle w:val="Style2"/>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8" w:lineRule="exact"/>
        <w:ind w:left="0" w:right="0" w:firstLine="440"/>
        <w:jc w:val="both"/>
      </w:pPr>
      <w:r>
        <w:rPr>
          <w:color w:val="000000"/>
          <w:spacing w:val="0"/>
          <w:w w:val="100"/>
          <w:position w:val="0"/>
        </w:rPr>
        <w:t>实质上转移了与资产所有权有关的全部风险和报酬的租赁为融资租赁。其他的租赁为经营租 赁。</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经营租赁的租金支出在租赁期内按照直线法计入相关资产成本或当期损益。经营租赁的租金 收入在租赁期内按直线法确认。</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对于由新冠肺炎疫情直接引发且仅针对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日之前的租金减免，本集团选择采用 简化方法，在减免期间将减免金额计入当期损益。</w:t>
      </w:r>
    </w:p>
    <w:p>
      <w:pPr>
        <w:pStyle w:val="Style35"/>
        <w:keepNext/>
        <w:keepLines/>
        <w:widowControl w:val="0"/>
        <w:numPr>
          <w:ilvl w:val="0"/>
          <w:numId w:val="97"/>
        </w:numPr>
        <w:shd w:val="clear" w:color="auto" w:fill="auto"/>
        <w:tabs>
          <w:tab w:pos="430" w:val="left"/>
        </w:tabs>
        <w:bidi w:val="0"/>
        <w:spacing w:before="0" w:after="60" w:line="273" w:lineRule="exact"/>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w:t>
      </w:r>
      <w:r>
        <w:rPr>
          <w:color w:val="000000"/>
          <w:spacing w:val="0"/>
          <w:w w:val="100"/>
          <w:position w:val="0"/>
        </w:rPr>
        <w:t>融资租赁的会计处理方法</w:t>
      </w:r>
      <w:bookmarkEnd w:id="1088"/>
      <w:bookmarkEnd w:id="1089"/>
      <w:bookmarkEnd w:id="1091"/>
    </w:p>
    <w:p>
      <w:pPr>
        <w:pStyle w:val="Style2"/>
        <w:keepNext w:val="0"/>
        <w:keepLines w:val="0"/>
        <w:widowControl w:val="0"/>
        <w:shd w:val="clear" w:color="auto" w:fill="auto"/>
        <w:bidi w:val="0"/>
        <w:spacing w:before="0" w:after="260" w:line="27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97"/>
        </w:numPr>
        <w:shd w:val="clear" w:color="auto" w:fill="auto"/>
        <w:bidi w:val="0"/>
        <w:spacing w:before="0" w:after="60" w:line="274" w:lineRule="exact"/>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w:t>
      </w:r>
      <w:r>
        <w:rPr>
          <w:color w:val="000000"/>
          <w:spacing w:val="0"/>
          <w:w w:val="100"/>
          <w:position w:val="0"/>
        </w:rPr>
        <w:t>新租赁准则下租赁的确定方法及会计处理方法</w:t>
      </w:r>
      <w:bookmarkEnd w:id="1092"/>
      <w:bookmarkEnd w:id="1093"/>
      <w:bookmarkEnd w:id="1095"/>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3"/>
        </w:numPr>
        <w:shd w:val="clear" w:color="auto" w:fill="auto"/>
        <w:bidi w:val="0"/>
        <w:spacing w:before="0" w:after="120" w:line="274" w:lineRule="exact"/>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其他重要的会计政策和会计估计</w:t>
      </w:r>
      <w:bookmarkEnd w:id="1096"/>
      <w:bookmarkEnd w:id="1097"/>
      <w:bookmarkEnd w:id="1099"/>
    </w:p>
    <w:p>
      <w:pPr>
        <w:pStyle w:val="Style2"/>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80" w:line="278" w:lineRule="exact"/>
        <w:ind w:left="0" w:right="0" w:firstLine="440"/>
        <w:jc w:val="both"/>
      </w:pPr>
      <w:r>
        <w:rPr>
          <w:color w:val="000000"/>
          <w:spacing w:val="0"/>
          <w:w w:val="100"/>
          <w:position w:val="0"/>
        </w:rPr>
        <w:t>本集团根据历史经验和其他因素，包括对未来事项的合理预期，对所采用的重要会计估计和 关键判断进行持续的评价。</w:t>
      </w:r>
    </w:p>
    <w:p>
      <w:pPr>
        <w:pStyle w:val="Style35"/>
        <w:keepNext/>
        <w:keepLines/>
        <w:widowControl w:val="0"/>
        <w:numPr>
          <w:ilvl w:val="0"/>
          <w:numId w:val="99"/>
        </w:numPr>
        <w:shd w:val="clear" w:color="auto" w:fill="auto"/>
        <w:bidi w:val="0"/>
        <w:spacing w:before="0" w:after="280" w:line="274" w:lineRule="exact"/>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重要会计估计及其关键假设</w:t>
      </w:r>
      <w:bookmarkEnd w:id="1100"/>
      <w:bookmarkEnd w:id="1101"/>
      <w:bookmarkEnd w:id="1103"/>
    </w:p>
    <w:p>
      <w:pPr>
        <w:pStyle w:val="Style2"/>
        <w:keepNext w:val="0"/>
        <w:keepLines w:val="0"/>
        <w:widowControl w:val="0"/>
        <w:shd w:val="clear" w:color="auto" w:fill="auto"/>
        <w:bidi w:val="0"/>
        <w:spacing w:before="0" w:after="280" w:line="269" w:lineRule="exact"/>
        <w:ind w:left="0" w:right="0" w:firstLine="440"/>
        <w:jc w:val="both"/>
      </w:pPr>
      <w:r>
        <w:rPr>
          <w:color w:val="000000"/>
          <w:spacing w:val="0"/>
          <w:w w:val="100"/>
          <w:position w:val="0"/>
        </w:rPr>
        <w:t>下列重要会计估计及关键假设存在会导致下一会计年度资产和负债的账面价值出现重大调整 的重要风险：</w:t>
      </w:r>
    </w:p>
    <w:p>
      <w:pPr>
        <w:pStyle w:val="Style2"/>
        <w:keepNext w:val="0"/>
        <w:keepLines w:val="0"/>
        <w:widowControl w:val="0"/>
        <w:shd w:val="clear" w:color="auto" w:fill="auto"/>
        <w:bidi w:val="0"/>
        <w:spacing w:before="0" w:after="200" w:line="286" w:lineRule="auto"/>
        <w:ind w:left="0" w:right="0" w:firstLine="44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)开发支出</w:t>
      </w:r>
    </w:p>
    <w:p>
      <w:pPr>
        <w:pStyle w:val="Style2"/>
        <w:keepNext w:val="0"/>
        <w:keepLines w:val="0"/>
        <w:widowControl w:val="0"/>
        <w:shd w:val="clear" w:color="auto" w:fill="auto"/>
        <w:bidi w:val="0"/>
        <w:spacing w:before="0" w:after="280" w:line="276" w:lineRule="exact"/>
        <w:ind w:left="0" w:right="0" w:firstLine="440"/>
        <w:jc w:val="left"/>
      </w:pPr>
      <w:r>
        <w:rPr>
          <w:color w:val="000000"/>
          <w:spacing w:val="0"/>
          <w:w w:val="100"/>
          <w:position w:val="0"/>
        </w:rPr>
        <w:t>本集团在大规模生产之前，针对生产工艺最终应用的相关设计、测试阶段的支出为开发阶段 的支出，同时满足条件的，予以资本化。不满足条件的开发阶段的支出，于发生时计入当期损 益。以前期间已计入损益的开发支出不在以后期间重新确认为资产。</w:t>
      </w:r>
    </w:p>
    <w:p>
      <w:pPr>
        <w:pStyle w:val="Style2"/>
        <w:keepNext w:val="0"/>
        <w:keepLines w:val="0"/>
        <w:widowControl w:val="0"/>
        <w:numPr>
          <w:ilvl w:val="0"/>
          <w:numId w:val="101"/>
        </w:numPr>
        <w:shd w:val="clear" w:color="auto" w:fill="auto"/>
        <w:tabs>
          <w:tab w:pos="843" w:val="left"/>
        </w:tabs>
        <w:bidi w:val="0"/>
        <w:spacing w:before="0" w:after="200" w:line="286" w:lineRule="auto"/>
        <w:ind w:left="0" w:right="0" w:firstLine="440"/>
        <w:jc w:val="left"/>
      </w:pPr>
      <w:bookmarkStart w:id="1104" w:name="bookmark1104"/>
      <w:bookmarkEnd w:id="1104"/>
      <w:r>
        <w:rPr>
          <w:color w:val="000000"/>
          <w:spacing w:val="0"/>
          <w:w w:val="100"/>
          <w:position w:val="0"/>
        </w:rPr>
        <w:t>预期信用损失的计量</w:t>
      </w:r>
    </w:p>
    <w:p>
      <w:pPr>
        <w:pStyle w:val="Style2"/>
        <w:keepNext w:val="0"/>
        <w:keepLines w:val="0"/>
        <w:widowControl w:val="0"/>
        <w:shd w:val="clear" w:color="auto" w:fill="auto"/>
        <w:bidi w:val="0"/>
        <w:spacing w:before="0" w:after="200" w:line="276" w:lineRule="exact"/>
        <w:ind w:left="0" w:right="0" w:firstLine="440"/>
        <w:jc w:val="left"/>
      </w:pPr>
      <w:r>
        <w:rPr>
          <w:color w:val="000000"/>
          <w:spacing w:val="0"/>
          <w:w w:val="100"/>
          <w:position w:val="0"/>
        </w:rPr>
        <w:t>本集团通过违约风险敞口和预期信用损失率计算预期信用损失，并基于违约概率和违约损失 率确定预期信用损失率。在确定预期信用损失率时，本集团使用内部历史信用损失经验等数据， 并结合当前状况和前瞻性信息对历史数据进行调整。</w:t>
      </w:r>
    </w:p>
    <w:p>
      <w:pPr>
        <w:pStyle w:val="Style2"/>
        <w:keepNext w:val="0"/>
        <w:keepLines w:val="0"/>
        <w:widowControl w:val="0"/>
        <w:shd w:val="clear" w:color="auto" w:fill="auto"/>
        <w:bidi w:val="0"/>
        <w:spacing w:before="0" w:after="280" w:line="271" w:lineRule="exact"/>
        <w:ind w:left="0" w:right="0" w:firstLine="440"/>
        <w:jc w:val="left"/>
      </w:pPr>
      <w:r>
        <w:rPr>
          <w:color w:val="000000"/>
          <w:spacing w:val="0"/>
          <w:w w:val="100"/>
          <w:position w:val="0"/>
        </w:rPr>
        <w:t xml:space="preserve">在考虑前瞻性信息时，本集团考虑了不同的宏观经济情景用于估计预期信用损失的重要宏观 经济假设包括经济下滑的风险、外部市场环境、技术环境、客户情况的变化、国内生产总值和消 费者物价指数等。本集团定期监控并复核与预期信用损失计算相关的重要宏观经济假设和参数。 </w:t>
      </w:r>
      <w:r>
        <w:rPr>
          <w:rFonts w:ascii="Times New Roman" w:eastAsia="Times New Roman" w:hAnsi="Times New Roman" w:cs="Times New Roman"/>
          <w:color w:val="000000"/>
          <w:spacing w:val="0"/>
          <w:w w:val="100"/>
          <w:position w:val="0"/>
        </w:rPr>
        <w:t>2020</w:t>
      </w:r>
      <w:r>
        <w:rPr>
          <w:color w:val="000000"/>
          <w:spacing w:val="0"/>
          <w:w w:val="100"/>
          <w:position w:val="0"/>
        </w:rPr>
        <w:t>年度，本集团为及时反映新冠疫情对金融工根据预期信用损失的影响，对预期信用损失模 型中的前瞻性参数进行了更新。</w:t>
      </w:r>
    </w:p>
    <w:p>
      <w:pPr>
        <w:pStyle w:val="Style2"/>
        <w:keepNext w:val="0"/>
        <w:keepLines w:val="0"/>
        <w:widowControl w:val="0"/>
        <w:numPr>
          <w:ilvl w:val="0"/>
          <w:numId w:val="101"/>
        </w:numPr>
        <w:shd w:val="clear" w:color="auto" w:fill="auto"/>
        <w:tabs>
          <w:tab w:pos="843" w:val="left"/>
        </w:tabs>
        <w:bidi w:val="0"/>
        <w:spacing w:before="0" w:after="200" w:line="286" w:lineRule="auto"/>
        <w:ind w:left="0" w:right="0" w:firstLine="440"/>
        <w:jc w:val="left"/>
      </w:pPr>
      <w:bookmarkStart w:id="1105" w:name="bookmark1105"/>
      <w:bookmarkEnd w:id="1105"/>
      <w:r>
        <w:rPr>
          <w:color w:val="000000"/>
          <w:spacing w:val="0"/>
          <w:w w:val="100"/>
          <w:position w:val="0"/>
        </w:rPr>
        <w:t>存货的跌价准备</w:t>
      </w:r>
    </w:p>
    <w:p>
      <w:pPr>
        <w:pStyle w:val="Style2"/>
        <w:keepNext w:val="0"/>
        <w:keepLines w:val="0"/>
        <w:widowControl w:val="0"/>
        <w:shd w:val="clear" w:color="auto" w:fill="auto"/>
        <w:bidi w:val="0"/>
        <w:spacing w:before="0" w:after="280" w:line="269" w:lineRule="exact"/>
        <w:ind w:left="0" w:right="0" w:firstLine="440"/>
        <w:jc w:val="left"/>
      </w:pPr>
      <w:r>
        <w:rPr>
          <w:color w:val="000000"/>
          <w:spacing w:val="0"/>
          <w:w w:val="100"/>
          <w:position w:val="0"/>
        </w:rPr>
        <w:t>存货的可变现净值是根据市场售价扣减相应的销售费用以及相关税费进行估计的。这些估计 是基于当时市况和产品销售的历史经验，可能由于市场环境变化而发生重大变更。管理层定期对 此进行重新估计并相应进行调整。</w:t>
      </w:r>
    </w:p>
    <w:p>
      <w:pPr>
        <w:pStyle w:val="Style2"/>
        <w:keepNext w:val="0"/>
        <w:keepLines w:val="0"/>
        <w:widowControl w:val="0"/>
        <w:numPr>
          <w:ilvl w:val="0"/>
          <w:numId w:val="101"/>
        </w:numPr>
        <w:shd w:val="clear" w:color="auto" w:fill="auto"/>
        <w:tabs>
          <w:tab w:pos="843" w:val="left"/>
        </w:tabs>
        <w:bidi w:val="0"/>
        <w:spacing w:before="0" w:after="200" w:line="286" w:lineRule="auto"/>
        <w:ind w:left="0" w:right="0" w:firstLine="440"/>
        <w:jc w:val="left"/>
      </w:pPr>
      <w:bookmarkStart w:id="1106" w:name="bookmark1106"/>
      <w:bookmarkEnd w:id="1106"/>
      <w:r>
        <w:rPr>
          <w:color w:val="000000"/>
          <w:spacing w:val="0"/>
          <w:w w:val="100"/>
          <w:position w:val="0"/>
        </w:rPr>
        <w:t>所得税和递延所得税</w:t>
      </w:r>
    </w:p>
    <w:p>
      <w:pPr>
        <w:pStyle w:val="Style2"/>
        <w:keepNext w:val="0"/>
        <w:keepLines w:val="0"/>
        <w:widowControl w:val="0"/>
        <w:shd w:val="clear" w:color="auto" w:fill="auto"/>
        <w:bidi w:val="0"/>
        <w:spacing w:before="0" w:after="200" w:line="274" w:lineRule="exact"/>
        <w:ind w:left="0" w:right="0" w:firstLine="440"/>
        <w:jc w:val="left"/>
      </w:pPr>
      <w:r>
        <w:rPr>
          <w:color w:val="000000"/>
          <w:spacing w:val="0"/>
          <w:w w:val="100"/>
          <w:position w:val="0"/>
        </w:rPr>
        <w:t>本集团在多个地区缴纳企业所得税。在正常的经营活动中，部分交易和事项的最终税务处理 存在不确定性。在计提各个地区的所得税费用时，本集团需要作出重大判断。如果这些税务事项 的最终认定结果与最初入账的金额存在差异，该差异将对作出上述最终认定期间的所得税费用和 递延所得税的金额产生影响。</w:t>
      </w:r>
    </w:p>
    <w:p>
      <w:pPr>
        <w:pStyle w:val="Style2"/>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如第十一节财务报告六、</w:t>
      </w:r>
      <w:r>
        <w:rPr>
          <w:rFonts w:ascii="Times New Roman" w:eastAsia="Times New Roman" w:hAnsi="Times New Roman" w:cs="Times New Roman"/>
          <w:color w:val="000000"/>
          <w:spacing w:val="0"/>
          <w:w w:val="100"/>
          <w:position w:val="0"/>
        </w:rPr>
        <w:t>2</w:t>
      </w:r>
      <w:r>
        <w:rPr>
          <w:color w:val="000000"/>
          <w:spacing w:val="0"/>
          <w:w w:val="100"/>
          <w:position w:val="0"/>
        </w:rPr>
        <w:t>所述，本公司为高新技术企业。高新技术企业资质的有效期为三 年，到期后需向相关政府部门重新提交高新技术企业认定申请。根据以往年度高新技术企业到期 后重新认定的历史经验以及本公司的实际情况，本集团认为本公司于未来年度能够持续取得高新 技术企业认定，进而按照</w:t>
      </w:r>
      <w:r>
        <w:rPr>
          <w:rFonts w:ascii="Times New Roman" w:eastAsia="Times New Roman" w:hAnsi="Times New Roman" w:cs="Times New Roman"/>
          <w:color w:val="000000"/>
          <w:spacing w:val="0"/>
          <w:w w:val="100"/>
          <w:position w:val="0"/>
        </w:rPr>
        <w:t>15%</w:t>
      </w:r>
      <w:r>
        <w:rPr>
          <w:color w:val="000000"/>
          <w:spacing w:val="0"/>
          <w:w w:val="100"/>
          <w:position w:val="0"/>
        </w:rPr>
        <w:t>的优惠税率计算其相应的递延所得税。倘若未来本公司于高新技 术企业资质到期后未能取得重新认定，则需按照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的法定税率计算所得税，进而将影响已确 认的递延所得税资产、递延所得税负债及所得税费用。</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对于能够结转以后年度的可抵扣亏损，本集团以未来期间很可能获得用来抵扣可抵扣亏损的 应纳税所得额为限，确认相应的递延所得税资产。未来期间取得的应纳税所得额包括本集团通过 正常的生产经营活动能够实现的应纳税所得额，以及以前期间产生的应纳税暂时性差异在未来期 间转回时将增加的应纳税所得额。本集团在确定未来期间应纳税所得额取得的时间和金额时，需 要运用估计和判断。如果实际情况与估计存在差异，可能导致对递延所得税资产的账面价值进行 调整。</w:t>
      </w:r>
    </w:p>
    <w:p>
      <w:pPr>
        <w:pStyle w:val="Style35"/>
        <w:keepNext/>
        <w:keepLines/>
        <w:widowControl w:val="0"/>
        <w:numPr>
          <w:ilvl w:val="0"/>
          <w:numId w:val="99"/>
        </w:numPr>
        <w:shd w:val="clear" w:color="auto" w:fill="auto"/>
        <w:bidi w:val="0"/>
        <w:spacing w:before="0" w:after="320" w:line="271" w:lineRule="exact"/>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采用会计政策的关键判断</w:t>
      </w:r>
      <w:bookmarkEnd w:id="1107"/>
      <w:bookmarkEnd w:id="1108"/>
      <w:bookmarkEnd w:id="1110"/>
    </w:p>
    <w:p>
      <w:pPr>
        <w:pStyle w:val="Style2"/>
        <w:keepNext w:val="0"/>
        <w:keepLines w:val="0"/>
        <w:widowControl w:val="0"/>
        <w:shd w:val="clear" w:color="auto" w:fill="auto"/>
        <w:bidi w:val="0"/>
        <w:spacing w:before="0" w:after="220" w:line="283" w:lineRule="auto"/>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金融资产的分类</w:t>
      </w:r>
    </w:p>
    <w:p>
      <w:pPr>
        <w:pStyle w:val="Style2"/>
        <w:keepNext w:val="0"/>
        <w:keepLines w:val="0"/>
        <w:widowControl w:val="0"/>
        <w:shd w:val="clear" w:color="auto" w:fill="auto"/>
        <w:bidi w:val="0"/>
        <w:spacing w:before="0" w:after="540" w:line="271" w:lineRule="exact"/>
        <w:ind w:left="0" w:right="0" w:firstLine="440"/>
        <w:jc w:val="both"/>
      </w:pPr>
      <w:r>
        <w:rPr>
          <w:color w:val="000000"/>
          <w:spacing w:val="0"/>
          <w:w w:val="100"/>
          <w:position w:val="0"/>
        </w:rPr>
        <w:t>本集团在确定金融资产的分类时涉及的重大判断包括业务模式及合同现金流量特征的分析</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本集团在金融资产组合的层次上确定管理金融资产的业务模式，考虑的因素包括评价和向关 键管理人员报告金融资产业绩的方式、影响金融资产业绩的风险及其管理方式、以及相关业务管 理人员获得报酬的方式等。</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本集团在评估金融资产的合同现金流量是否与基本借贷安排相一致时，存在以下主要判断： 本金是否可能因提前还款等原因导致在存续期内的时间分布或者金额发生变动；利息是否仅包括 货币时间价值、信用风险、其他基本借贷风险以及与成本和利润的对价。例如，提前偿付的金额 是否仅反映了尚未支付的本金及以未偿付本金为基础的利息，以及因提前终止合同而支付的合理 补偿。</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重要会计政策变更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3542"/>
        <w:gridCol w:w="2318"/>
        <w:gridCol w:w="297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21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 《企业会计准则第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p>
          <w:p>
            <w:pPr>
              <w:pStyle w:val="Style25"/>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 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2020</w:t>
            </w:r>
            <w:r>
              <w:rPr>
                <w:color w:val="000000"/>
                <w:spacing w:val="0"/>
                <w:w w:val="100"/>
                <w:position w:val="0"/>
              </w:rPr>
              <w:t>年颁布了《关于印 发</w:t>
            </w:r>
            <w:r>
              <w:rPr>
                <w:color w:val="000000"/>
                <w:spacing w:val="0"/>
                <w:w w:val="100"/>
                <w:position w:val="0"/>
              </w:rPr>
              <w:t>〈</w:t>
            </w:r>
            <w:r>
              <w:rPr>
                <w:color w:val="000000"/>
                <w:spacing w:val="0"/>
                <w:w w:val="100"/>
                <w:position w:val="0"/>
              </w:rPr>
              <w:t>新冠肺炎疫情相关租金减让会计 处理规定</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[2020]10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及《企业会计准则实施问答》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日发布</w:t>
            </w:r>
            <w:r>
              <w:rPr>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7" w:lineRule="exact"/>
              <w:ind w:left="0" w:right="0" w:firstLine="0"/>
              <w:jc w:val="left"/>
            </w:pPr>
            <w:r>
              <w:rPr>
                <w:color w:val="000000"/>
                <w:spacing w:val="0"/>
                <w:w w:val="100"/>
                <w:position w:val="0"/>
              </w:rPr>
              <w:t>参见第十一节财务报告五、</w:t>
            </w:r>
            <w:r>
              <w:rPr>
                <w:rFonts w:ascii="Times New Roman" w:eastAsia="Times New Roman" w:hAnsi="Times New Roman" w:cs="Times New Roman"/>
                <w:color w:val="000000"/>
                <w:spacing w:val="0"/>
                <w:w w:val="100"/>
                <w:position w:val="0"/>
              </w:rPr>
              <w:t xml:space="preserve">44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)首次执行新收入准则调 整首次执行当年年初财务报表 相关项目情况。</w:t>
            </w:r>
          </w:p>
        </w:tc>
      </w:tr>
    </w:tbl>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259" w:line="1" w:lineRule="exact"/>
      </w:pPr>
    </w:p>
    <w:p>
      <w:pPr>
        <w:pStyle w:val="Style35"/>
        <w:keepNext/>
        <w:keepLines/>
        <w:widowControl w:val="0"/>
        <w:numPr>
          <w:ilvl w:val="0"/>
          <w:numId w:val="89"/>
        </w:numPr>
        <w:shd w:val="clear" w:color="auto" w:fill="auto"/>
        <w:tabs>
          <w:tab w:pos="405" w:val="left"/>
        </w:tabs>
        <w:bidi w:val="0"/>
        <w:spacing w:before="0" w:after="40" w:line="278" w:lineRule="exact"/>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w:t>
      </w:r>
      <w:r>
        <w:rPr>
          <w:color w:val="000000"/>
          <w:spacing w:val="0"/>
          <w:w w:val="100"/>
          <w:position w:val="0"/>
        </w:rPr>
        <w:t>重要会计估计变更</w:t>
      </w:r>
      <w:bookmarkEnd w:id="1111"/>
      <w:bookmarkEnd w:id="1112"/>
      <w:bookmarkEnd w:id="1114"/>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89"/>
        </w:numPr>
        <w:shd w:val="clear" w:color="auto" w:fill="auto"/>
        <w:tabs>
          <w:tab w:pos="405" w:val="left"/>
        </w:tabs>
        <w:bidi w:val="0"/>
        <w:spacing w:before="0" w:after="40" w:line="278"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115"/>
      <w:bookmarkEnd w:id="1116"/>
      <w:bookmarkEnd w:id="1118"/>
    </w:p>
    <w:p>
      <w:pPr>
        <w:pStyle w:val="Style2"/>
        <w:keepNext w:val="0"/>
        <w:keepLines w:val="0"/>
        <w:widowControl w:val="0"/>
        <w:shd w:val="clear" w:color="auto" w:fill="auto"/>
        <w:bidi w:val="0"/>
        <w:spacing w:before="0" w:after="40" w:line="278" w:lineRule="exact"/>
        <w:ind w:left="3700" w:right="0" w:hanging="370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合并资产负债表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944,808,769.63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944,808,769.63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1,367,735,787.66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1,367,735,787.66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79,202,578.94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79,202,578.94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287,227,747.19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287,227,747.19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19,141,104.17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19,141,104.17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5,890,325.08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5,890,325.08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1,874,350.10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1,874,350.10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1,087,971,705.59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1,087,971,705.59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54,312,682.07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54,312,682.07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3,846,290,700.33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3,846,290,700.33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31,251,192.58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31,251,192.58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168,929,494.97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168,929,494.97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7,860,909.07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7,860,909.07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154,798,804.99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154,798,804.99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7,567,294.96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7,567,294.96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295,758,028.50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295,758,028.50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231,603,182.86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231,603,182.86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8,308,821.56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8,308,821.56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21,685,874.22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21,685,874.22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927,763,603.71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927,763,603.71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4,774,054,304.04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4,774,054,304.04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221,679,872.59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221,679,872.59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517,498,868.04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-517,498,868.04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517,498,868.04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517,498,868.04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86,079,601.37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86,079,601.37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6,010,415.65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6,010,415.65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24,836,762.97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24,836,762.97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39,990,773.90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39,990,773.90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896,096,294.52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896,096,294.52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37,908,758.39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37,908,758.39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88,836,145.60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88,836,145.60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126,744,903.99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126,744,903.99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1,022,841,198.51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1,022,841,198.51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534,862,237.00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534,862,237.00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3,688,892,805.25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3,688,892,805.25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-17,322,422.32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-17,322,422.32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26,767,419.64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26,767,419.64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-482,123,079.33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-482,123,079.33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3,751,076,960.24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3,751,076,960.24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136,145.29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136,145.29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3,751,213,105.53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3,751,213,105.53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4,774,054,304.04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4,774,054,304.04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公司本次调整主要是按照新收入准则的规定，将“预收账款”调整为“合同负债”。具体影响科 目及金额见上述调整报表。</w:t>
      </w:r>
    </w:p>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227"/>
        <w:gridCol w:w="1843"/>
        <w:gridCol w:w="175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675,618,057.40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675,618,057.40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1,267,234,897.26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1,267,234,897.26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490,008,130.78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490,008,130.78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13,343,988.03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13,343,988.03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37,178,954.32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37,178,954.32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1,858,454.66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1,858,454.66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918,281,645.26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918,281,645.26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1,429,237.02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1,429,237.02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3,403,094,910.07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3,403,094,910.07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4,500,187.13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4,500,187.13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295,612,262.07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295,612,262.07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147,768,534.91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147,768,534.91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7,567,294.96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7,567,294.96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295,376,798.00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295,376,798.00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231,603,182.86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231,603,182.86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982,428,259.93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982,428,259.93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4,385,523,170.00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4,385,523,170.00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204,357,346.10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204,357,346.10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79,099,502.48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-79,099,502.48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79,099,502.48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79,099,502.48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61,145,655.97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61,145,655.97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3,527,203.43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3,527,203.43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81,771,807.98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81,771,807.98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30,846,627.23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30,846,627.23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460,748,143.19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460,748,143.19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8,469,206.03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8,469,206.03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88,836,145.60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88,836,145.60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97,305,351.63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97,305,351.63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558,053,494.82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558,053,494.82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534,862,237.00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534,862,237.00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3,014,664,758.86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3,014,664,758.86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26,767,419.64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26,767,419.64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251,175,259.68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251,175,259.68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3,827,469,675.18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3,827,469,675.18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4,385,523,170.00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4,385,523,170.00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公司本次调整主要是按照新收入准则的规定，将“预收账款”调整为“合同负债”。具体影响科 目及金额见上述调整报表。</w:t>
      </w:r>
    </w:p>
    <w:p>
      <w:pPr>
        <w:pStyle w:val="Style2"/>
        <w:keepNext w:val="0"/>
        <w:keepLines w:val="0"/>
        <w:widowControl w:val="0"/>
        <w:shd w:val="clear" w:color="auto" w:fill="auto"/>
        <w:bidi w:val="0"/>
        <w:spacing w:before="0" w:after="40" w:line="274" w:lineRule="exact"/>
        <w:ind w:left="0" w:right="0" w:firstLine="0"/>
        <w:jc w:val="left"/>
      </w:pPr>
      <w:bookmarkStart w:id="1119" w:name="bookmark1119"/>
      <w:r>
        <w:rPr>
          <w:b/>
          <w:bCs/>
          <w:color w:val="000000"/>
          <w:spacing w:val="0"/>
          <w:w w:val="100"/>
          <w:position w:val="0"/>
        </w:rPr>
        <w:t>（</w:t>
      </w:r>
      <w:bookmarkEnd w:id="1119"/>
      <w:r>
        <w:rPr>
          <w:b/>
          <w:bCs/>
          <w:color w:val="000000"/>
          <w:spacing w:val="0"/>
          <w:w w:val="100"/>
          <w:position w:val="0"/>
        </w:rPr>
        <w:t>4）.</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年起首次执行新收入准则、新租赁准则追溯调整前期比较数据的说明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4" w:lineRule="exact"/>
        <w:ind w:left="0" w:right="0" w:firstLine="0"/>
        <w:jc w:val="left"/>
      </w:pPr>
      <w:bookmarkStart w:id="1120" w:name="bookmark1120"/>
      <w:bookmarkStart w:id="1121" w:name="bookmark1121"/>
      <w:bookmarkStart w:id="1122" w:name="bookmark1122"/>
      <w:r>
        <w:rPr>
          <w:color w:val="000000"/>
          <w:spacing w:val="0"/>
          <w:w w:val="100"/>
          <w:position w:val="0"/>
        </w:rPr>
        <w:t>45.</w:t>
      </w:r>
      <w:r>
        <w:rPr>
          <w:color w:val="000000"/>
          <w:spacing w:val="0"/>
          <w:w w:val="100"/>
          <w:position w:val="0"/>
        </w:rPr>
        <w:t>其他</w:t>
      </w:r>
      <w:bookmarkEnd w:id="1120"/>
      <w:bookmarkEnd w:id="1121"/>
      <w:bookmarkEnd w:id="1122"/>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4" w:lineRule="exact"/>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六</w:t>
      </w:r>
      <w:bookmarkEnd w:id="1125"/>
      <w:r>
        <w:rPr>
          <w:color w:val="000000"/>
          <w:spacing w:val="0"/>
          <w:w w:val="100"/>
          <w:position w:val="0"/>
        </w:rPr>
        <w:t>、税项</w:t>
      </w:r>
      <w:bookmarkEnd w:id="1123"/>
      <w:bookmarkEnd w:id="1124"/>
      <w:bookmarkEnd w:id="1126"/>
    </w:p>
    <w:p>
      <w:pPr>
        <w:pStyle w:val="Style35"/>
        <w:keepNext/>
        <w:keepLines/>
        <w:widowControl w:val="0"/>
        <w:numPr>
          <w:ilvl w:val="0"/>
          <w:numId w:val="103"/>
        </w:numPr>
        <w:shd w:val="clear" w:color="auto" w:fill="auto"/>
        <w:bidi w:val="0"/>
        <w:spacing w:before="0" w:after="40" w:line="274" w:lineRule="exact"/>
        <w:ind w:left="0" w:right="0" w:firstLine="0"/>
        <w:jc w:val="left"/>
      </w:pPr>
      <w:bookmarkStart w:id="1123" w:name="bookmark1123"/>
      <w:bookmarkStart w:id="1124" w:name="bookmark1124"/>
      <w:bookmarkStart w:id="1127" w:name="bookmark1127"/>
      <w:bookmarkStart w:id="1128" w:name="bookmark1128"/>
      <w:bookmarkEnd w:id="1127"/>
      <w:r>
        <w:rPr>
          <w:color w:val="000000"/>
          <w:spacing w:val="0"/>
          <w:w w:val="100"/>
          <w:position w:val="0"/>
        </w:rPr>
        <w:t>主要税种及税率</w:t>
      </w:r>
      <w:bookmarkEnd w:id="1123"/>
      <w:bookmarkEnd w:id="1124"/>
      <w:bookmarkEnd w:id="112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17"/>
        <w:gridCol w:w="3067"/>
        <w:gridCol w:w="3053"/>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4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应纳税增值额</w:t>
            </w:r>
            <w:r>
              <w:rPr>
                <w:rFonts w:ascii="Times New Roman" w:eastAsia="Times New Roman" w:hAnsi="Times New Roman" w:cs="Times New Roman"/>
                <w:color w:val="000000"/>
                <w:spacing w:val="0"/>
                <w:w w:val="100"/>
                <w:position w:val="0"/>
              </w:rPr>
              <w:t>（</w:t>
            </w:r>
            <w:r>
              <w:rPr>
                <w:color w:val="000000"/>
                <w:spacing w:val="0"/>
                <w:w w:val="100"/>
                <w:position w:val="0"/>
              </w:rPr>
              <w:t>应纳税额按应纳 税销售额乘以适用税率扣除当 期允许抵扣的进项税后的余额 计算</w:t>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 xml:space="preserve">13% </w:t>
            </w:r>
            <w:r>
              <w:rPr>
                <w:color w:val="000000"/>
                <w:spacing w:val="0"/>
                <w:w w:val="100"/>
                <w:position w:val="0"/>
              </w:rPr>
              <w:t xml:space="preserve">及 </w:t>
            </w:r>
            <w:r>
              <w:rPr>
                <w:rFonts w:ascii="Times New Roman" w:eastAsia="Times New Roman" w:hAnsi="Times New Roman" w:cs="Times New Roman"/>
                <w:color w:val="000000"/>
                <w:spacing w:val="0"/>
                <w:w w:val="100"/>
                <w:position w:val="0"/>
              </w:rPr>
              <w:t>16%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及 </w:t>
            </w:r>
            <w:r>
              <w:rPr>
                <w:rFonts w:ascii="Times New Roman" w:eastAsia="Times New Roman" w:hAnsi="Times New Roman" w:cs="Times New Roman"/>
                <w:color w:val="000000"/>
                <w:spacing w:val="0"/>
                <w:w w:val="100"/>
                <w:position w:val="0"/>
              </w:rPr>
              <w:t>7%</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详见下列说明</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及 </w:t>
            </w:r>
            <w:r>
              <w:rPr>
                <w:rFonts w:ascii="Times New Roman" w:eastAsia="Times New Roman" w:hAnsi="Times New Roman" w:cs="Times New Roman"/>
                <w:color w:val="000000"/>
                <w:spacing w:val="0"/>
                <w:w w:val="100"/>
                <w:position w:val="0"/>
              </w:rPr>
              <w:t>2%</w:t>
            </w:r>
          </w:p>
        </w:tc>
      </w:tr>
    </w:tbl>
    <w:p>
      <w:pPr>
        <w:widowControl w:val="0"/>
        <w:spacing w:after="239" w:line="1" w:lineRule="exact"/>
      </w:pP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15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中微厦门、中微惠创、中微南昌、中微临港</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中微国际</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17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中微日本</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中微北美</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8.84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中微韩国</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left"/>
            </w:pPr>
            <w:r>
              <w:rPr>
                <w:rFonts w:ascii="Times New Roman" w:eastAsia="Times New Roman" w:hAnsi="Times New Roman" w:cs="Times New Roman"/>
                <w:color w:val="000000"/>
                <w:spacing w:val="0"/>
                <w:w w:val="100"/>
                <w:position w:val="0"/>
              </w:rPr>
              <w:t>20</w:t>
            </w:r>
          </w:p>
        </w:tc>
      </w:tr>
    </w:tbl>
    <w:p>
      <w:pPr>
        <w:widowControl w:val="0"/>
        <w:spacing w:after="239" w:line="1" w:lineRule="exact"/>
      </w:pP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：本公司为设立于上海浦东新区的生产性中外合资企业，依据所得税法的相关规定，公司适 用的企业所得税率为</w:t>
      </w:r>
      <w:r>
        <w:rPr>
          <w:rFonts w:ascii="Times New Roman" w:eastAsia="Times New Roman" w:hAnsi="Times New Roman" w:cs="Times New Roman"/>
          <w:color w:val="000000"/>
          <w:spacing w:val="0"/>
          <w:w w:val="100"/>
          <w:position w:val="0"/>
        </w:rPr>
        <w:t>25%</w:t>
      </w: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 新技术企业认定管理工作指引》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[2008]362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有关规定，于</w:t>
      </w:r>
      <w:r>
        <w:rPr>
          <w:rFonts w:ascii="Times New Roman" w:eastAsia="Times New Roman" w:hAnsi="Times New Roman" w:cs="Times New Roman"/>
          <w:color w:val="000000"/>
          <w:spacing w:val="0"/>
          <w:w w:val="100"/>
          <w:position w:val="0"/>
        </w:rPr>
        <w:t>2018</w:t>
      </w:r>
      <w:r>
        <w:rPr>
          <w:color w:val="000000"/>
          <w:spacing w:val="0"/>
          <w:w w:val="100"/>
          <w:position w:val="0"/>
        </w:rPr>
        <w:t>年度，本公司获得高 新技术企业认定，享受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 法》第二十八条的有关规定，于本报告期公司适用的企业所得税税率为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上年同期：</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58"/>
        <w:keepNext w:val="0"/>
        <w:keepLines w:val="0"/>
        <w:widowControl w:val="0"/>
        <w:shd w:val="clear" w:color="auto" w:fill="auto"/>
        <w:bidi w:val="0"/>
        <w:spacing w:before="0" w:after="240" w:line="278" w:lineRule="exact"/>
        <w:ind w:left="0" w:right="0" w:firstLine="0"/>
        <w:jc w:val="left"/>
      </w:pPr>
      <w:r>
        <w:rPr>
          <w:rFonts w:ascii="SimSun" w:eastAsia="SimSun" w:hAnsi="SimSun" w:cs="SimSun"/>
          <w:color w:val="000000"/>
          <w:spacing w:val="0"/>
          <w:w w:val="100"/>
          <w:position w:val="0"/>
        </w:rPr>
        <w:t xml:space="preserve">注 </w:t>
      </w:r>
      <w:r>
        <w:rPr>
          <w:color w:val="000000"/>
          <w:spacing w:val="0"/>
          <w:w w:val="100"/>
          <w:position w:val="0"/>
        </w:rPr>
        <w:t>2</w:t>
      </w:r>
      <w:r>
        <w:rPr>
          <w:rFonts w:ascii="SimSun" w:eastAsia="SimSun" w:hAnsi="SimSun" w:cs="SimSun"/>
          <w:color w:val="000000"/>
          <w:spacing w:val="0"/>
          <w:w w:val="100"/>
          <w:position w:val="0"/>
        </w:rPr>
        <w:t xml:space="preserve">： </w:t>
      </w:r>
      <w:r>
        <w:rPr>
          <w:color w:val="000000"/>
          <w:spacing w:val="0"/>
          <w:w w:val="100"/>
          <w:position w:val="0"/>
        </w:rPr>
        <w:t>Advanced Micro-Fabrication Equipment International Pte. Ltd.</w:t>
      </w:r>
      <w:r>
        <w:rPr>
          <w:color w:val="000000"/>
          <w:spacing w:val="0"/>
          <w:w w:val="100"/>
          <w:position w:val="0"/>
        </w:rPr>
        <w:t>（“</w:t>
      </w:r>
      <w:r>
        <w:rPr>
          <w:rFonts w:ascii="SimSun" w:eastAsia="SimSun" w:hAnsi="SimSun" w:cs="SimSun"/>
          <w:color w:val="000000"/>
          <w:spacing w:val="0"/>
          <w:w w:val="100"/>
          <w:position w:val="0"/>
        </w:rPr>
        <w:t>中微国际</w:t>
      </w:r>
      <w:r>
        <w:rPr>
          <w:color w:val="000000"/>
          <w:spacing w:val="0"/>
          <w:w w:val="100"/>
          <w:position w:val="0"/>
        </w:rPr>
        <w:t>”）</w:t>
      </w:r>
      <w:r>
        <w:rPr>
          <w:rFonts w:ascii="SimSun" w:eastAsia="SimSun" w:hAnsi="SimSun" w:cs="SimSun"/>
          <w:color w:val="000000"/>
          <w:spacing w:val="0"/>
          <w:w w:val="100"/>
          <w:position w:val="0"/>
        </w:rPr>
        <w:t>为注册于新加坡的 有限责任公司，该公司于本报告期实际适用所得税税率为</w:t>
      </w:r>
      <w:r>
        <w:rPr>
          <w:color w:val="000000"/>
          <w:spacing w:val="0"/>
          <w:w w:val="100"/>
          <w:position w:val="0"/>
        </w:rPr>
        <w:t>17%（</w:t>
      </w:r>
      <w:r>
        <w:rPr>
          <w:rFonts w:ascii="SimSun" w:eastAsia="SimSun" w:hAnsi="SimSun" w:cs="SimSun"/>
          <w:color w:val="000000"/>
          <w:spacing w:val="0"/>
          <w:w w:val="100"/>
          <w:position w:val="0"/>
        </w:rPr>
        <w:t>上年同期：</w:t>
      </w:r>
      <w:r>
        <w:rPr>
          <w:color w:val="000000"/>
          <w:spacing w:val="0"/>
          <w:w w:val="100"/>
          <w:position w:val="0"/>
        </w:rPr>
        <w:t>17%）</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AMEC Japan Co., Inc.</w:t>
      </w:r>
      <w:r>
        <w:rPr>
          <w:rFonts w:ascii="Times New Roman" w:eastAsia="Times New Roman" w:hAnsi="Times New Roman" w:cs="Times New Roman"/>
          <w:color w:val="000000"/>
          <w:spacing w:val="0"/>
          <w:w w:val="100"/>
          <w:position w:val="0"/>
        </w:rPr>
        <w:t>（“</w:t>
      </w:r>
      <w:r>
        <w:rPr>
          <w:color w:val="000000"/>
          <w:spacing w:val="0"/>
          <w:w w:val="100"/>
          <w:position w:val="0"/>
        </w:rPr>
        <w:t>中微日本</w:t>
      </w:r>
      <w:r>
        <w:rPr>
          <w:rFonts w:ascii="Times New Roman" w:eastAsia="Times New Roman" w:hAnsi="Times New Roman" w:cs="Times New Roman"/>
          <w:color w:val="000000"/>
          <w:spacing w:val="0"/>
          <w:w w:val="100"/>
          <w:position w:val="0"/>
        </w:rPr>
        <w:t>”）</w:t>
      </w:r>
      <w:r>
        <w:rPr>
          <w:color w:val="000000"/>
          <w:spacing w:val="0"/>
          <w:w w:val="100"/>
          <w:position w:val="0"/>
        </w:rPr>
        <w:t>为注册于日本的股份有限公司，该公司于本报告期实际 适用所得税税率为</w:t>
      </w:r>
      <w:r>
        <w:rPr>
          <w:rFonts w:ascii="Times New Roman" w:eastAsia="Times New Roman" w:hAnsi="Times New Roman" w:cs="Times New Roman"/>
          <w:color w:val="000000"/>
          <w:spacing w:val="0"/>
          <w:w w:val="100"/>
          <w:position w:val="0"/>
        </w:rPr>
        <w:t>40%（</w:t>
      </w:r>
      <w:r>
        <w:rPr>
          <w:color w:val="000000"/>
          <w:spacing w:val="0"/>
          <w:w w:val="100"/>
          <w:position w:val="0"/>
        </w:rPr>
        <w:t>上年同期：</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AMEC North America, Inc.</w:t>
      </w:r>
      <w:r>
        <w:rPr>
          <w:rFonts w:ascii="Times New Roman" w:eastAsia="Times New Roman" w:hAnsi="Times New Roman" w:cs="Times New Roman"/>
          <w:color w:val="000000"/>
          <w:spacing w:val="0"/>
          <w:w w:val="100"/>
          <w:position w:val="0"/>
        </w:rPr>
        <w:t>（“</w:t>
      </w:r>
      <w:r>
        <w:rPr>
          <w:color w:val="000000"/>
          <w:spacing w:val="0"/>
          <w:w w:val="100"/>
          <w:position w:val="0"/>
        </w:rPr>
        <w:t>中微北美</w:t>
      </w:r>
      <w:r>
        <w:rPr>
          <w:rFonts w:ascii="Times New Roman" w:eastAsia="Times New Roman" w:hAnsi="Times New Roman" w:cs="Times New Roman"/>
          <w:color w:val="000000"/>
          <w:spacing w:val="0"/>
          <w:w w:val="100"/>
          <w:position w:val="0"/>
        </w:rPr>
        <w:t>”）</w:t>
      </w:r>
      <w:r>
        <w:rPr>
          <w:color w:val="000000"/>
          <w:spacing w:val="0"/>
          <w:w w:val="100"/>
          <w:position w:val="0"/>
        </w:rPr>
        <w:t xml:space="preserve">为注册于美国加州的股份有限公司，该公司于本报 </w:t>
      </w:r>
      <w:r>
        <w:rPr>
          <w:color w:val="000000"/>
          <w:spacing w:val="0"/>
          <w:w w:val="100"/>
          <w:position w:val="0"/>
        </w:rPr>
        <w:t>告期实际适用的联邦企业所得税税率为</w:t>
      </w:r>
      <w:r>
        <w:rPr>
          <w:rFonts w:ascii="Times New Roman" w:eastAsia="Times New Roman" w:hAnsi="Times New Roman" w:cs="Times New Roman"/>
          <w:color w:val="000000"/>
          <w:spacing w:val="0"/>
          <w:w w:val="100"/>
          <w:position w:val="0"/>
        </w:rPr>
        <w:t>21%（</w:t>
      </w:r>
      <w:r>
        <w:rPr>
          <w:color w:val="000000"/>
          <w:spacing w:val="0"/>
          <w:w w:val="100"/>
          <w:position w:val="0"/>
        </w:rPr>
        <w:t>上年同期：</w:t>
      </w:r>
      <w:r>
        <w:rPr>
          <w:rFonts w:ascii="Times New Roman" w:eastAsia="Times New Roman" w:hAnsi="Times New Roman" w:cs="Times New Roman"/>
          <w:color w:val="000000"/>
          <w:spacing w:val="0"/>
          <w:w w:val="100"/>
          <w:position w:val="0"/>
        </w:rPr>
        <w:t>21%）</w:t>
      </w:r>
      <w:r>
        <w:rPr>
          <w:color w:val="000000"/>
          <w:spacing w:val="0"/>
          <w:w w:val="100"/>
          <w:position w:val="0"/>
        </w:rPr>
        <w:t>。于本报告期适用的加州企业所得 税税率为</w:t>
      </w:r>
      <w:r>
        <w:rPr>
          <w:rFonts w:ascii="Times New Roman" w:eastAsia="Times New Roman" w:hAnsi="Times New Roman" w:cs="Times New Roman"/>
          <w:color w:val="000000"/>
          <w:spacing w:val="0"/>
          <w:w w:val="100"/>
          <w:position w:val="0"/>
        </w:rPr>
        <w:t>8.84%（</w:t>
      </w:r>
      <w:r>
        <w:rPr>
          <w:color w:val="000000"/>
          <w:spacing w:val="0"/>
          <w:w w:val="100"/>
          <w:position w:val="0"/>
        </w:rPr>
        <w:t>上年同期：</w:t>
      </w:r>
      <w:r>
        <w:rPr>
          <w:rFonts w:ascii="Times New Roman" w:eastAsia="Times New Roman" w:hAnsi="Times New Roman" w:cs="Times New Roman"/>
          <w:color w:val="000000"/>
          <w:spacing w:val="0"/>
          <w:w w:val="100"/>
          <w:position w:val="0"/>
        </w:rPr>
        <w:t>8.84%）</w:t>
      </w:r>
      <w:r>
        <w:rPr>
          <w:color w:val="000000"/>
          <w:spacing w:val="0"/>
          <w:w w:val="100"/>
          <w:position w:val="0"/>
        </w:rPr>
        <w:t>。</w:t>
      </w: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Advanced Micro-Fabrication Equipment Korea Ltd.</w:t>
      </w:r>
      <w:r>
        <w:rPr>
          <w:rFonts w:ascii="Times New Roman" w:eastAsia="Times New Roman" w:hAnsi="Times New Roman" w:cs="Times New Roman"/>
          <w:color w:val="000000"/>
          <w:spacing w:val="0"/>
          <w:w w:val="100"/>
          <w:position w:val="0"/>
        </w:rPr>
        <w:t>（“</w:t>
      </w:r>
      <w:r>
        <w:rPr>
          <w:color w:val="000000"/>
          <w:spacing w:val="0"/>
          <w:w w:val="100"/>
          <w:position w:val="0"/>
        </w:rPr>
        <w:t>中微韩国</w:t>
      </w:r>
      <w:r>
        <w:rPr>
          <w:rFonts w:ascii="Times New Roman" w:eastAsia="Times New Roman" w:hAnsi="Times New Roman" w:cs="Times New Roman"/>
          <w:color w:val="000000"/>
          <w:spacing w:val="0"/>
          <w:w w:val="100"/>
          <w:position w:val="0"/>
        </w:rPr>
        <w:t>”）</w:t>
      </w:r>
      <w:r>
        <w:rPr>
          <w:color w:val="000000"/>
          <w:spacing w:val="0"/>
          <w:w w:val="100"/>
          <w:position w:val="0"/>
        </w:rPr>
        <w:t>为注册于韩国的有限责任公 司，根据韩国相关所得税法的规定，对于公司获得的利润采用超额累进税率征收企业所得税。利 润在</w:t>
      </w:r>
      <w:r>
        <w:rPr>
          <w:rFonts w:ascii="Times New Roman" w:eastAsia="Times New Roman" w:hAnsi="Times New Roman" w:cs="Times New Roman"/>
          <w:color w:val="000000"/>
          <w:spacing w:val="0"/>
          <w:w w:val="100"/>
          <w:position w:val="0"/>
        </w:rPr>
        <w:t>2</w:t>
      </w:r>
      <w:r>
        <w:rPr>
          <w:color w:val="000000"/>
          <w:spacing w:val="0"/>
          <w:w w:val="100"/>
          <w:position w:val="0"/>
        </w:rPr>
        <w:t>亿韩元以下征收税率为</w:t>
      </w:r>
      <w:r>
        <w:rPr>
          <w:rFonts w:ascii="Times New Roman" w:eastAsia="Times New Roman" w:hAnsi="Times New Roman" w:cs="Times New Roman"/>
          <w:color w:val="000000"/>
          <w:spacing w:val="0"/>
          <w:w w:val="100"/>
          <w:position w:val="0"/>
        </w:rPr>
        <w:t>10%</w:t>
      </w:r>
      <w:r>
        <w:rPr>
          <w:color w:val="000000"/>
          <w:spacing w:val="0"/>
          <w:w w:val="100"/>
          <w:position w:val="0"/>
        </w:rPr>
        <w:t>，在</w:t>
      </w:r>
      <w:r>
        <w:rPr>
          <w:rFonts w:ascii="Times New Roman" w:eastAsia="Times New Roman" w:hAnsi="Times New Roman" w:cs="Times New Roman"/>
          <w:color w:val="000000"/>
          <w:spacing w:val="0"/>
          <w:w w:val="100"/>
          <w:position w:val="0"/>
        </w:rPr>
        <w:t>2</w:t>
      </w:r>
      <w:r>
        <w:rPr>
          <w:color w:val="000000"/>
          <w:spacing w:val="0"/>
          <w:w w:val="100"/>
          <w:position w:val="0"/>
        </w:rPr>
        <w:t>亿韩元至</w:t>
      </w:r>
      <w:r>
        <w:rPr>
          <w:rFonts w:ascii="Times New Roman" w:eastAsia="Times New Roman" w:hAnsi="Times New Roman" w:cs="Times New Roman"/>
          <w:color w:val="000000"/>
          <w:spacing w:val="0"/>
          <w:w w:val="100"/>
          <w:position w:val="0"/>
        </w:rPr>
        <w:t>200</w:t>
      </w:r>
      <w:r>
        <w:rPr>
          <w:color w:val="000000"/>
          <w:spacing w:val="0"/>
          <w:w w:val="100"/>
          <w:position w:val="0"/>
        </w:rPr>
        <w:t>亿韩元征收税率为</w:t>
      </w:r>
      <w:r>
        <w:rPr>
          <w:rFonts w:ascii="Times New Roman" w:eastAsia="Times New Roman" w:hAnsi="Times New Roman" w:cs="Times New Roman"/>
          <w:color w:val="000000"/>
          <w:spacing w:val="0"/>
          <w:w w:val="100"/>
          <w:position w:val="0"/>
        </w:rPr>
        <w:t>20%</w:t>
      </w:r>
      <w:r>
        <w:rPr>
          <w:color w:val="000000"/>
          <w:spacing w:val="0"/>
          <w:w w:val="100"/>
          <w:position w:val="0"/>
        </w:rPr>
        <w:t>,在</w:t>
      </w:r>
      <w:r>
        <w:rPr>
          <w:rFonts w:ascii="Times New Roman" w:eastAsia="Times New Roman" w:hAnsi="Times New Roman" w:cs="Times New Roman"/>
          <w:color w:val="000000"/>
          <w:spacing w:val="0"/>
          <w:w w:val="100"/>
          <w:position w:val="0"/>
        </w:rPr>
        <w:t>200</w:t>
      </w:r>
      <w:r>
        <w:rPr>
          <w:color w:val="000000"/>
          <w:spacing w:val="0"/>
          <w:w w:val="100"/>
          <w:position w:val="0"/>
        </w:rPr>
        <w:t>亿韩元 以上征收税率为</w:t>
      </w:r>
      <w:r>
        <w:rPr>
          <w:rFonts w:ascii="Times New Roman" w:eastAsia="Times New Roman" w:hAnsi="Times New Roman" w:cs="Times New Roman"/>
          <w:color w:val="000000"/>
          <w:spacing w:val="0"/>
          <w:w w:val="100"/>
          <w:position w:val="0"/>
        </w:rPr>
        <w:t>22%</w:t>
      </w:r>
      <w:r>
        <w:rPr>
          <w:color w:val="000000"/>
          <w:spacing w:val="0"/>
          <w:w w:val="100"/>
          <w:position w:val="0"/>
        </w:rPr>
        <w:t>。该公司于本报告期实际适用所得税税率为</w:t>
      </w:r>
      <w:r>
        <w:rPr>
          <w:rFonts w:ascii="Times New Roman" w:eastAsia="Times New Roman" w:hAnsi="Times New Roman" w:cs="Times New Roman"/>
          <w:color w:val="000000"/>
          <w:spacing w:val="0"/>
          <w:w w:val="100"/>
          <w:position w:val="0"/>
        </w:rPr>
        <w:t>10%（</w:t>
      </w:r>
      <w:r>
        <w:rPr>
          <w:color w:val="000000"/>
          <w:spacing w:val="0"/>
          <w:w w:val="100"/>
          <w:position w:val="0"/>
        </w:rPr>
        <w:t>上年同期：</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
        <w:keepNext w:val="0"/>
        <w:keepLines w:val="0"/>
        <w:widowControl w:val="0"/>
        <w:shd w:val="clear" w:color="auto" w:fill="auto"/>
        <w:bidi w:val="0"/>
        <w:spacing w:before="0" w:after="320" w:line="25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：中微汇链为注册于上海的有限责任公司，该公司于本报告期实际适用小型微利企业所得税 税率为</w:t>
      </w:r>
      <w:r>
        <w:rPr>
          <w:rFonts w:ascii="Times New Roman" w:eastAsia="Times New Roman" w:hAnsi="Times New Roman" w:cs="Times New Roman"/>
          <w:color w:val="000000"/>
          <w:spacing w:val="0"/>
          <w:w w:val="100"/>
          <w:position w:val="0"/>
        </w:rPr>
        <w:t>20%（</w:t>
      </w:r>
      <w:r>
        <w:rPr>
          <w:color w:val="000000"/>
          <w:spacing w:val="0"/>
          <w:w w:val="100"/>
          <w:position w:val="0"/>
        </w:rPr>
        <w:t>上年同期：</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5"/>
        <w:keepNext/>
        <w:keepLines/>
        <w:widowControl w:val="0"/>
        <w:numPr>
          <w:ilvl w:val="0"/>
          <w:numId w:val="103"/>
        </w:numPr>
        <w:shd w:val="clear" w:color="auto" w:fill="auto"/>
        <w:tabs>
          <w:tab w:pos="420" w:val="left"/>
        </w:tabs>
        <w:bidi w:val="0"/>
        <w:spacing w:before="0" w:after="80" w:line="271" w:lineRule="exact"/>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税收优惠</w:t>
      </w:r>
      <w:bookmarkEnd w:id="1129"/>
      <w:bookmarkEnd w:id="1130"/>
      <w:bookmarkEnd w:id="1132"/>
    </w:p>
    <w:p>
      <w:pPr>
        <w:pStyle w:val="Style2"/>
        <w:keepNext w:val="0"/>
        <w:keepLines w:val="0"/>
        <w:widowControl w:val="0"/>
        <w:shd w:val="clear" w:color="auto" w:fill="auto"/>
        <w:tabs>
          <w:tab w:pos="787" w:val="left"/>
        </w:tabs>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本公司为设立于上海浦东新区的生产性中外合资企业，依据所得税法的相关规定，公司适用的企 业所得税率为</w:t>
      </w:r>
      <w:r>
        <w:rPr>
          <w:rFonts w:ascii="Times New Roman" w:eastAsia="Times New Roman" w:hAnsi="Times New Roman" w:cs="Times New Roman"/>
          <w:color w:val="000000"/>
          <w:spacing w:val="0"/>
          <w:w w:val="100"/>
          <w:position w:val="0"/>
        </w:rPr>
        <w:t>25%</w:t>
      </w: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 企业认定管理工作指引》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[2008]362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有关规定，于</w:t>
      </w:r>
      <w:r>
        <w:rPr>
          <w:rFonts w:ascii="Times New Roman" w:eastAsia="Times New Roman" w:hAnsi="Times New Roman" w:cs="Times New Roman"/>
          <w:color w:val="000000"/>
          <w:spacing w:val="0"/>
          <w:w w:val="100"/>
          <w:position w:val="0"/>
        </w:rPr>
        <w:t>2018</w:t>
      </w:r>
      <w:r>
        <w:rPr>
          <w:color w:val="000000"/>
          <w:spacing w:val="0"/>
          <w:w w:val="100"/>
          <w:position w:val="0"/>
        </w:rPr>
        <w:t>年度，本公司获得高新技术 企业认定，享受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年。根据《中华人民共和国企业所得税法》第二 十八条的有关规定，</w:t>
      </w:r>
      <w:r>
        <w:rPr>
          <w:rFonts w:ascii="Times New Roman" w:eastAsia="Times New Roman" w:hAnsi="Times New Roman" w:cs="Times New Roman"/>
          <w:color w:val="000000"/>
          <w:spacing w:val="0"/>
          <w:w w:val="100"/>
          <w:position w:val="0"/>
        </w:rPr>
        <w:t>2020</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上年同期：</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5"/>
        <w:keepNext/>
        <w:keepLines/>
        <w:widowControl w:val="0"/>
        <w:numPr>
          <w:ilvl w:val="0"/>
          <w:numId w:val="103"/>
        </w:numPr>
        <w:shd w:val="clear" w:color="auto" w:fill="auto"/>
        <w:tabs>
          <w:tab w:pos="420" w:val="left"/>
        </w:tabs>
        <w:bidi w:val="0"/>
        <w:spacing w:before="0" w:after="80" w:line="271" w:lineRule="exact"/>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其他</w:t>
      </w:r>
      <w:bookmarkEnd w:id="1133"/>
      <w:bookmarkEnd w:id="1134"/>
      <w:bookmarkEnd w:id="1136"/>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71" w:lineRule="exact"/>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七</w:t>
      </w:r>
      <w:bookmarkEnd w:id="1139"/>
      <w:r>
        <w:rPr>
          <w:color w:val="000000"/>
          <w:spacing w:val="0"/>
          <w:w w:val="100"/>
          <w:position w:val="0"/>
        </w:rPr>
        <w:t>、合并财务报表项目注释</w:t>
      </w:r>
      <w:bookmarkEnd w:id="1137"/>
      <w:bookmarkEnd w:id="1138"/>
      <w:bookmarkEnd w:id="1140"/>
    </w:p>
    <w:p>
      <w:pPr>
        <w:pStyle w:val="Style35"/>
        <w:keepNext/>
        <w:keepLines/>
        <w:widowControl w:val="0"/>
        <w:shd w:val="clear" w:color="auto" w:fill="auto"/>
        <w:bidi w:val="0"/>
        <w:spacing w:before="0" w:after="80" w:line="271" w:lineRule="exact"/>
        <w:ind w:left="0" w:right="0" w:firstLine="0"/>
        <w:jc w:val="left"/>
      </w:pPr>
      <w:bookmarkStart w:id="1137" w:name="bookmark1137"/>
      <w:bookmarkStart w:id="1138" w:name="bookmark1138"/>
      <w:bookmarkStart w:id="1141" w:name="bookmark1141"/>
      <w:bookmarkStart w:id="1142" w:name="bookmark1142"/>
      <w:r>
        <w:rPr>
          <w:color w:val="000000"/>
          <w:spacing w:val="0"/>
          <w:w w:val="100"/>
          <w:position w:val="0"/>
        </w:rPr>
        <w:t>1</w:t>
      </w:r>
      <w:bookmarkEnd w:id="1141"/>
      <w:r>
        <w:rPr>
          <w:color w:val="000000"/>
          <w:spacing w:val="0"/>
          <w:w w:val="100"/>
          <w:position w:val="0"/>
        </w:rPr>
        <w:t>、货币资金</w:t>
      </w:r>
      <w:bookmarkEnd w:id="1137"/>
      <w:bookmarkEnd w:id="1138"/>
      <w:bookmarkEnd w:id="1142"/>
    </w:p>
    <w:p>
      <w:pPr>
        <w:pStyle w:val="Style2"/>
        <w:keepNext w:val="0"/>
        <w:keepLines w:val="0"/>
        <w:widowControl w:val="0"/>
        <w:shd w:val="clear" w:color="auto" w:fill="auto"/>
        <w:tabs>
          <w:tab w:pos="787" w:val="left"/>
        </w:tabs>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w:t>
        <w:tab/>
        <w:t>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184"/>
        <w:gridCol w:w="3326"/>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100,705.19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86,950.78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1,113,325,909.01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928,532,957.03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18,243,170.62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16,188,861.82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1,131,669,784.82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944,808,769.63</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84,411,195.37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89,738,843.25</w:t>
            </w:r>
          </w:p>
        </w:tc>
      </w:tr>
    </w:tbl>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日，本集团银行存款无三个月结构性存款及六个月结构性存款</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三个月结构性存款</w:t>
      </w:r>
      <w:r>
        <w:rPr>
          <w:rFonts w:ascii="Times New Roman" w:eastAsia="Times New Roman" w:hAnsi="Times New Roman" w:cs="Times New Roman"/>
          <w:color w:val="000000"/>
          <w:spacing w:val="0"/>
          <w:w w:val="100"/>
          <w:position w:val="0"/>
        </w:rPr>
        <w:t>50,000,000.00</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六个月结构性存款</w:t>
      </w:r>
      <w:r>
        <w:rPr>
          <w:rFonts w:ascii="Times New Roman" w:eastAsia="Times New Roman" w:hAnsi="Times New Roman" w:cs="Times New Roman"/>
          <w:color w:val="000000"/>
          <w:spacing w:val="0"/>
          <w:w w:val="100"/>
          <w:position w:val="0"/>
        </w:rPr>
        <w:t>100,000,000.00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179" w:line="1" w:lineRule="exact"/>
      </w:pPr>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日，本集团其他货币资金包括向银行申请开具海关税款保函、投标保函及预 付款保函所存入的保证金存款折合人民币</w:t>
      </w:r>
      <w:r>
        <w:rPr>
          <w:rFonts w:ascii="Times New Roman" w:eastAsia="Times New Roman" w:hAnsi="Times New Roman" w:cs="Times New Roman"/>
          <w:color w:val="000000"/>
          <w:spacing w:val="0"/>
          <w:w w:val="100"/>
          <w:position w:val="0"/>
        </w:rPr>
        <w:t>16,513,375.08</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15,456,425.88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以及向银行申请开具信用证所存入的保证金存款折合人民币</w:t>
      </w:r>
      <w:r>
        <w:rPr>
          <w:rFonts w:ascii="Times New Roman" w:eastAsia="Times New Roman" w:hAnsi="Times New Roman" w:cs="Times New Roman"/>
          <w:color w:val="000000"/>
          <w:spacing w:val="0"/>
          <w:w w:val="100"/>
          <w:position w:val="0"/>
        </w:rPr>
        <w:t>1,729,795.54</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 xml:space="preserve">732,435.94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80" w:line="272" w:lineRule="exact"/>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2</w:t>
      </w:r>
      <w:bookmarkEnd w:id="1145"/>
      <w:r>
        <w:rPr>
          <w:color w:val="000000"/>
          <w:spacing w:val="0"/>
          <w:w w:val="100"/>
          <w:position w:val="0"/>
        </w:rPr>
        <w:t>、交易性金融资产</w:t>
      </w:r>
      <w:bookmarkEnd w:id="1143"/>
      <w:bookmarkEnd w:id="1144"/>
      <w:bookmarkEnd w:id="1146"/>
    </w:p>
    <w:p>
      <w:pPr>
        <w:pStyle w:val="Style2"/>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1,505,200,119.62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1,367,735,787.66</w:t>
            </w:r>
          </w:p>
        </w:tc>
      </w:tr>
      <w:tr>
        <w:trPr>
          <w:trHeight w:val="293" w:hRule="exact"/>
        </w:trPr>
        <w:tc>
          <w:tcPr>
            <w:gridSpan w:val="3"/>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短期理财产品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943,471,123.28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1,367,735,787.66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交易性权益工具投资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561,728,996.34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1,505,200,119.62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1,367,735,787.66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608" w:val="left"/>
        </w:tabs>
        <w:bidi w:val="0"/>
        <w:spacing w:before="0" w:after="100" w:line="240" w:lineRule="auto"/>
        <w:ind w:left="0" w:right="0" w:firstLine="240"/>
        <w:jc w:val="left"/>
      </w:pPr>
      <w:bookmarkStart w:id="1147" w:name="bookmark1147"/>
      <w:bookmarkStart w:id="1148" w:name="bookmark1148"/>
      <w:bookmarkStart w:id="1149" w:name="bookmark1149"/>
      <w:bookmarkStart w:id="1150" w:name="bookmark1150"/>
      <w:r>
        <w:rPr>
          <w:color w:val="000000"/>
          <w:spacing w:val="0"/>
          <w:w w:val="100"/>
          <w:position w:val="0"/>
        </w:rPr>
        <w:t>3</w:t>
      </w:r>
      <w:bookmarkEnd w:id="1149"/>
      <w:r>
        <w:rPr>
          <w:color w:val="000000"/>
          <w:spacing w:val="0"/>
          <w:w w:val="100"/>
          <w:position w:val="0"/>
        </w:rPr>
        <w:t>、</w:t>
        <w:tab/>
        <w:t>衍生金融资产</w:t>
      </w:r>
      <w:bookmarkEnd w:id="1147"/>
      <w:bookmarkEnd w:id="1148"/>
      <w:bookmarkEnd w:id="1150"/>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613" w:val="left"/>
        </w:tabs>
        <w:bidi w:val="0"/>
        <w:spacing w:before="0" w:after="100" w:line="240" w:lineRule="auto"/>
        <w:ind w:left="0" w:right="0" w:firstLine="240"/>
        <w:jc w:val="left"/>
      </w:pPr>
      <w:bookmarkStart w:id="1151" w:name="bookmark1151"/>
      <w:bookmarkStart w:id="1152" w:name="bookmark1152"/>
      <w:bookmarkStart w:id="1153" w:name="bookmark1153"/>
      <w:bookmarkStart w:id="1154" w:name="bookmark1154"/>
      <w:r>
        <w:rPr>
          <w:color w:val="000000"/>
          <w:spacing w:val="0"/>
          <w:w w:val="100"/>
          <w:position w:val="0"/>
        </w:rPr>
        <w:t>4</w:t>
      </w:r>
      <w:bookmarkEnd w:id="1153"/>
      <w:r>
        <w:rPr>
          <w:color w:val="000000"/>
          <w:spacing w:val="0"/>
          <w:w w:val="100"/>
          <w:position w:val="0"/>
        </w:rPr>
        <w:t>、</w:t>
        <w:tab/>
        <w:t>应收票据</w:t>
      </w:r>
      <w:bookmarkEnd w:id="1151"/>
      <w:bookmarkEnd w:id="1152"/>
      <w:bookmarkEnd w:id="1154"/>
    </w:p>
    <w:p>
      <w:pPr>
        <w:pStyle w:val="Style35"/>
        <w:keepNext/>
        <w:keepLines/>
        <w:widowControl w:val="0"/>
        <w:numPr>
          <w:ilvl w:val="0"/>
          <w:numId w:val="105"/>
        </w:numPr>
        <w:shd w:val="clear" w:color="auto" w:fill="auto"/>
        <w:bidi w:val="0"/>
        <w:spacing w:before="0" w:after="100" w:line="240" w:lineRule="auto"/>
        <w:ind w:left="0" w:right="0" w:firstLine="24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w:t>
      </w:r>
      <w:r>
        <w:rPr>
          <w:color w:val="000000"/>
          <w:spacing w:val="0"/>
          <w:w w:val="100"/>
          <w:position w:val="0"/>
        </w:rPr>
        <w:t>应收票据分类列示</w:t>
      </w:r>
      <w:bookmarkEnd w:id="1151"/>
      <w:bookmarkEnd w:id="1152"/>
      <w:bookmarkEnd w:id="1156"/>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45,231,751.96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20,169,820.94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61,134,286.13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59,032,758.00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-888,116.77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105,477,921.32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79,202,578.94</w:t>
            </w:r>
          </w:p>
        </w:tc>
      </w:tr>
    </w:tbl>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日，本集团无已背书但尚未到期的应收票据</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2"/>
        <w:keepNext w:val="0"/>
        <w:keepLines w:val="0"/>
        <w:widowControl w:val="0"/>
        <w:numPr>
          <w:ilvl w:val="0"/>
          <w:numId w:val="105"/>
        </w:numPr>
        <w:shd w:val="clear" w:color="auto" w:fill="auto"/>
        <w:tabs>
          <w:tab w:pos="670" w:val="left"/>
        </w:tabs>
        <w:bidi w:val="0"/>
        <w:spacing w:before="0" w:after="100" w:line="240" w:lineRule="auto"/>
        <w:ind w:left="0" w:right="0" w:firstLine="240"/>
        <w:jc w:val="left"/>
      </w:pPr>
      <w:bookmarkStart w:id="1157" w:name="bookmark1157"/>
      <w:bookmarkEnd w:id="1157"/>
      <w:r>
        <w:rPr>
          <w:b/>
          <w:bCs/>
          <w:color w:val="000000"/>
          <w:spacing w:val="0"/>
          <w:w w:val="100"/>
          <w:position w:val="0"/>
        </w:rPr>
        <w:t>.</w:t>
      </w:r>
      <w:r>
        <w:rPr>
          <w:b/>
          <w:bCs/>
          <w:color w:val="000000"/>
          <w:spacing w:val="0"/>
          <w:w w:val="100"/>
          <w:position w:val="0"/>
        </w:rPr>
        <w:t>期末公司已质押的应收票据</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670" w:val="left"/>
        </w:tabs>
        <w:bidi w:val="0"/>
        <w:spacing w:before="0" w:after="100" w:line="240" w:lineRule="auto"/>
        <w:ind w:left="0" w:right="0" w:firstLine="240"/>
        <w:jc w:val="left"/>
      </w:pPr>
      <w:bookmarkStart w:id="1158" w:name="bookmark1158"/>
      <w:bookmarkEnd w:id="1158"/>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670" w:val="left"/>
        </w:tabs>
        <w:bidi w:val="0"/>
        <w:spacing w:before="0" w:after="100" w:line="240" w:lineRule="auto"/>
        <w:ind w:left="0" w:right="0" w:firstLine="240"/>
        <w:jc w:val="left"/>
      </w:pPr>
      <w:bookmarkStart w:id="1159" w:name="bookmark1159"/>
      <w:bookmarkEnd w:id="1159"/>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5"/>
        </w:numPr>
        <w:shd w:val="clear" w:color="auto" w:fill="auto"/>
        <w:tabs>
          <w:tab w:pos="670" w:val="left"/>
        </w:tabs>
        <w:bidi w:val="0"/>
        <w:spacing w:before="0" w:after="100" w:line="240" w:lineRule="auto"/>
        <w:ind w:left="0" w:right="0" w:firstLine="240"/>
        <w:jc w:val="left"/>
      </w:pPr>
      <w:bookmarkStart w:id="1160" w:name="bookmark1160"/>
      <w:bookmarkEnd w:id="1160"/>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42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28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28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4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05"/>
        </w:numPr>
        <w:shd w:val="clear" w:color="auto" w:fill="auto"/>
        <w:tabs>
          <w:tab w:pos="670" w:val="left"/>
        </w:tabs>
        <w:bidi w:val="0"/>
        <w:spacing w:before="0" w:after="100" w:line="240" w:lineRule="auto"/>
        <w:ind w:left="0" w:right="0" w:firstLine="24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坏账准备的情况</w:t>
      </w:r>
      <w:bookmarkEnd w:id="1161"/>
      <w:bookmarkEnd w:id="1162"/>
      <w:bookmarkEnd w:id="1164"/>
    </w:p>
    <w:p>
      <w:pPr>
        <w:pStyle w:val="Style2"/>
        <w:keepNext w:val="0"/>
        <w:keepLines w:val="0"/>
        <w:widowControl w:val="0"/>
        <w:shd w:val="clear" w:color="auto" w:fill="auto"/>
        <w:bidi w:val="0"/>
        <w:spacing w:before="0" w:after="0" w:line="240" w:lineRule="auto"/>
        <w:ind w:left="240" w:right="0" w:firstLine="2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406"/>
        <w:gridCol w:w="1526"/>
        <w:gridCol w:w="1406"/>
        <w:gridCol w:w="1406"/>
        <w:gridCol w:w="1416"/>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应收票据坏账 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888,116.77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888,116.77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888,116.77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888,116.77</w:t>
            </w:r>
          </w:p>
        </w:tc>
      </w:tr>
    </w:tbl>
    <w:p>
      <w:pPr>
        <w:widowControl w:val="0"/>
        <w:spacing w:after="279" w:line="1" w:lineRule="exact"/>
      </w:pPr>
    </w:p>
    <w:p>
      <w:pPr>
        <w:pStyle w:val="Style2"/>
        <w:keepNext w:val="0"/>
        <w:keepLines w:val="0"/>
        <w:widowControl w:val="0"/>
        <w:shd w:val="clear" w:color="auto" w:fill="auto"/>
        <w:bidi w:val="0"/>
        <w:spacing w:before="0" w:after="100" w:line="269" w:lineRule="exact"/>
        <w:ind w:left="240" w:right="0" w:firstLine="20"/>
        <w:jc w:val="left"/>
      </w:pPr>
      <w:r>
        <w:rPr>
          <w:color w:val="000000"/>
          <w:spacing w:val="0"/>
          <w:w w:val="100"/>
          <w:position w:val="0"/>
        </w:rPr>
        <w:t>其中本期坏账准备收回或转回金额重要的: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0" w:line="264" w:lineRule="exact"/>
        <w:ind w:left="260" w:right="0" w:firstLine="440"/>
        <w:jc w:val="left"/>
      </w:pPr>
      <w:r>
        <w:rPr>
          <w:color w:val="000000"/>
          <w:spacing w:val="0"/>
          <w:w w:val="100"/>
          <w:position w:val="0"/>
        </w:rPr>
        <w:t>本集团的应收票据均因销售商品、提供劳务等日常经营活动产生，无论是否存在重大融资成 分，均按照整个存续期的预期信用损失计量损失准备。本年度计提的坏账准备金额为</w:t>
      </w:r>
      <w:r>
        <w:rPr>
          <w:rFonts w:ascii="Times New Roman" w:eastAsia="Times New Roman" w:hAnsi="Times New Roman" w:cs="Times New Roman"/>
          <w:color w:val="000000"/>
          <w:spacing w:val="0"/>
          <w:w w:val="100"/>
          <w:position w:val="0"/>
        </w:rPr>
        <w:t xml:space="preserve">888,116.77 </w:t>
      </w:r>
      <w:r>
        <w:rPr>
          <w:rFonts w:ascii="Times New Roman" w:eastAsia="Times New Roman" w:hAnsi="Times New Roman" w:cs="Times New Roman"/>
          <w:color w:val="000000"/>
          <w:spacing w:val="0"/>
          <w:w w:val="100"/>
          <w:position w:val="0"/>
        </w:rPr>
        <w:t>yLo</w:t>
      </w:r>
    </w:p>
    <w:p>
      <w:pPr>
        <w:pStyle w:val="Style2"/>
        <w:keepNext w:val="0"/>
        <w:keepLines w:val="0"/>
        <w:widowControl w:val="0"/>
        <w:numPr>
          <w:ilvl w:val="0"/>
          <w:numId w:val="105"/>
        </w:numPr>
        <w:shd w:val="clear" w:color="auto" w:fill="auto"/>
        <w:bidi w:val="0"/>
        <w:spacing w:before="0" w:after="80" w:line="264" w:lineRule="exact"/>
        <w:ind w:left="260" w:right="0" w:firstLine="0"/>
        <w:jc w:val="left"/>
      </w:pPr>
      <w:bookmarkStart w:id="1165" w:name="bookmark1165"/>
      <w:bookmarkEnd w:id="1165"/>
      <w:r>
        <w:rPr>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220" w:line="264" w:lineRule="exact"/>
        <w:ind w:left="2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8" w:lineRule="exact"/>
        <w:ind w:left="26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64" w:lineRule="exact"/>
        <w:ind w:left="260" w:right="0" w:firstLine="0"/>
        <w:jc w:val="left"/>
      </w:pPr>
      <w:bookmarkStart w:id="1166" w:name="bookmark1166"/>
      <w:bookmarkStart w:id="1167" w:name="bookmark1167"/>
      <w:bookmarkStart w:id="1168" w:name="bookmark1168"/>
      <w:bookmarkStart w:id="1169" w:name="bookmark1169"/>
      <w:r>
        <w:rPr>
          <w:color w:val="000000"/>
          <w:spacing w:val="0"/>
          <w:w w:val="100"/>
          <w:position w:val="0"/>
        </w:rPr>
        <w:t>5</w:t>
      </w:r>
      <w:bookmarkEnd w:id="1168"/>
      <w:r>
        <w:rPr>
          <w:color w:val="000000"/>
          <w:spacing w:val="0"/>
          <w:w w:val="100"/>
          <w:position w:val="0"/>
        </w:rPr>
        <w:t>、应收账款</w:t>
      </w:r>
      <w:bookmarkEnd w:id="1166"/>
      <w:bookmarkEnd w:id="1167"/>
      <w:bookmarkEnd w:id="1169"/>
    </w:p>
    <w:p>
      <w:pPr>
        <w:pStyle w:val="Style35"/>
        <w:keepNext/>
        <w:keepLines/>
        <w:widowControl w:val="0"/>
        <w:numPr>
          <w:ilvl w:val="0"/>
          <w:numId w:val="107"/>
        </w:numPr>
        <w:shd w:val="clear" w:color="auto" w:fill="auto"/>
        <w:bidi w:val="0"/>
        <w:spacing w:before="0" w:after="80" w:line="264" w:lineRule="exact"/>
        <w:ind w:left="260" w:right="0" w:firstLine="0"/>
        <w:jc w:val="left"/>
      </w:pPr>
      <w:bookmarkStart w:id="1166" w:name="bookmark1166"/>
      <w:bookmarkStart w:id="1167" w:name="bookmark1167"/>
      <w:bookmarkStart w:id="1170" w:name="bookmark1170"/>
      <w:bookmarkStart w:id="1171" w:name="bookmark1171"/>
      <w:bookmarkEnd w:id="1170"/>
      <w:r>
        <w:rPr>
          <w:color w:val="000000"/>
          <w:spacing w:val="0"/>
          <w:w w:val="100"/>
          <w:position w:val="0"/>
        </w:rPr>
        <w:t>.</w:t>
      </w:r>
      <w:r>
        <w:rPr>
          <w:color w:val="000000"/>
          <w:spacing w:val="0"/>
          <w:w w:val="100"/>
          <w:position w:val="0"/>
        </w:rPr>
        <w:t>按账龄披露</w:t>
      </w:r>
      <w:bookmarkEnd w:id="1166"/>
      <w:bookmarkEnd w:id="1167"/>
      <w:bookmarkEnd w:id="1171"/>
    </w:p>
    <w:p>
      <w:pPr>
        <w:pStyle w:val="Style2"/>
        <w:keepNext w:val="0"/>
        <w:keepLines w:val="0"/>
        <w:widowControl w:val="0"/>
        <w:shd w:val="clear" w:color="auto" w:fill="auto"/>
        <w:bidi w:val="0"/>
        <w:spacing w:before="0" w:after="0" w:line="276" w:lineRule="auto"/>
        <w:ind w:left="26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276,133,569.07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5,619,353.58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10,199,415.06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948,566.61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17,431,331.86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310,332,236.18</w:t>
            </w:r>
          </w:p>
        </w:tc>
      </w:tr>
    </w:tbl>
    <w:p>
      <w:pPr>
        <w:widowControl w:val="0"/>
        <w:spacing w:after="319" w:line="1" w:lineRule="exact"/>
      </w:pPr>
    </w:p>
    <w:p>
      <w:pPr>
        <w:pStyle w:val="Style35"/>
        <w:keepNext/>
        <w:keepLines/>
        <w:widowControl w:val="0"/>
        <w:numPr>
          <w:ilvl w:val="0"/>
          <w:numId w:val="107"/>
        </w:numPr>
        <w:shd w:val="clear" w:color="auto" w:fill="auto"/>
        <w:bidi w:val="0"/>
        <w:spacing w:before="0" w:after="80" w:line="240" w:lineRule="auto"/>
        <w:ind w:left="26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r>
      <w:r>
        <w:rPr>
          <w:color w:val="000000"/>
          <w:spacing w:val="0"/>
          <w:w w:val="100"/>
          <w:position w:val="0"/>
        </w:rPr>
        <w:t>按坏账计提方法分类披露</w:t>
      </w:r>
      <w:bookmarkEnd w:id="1172"/>
      <w:bookmarkEnd w:id="1173"/>
      <w:bookmarkEnd w:id="1175"/>
    </w:p>
    <w:p>
      <w:pPr>
        <w:pStyle w:val="Style2"/>
        <w:keepNext w:val="0"/>
        <w:keepLines w:val="0"/>
        <w:widowControl w:val="0"/>
        <w:shd w:val="clear" w:color="auto" w:fill="auto"/>
        <w:bidi w:val="0"/>
        <w:spacing w:before="0" w:after="0" w:line="240" w:lineRule="auto"/>
        <w:ind w:left="26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66"/>
        <w:gridCol w:w="1157"/>
        <w:gridCol w:w="442"/>
        <w:gridCol w:w="1075"/>
        <w:gridCol w:w="557"/>
        <w:gridCol w:w="1152"/>
        <w:gridCol w:w="1157"/>
        <w:gridCol w:w="514"/>
        <w:gridCol w:w="1080"/>
        <w:gridCol w:w="552"/>
        <w:gridCol w:w="1166"/>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420" w:right="0" w:firstLine="0"/>
              <w:jc w:val="left"/>
              <w:rPr>
                <w:sz w:val="15"/>
                <w:szCs w:val="15"/>
              </w:rPr>
            </w:pPr>
            <w:r>
              <w:rPr>
                <w:color w:val="000000"/>
                <w:spacing w:val="0"/>
                <w:w w:val="100"/>
                <w:position w:val="0"/>
                <w:sz w:val="15"/>
                <w:szCs w:val="15"/>
              </w:rPr>
              <w:t>账面 价值</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 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 xml:space="preserve">计提 比例 </w:t>
            </w:r>
            <w:r>
              <w:rPr>
                <w:rFonts w:ascii="Times New Roman" w:eastAsia="Times New Roman" w:hAnsi="Times New Roman" w:cs="Times New Roman"/>
                <w:color w:val="000000"/>
                <w:spacing w:val="0"/>
                <w:w w:val="100"/>
                <w:position w:val="0"/>
                <w:sz w:val="15"/>
                <w:szCs w:val="15"/>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 xml:space="preserve">计提 比例 </w:t>
            </w:r>
            <w:r>
              <w:rPr>
                <w:rFonts w:ascii="Times New Roman" w:eastAsia="Times New Roman" w:hAnsi="Times New Roman" w:cs="Times New Roman"/>
                <w:color w:val="000000"/>
                <w:spacing w:val="0"/>
                <w:w w:val="100"/>
                <w:position w:val="0"/>
                <w:sz w:val="15"/>
                <w:szCs w:val="15"/>
              </w:rPr>
              <w:t>(%)</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1"/>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3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按组合计提 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310,332,236.18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31,462,451.03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278,869,785.15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319,487,696.65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32,259,949.46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287,227,747.19</w:t>
            </w:r>
          </w:p>
        </w:tc>
      </w:tr>
      <w:tr>
        <w:trPr>
          <w:trHeight w:val="202" w:hRule="exact"/>
        </w:trPr>
        <w:tc>
          <w:tcPr>
            <w:gridSpan w:val="11"/>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310,332,236.18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31,462,451.03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278,869,785.15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319,487,696.65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32,259,949.46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287,227,747.19</w:t>
            </w: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310,332,236.18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31,462,451.03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278,869,785.15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319,487,696.65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32,259,949.46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287,227,747.19</w:t>
            </w:r>
          </w:p>
        </w:tc>
      </w:tr>
    </w:tbl>
    <w:p>
      <w:pPr>
        <w:widowControl w:val="0"/>
        <w:spacing w:after="219" w:line="1" w:lineRule="exact"/>
      </w:pPr>
    </w:p>
    <w:p>
      <w:pPr>
        <w:pStyle w:val="Style2"/>
        <w:keepNext w:val="0"/>
        <w:keepLines w:val="0"/>
        <w:widowControl w:val="0"/>
        <w:shd w:val="clear" w:color="auto" w:fill="auto"/>
        <w:bidi w:val="0"/>
        <w:spacing w:before="0" w:after="0" w:line="274" w:lineRule="exact"/>
        <w:ind w:left="260" w:right="0" w:firstLine="0"/>
        <w:jc w:val="left"/>
      </w:pPr>
      <w:r>
        <w:rPr>
          <w:color w:val="000000"/>
          <w:spacing w:val="0"/>
          <w:w w:val="100"/>
          <w:position w:val="0"/>
        </w:rPr>
        <w:t>按单项计提坏账准备: 口适用</w:t>
      </w:r>
      <w:r>
        <w:rPr>
          <w:rFonts w:ascii="Times New Roman" w:eastAsia="Times New Roman" w:hAnsi="Times New Roman" w:cs="Times New Roman"/>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26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组合计提项目：账龄组合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276,133,569.07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6,083,157.66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5,619,353.58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833,944.62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14.84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二到三年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10,199,415.06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6,198,785.53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60.78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三到四年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948,566.61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915,231.36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96.49</w:t>
            </w:r>
          </w:p>
        </w:tc>
      </w:tr>
    </w:tbl>
    <w:tbl>
      <w:tblPr>
        <w:tblOverlap w:val="never"/>
        <w:jc w:val="center"/>
        <w:tblLayout w:type="fixed"/>
      </w:tblPr>
      <w:tblGrid>
        <w:gridCol w:w="2045"/>
        <w:gridCol w:w="2256"/>
        <w:gridCol w:w="2290"/>
        <w:gridCol w:w="2246"/>
      </w:tblGrid>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17,431,331.86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17,431,331.86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310,332,236.18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31,462,451.03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20" w:line="269" w:lineRule="exact"/>
        <w:ind w:left="260" w:right="0" w:firstLine="0"/>
        <w:jc w:val="left"/>
      </w:pPr>
      <w:r>
        <w:rPr>
          <w:color w:val="000000"/>
          <w:spacing w:val="0"/>
          <w:w w:val="100"/>
          <w:position w:val="0"/>
        </w:rPr>
        <w:t>按组合计提坏账的确认标准及说明: 口适用</w:t>
      </w:r>
      <w:r>
        <w:rPr>
          <w:rFonts w:ascii="Times New Roman" w:eastAsia="Times New Roman" w:hAnsi="Times New Roman" w:cs="Times New Roman"/>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07"/>
        </w:numPr>
        <w:shd w:val="clear" w:color="auto" w:fill="auto"/>
        <w:bidi w:val="0"/>
        <w:spacing w:before="0" w:after="80" w:line="240" w:lineRule="auto"/>
        <w:ind w:left="26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w:t>
      </w:r>
      <w:r>
        <w:rPr>
          <w:color w:val="000000"/>
          <w:spacing w:val="0"/>
          <w:w w:val="100"/>
          <w:position w:val="0"/>
        </w:rPr>
        <w:t>坏账准备的情况</w:t>
      </w:r>
      <w:bookmarkEnd w:id="1176"/>
      <w:bookmarkEnd w:id="1177"/>
      <w:bookmarkEnd w:id="1179"/>
    </w:p>
    <w:p>
      <w:pPr>
        <w:pStyle w:val="Style2"/>
        <w:keepNext w:val="0"/>
        <w:keepLines w:val="0"/>
        <w:widowControl w:val="0"/>
        <w:shd w:val="clear" w:color="auto" w:fill="auto"/>
        <w:bidi w:val="0"/>
        <w:spacing w:before="0" w:after="0" w:line="240" w:lineRule="auto"/>
        <w:ind w:left="26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627"/>
        <w:gridCol w:w="1435"/>
        <w:gridCol w:w="1440"/>
        <w:gridCol w:w="437"/>
        <w:gridCol w:w="1258"/>
        <w:gridCol w:w="1507"/>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转 销 或 核 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应收账款 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32,259,949.46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1,387,174.49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2,096,052.16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-88,620.75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31,462,451.03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32,259,949.46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1,387,174.49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2,096,052.16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-88,620.75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31,462,451.03</w:t>
            </w:r>
          </w:p>
        </w:tc>
      </w:tr>
    </w:tbl>
    <w:p>
      <w:pPr>
        <w:widowControl w:val="0"/>
        <w:spacing w:after="259" w:line="1" w:lineRule="exact"/>
      </w:pPr>
    </w:p>
    <w:p>
      <w:pPr>
        <w:pStyle w:val="Style2"/>
        <w:keepNext w:val="0"/>
        <w:keepLines w:val="0"/>
        <w:widowControl w:val="0"/>
        <w:shd w:val="clear" w:color="auto" w:fill="auto"/>
        <w:bidi w:val="0"/>
        <w:spacing w:before="0" w:after="320" w:line="269" w:lineRule="exact"/>
        <w:ind w:left="260" w:right="0" w:firstLine="0"/>
        <w:jc w:val="left"/>
      </w:pPr>
      <w:r>
        <w:rPr>
          <w:color w:val="000000"/>
          <w:spacing w:val="0"/>
          <w:w w:val="100"/>
          <w:position w:val="0"/>
        </w:rPr>
        <w:t>其中本期坏账准备收回或转回金额重要的: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07"/>
        </w:numPr>
        <w:shd w:val="clear" w:color="auto" w:fill="auto"/>
        <w:tabs>
          <w:tab w:pos="690" w:val="left"/>
        </w:tabs>
        <w:bidi w:val="0"/>
        <w:spacing w:before="0" w:after="80" w:line="269" w:lineRule="exact"/>
        <w:ind w:left="26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w:t>
      </w:r>
      <w:r>
        <w:rPr>
          <w:color w:val="000000"/>
          <w:spacing w:val="0"/>
          <w:w w:val="100"/>
          <w:position w:val="0"/>
        </w:rPr>
        <w:t>本期实际核销的应收账款情况</w:t>
      </w:r>
      <w:bookmarkEnd w:id="1180"/>
      <w:bookmarkEnd w:id="1181"/>
      <w:bookmarkEnd w:id="1183"/>
    </w:p>
    <w:p>
      <w:pPr>
        <w:pStyle w:val="Style2"/>
        <w:keepNext w:val="0"/>
        <w:keepLines w:val="0"/>
        <w:widowControl w:val="0"/>
        <w:shd w:val="clear" w:color="auto" w:fill="auto"/>
        <w:bidi w:val="0"/>
        <w:spacing w:before="0" w:after="320" w:line="269"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07"/>
        </w:numPr>
        <w:shd w:val="clear" w:color="auto" w:fill="auto"/>
        <w:tabs>
          <w:tab w:pos="690" w:val="left"/>
        </w:tabs>
        <w:bidi w:val="0"/>
        <w:spacing w:before="0" w:after="80" w:line="269" w:lineRule="exact"/>
        <w:ind w:left="0" w:right="0" w:firstLine="26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w:t>
      </w:r>
      <w:r>
        <w:rPr>
          <w:color w:val="000000"/>
          <w:spacing w:val="0"/>
          <w:w w:val="100"/>
          <w:position w:val="0"/>
        </w:rPr>
        <w:t>按欠款方归集的期末余额前五名的应收账款情况</w:t>
      </w:r>
      <w:bookmarkEnd w:id="1184"/>
      <w:bookmarkEnd w:id="1185"/>
      <w:bookmarkEnd w:id="1187"/>
    </w:p>
    <w:p>
      <w:pPr>
        <w:pStyle w:val="Style2"/>
        <w:keepNext w:val="0"/>
        <w:keepLines w:val="0"/>
        <w:widowControl w:val="0"/>
        <w:shd w:val="clear" w:color="auto" w:fill="auto"/>
        <w:tabs>
          <w:tab w:pos="1042" w:val="left"/>
        </w:tabs>
        <w:bidi w:val="0"/>
        <w:spacing w:before="0" w:after="0" w:line="276"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269" w:lineRule="exact"/>
        <w:ind w:left="26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日，按欠款方归集的余额前五名的应收款项合计人民币</w:t>
      </w:r>
      <w:r>
        <w:rPr>
          <w:rFonts w:ascii="Times New Roman" w:eastAsia="Times New Roman" w:hAnsi="Times New Roman" w:cs="Times New Roman"/>
          <w:color w:val="000000"/>
          <w:spacing w:val="0"/>
          <w:w w:val="100"/>
          <w:position w:val="0"/>
        </w:rPr>
        <w:t xml:space="preserve">225,593,001.74 </w:t>
      </w:r>
      <w:r>
        <w:rPr>
          <w:color w:val="000000"/>
          <w:spacing w:val="0"/>
          <w:w w:val="100"/>
          <w:position w:val="0"/>
        </w:rPr>
        <w:t>元，坏账准备金额合计人民币</w:t>
      </w:r>
      <w:r>
        <w:rPr>
          <w:rFonts w:ascii="Times New Roman" w:eastAsia="Times New Roman" w:hAnsi="Times New Roman" w:cs="Times New Roman"/>
          <w:color w:val="000000"/>
          <w:spacing w:val="0"/>
          <w:w w:val="100"/>
          <w:position w:val="0"/>
        </w:rPr>
        <w:t>18,617,565.17</w:t>
      </w:r>
      <w:r>
        <w:rPr>
          <w:color w:val="000000"/>
          <w:spacing w:val="0"/>
          <w:w w:val="100"/>
          <w:position w:val="0"/>
        </w:rPr>
        <w:t>元，占应收账款期末合计数的</w:t>
      </w:r>
      <w:r>
        <w:rPr>
          <w:rFonts w:ascii="Times New Roman" w:eastAsia="Times New Roman" w:hAnsi="Times New Roman" w:cs="Times New Roman"/>
          <w:color w:val="000000"/>
          <w:spacing w:val="0"/>
          <w:w w:val="100"/>
          <w:position w:val="0"/>
        </w:rPr>
        <w:t>72.69%</w:t>
      </w:r>
      <w:r>
        <w:rPr>
          <w:color w:val="000000"/>
          <w:spacing w:val="0"/>
          <w:w w:val="100"/>
          <w:position w:val="0"/>
        </w:rPr>
        <w:t>。</w:t>
      </w:r>
    </w:p>
    <w:p>
      <w:pPr>
        <w:pStyle w:val="Style35"/>
        <w:keepNext/>
        <w:keepLines/>
        <w:widowControl w:val="0"/>
        <w:numPr>
          <w:ilvl w:val="0"/>
          <w:numId w:val="107"/>
        </w:numPr>
        <w:shd w:val="clear" w:color="auto" w:fill="auto"/>
        <w:tabs>
          <w:tab w:pos="690" w:val="left"/>
        </w:tabs>
        <w:bidi w:val="0"/>
        <w:spacing w:before="0" w:after="80" w:line="269" w:lineRule="exact"/>
        <w:ind w:left="0" w:right="0" w:firstLine="26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w:t>
      </w:r>
      <w:r>
        <w:rPr>
          <w:color w:val="000000"/>
          <w:spacing w:val="0"/>
          <w:w w:val="100"/>
          <w:position w:val="0"/>
        </w:rPr>
        <w:t>因金融资产转移而终止确认的应收账款</w:t>
      </w:r>
      <w:bookmarkEnd w:id="1188"/>
      <w:bookmarkEnd w:id="1189"/>
      <w:bookmarkEnd w:id="1191"/>
    </w:p>
    <w:p>
      <w:pPr>
        <w:pStyle w:val="Style2"/>
        <w:keepNext w:val="0"/>
        <w:keepLines w:val="0"/>
        <w:widowControl w:val="0"/>
        <w:shd w:val="clear" w:color="auto" w:fill="auto"/>
        <w:bidi w:val="0"/>
        <w:spacing w:before="0" w:after="260" w:line="269" w:lineRule="exact"/>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07"/>
        </w:numPr>
        <w:shd w:val="clear" w:color="auto" w:fill="auto"/>
        <w:tabs>
          <w:tab w:pos="690" w:val="left"/>
        </w:tabs>
        <w:bidi w:val="0"/>
        <w:spacing w:before="0" w:after="80" w:line="269" w:lineRule="exact"/>
        <w:ind w:left="0" w:right="0" w:firstLine="26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w:t>
      </w:r>
      <w:r>
        <w:rPr>
          <w:color w:val="000000"/>
          <w:spacing w:val="0"/>
          <w:w w:val="100"/>
          <w:position w:val="0"/>
        </w:rPr>
        <w:t>转移应收账款且继续涉入形成的资产、负债金额</w:t>
      </w:r>
      <w:bookmarkEnd w:id="1192"/>
      <w:bookmarkEnd w:id="1193"/>
      <w:bookmarkEnd w:id="1195"/>
    </w:p>
    <w:p>
      <w:pPr>
        <w:pStyle w:val="Style2"/>
        <w:keepNext w:val="0"/>
        <w:keepLines w:val="0"/>
        <w:widowControl w:val="0"/>
        <w:shd w:val="clear" w:color="auto" w:fill="auto"/>
        <w:bidi w:val="0"/>
        <w:spacing w:before="0" w:after="0" w:line="269" w:lineRule="exact"/>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69" w:lineRule="exact"/>
        <w:ind w:left="0" w:right="0" w:firstLine="260"/>
        <w:jc w:val="left"/>
      </w:pPr>
      <w:bookmarkStart w:id="1196" w:name="bookmark1196"/>
      <w:bookmarkStart w:id="1197" w:name="bookmark1197"/>
      <w:bookmarkStart w:id="1198" w:name="bookmark1198"/>
      <w:bookmarkStart w:id="1199" w:name="bookmark1199"/>
      <w:r>
        <w:rPr>
          <w:color w:val="000000"/>
          <w:spacing w:val="0"/>
          <w:w w:val="100"/>
          <w:position w:val="0"/>
        </w:rPr>
        <w:t>6</w:t>
      </w:r>
      <w:bookmarkEnd w:id="1198"/>
      <w:r>
        <w:rPr>
          <w:color w:val="000000"/>
          <w:spacing w:val="0"/>
          <w:w w:val="100"/>
          <w:position w:val="0"/>
        </w:rPr>
        <w:t>、应收款项融资</w:t>
      </w:r>
      <w:bookmarkEnd w:id="1196"/>
      <w:bookmarkEnd w:id="1197"/>
      <w:bookmarkEnd w:id="1199"/>
    </w:p>
    <w:p>
      <w:pPr>
        <w:pStyle w:val="Style2"/>
        <w:keepNext w:val="0"/>
        <w:keepLines w:val="0"/>
        <w:widowControl w:val="0"/>
        <w:shd w:val="clear" w:color="auto" w:fill="auto"/>
        <w:bidi w:val="0"/>
        <w:spacing w:before="0" w:after="320" w:line="269"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80" w:line="240" w:lineRule="auto"/>
        <w:ind w:left="0" w:right="0" w:firstLine="260"/>
        <w:jc w:val="left"/>
      </w:pPr>
      <w:bookmarkStart w:id="1200" w:name="bookmark1200"/>
      <w:bookmarkStart w:id="1201" w:name="bookmark1201"/>
      <w:bookmarkStart w:id="1202" w:name="bookmark1202"/>
      <w:bookmarkStart w:id="1203" w:name="bookmark1203"/>
      <w:r>
        <w:rPr>
          <w:color w:val="000000"/>
          <w:spacing w:val="0"/>
          <w:w w:val="100"/>
          <w:position w:val="0"/>
        </w:rPr>
        <w:t>7</w:t>
      </w:r>
      <w:bookmarkEnd w:id="1202"/>
      <w:r>
        <w:rPr>
          <w:color w:val="000000"/>
          <w:spacing w:val="0"/>
          <w:w w:val="100"/>
          <w:position w:val="0"/>
        </w:rPr>
        <w:t>、预付款项</w:t>
      </w:r>
      <w:bookmarkEnd w:id="1200"/>
      <w:bookmarkEnd w:id="1201"/>
      <w:bookmarkEnd w:id="1203"/>
    </w:p>
    <w:p>
      <w:pPr>
        <w:pStyle w:val="Style35"/>
        <w:keepNext/>
        <w:keepLines/>
        <w:widowControl w:val="0"/>
        <w:numPr>
          <w:ilvl w:val="0"/>
          <w:numId w:val="109"/>
        </w:numPr>
        <w:shd w:val="clear" w:color="auto" w:fill="auto"/>
        <w:bidi w:val="0"/>
        <w:spacing w:before="0" w:after="80" w:line="240" w:lineRule="auto"/>
        <w:ind w:left="0" w:right="0" w:firstLine="260"/>
        <w:jc w:val="left"/>
      </w:pPr>
      <w:bookmarkStart w:id="1200" w:name="bookmark1200"/>
      <w:bookmarkStart w:id="1201" w:name="bookmark1201"/>
      <w:bookmarkStart w:id="1204" w:name="bookmark1204"/>
      <w:bookmarkStart w:id="1205" w:name="bookmark1205"/>
      <w:bookmarkEnd w:id="1204"/>
      <w:r>
        <w:rPr>
          <w:color w:val="000000"/>
          <w:spacing w:val="0"/>
          <w:w w:val="100"/>
          <w:position w:val="0"/>
        </w:rPr>
        <w:t>.</w:t>
      </w:r>
      <w:r>
        <w:rPr>
          <w:color w:val="000000"/>
          <w:spacing w:val="0"/>
          <w:w w:val="100"/>
          <w:position w:val="0"/>
        </w:rPr>
        <w:t>预付款项按账龄列示</w:t>
      </w:r>
      <w:bookmarkEnd w:id="1200"/>
      <w:bookmarkEnd w:id="1201"/>
      <w:bookmarkEnd w:id="1205"/>
    </w:p>
    <w:p>
      <w:pPr>
        <w:pStyle w:val="Style2"/>
        <w:keepNext w:val="0"/>
        <w:keepLines w:val="0"/>
        <w:widowControl w:val="0"/>
        <w:shd w:val="clear" w:color="auto" w:fill="auto"/>
        <w:bidi w:val="0"/>
        <w:spacing w:before="0" w:after="18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9,102,717.62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14,141,104.17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73.88%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26.12%</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9,102,717.62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19,141,104.17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26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58"/>
        <w:keepNext w:val="0"/>
        <w:keepLines w:val="0"/>
        <w:widowControl w:val="0"/>
        <w:shd w:val="clear" w:color="auto" w:fill="auto"/>
        <w:bidi w:val="0"/>
        <w:spacing w:before="0" w:after="300" w:line="288" w:lineRule="exact"/>
        <w:ind w:left="260" w:right="0" w:firstLine="0"/>
        <w:jc w:val="left"/>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日，本集团无账龄超过一年的预付款项</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 xml:space="preserve">5,000,000.00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35"/>
        <w:keepNext/>
        <w:keepLines/>
        <w:widowControl w:val="0"/>
        <w:numPr>
          <w:ilvl w:val="0"/>
          <w:numId w:val="109"/>
        </w:numPr>
        <w:shd w:val="clear" w:color="auto" w:fill="auto"/>
        <w:bidi w:val="0"/>
        <w:spacing w:before="0" w:after="100" w:line="278" w:lineRule="exact"/>
        <w:ind w:left="26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r>
      <w:r>
        <w:rPr>
          <w:color w:val="000000"/>
          <w:spacing w:val="0"/>
          <w:w w:val="100"/>
          <w:position w:val="0"/>
        </w:rPr>
        <w:t>按预付对象归集的期末余额前五名的预付款情况</w:t>
      </w:r>
      <w:bookmarkEnd w:id="1206"/>
      <w:bookmarkEnd w:id="1207"/>
      <w:bookmarkEnd w:id="1209"/>
    </w:p>
    <w:p>
      <w:pPr>
        <w:pStyle w:val="Style2"/>
        <w:keepNext w:val="0"/>
        <w:keepLines w:val="0"/>
        <w:widowControl w:val="0"/>
        <w:shd w:val="clear" w:color="auto" w:fill="auto"/>
        <w:tabs>
          <w:tab w:pos="1042" w:val="left"/>
        </w:tabs>
        <w:bidi w:val="0"/>
        <w:spacing w:before="0" w:after="0" w:line="290" w:lineRule="auto"/>
        <w:ind w:left="26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00" w:line="278" w:lineRule="exact"/>
        <w:ind w:left="26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日，期末余额前五名的预付款项合计人民币</w:t>
      </w:r>
      <w:r>
        <w:rPr>
          <w:rFonts w:ascii="Times New Roman" w:eastAsia="Times New Roman" w:hAnsi="Times New Roman" w:cs="Times New Roman"/>
          <w:color w:val="000000"/>
          <w:spacing w:val="0"/>
          <w:w w:val="100"/>
          <w:position w:val="0"/>
        </w:rPr>
        <w:t>5,515,899.54</w:t>
      </w:r>
      <w:r>
        <w:rPr>
          <w:color w:val="000000"/>
          <w:spacing w:val="0"/>
          <w:w w:val="100"/>
          <w:position w:val="0"/>
        </w:rPr>
        <w:t>元，占预付款 项期末合计数的</w:t>
      </w:r>
      <w:r>
        <w:rPr>
          <w:rFonts w:ascii="Times New Roman" w:eastAsia="Times New Roman" w:hAnsi="Times New Roman" w:cs="Times New Roman"/>
          <w:color w:val="000000"/>
          <w:spacing w:val="0"/>
          <w:w w:val="100"/>
          <w:position w:val="0"/>
        </w:rPr>
        <w:t>60.60%</w:t>
      </w:r>
      <w:r>
        <w:rPr>
          <w:color w:val="000000"/>
          <w:spacing w:val="0"/>
          <w:w w:val="100"/>
          <w:position w:val="0"/>
        </w:rPr>
        <w:t>。</w:t>
      </w:r>
    </w:p>
    <w:p>
      <w:pPr>
        <w:pStyle w:val="Style2"/>
        <w:keepNext w:val="0"/>
        <w:keepLines w:val="0"/>
        <w:widowControl w:val="0"/>
        <w:shd w:val="clear" w:color="auto" w:fill="auto"/>
        <w:bidi w:val="0"/>
        <w:spacing w:before="0" w:after="0" w:line="278"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00" w:line="278" w:lineRule="exact"/>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8" w:lineRule="exact"/>
        <w:ind w:left="0" w:right="0" w:firstLine="260"/>
        <w:jc w:val="left"/>
      </w:pPr>
      <w:bookmarkStart w:id="1210" w:name="bookmark1210"/>
      <w:bookmarkStart w:id="1211" w:name="bookmark1211"/>
      <w:bookmarkStart w:id="1212" w:name="bookmark1212"/>
      <w:bookmarkStart w:id="1213" w:name="bookmark1213"/>
      <w:r>
        <w:rPr>
          <w:color w:val="000000"/>
          <w:spacing w:val="0"/>
          <w:w w:val="100"/>
          <w:position w:val="0"/>
        </w:rPr>
        <w:t>8</w:t>
      </w:r>
      <w:bookmarkEnd w:id="1212"/>
      <w:r>
        <w:rPr>
          <w:color w:val="000000"/>
          <w:spacing w:val="0"/>
          <w:w w:val="100"/>
          <w:position w:val="0"/>
        </w:rPr>
        <w:t>、其他应收款</w:t>
      </w:r>
      <w:bookmarkEnd w:id="1210"/>
      <w:bookmarkEnd w:id="1211"/>
      <w:bookmarkEnd w:id="1213"/>
    </w:p>
    <w:p>
      <w:pPr>
        <w:pStyle w:val="Style35"/>
        <w:keepNext/>
        <w:keepLines/>
        <w:widowControl w:val="0"/>
        <w:shd w:val="clear" w:color="auto" w:fill="auto"/>
        <w:bidi w:val="0"/>
        <w:spacing w:before="0" w:after="100" w:line="278" w:lineRule="exact"/>
        <w:ind w:left="0" w:right="0" w:firstLine="260"/>
        <w:jc w:val="left"/>
      </w:pPr>
      <w:bookmarkStart w:id="1210" w:name="bookmark1210"/>
      <w:bookmarkStart w:id="1211" w:name="bookmark1211"/>
      <w:bookmarkStart w:id="1214" w:name="bookmark1214"/>
      <w:r>
        <w:rPr>
          <w:color w:val="000000"/>
          <w:spacing w:val="0"/>
          <w:w w:val="100"/>
          <w:position w:val="0"/>
        </w:rPr>
        <w:t>项目列示</w:t>
      </w:r>
      <w:bookmarkEnd w:id="1210"/>
      <w:bookmarkEnd w:id="1211"/>
      <w:bookmarkEnd w:id="1214"/>
    </w:p>
    <w:p>
      <w:pPr>
        <w:pStyle w:val="Style2"/>
        <w:keepNext w:val="0"/>
        <w:keepLines w:val="0"/>
        <w:widowControl w:val="0"/>
        <w:shd w:val="clear" w:color="auto" w:fill="auto"/>
        <w:bidi w:val="0"/>
        <w:spacing w:before="0" w:after="0" w:line="290" w:lineRule="auto"/>
        <w:ind w:left="26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1,874,350.10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32,790,516.29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4,015,974.98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32,808,408.70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5,890,325.08</w:t>
            </w:r>
          </w:p>
        </w:tc>
      </w:tr>
    </w:tbl>
    <w:p>
      <w:pPr>
        <w:widowControl w:val="0"/>
        <w:spacing w:after="219" w:line="1" w:lineRule="exact"/>
      </w:pPr>
    </w:p>
    <w:p>
      <w:pPr>
        <w:pStyle w:val="Style2"/>
        <w:keepNext w:val="0"/>
        <w:keepLines w:val="0"/>
        <w:widowControl w:val="0"/>
        <w:shd w:val="clear" w:color="auto" w:fill="auto"/>
        <w:bidi w:val="0"/>
        <w:spacing w:before="0" w:after="40" w:line="288" w:lineRule="exact"/>
        <w:ind w:left="26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88" w:lineRule="exact"/>
        <w:ind w:left="260" w:right="0" w:firstLine="0"/>
        <w:jc w:val="left"/>
      </w:pPr>
      <w:r>
        <w:rPr>
          <w:b/>
          <w:bCs/>
          <w:color w:val="000000"/>
          <w:spacing w:val="0"/>
          <w:w w:val="100"/>
          <w:position w:val="0"/>
        </w:rPr>
        <w:t>应收利息</w:t>
      </w:r>
    </w:p>
    <w:p>
      <w:pPr>
        <w:pStyle w:val="Style2"/>
        <w:keepNext w:val="0"/>
        <w:keepLines w:val="0"/>
        <w:widowControl w:val="0"/>
        <w:numPr>
          <w:ilvl w:val="0"/>
          <w:numId w:val="111"/>
        </w:numPr>
        <w:shd w:val="clear" w:color="auto" w:fill="auto"/>
        <w:tabs>
          <w:tab w:pos="690" w:val="left"/>
        </w:tabs>
        <w:bidi w:val="0"/>
        <w:spacing w:before="0" w:after="40" w:line="288" w:lineRule="exact"/>
        <w:ind w:left="0" w:right="0" w:firstLine="260"/>
        <w:jc w:val="left"/>
      </w:pPr>
      <w:bookmarkStart w:id="1215" w:name="bookmark1215"/>
      <w:bookmarkEnd w:id="1215"/>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40" w:line="288"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690" w:val="left"/>
        </w:tabs>
        <w:bidi w:val="0"/>
        <w:spacing w:before="0" w:after="40" w:line="288" w:lineRule="exact"/>
        <w:ind w:left="0" w:right="0" w:firstLine="260"/>
        <w:jc w:val="left"/>
      </w:pPr>
      <w:bookmarkStart w:id="1216" w:name="bookmark1216"/>
      <w:bookmarkEnd w:id="1216"/>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40" w:line="288"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690" w:val="left"/>
        </w:tabs>
        <w:bidi w:val="0"/>
        <w:spacing w:before="0" w:after="100" w:line="288" w:lineRule="exact"/>
        <w:ind w:left="0" w:right="0" w:firstLine="260"/>
        <w:jc w:val="left"/>
      </w:pPr>
      <w:bookmarkStart w:id="1217" w:name="bookmark1217"/>
      <w:bookmarkEnd w:id="1217"/>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40" w:line="288" w:lineRule="exact"/>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690" w:val="left"/>
        </w:tabs>
        <w:bidi w:val="0"/>
        <w:spacing w:before="0" w:after="40" w:line="288" w:lineRule="exact"/>
        <w:ind w:left="0" w:right="0" w:firstLine="260"/>
        <w:jc w:val="left"/>
      </w:pPr>
      <w:bookmarkStart w:id="1218" w:name="bookmark1218"/>
      <w:bookmarkEnd w:id="1218"/>
      <w:r>
        <w:rPr>
          <w:b/>
          <w:bCs/>
          <w:color w:val="000000"/>
          <w:spacing w:val="0"/>
          <w:w w:val="100"/>
          <w:position w:val="0"/>
        </w:rPr>
        <w:t>.</w:t>
      </w:r>
      <w:r>
        <w:rPr>
          <w:b/>
          <w:bCs/>
          <w:color w:val="000000"/>
          <w:spacing w:val="0"/>
          <w:w w:val="100"/>
          <w:position w:val="0"/>
        </w:rPr>
        <w:t>应收股利</w:t>
      </w:r>
    </w:p>
    <w:p>
      <w:pPr>
        <w:pStyle w:val="Style2"/>
        <w:keepNext w:val="0"/>
        <w:keepLines w:val="0"/>
        <w:widowControl w:val="0"/>
        <w:shd w:val="clear" w:color="auto" w:fill="auto"/>
        <w:bidi w:val="0"/>
        <w:spacing w:before="0" w:after="40" w:line="288"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690" w:val="left"/>
        </w:tabs>
        <w:bidi w:val="0"/>
        <w:spacing w:before="0" w:after="40" w:line="288" w:lineRule="exact"/>
        <w:ind w:left="0" w:right="0" w:firstLine="260"/>
        <w:jc w:val="left"/>
      </w:pPr>
      <w:bookmarkStart w:id="1219" w:name="bookmark1219"/>
      <w:bookmarkEnd w:id="1219"/>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40" w:line="288" w:lineRule="exact"/>
        <w:ind w:left="0" w:right="0" w:firstLine="26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r>
        <w:br w:type="page"/>
      </w:r>
    </w:p>
    <w:p>
      <w:pPr>
        <w:pStyle w:val="Style35"/>
        <w:keepNext/>
        <w:keepLines/>
        <w:widowControl w:val="0"/>
        <w:numPr>
          <w:ilvl w:val="0"/>
          <w:numId w:val="111"/>
        </w:numPr>
        <w:shd w:val="clear" w:color="auto" w:fill="auto"/>
        <w:tabs>
          <w:tab w:pos="690" w:val="left"/>
        </w:tabs>
        <w:bidi w:val="0"/>
        <w:spacing w:before="0" w:after="40" w:line="274" w:lineRule="exact"/>
        <w:ind w:left="26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w:t>
      </w:r>
      <w:r>
        <w:rPr>
          <w:color w:val="000000"/>
          <w:spacing w:val="0"/>
          <w:w w:val="100"/>
          <w:position w:val="0"/>
        </w:rPr>
        <w:t>坏账准备计提情况</w:t>
      </w:r>
      <w:bookmarkEnd w:id="1220"/>
      <w:bookmarkEnd w:id="1221"/>
      <w:bookmarkEnd w:id="1223"/>
    </w:p>
    <w:p>
      <w:pPr>
        <w:pStyle w:val="Style2"/>
        <w:keepNext w:val="0"/>
        <w:keepLines w:val="0"/>
        <w:widowControl w:val="0"/>
        <w:shd w:val="clear" w:color="auto" w:fill="auto"/>
        <w:bidi w:val="0"/>
        <w:spacing w:before="0" w:after="0" w:line="274" w:lineRule="exact"/>
        <w:ind w:left="2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26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4" w:lineRule="exact"/>
        <w:ind w:left="260" w:right="0" w:firstLine="0"/>
        <w:jc w:val="left"/>
      </w:pPr>
      <w:bookmarkStart w:id="1224" w:name="bookmark1224"/>
      <w:bookmarkStart w:id="1225" w:name="bookmark1225"/>
      <w:bookmarkStart w:id="1226" w:name="bookmark1226"/>
      <w:r>
        <w:rPr>
          <w:color w:val="000000"/>
          <w:spacing w:val="0"/>
          <w:w w:val="100"/>
          <w:position w:val="0"/>
        </w:rPr>
        <w:t>其他应收款</w:t>
      </w:r>
      <w:bookmarkEnd w:id="1224"/>
      <w:bookmarkEnd w:id="1225"/>
      <w:bookmarkEnd w:id="1226"/>
    </w:p>
    <w:p>
      <w:pPr>
        <w:pStyle w:val="Style35"/>
        <w:keepNext/>
        <w:keepLines/>
        <w:widowControl w:val="0"/>
        <w:numPr>
          <w:ilvl w:val="0"/>
          <w:numId w:val="111"/>
        </w:numPr>
        <w:shd w:val="clear" w:color="auto" w:fill="auto"/>
        <w:tabs>
          <w:tab w:pos="690" w:val="left"/>
        </w:tabs>
        <w:bidi w:val="0"/>
        <w:spacing w:before="0" w:after="100" w:line="274" w:lineRule="exact"/>
        <w:ind w:left="0" w:right="0" w:firstLine="260"/>
        <w:jc w:val="left"/>
      </w:pPr>
      <w:bookmarkStart w:id="1224" w:name="bookmark1224"/>
      <w:bookmarkStart w:id="1225" w:name="bookmark1225"/>
      <w:bookmarkStart w:id="1227" w:name="bookmark1227"/>
      <w:bookmarkStart w:id="1228" w:name="bookmark1228"/>
      <w:bookmarkEnd w:id="1227"/>
      <w:r>
        <w:rPr>
          <w:color w:val="000000"/>
          <w:spacing w:val="0"/>
          <w:w w:val="100"/>
          <w:position w:val="0"/>
        </w:rPr>
        <w:t>.</w:t>
      </w:r>
      <w:r>
        <w:rPr>
          <w:color w:val="000000"/>
          <w:spacing w:val="0"/>
          <w:w w:val="100"/>
          <w:position w:val="0"/>
        </w:rPr>
        <w:t>按账龄披露</w:t>
      </w:r>
      <w:bookmarkEnd w:id="1224"/>
      <w:bookmarkEnd w:id="1225"/>
      <w:bookmarkEnd w:id="1228"/>
    </w:p>
    <w:p>
      <w:pPr>
        <w:pStyle w:val="Style2"/>
        <w:keepNext w:val="0"/>
        <w:keepLines w:val="0"/>
        <w:widowControl w:val="0"/>
        <w:shd w:val="clear" w:color="auto" w:fill="auto"/>
        <w:bidi w:val="0"/>
        <w:spacing w:before="0" w:after="0" w:line="286"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32,648,210.44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72,970.92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154,569.65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20,208.30</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407,622.96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33,303,732.27</w:t>
            </w:r>
          </w:p>
        </w:tc>
      </w:tr>
    </w:tbl>
    <w:p>
      <w:pPr>
        <w:widowControl w:val="0"/>
        <w:spacing w:after="599" w:line="1" w:lineRule="exact"/>
      </w:pPr>
    </w:p>
    <w:p>
      <w:pPr>
        <w:pStyle w:val="Style35"/>
        <w:keepNext/>
        <w:keepLines/>
        <w:widowControl w:val="0"/>
        <w:numPr>
          <w:ilvl w:val="0"/>
          <w:numId w:val="111"/>
        </w:numPr>
        <w:shd w:val="clear" w:color="auto" w:fill="auto"/>
        <w:bidi w:val="0"/>
        <w:spacing w:before="0" w:after="100" w:line="240" w:lineRule="auto"/>
        <w:ind w:left="0" w:right="0" w:firstLine="26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按款项性质分类情况</w:t>
      </w:r>
      <w:bookmarkEnd w:id="1229"/>
      <w:bookmarkEnd w:id="1230"/>
      <w:bookmarkEnd w:id="1232"/>
    </w:p>
    <w:p>
      <w:pPr>
        <w:pStyle w:val="Style2"/>
        <w:keepNext w:val="0"/>
        <w:keepLines w:val="0"/>
        <w:widowControl w:val="0"/>
        <w:shd w:val="clear" w:color="auto" w:fill="auto"/>
        <w:bidi w:val="0"/>
        <w:spacing w:before="0" w:after="4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投标保证金及押金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29,853,000.00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1,519,198.00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1,961,732.08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1,487,841.41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455,309.70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297,274.50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应收租赁收入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316,584.00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1,015,798.08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879,690.03</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33,285,839.86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4,500,587.94</w:t>
            </w:r>
          </w:p>
        </w:tc>
      </w:tr>
    </w:tbl>
    <w:p>
      <w:pPr>
        <w:widowControl w:val="0"/>
        <w:spacing w:after="319" w:line="1" w:lineRule="exact"/>
      </w:pPr>
    </w:p>
    <w:p>
      <w:pPr>
        <w:pStyle w:val="Style35"/>
        <w:keepNext/>
        <w:keepLines/>
        <w:widowControl w:val="0"/>
        <w:numPr>
          <w:ilvl w:val="0"/>
          <w:numId w:val="111"/>
        </w:numPr>
        <w:shd w:val="clear" w:color="auto" w:fill="auto"/>
        <w:bidi w:val="0"/>
        <w:spacing w:before="0" w:after="100" w:line="240" w:lineRule="auto"/>
        <w:ind w:left="0" w:right="0" w:firstLine="26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w:t>
      </w:r>
      <w:r>
        <w:rPr>
          <w:color w:val="000000"/>
          <w:spacing w:val="0"/>
          <w:w w:val="100"/>
          <w:position w:val="0"/>
        </w:rPr>
        <w:t>坏账准备计提情况</w:t>
      </w:r>
      <w:bookmarkEnd w:id="1233"/>
      <w:bookmarkEnd w:id="1234"/>
      <w:bookmarkEnd w:id="1236"/>
    </w:p>
    <w:p>
      <w:pPr>
        <w:pStyle w:val="Style2"/>
        <w:keepNext w:val="0"/>
        <w:keepLines w:val="0"/>
        <w:widowControl w:val="0"/>
        <w:shd w:val="clear" w:color="auto" w:fill="auto"/>
        <w:bidi w:val="0"/>
        <w:spacing w:before="0" w:after="4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52"/>
        <w:gridCol w:w="1584"/>
        <w:gridCol w:w="1920"/>
        <w:gridCol w:w="1925"/>
        <w:gridCol w:w="165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 用减值</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 用减值</w:t>
            </w:r>
            <w:r>
              <w:rPr>
                <w:color w:val="000000"/>
                <w:spacing w:val="0"/>
                <w:w w:val="100"/>
                <w:position w:val="0"/>
              </w:rPr>
              <w:t>)</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58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154,700.00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329,912.96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484,612.96</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154,700.00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329,912.96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484,612.96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10,458.55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252.06</w:t>
            </w: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165,410.61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329,912.96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495,323.57</w:t>
            </w:r>
          </w:p>
        </w:tc>
      </w:tr>
    </w:tbl>
    <w:p>
      <w:pPr>
        <w:pStyle w:val="Style2"/>
        <w:keepNext w:val="0"/>
        <w:keepLines w:val="0"/>
        <w:widowControl w:val="0"/>
        <w:shd w:val="clear" w:color="auto" w:fill="auto"/>
        <w:bidi w:val="0"/>
        <w:spacing w:before="0" w:after="240" w:line="274" w:lineRule="exact"/>
        <w:ind w:left="260" w:right="0" w:firstLine="0"/>
        <w:jc w:val="left"/>
      </w:pPr>
      <w:r>
        <w:rPr>
          <w:color w:val="000000"/>
          <w:spacing w:val="0"/>
          <w:w w:val="100"/>
          <w:position w:val="0"/>
        </w:rPr>
        <w:t>对本期发生损失准备变动的其他应收款账面余额显著变动的情况说明：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83" w:lineRule="exact"/>
        <w:ind w:left="260" w:right="0" w:firstLine="0"/>
        <w:jc w:val="left"/>
      </w:pPr>
      <w:r>
        <w:rPr>
          <w:color w:val="000000"/>
          <w:spacing w:val="0"/>
          <w:w w:val="100"/>
          <w:position w:val="0"/>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11"/>
        </w:numPr>
        <w:shd w:val="clear" w:color="auto" w:fill="auto"/>
        <w:bidi w:val="0"/>
        <w:spacing w:before="0" w:after="100" w:line="278" w:lineRule="exact"/>
        <w:ind w:left="26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 xml:space="preserve">. </w:t>
      </w:r>
      <w:r>
        <w:rPr>
          <w:color w:val="000000"/>
          <w:spacing w:val="0"/>
          <w:w w:val="100"/>
          <w:position w:val="0"/>
        </w:rPr>
        <w:t>坏账准备的情况</w:t>
      </w:r>
      <w:bookmarkEnd w:id="1237"/>
      <w:bookmarkEnd w:id="1238"/>
      <w:bookmarkEnd w:id="1240"/>
    </w:p>
    <w:p>
      <w:pPr>
        <w:pStyle w:val="Style2"/>
        <w:keepNext w:val="0"/>
        <w:keepLines w:val="0"/>
        <w:widowControl w:val="0"/>
        <w:shd w:val="clear" w:color="auto" w:fill="auto"/>
        <w:bidi w:val="0"/>
        <w:spacing w:before="0" w:after="0" w:line="290" w:lineRule="auto"/>
        <w:ind w:left="26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07"/>
        <w:gridCol w:w="1205"/>
        <w:gridCol w:w="1306"/>
        <w:gridCol w:w="1200"/>
        <w:gridCol w:w="1210"/>
        <w:gridCol w:w="1200"/>
        <w:gridCol w:w="1210"/>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484,612.96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10,458.55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495,323.57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484,612.96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10,458.55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495,323.57</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260" w:right="0" w:firstLine="0"/>
        <w:jc w:val="left"/>
      </w:pPr>
      <w:r>
        <w:rPr>
          <w:color w:val="000000"/>
          <w:spacing w:val="0"/>
          <w:w w:val="100"/>
          <w:position w:val="0"/>
        </w:rPr>
        <w:t>其中本期坏账准备转回或收回金额重要的: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11"/>
        </w:numPr>
        <w:shd w:val="clear" w:color="auto" w:fill="auto"/>
        <w:tabs>
          <w:tab w:pos="796" w:val="left"/>
          <w:tab w:pos="1060" w:val="left"/>
        </w:tabs>
        <w:bidi w:val="0"/>
        <w:spacing w:before="0" w:after="100" w:line="240" w:lineRule="auto"/>
        <w:ind w:left="26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w:t>
        <w:tab/>
      </w:r>
      <w:r>
        <w:rPr>
          <w:color w:val="000000"/>
          <w:spacing w:val="0"/>
          <w:w w:val="100"/>
          <w:position w:val="0"/>
        </w:rPr>
        <w:t>本期实际核销的其他应收款情况</w:t>
      </w:r>
      <w:bookmarkEnd w:id="1241"/>
      <w:bookmarkEnd w:id="1242"/>
      <w:bookmarkEnd w:id="1244"/>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796" w:val="left"/>
          <w:tab w:pos="1060" w:val="left"/>
        </w:tabs>
        <w:bidi w:val="0"/>
        <w:spacing w:before="0" w:after="100" w:line="240" w:lineRule="auto"/>
        <w:ind w:left="0" w:right="0" w:firstLine="260"/>
        <w:jc w:val="left"/>
      </w:pPr>
      <w:bookmarkStart w:id="1245" w:name="bookmark1245"/>
      <w:bookmarkEnd w:id="1245"/>
      <w:r>
        <w:rPr>
          <w:b/>
          <w:bCs/>
          <w:color w:val="000000"/>
          <w:spacing w:val="0"/>
          <w:w w:val="100"/>
          <w:position w:val="0"/>
        </w:rPr>
        <w:t>.</w:t>
        <w:tab/>
      </w:r>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1560"/>
        <w:gridCol w:w="1560"/>
        <w:gridCol w:w="1277"/>
        <w:gridCol w:w="1277"/>
        <w:gridCol w:w="1603"/>
      </w:tblGrid>
      <w:tr>
        <w:trPr>
          <w:trHeight w:val="11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占其他应收 款期末余额 合计数的比 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22,248,000.00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6,480,000.00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940,933.80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9,409.34</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690,885.32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6,908.85</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31,484,819.12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16,318.19</w:t>
            </w:r>
          </w:p>
        </w:tc>
      </w:tr>
    </w:tbl>
    <w:p>
      <w:pPr>
        <w:widowControl w:val="0"/>
        <w:spacing w:after="319" w:line="1" w:lineRule="exact"/>
      </w:pPr>
    </w:p>
    <w:p>
      <w:pPr>
        <w:pStyle w:val="Style35"/>
        <w:keepNext/>
        <w:keepLines/>
        <w:widowControl w:val="0"/>
        <w:numPr>
          <w:ilvl w:val="0"/>
          <w:numId w:val="111"/>
        </w:numPr>
        <w:shd w:val="clear" w:color="auto" w:fill="auto"/>
        <w:tabs>
          <w:tab w:pos="796" w:val="left"/>
          <w:tab w:pos="1060" w:val="left"/>
        </w:tabs>
        <w:bidi w:val="0"/>
        <w:spacing w:before="0" w:after="100" w:line="240" w:lineRule="auto"/>
        <w:ind w:left="0" w:right="0" w:firstLine="26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w:t>
        <w:tab/>
      </w:r>
      <w:r>
        <w:rPr>
          <w:color w:val="000000"/>
          <w:spacing w:val="0"/>
          <w:w w:val="100"/>
          <w:position w:val="0"/>
        </w:rPr>
        <w:t>涉及政府补助的应收款项</w:t>
      </w:r>
      <w:bookmarkEnd w:id="1246"/>
      <w:bookmarkEnd w:id="1247"/>
      <w:bookmarkEnd w:id="1249"/>
    </w:p>
    <w:p>
      <w:pPr>
        <w:pStyle w:val="Style2"/>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11"/>
        </w:numPr>
        <w:shd w:val="clear" w:color="auto" w:fill="auto"/>
        <w:tabs>
          <w:tab w:pos="796" w:val="left"/>
          <w:tab w:pos="1060" w:val="left"/>
        </w:tabs>
        <w:bidi w:val="0"/>
        <w:spacing w:before="0" w:after="100" w:line="240" w:lineRule="auto"/>
        <w:ind w:left="0" w:right="0" w:firstLine="26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w:t>
        <w:tab/>
      </w:r>
      <w:r>
        <w:rPr>
          <w:color w:val="000000"/>
          <w:spacing w:val="0"/>
          <w:w w:val="100"/>
          <w:position w:val="0"/>
        </w:rPr>
        <w:t>因金融资产转移而终止确认的其他应收款</w:t>
      </w:r>
      <w:bookmarkEnd w:id="1250"/>
      <w:bookmarkEnd w:id="1251"/>
      <w:bookmarkEnd w:id="1253"/>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11"/>
        </w:numPr>
        <w:shd w:val="clear" w:color="auto" w:fill="auto"/>
        <w:tabs>
          <w:tab w:pos="796" w:val="left"/>
          <w:tab w:pos="1060" w:val="left"/>
        </w:tabs>
        <w:bidi w:val="0"/>
        <w:spacing w:before="0" w:after="100" w:line="240" w:lineRule="auto"/>
        <w:ind w:left="0" w:right="0" w:firstLine="26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tab/>
      </w:r>
      <w:r>
        <w:rPr>
          <w:color w:val="000000"/>
          <w:spacing w:val="0"/>
          <w:w w:val="100"/>
          <w:position w:val="0"/>
        </w:rPr>
        <w:t>转移其他应收款且继续涉入形成的资产、负债的金额</w:t>
      </w:r>
      <w:bookmarkEnd w:id="1254"/>
      <w:bookmarkEnd w:id="1255"/>
      <w:bookmarkEnd w:id="1257"/>
    </w:p>
    <w:p>
      <w:pPr>
        <w:pStyle w:val="Style2"/>
        <w:keepNext w:val="0"/>
        <w:keepLines w:val="0"/>
        <w:widowControl w:val="0"/>
        <w:shd w:val="clear" w:color="auto" w:fill="auto"/>
        <w:tabs>
          <w:tab w:pos="1060" w:val="left"/>
        </w:tabs>
        <w:bidi w:val="0"/>
        <w:spacing w:before="0" w:after="320" w:line="240" w:lineRule="auto"/>
        <w:ind w:left="0" w:right="0" w:firstLine="26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tabs>
          <w:tab w:pos="1060" w:val="left"/>
        </w:tabs>
        <w:bidi w:val="0"/>
        <w:spacing w:before="0" w:after="180" w:line="240" w:lineRule="auto"/>
        <w:ind w:left="0" w:right="0" w:firstLine="26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260"/>
        <w:jc w:val="left"/>
      </w:pPr>
      <w:bookmarkStart w:id="1258" w:name="bookmark1258"/>
      <w:bookmarkStart w:id="1259" w:name="bookmark1259"/>
      <w:bookmarkStart w:id="1260" w:name="bookmark1260"/>
      <w:bookmarkStart w:id="1261" w:name="bookmark1261"/>
      <w:r>
        <w:rPr>
          <w:color w:val="000000"/>
          <w:spacing w:val="0"/>
          <w:w w:val="100"/>
          <w:position w:val="0"/>
        </w:rPr>
        <w:t>9</w:t>
      </w:r>
      <w:bookmarkEnd w:id="1260"/>
      <w:r>
        <w:rPr>
          <w:color w:val="000000"/>
          <w:spacing w:val="0"/>
          <w:w w:val="100"/>
          <w:position w:val="0"/>
        </w:rPr>
        <w:t>、存货</w:t>
      </w:r>
      <w:bookmarkEnd w:id="1258"/>
      <w:bookmarkEnd w:id="1259"/>
      <w:bookmarkEnd w:id="1261"/>
    </w:p>
    <w:p>
      <w:pPr>
        <w:pStyle w:val="Style35"/>
        <w:keepNext/>
        <w:keepLines/>
        <w:widowControl w:val="0"/>
        <w:numPr>
          <w:ilvl w:val="0"/>
          <w:numId w:val="113"/>
        </w:numPr>
        <w:shd w:val="clear" w:color="auto" w:fill="auto"/>
        <w:bidi w:val="0"/>
        <w:spacing w:before="0" w:after="100" w:line="240" w:lineRule="auto"/>
        <w:ind w:left="0" w:right="0" w:firstLine="260"/>
        <w:jc w:val="left"/>
      </w:pPr>
      <w:bookmarkStart w:id="1258" w:name="bookmark1258"/>
      <w:bookmarkStart w:id="1259" w:name="bookmark1259"/>
      <w:bookmarkStart w:id="1262" w:name="bookmark1262"/>
      <w:bookmarkStart w:id="1263" w:name="bookmark1263"/>
      <w:bookmarkEnd w:id="1262"/>
      <w:r>
        <w:rPr>
          <w:color w:val="000000"/>
          <w:spacing w:val="0"/>
          <w:w w:val="100"/>
          <w:position w:val="0"/>
        </w:rPr>
        <w:t>.</w:t>
      </w:r>
      <w:r>
        <w:rPr>
          <w:color w:val="000000"/>
          <w:spacing w:val="0"/>
          <w:w w:val="100"/>
          <w:position w:val="0"/>
        </w:rPr>
        <w:t>存货分类</w:t>
      </w:r>
      <w:bookmarkEnd w:id="1258"/>
      <w:bookmarkEnd w:id="1259"/>
      <w:bookmarkEnd w:id="1263"/>
    </w:p>
    <w:p>
      <w:pPr>
        <w:pStyle w:val="Style2"/>
        <w:keepNext w:val="0"/>
        <w:keepLines w:val="0"/>
        <w:widowControl w:val="0"/>
        <w:shd w:val="clear" w:color="auto" w:fill="auto"/>
        <w:bidi w:val="0"/>
        <w:spacing w:before="0" w:after="40" w:line="240" w:lineRule="auto"/>
        <w:ind w:left="0" w:right="0" w:firstLine="26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6800" w:right="0" w:firstLine="0"/>
        <w:jc w:val="left"/>
      </w:pPr>
      <w:r>
        <w:rPr>
          <w:color w:val="000000"/>
          <w:spacing w:val="0"/>
          <w:w w:val="100"/>
          <w:position w:val="0"/>
        </w:rPr>
        <w:t>单位：元 币种：人民币</w:t>
      </w:r>
    </w:p>
    <w:tbl>
      <w:tblPr>
        <w:tblOverlap w:val="never"/>
        <w:jc w:val="center"/>
        <w:tblLayout w:type="fixed"/>
      </w:tblPr>
      <w:tblGrid>
        <w:gridCol w:w="1022"/>
        <w:gridCol w:w="1339"/>
        <w:gridCol w:w="1219"/>
        <w:gridCol w:w="1344"/>
        <w:gridCol w:w="1339"/>
        <w:gridCol w:w="1224"/>
        <w:gridCol w:w="1349"/>
      </w:tblGrid>
      <w:tr>
        <w:trPr>
          <w:trHeight w:val="22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存货跌价准备 /合同履约成 本减值准备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存货跌价准备 /合同履约成 本减值准备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账面价值</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383,430,387.53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74,191,426.94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309,238,960.59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308,219,570.22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72,685,098.49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235,534,471.73</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201,796,923.46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201,796,923.46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325,937,075.67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325,937,075.67</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498,665,200.98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4,911,598.12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493,753,602.86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548,362,590.26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27,578,255.54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520,784,334.72</w:t>
            </w:r>
          </w:p>
        </w:tc>
      </w:tr>
      <w:tr>
        <w:trPr>
          <w:trHeight w:val="2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82,498,491.84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23,423,102.92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59,075,388.92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14,750,034.62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9,034,211.15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5,715,823.47</w:t>
            </w:r>
          </w:p>
        </w:tc>
      </w:tr>
      <w:tr>
        <w:trPr>
          <w:trHeight w:val="2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1,166,391,003.81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102,526,127.98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1,063,864,875.83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1,197,269,270.77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109,297,565.18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1,087,971,705.59</w:t>
            </w:r>
          </w:p>
        </w:tc>
      </w:tr>
    </w:tbl>
    <w:p>
      <w:pPr>
        <w:widowControl w:val="0"/>
        <w:spacing w:after="299" w:line="1" w:lineRule="exact"/>
      </w:pPr>
    </w:p>
    <w:p>
      <w:pPr>
        <w:pStyle w:val="Style35"/>
        <w:keepNext/>
        <w:keepLines/>
        <w:widowControl w:val="0"/>
        <w:numPr>
          <w:ilvl w:val="0"/>
          <w:numId w:val="113"/>
        </w:numPr>
        <w:shd w:val="clear" w:color="auto" w:fill="auto"/>
        <w:bidi w:val="0"/>
        <w:spacing w:before="0" w:after="100" w:line="240" w:lineRule="auto"/>
        <w:ind w:left="0" w:right="0" w:firstLine="26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存货跌价准备及合同履约成本减值准备</w:t>
      </w:r>
      <w:bookmarkEnd w:id="1264"/>
      <w:bookmarkEnd w:id="1265"/>
      <w:bookmarkEnd w:id="1267"/>
    </w:p>
    <w:p>
      <w:pPr>
        <w:pStyle w:val="Style2"/>
        <w:keepNext w:val="0"/>
        <w:keepLines w:val="0"/>
        <w:widowControl w:val="0"/>
        <w:shd w:val="clear" w:color="auto" w:fill="auto"/>
        <w:bidi w:val="0"/>
        <w:spacing w:before="0" w:after="40" w:line="240" w:lineRule="auto"/>
        <w:ind w:left="0" w:right="0" w:firstLine="26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800" w:right="0" w:firstLine="0"/>
        <w:jc w:val="left"/>
      </w:pPr>
      <w:r>
        <w:rPr>
          <w:color w:val="000000"/>
          <w:spacing w:val="0"/>
          <w:w w:val="100"/>
          <w:position w:val="0"/>
        </w:rPr>
        <w:t>单位：元币种：人民币</w:t>
      </w:r>
    </w:p>
    <w:tbl>
      <w:tblPr>
        <w:tblOverlap w:val="never"/>
        <w:jc w:val="center"/>
        <w:tblLayout w:type="fixed"/>
      </w:tblPr>
      <w:tblGrid>
        <w:gridCol w:w="989"/>
        <w:gridCol w:w="1416"/>
        <w:gridCol w:w="1277"/>
        <w:gridCol w:w="1138"/>
        <w:gridCol w:w="1272"/>
        <w:gridCol w:w="1277"/>
        <w:gridCol w:w="1469"/>
      </w:tblGrid>
      <w:tr>
        <w:trPr>
          <w:trHeight w:val="25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转回或转销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right w:val="single" w:sz="4"/>
            </w:tcBorders>
            <w:shd w:val="clear" w:color="auto" w:fill="FFFFFF"/>
            <w:vAlign w:val="center"/>
          </w:tcPr>
          <w:p>
            <w:pP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72,685,098.49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9,674,151.07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7,947,405.01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220,417.61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74,191,426.94</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27,578,255.54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6,662,333.45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16,004,323.97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4,911,598.12</w:t>
            </w:r>
          </w:p>
        </w:tc>
      </w:tr>
      <w:tr>
        <w:trPr>
          <w:trHeight w:val="2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9,034,211.15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16,004,323.97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1,615,432.20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23,423,102.92</w:t>
            </w:r>
          </w:p>
        </w:tc>
      </w:tr>
      <w:tr>
        <w:trPr>
          <w:trHeight w:val="2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109,297,565.18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9,674,151.07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16,004,323.97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16,225,170.66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16,224,741.58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102,526,127.98</w:t>
            </w:r>
          </w:p>
        </w:tc>
      </w:tr>
    </w:tbl>
    <w:p>
      <w:pPr>
        <w:widowControl w:val="0"/>
        <w:spacing w:after="239" w:line="1" w:lineRule="exact"/>
      </w:pPr>
    </w:p>
    <w:p>
      <w:pPr>
        <w:pStyle w:val="Style35"/>
        <w:keepNext/>
        <w:keepLines/>
        <w:widowControl w:val="0"/>
        <w:numPr>
          <w:ilvl w:val="0"/>
          <w:numId w:val="113"/>
        </w:numPr>
        <w:shd w:val="clear" w:color="auto" w:fill="auto"/>
        <w:tabs>
          <w:tab w:pos="690" w:val="left"/>
        </w:tabs>
        <w:bidi w:val="0"/>
        <w:spacing w:before="0" w:after="40" w:line="274" w:lineRule="exact"/>
        <w:ind w:left="0" w:right="0" w:firstLine="26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w:t>
      </w:r>
      <w:r>
        <w:rPr>
          <w:color w:val="000000"/>
          <w:spacing w:val="0"/>
          <w:w w:val="100"/>
          <w:position w:val="0"/>
        </w:rPr>
        <w:t>存货期末余额含有借款费用资本化金额的说明</w:t>
      </w:r>
      <w:bookmarkEnd w:id="1268"/>
      <w:bookmarkEnd w:id="1269"/>
      <w:bookmarkEnd w:id="1271"/>
    </w:p>
    <w:p>
      <w:pPr>
        <w:pStyle w:val="Style2"/>
        <w:keepNext w:val="0"/>
        <w:keepLines w:val="0"/>
        <w:widowControl w:val="0"/>
        <w:shd w:val="clear" w:color="auto" w:fill="auto"/>
        <w:bidi w:val="0"/>
        <w:spacing w:before="0" w:after="40" w:line="274" w:lineRule="exact"/>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3"/>
        </w:numPr>
        <w:shd w:val="clear" w:color="auto" w:fill="auto"/>
        <w:tabs>
          <w:tab w:pos="690" w:val="left"/>
        </w:tabs>
        <w:bidi w:val="0"/>
        <w:spacing w:before="0" w:after="40" w:line="274" w:lineRule="exact"/>
        <w:ind w:left="0" w:right="0" w:firstLine="260"/>
        <w:jc w:val="left"/>
      </w:pPr>
      <w:bookmarkStart w:id="1272" w:name="bookmark1272"/>
      <w:bookmarkEnd w:id="1272"/>
      <w:r>
        <w:rPr>
          <w:b/>
          <w:bCs/>
          <w:color w:val="000000"/>
          <w:spacing w:val="0"/>
          <w:w w:val="100"/>
          <w:position w:val="0"/>
        </w:rPr>
        <w:t>.</w:t>
      </w:r>
      <w:r>
        <w:rPr>
          <w:b/>
          <w:bCs/>
          <w:color w:val="000000"/>
          <w:spacing w:val="0"/>
          <w:w w:val="100"/>
          <w:position w:val="0"/>
        </w:rPr>
        <w:t>合同履约成本本期摊销金额的说明</w:t>
      </w:r>
    </w:p>
    <w:p>
      <w:pPr>
        <w:pStyle w:val="Style2"/>
        <w:keepNext w:val="0"/>
        <w:keepLines w:val="0"/>
        <w:widowControl w:val="0"/>
        <w:shd w:val="clear" w:color="auto" w:fill="auto"/>
        <w:bidi w:val="0"/>
        <w:spacing w:before="0" w:after="0" w:line="274"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2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724" w:val="left"/>
        </w:tabs>
        <w:bidi w:val="0"/>
        <w:spacing w:before="0" w:after="40" w:line="274" w:lineRule="exact"/>
        <w:ind w:left="0" w:right="0" w:firstLine="260"/>
        <w:jc w:val="left"/>
      </w:pPr>
      <w:bookmarkStart w:id="1273" w:name="bookmark1273"/>
      <w:bookmarkStart w:id="1274" w:name="bookmark1274"/>
      <w:bookmarkStart w:id="1275" w:name="bookmark1275"/>
      <w:bookmarkStart w:id="1276" w:name="bookmark1276"/>
      <w:r>
        <w:rPr>
          <w:color w:val="000000"/>
          <w:spacing w:val="0"/>
          <w:w w:val="100"/>
          <w:position w:val="0"/>
        </w:rPr>
        <w:t>1</w:t>
      </w:r>
      <w:bookmarkEnd w:id="1275"/>
      <w:r>
        <w:rPr>
          <w:color w:val="000000"/>
          <w:spacing w:val="0"/>
          <w:w w:val="100"/>
          <w:position w:val="0"/>
        </w:rPr>
        <w:t>0、</w:t>
        <w:tab/>
        <w:t>合同资产</w:t>
      </w:r>
      <w:bookmarkEnd w:id="1273"/>
      <w:bookmarkEnd w:id="1274"/>
      <w:bookmarkEnd w:id="1276"/>
    </w:p>
    <w:p>
      <w:pPr>
        <w:pStyle w:val="Style35"/>
        <w:keepNext/>
        <w:keepLines/>
        <w:widowControl w:val="0"/>
        <w:numPr>
          <w:ilvl w:val="0"/>
          <w:numId w:val="115"/>
        </w:numPr>
        <w:shd w:val="clear" w:color="auto" w:fill="auto"/>
        <w:tabs>
          <w:tab w:pos="690" w:val="left"/>
        </w:tabs>
        <w:bidi w:val="0"/>
        <w:spacing w:before="0" w:after="40" w:line="274" w:lineRule="exact"/>
        <w:ind w:left="0" w:right="0" w:firstLine="260"/>
        <w:jc w:val="left"/>
      </w:pPr>
      <w:bookmarkStart w:id="1273" w:name="bookmark1273"/>
      <w:bookmarkStart w:id="1274" w:name="bookmark1274"/>
      <w:bookmarkStart w:id="1277" w:name="bookmark1277"/>
      <w:bookmarkStart w:id="1278" w:name="bookmark1278"/>
      <w:bookmarkEnd w:id="1277"/>
      <w:r>
        <w:rPr>
          <w:color w:val="000000"/>
          <w:spacing w:val="0"/>
          <w:w w:val="100"/>
          <w:position w:val="0"/>
        </w:rPr>
        <w:t>.</w:t>
      </w:r>
      <w:r>
        <w:rPr>
          <w:color w:val="000000"/>
          <w:spacing w:val="0"/>
          <w:w w:val="100"/>
          <w:position w:val="0"/>
        </w:rPr>
        <w:t>合同资产情况</w:t>
      </w:r>
      <w:bookmarkEnd w:id="1273"/>
      <w:bookmarkEnd w:id="1274"/>
      <w:bookmarkEnd w:id="1278"/>
    </w:p>
    <w:p>
      <w:pPr>
        <w:pStyle w:val="Style2"/>
        <w:keepNext w:val="0"/>
        <w:keepLines w:val="0"/>
        <w:widowControl w:val="0"/>
        <w:shd w:val="clear" w:color="auto" w:fill="auto"/>
        <w:bidi w:val="0"/>
        <w:spacing w:before="0" w:after="40" w:line="274"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690" w:val="left"/>
        </w:tabs>
        <w:bidi w:val="0"/>
        <w:spacing w:before="0" w:after="40" w:line="274" w:lineRule="exact"/>
        <w:ind w:left="0" w:right="0" w:firstLine="260"/>
        <w:jc w:val="left"/>
      </w:pPr>
      <w:bookmarkStart w:id="1279" w:name="bookmark1279"/>
      <w:bookmarkEnd w:id="1279"/>
      <w:r>
        <w:rPr>
          <w:b/>
          <w:bCs/>
          <w:color w:val="000000"/>
          <w:spacing w:val="0"/>
          <w:w w:val="100"/>
          <w:position w:val="0"/>
        </w:rPr>
        <w:t>.</w:t>
      </w:r>
      <w:r>
        <w:rPr>
          <w:b/>
          <w:bCs/>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40" w:line="274"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690" w:val="left"/>
        </w:tabs>
        <w:bidi w:val="0"/>
        <w:spacing w:before="0" w:after="40" w:line="274" w:lineRule="exact"/>
        <w:ind w:left="0" w:right="0" w:firstLine="260"/>
        <w:jc w:val="left"/>
      </w:pPr>
      <w:bookmarkStart w:id="1280" w:name="bookmark1280"/>
      <w:bookmarkEnd w:id="1280"/>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0" w:line="274" w:lineRule="exact"/>
        <w:ind w:left="0" w:right="0" w:firstLine="26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260" w:right="0" w:firstLine="0"/>
        <w:jc w:val="left"/>
      </w:pPr>
      <w:r>
        <w:rPr>
          <w:color w:val="000000"/>
          <w:spacing w:val="0"/>
          <w:w w:val="100"/>
          <w:position w:val="0"/>
        </w:rPr>
        <w:t>如按预期信用损失一般模型计提坏账准备，请参照其他应收款披露: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2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724" w:val="left"/>
        </w:tabs>
        <w:bidi w:val="0"/>
        <w:spacing w:before="0" w:after="40" w:line="274" w:lineRule="exact"/>
        <w:ind w:left="0" w:right="0" w:firstLine="260"/>
        <w:jc w:val="left"/>
      </w:pPr>
      <w:bookmarkStart w:id="1281" w:name="bookmark1281"/>
      <w:bookmarkStart w:id="1282" w:name="bookmark1282"/>
      <w:bookmarkStart w:id="1283" w:name="bookmark1283"/>
      <w:bookmarkStart w:id="1284" w:name="bookmark1284"/>
      <w:r>
        <w:rPr>
          <w:color w:val="000000"/>
          <w:spacing w:val="0"/>
          <w:w w:val="100"/>
          <w:position w:val="0"/>
        </w:rPr>
        <w:t>1</w:t>
      </w:r>
      <w:bookmarkEnd w:id="1283"/>
      <w:r>
        <w:rPr>
          <w:color w:val="000000"/>
          <w:spacing w:val="0"/>
          <w:w w:val="100"/>
          <w:position w:val="0"/>
        </w:rPr>
        <w:t>1、</w:t>
        <w:tab/>
        <w:t>持有待售资产</w:t>
      </w:r>
      <w:bookmarkEnd w:id="1281"/>
      <w:bookmarkEnd w:id="1282"/>
      <w:bookmarkEnd w:id="1284"/>
    </w:p>
    <w:p>
      <w:pPr>
        <w:pStyle w:val="Style2"/>
        <w:keepNext w:val="0"/>
        <w:keepLines w:val="0"/>
        <w:widowControl w:val="0"/>
        <w:shd w:val="clear" w:color="auto" w:fill="auto"/>
        <w:bidi w:val="0"/>
        <w:spacing w:before="0" w:after="40" w:line="274"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724" w:val="left"/>
        </w:tabs>
        <w:bidi w:val="0"/>
        <w:spacing w:before="0" w:after="40" w:line="274" w:lineRule="exact"/>
        <w:ind w:left="0" w:right="0" w:firstLine="260"/>
        <w:jc w:val="left"/>
      </w:pPr>
      <w:bookmarkStart w:id="1285" w:name="bookmark1285"/>
      <w:bookmarkStart w:id="1286" w:name="bookmark1286"/>
      <w:bookmarkStart w:id="1287" w:name="bookmark1287"/>
      <w:bookmarkStart w:id="1288" w:name="bookmark1288"/>
      <w:r>
        <w:rPr>
          <w:color w:val="000000"/>
          <w:spacing w:val="0"/>
          <w:w w:val="100"/>
          <w:position w:val="0"/>
        </w:rPr>
        <w:t>1</w:t>
      </w:r>
      <w:bookmarkEnd w:id="1287"/>
      <w:r>
        <w:rPr>
          <w:color w:val="000000"/>
          <w:spacing w:val="0"/>
          <w:w w:val="100"/>
          <w:position w:val="0"/>
        </w:rPr>
        <w:t>2、</w:t>
        <w:tab/>
        <w:t>一年内到期的非流动资产</w:t>
      </w:r>
      <w:bookmarkEnd w:id="1285"/>
      <w:bookmarkEnd w:id="1286"/>
      <w:bookmarkEnd w:id="1288"/>
    </w:p>
    <w:p>
      <w:pPr>
        <w:pStyle w:val="Style2"/>
        <w:keepNext w:val="0"/>
        <w:keepLines w:val="0"/>
        <w:widowControl w:val="0"/>
        <w:shd w:val="clear" w:color="auto" w:fill="auto"/>
        <w:bidi w:val="0"/>
        <w:spacing w:before="0" w:after="0" w:line="274"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26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300" w:line="271" w:lineRule="exact"/>
        <w:ind w:left="240" w:right="0" w:firstLine="2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 其他说明 无。</w:t>
      </w:r>
    </w:p>
    <w:p>
      <w:pPr>
        <w:pStyle w:val="Style35"/>
        <w:keepNext/>
        <w:keepLines/>
        <w:widowControl w:val="0"/>
        <w:shd w:val="clear" w:color="auto" w:fill="auto"/>
        <w:bidi w:val="0"/>
        <w:spacing w:before="0" w:after="100" w:line="271" w:lineRule="exact"/>
        <w:ind w:left="240" w:right="0" w:firstLine="20"/>
        <w:jc w:val="both"/>
      </w:pPr>
      <w:bookmarkStart w:id="1289" w:name="bookmark1289"/>
      <w:bookmarkStart w:id="1290" w:name="bookmark1290"/>
      <w:bookmarkStart w:id="1291" w:name="bookmark1291"/>
      <w:bookmarkStart w:id="1292" w:name="bookmark1292"/>
      <w:r>
        <w:rPr>
          <w:color w:val="000000"/>
          <w:spacing w:val="0"/>
          <w:w w:val="100"/>
          <w:position w:val="0"/>
        </w:rPr>
        <w:t>1</w:t>
      </w:r>
      <w:bookmarkEnd w:id="1291"/>
      <w:r>
        <w:rPr>
          <w:color w:val="000000"/>
          <w:spacing w:val="0"/>
          <w:w w:val="100"/>
          <w:position w:val="0"/>
        </w:rPr>
        <w:t>3、其他流动资产</w:t>
      </w:r>
      <w:bookmarkEnd w:id="1289"/>
      <w:bookmarkEnd w:id="1290"/>
      <w:bookmarkEnd w:id="1292"/>
    </w:p>
    <w:p>
      <w:pPr>
        <w:pStyle w:val="Style2"/>
        <w:keepNext w:val="0"/>
        <w:keepLines w:val="0"/>
        <w:widowControl w:val="0"/>
        <w:shd w:val="clear" w:color="auto" w:fill="auto"/>
        <w:bidi w:val="0"/>
        <w:spacing w:before="0" w:after="0" w:line="271" w:lineRule="exact"/>
        <w:ind w:left="240" w:right="0" w:firstLine="2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40,014,368.52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18,038,803.02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29,182,016.92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36,273,879.05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1,444,824.58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70,641,210.02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54,312,682.07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5"/>
        <w:keepNext/>
        <w:keepLines/>
        <w:widowControl w:val="0"/>
        <w:shd w:val="clear" w:color="auto" w:fill="auto"/>
        <w:tabs>
          <w:tab w:pos="704" w:val="left"/>
        </w:tabs>
        <w:bidi w:val="0"/>
        <w:spacing w:before="0" w:after="100" w:line="240" w:lineRule="auto"/>
        <w:ind w:left="0" w:right="0" w:firstLine="240"/>
        <w:jc w:val="left"/>
      </w:pPr>
      <w:bookmarkStart w:id="1293" w:name="bookmark1293"/>
      <w:bookmarkStart w:id="1294" w:name="bookmark1294"/>
      <w:bookmarkStart w:id="1295" w:name="bookmark1295"/>
      <w:bookmarkStart w:id="1296" w:name="bookmark1296"/>
      <w:r>
        <w:rPr>
          <w:color w:val="000000"/>
          <w:spacing w:val="0"/>
          <w:w w:val="100"/>
          <w:position w:val="0"/>
        </w:rPr>
        <w:t>1</w:t>
      </w:r>
      <w:bookmarkEnd w:id="1295"/>
      <w:r>
        <w:rPr>
          <w:color w:val="000000"/>
          <w:spacing w:val="0"/>
          <w:w w:val="100"/>
          <w:position w:val="0"/>
        </w:rPr>
        <w:t>4、</w:t>
        <w:tab/>
        <w:t>债权投资</w:t>
      </w:r>
      <w:bookmarkEnd w:id="1293"/>
      <w:bookmarkEnd w:id="1294"/>
      <w:bookmarkEnd w:id="1296"/>
    </w:p>
    <w:p>
      <w:pPr>
        <w:pStyle w:val="Style35"/>
        <w:keepNext/>
        <w:keepLines/>
        <w:widowControl w:val="0"/>
        <w:numPr>
          <w:ilvl w:val="0"/>
          <w:numId w:val="117"/>
        </w:numPr>
        <w:shd w:val="clear" w:color="auto" w:fill="auto"/>
        <w:tabs>
          <w:tab w:pos="670" w:val="left"/>
        </w:tabs>
        <w:bidi w:val="0"/>
        <w:spacing w:before="0" w:after="100" w:line="240" w:lineRule="auto"/>
        <w:ind w:left="0" w:right="0" w:firstLine="240"/>
        <w:jc w:val="left"/>
      </w:pPr>
      <w:bookmarkStart w:id="1293" w:name="bookmark1293"/>
      <w:bookmarkStart w:id="1294" w:name="bookmark1294"/>
      <w:bookmarkStart w:id="1297" w:name="bookmark1297"/>
      <w:bookmarkStart w:id="1298" w:name="bookmark1298"/>
      <w:bookmarkEnd w:id="1297"/>
      <w:r>
        <w:rPr>
          <w:color w:val="000000"/>
          <w:spacing w:val="0"/>
          <w:w w:val="100"/>
          <w:position w:val="0"/>
        </w:rPr>
        <w:t>.</w:t>
      </w:r>
      <w:r>
        <w:rPr>
          <w:color w:val="000000"/>
          <w:spacing w:val="0"/>
          <w:w w:val="100"/>
          <w:position w:val="0"/>
        </w:rPr>
        <w:t>债权投资情况</w:t>
      </w:r>
      <w:bookmarkEnd w:id="1293"/>
      <w:bookmarkEnd w:id="1294"/>
      <w:bookmarkEnd w:id="1298"/>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670" w:val="left"/>
        </w:tabs>
        <w:bidi w:val="0"/>
        <w:spacing w:before="0" w:after="100" w:line="240" w:lineRule="auto"/>
        <w:ind w:left="0" w:right="0" w:firstLine="240"/>
        <w:jc w:val="left"/>
      </w:pPr>
      <w:bookmarkStart w:id="1299" w:name="bookmark1299"/>
      <w:bookmarkEnd w:id="1299"/>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670" w:val="left"/>
        </w:tabs>
        <w:bidi w:val="0"/>
        <w:spacing w:before="0" w:after="100" w:line="240" w:lineRule="auto"/>
        <w:ind w:left="0" w:right="0" w:firstLine="240"/>
        <w:jc w:val="left"/>
      </w:pPr>
      <w:bookmarkStart w:id="1300" w:name="bookmark1300"/>
      <w:bookmarkEnd w:id="1300"/>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704" w:val="left"/>
        </w:tabs>
        <w:bidi w:val="0"/>
        <w:spacing w:before="0" w:after="100" w:line="240" w:lineRule="auto"/>
        <w:ind w:left="0" w:right="0" w:firstLine="240"/>
        <w:jc w:val="left"/>
      </w:pPr>
      <w:bookmarkStart w:id="1301" w:name="bookmark1301"/>
      <w:bookmarkStart w:id="1302" w:name="bookmark1302"/>
      <w:bookmarkStart w:id="1303" w:name="bookmark1303"/>
      <w:bookmarkStart w:id="1304" w:name="bookmark1304"/>
      <w:r>
        <w:rPr>
          <w:color w:val="000000"/>
          <w:spacing w:val="0"/>
          <w:w w:val="100"/>
          <w:position w:val="0"/>
        </w:rPr>
        <w:t>1</w:t>
      </w:r>
      <w:bookmarkEnd w:id="1303"/>
      <w:r>
        <w:rPr>
          <w:color w:val="000000"/>
          <w:spacing w:val="0"/>
          <w:w w:val="100"/>
          <w:position w:val="0"/>
        </w:rPr>
        <w:t>5、</w:t>
        <w:tab/>
        <w:t>其他债权投资</w:t>
      </w:r>
      <w:bookmarkEnd w:id="1301"/>
      <w:bookmarkEnd w:id="1302"/>
      <w:bookmarkEnd w:id="1304"/>
    </w:p>
    <w:p>
      <w:pPr>
        <w:pStyle w:val="Style35"/>
        <w:keepNext/>
        <w:keepLines/>
        <w:widowControl w:val="0"/>
        <w:numPr>
          <w:ilvl w:val="0"/>
          <w:numId w:val="119"/>
        </w:numPr>
        <w:shd w:val="clear" w:color="auto" w:fill="auto"/>
        <w:tabs>
          <w:tab w:pos="670" w:val="left"/>
        </w:tabs>
        <w:bidi w:val="0"/>
        <w:spacing w:before="0" w:after="100" w:line="240" w:lineRule="auto"/>
        <w:ind w:left="0" w:right="0" w:firstLine="240"/>
        <w:jc w:val="left"/>
      </w:pPr>
      <w:bookmarkStart w:id="1301" w:name="bookmark1301"/>
      <w:bookmarkStart w:id="1302" w:name="bookmark1302"/>
      <w:bookmarkStart w:id="1305" w:name="bookmark1305"/>
      <w:bookmarkStart w:id="1306" w:name="bookmark1306"/>
      <w:bookmarkEnd w:id="1305"/>
      <w:r>
        <w:rPr>
          <w:color w:val="000000"/>
          <w:spacing w:val="0"/>
          <w:w w:val="100"/>
          <w:position w:val="0"/>
        </w:rPr>
        <w:t>.</w:t>
      </w:r>
      <w:r>
        <w:rPr>
          <w:color w:val="000000"/>
          <w:spacing w:val="0"/>
          <w:w w:val="100"/>
          <w:position w:val="0"/>
        </w:rPr>
        <w:t>其他债权投资情况</w:t>
      </w:r>
      <w:bookmarkEnd w:id="1301"/>
      <w:bookmarkEnd w:id="1302"/>
      <w:bookmarkEnd w:id="1306"/>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670" w:val="left"/>
        </w:tabs>
        <w:bidi w:val="0"/>
        <w:spacing w:before="0" w:after="100" w:line="240" w:lineRule="auto"/>
        <w:ind w:left="0" w:right="0" w:firstLine="240"/>
        <w:jc w:val="left"/>
      </w:pPr>
      <w:bookmarkStart w:id="1307" w:name="bookmark1307"/>
      <w:bookmarkEnd w:id="1307"/>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670" w:val="left"/>
        </w:tabs>
        <w:bidi w:val="0"/>
        <w:spacing w:before="0" w:after="100" w:line="240" w:lineRule="auto"/>
        <w:ind w:left="0" w:right="0" w:firstLine="240"/>
        <w:jc w:val="left"/>
      </w:pPr>
      <w:bookmarkStart w:id="1308" w:name="bookmark1308"/>
      <w:bookmarkEnd w:id="1308"/>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704" w:val="left"/>
        </w:tabs>
        <w:bidi w:val="0"/>
        <w:spacing w:before="0" w:after="100" w:line="240" w:lineRule="auto"/>
        <w:ind w:left="0" w:right="0" w:firstLine="240"/>
        <w:jc w:val="left"/>
      </w:pPr>
      <w:bookmarkStart w:id="1309" w:name="bookmark1309"/>
      <w:bookmarkStart w:id="1310" w:name="bookmark1310"/>
      <w:bookmarkStart w:id="1311" w:name="bookmark1311"/>
      <w:bookmarkStart w:id="1312" w:name="bookmark1312"/>
      <w:r>
        <w:rPr>
          <w:color w:val="000000"/>
          <w:spacing w:val="0"/>
          <w:w w:val="100"/>
          <w:position w:val="0"/>
        </w:rPr>
        <w:t>1</w:t>
      </w:r>
      <w:bookmarkEnd w:id="1311"/>
      <w:r>
        <w:rPr>
          <w:color w:val="000000"/>
          <w:spacing w:val="0"/>
          <w:w w:val="100"/>
          <w:position w:val="0"/>
        </w:rPr>
        <w:t>6、</w:t>
        <w:tab/>
        <w:t>长期应收款</w:t>
      </w:r>
      <w:bookmarkEnd w:id="1309"/>
      <w:bookmarkEnd w:id="1310"/>
      <w:bookmarkEnd w:id="1312"/>
    </w:p>
    <w:p>
      <w:pPr>
        <w:pStyle w:val="Style35"/>
        <w:keepNext/>
        <w:keepLines/>
        <w:widowControl w:val="0"/>
        <w:numPr>
          <w:ilvl w:val="0"/>
          <w:numId w:val="121"/>
        </w:numPr>
        <w:shd w:val="clear" w:color="auto" w:fill="auto"/>
        <w:bidi w:val="0"/>
        <w:spacing w:before="0" w:after="100" w:line="240" w:lineRule="auto"/>
        <w:ind w:left="0" w:right="0" w:firstLine="240"/>
        <w:jc w:val="left"/>
      </w:pPr>
      <w:bookmarkStart w:id="1309" w:name="bookmark1309"/>
      <w:bookmarkStart w:id="1310" w:name="bookmark1310"/>
      <w:bookmarkStart w:id="1313" w:name="bookmark1313"/>
      <w:bookmarkStart w:id="1314" w:name="bookmark1314"/>
      <w:bookmarkEnd w:id="1313"/>
      <w:r>
        <w:rPr>
          <w:color w:val="000000"/>
          <w:spacing w:val="0"/>
          <w:w w:val="100"/>
          <w:position w:val="0"/>
        </w:rPr>
        <w:t>.长期应收款情况</w:t>
      </w:r>
      <w:bookmarkEnd w:id="1309"/>
      <w:bookmarkEnd w:id="1310"/>
      <w:bookmarkEnd w:id="1314"/>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00"/>
        <w:gridCol w:w="3168"/>
        <w:gridCol w:w="3168"/>
        <w:gridCol w:w="701"/>
      </w:tblGrid>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810"/>
        <w:gridCol w:w="1200"/>
        <w:gridCol w:w="763"/>
        <w:gridCol w:w="1205"/>
        <w:gridCol w:w="1200"/>
        <w:gridCol w:w="763"/>
        <w:gridCol w:w="1200"/>
        <w:gridCol w:w="701"/>
      </w:tblGrid>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折现 率区 间</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应收产品销售款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10,453,858.06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10,453,858.06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24,563,933.20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24,563,933.20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其他押金及保证金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6,922,190.50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6,922,190.50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6,687,259.38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6,687,259.38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32,208,048.56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32,208,048.56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31,251,192.58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31,251,192.58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w:t>
            </w:r>
          </w:p>
        </w:tc>
      </w:tr>
    </w:tbl>
    <w:p>
      <w:pPr>
        <w:widowControl w:val="0"/>
        <w:spacing w:after="339" w:line="1" w:lineRule="exact"/>
      </w:pPr>
    </w:p>
    <w:p>
      <w:pPr>
        <w:pStyle w:val="Style35"/>
        <w:keepNext/>
        <w:keepLines/>
        <w:widowControl w:val="0"/>
        <w:numPr>
          <w:ilvl w:val="0"/>
          <w:numId w:val="121"/>
        </w:numPr>
        <w:shd w:val="clear" w:color="auto" w:fill="auto"/>
        <w:tabs>
          <w:tab w:pos="690" w:val="left"/>
        </w:tabs>
        <w:bidi w:val="0"/>
        <w:spacing w:before="0" w:after="40" w:line="278" w:lineRule="exact"/>
        <w:ind w:left="26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w:t>
      </w:r>
      <w:r>
        <w:rPr>
          <w:color w:val="000000"/>
          <w:spacing w:val="0"/>
          <w:w w:val="100"/>
          <w:position w:val="0"/>
        </w:rPr>
        <w:t>坏账准备计提情况</w:t>
      </w:r>
      <w:bookmarkEnd w:id="1315"/>
      <w:bookmarkEnd w:id="1316"/>
      <w:bookmarkEnd w:id="1318"/>
    </w:p>
    <w:p>
      <w:pPr>
        <w:pStyle w:val="Style2"/>
        <w:keepNext w:val="0"/>
        <w:keepLines w:val="0"/>
        <w:widowControl w:val="0"/>
        <w:shd w:val="clear" w:color="auto" w:fill="auto"/>
        <w:bidi w:val="0"/>
        <w:spacing w:before="0" w:after="0" w:line="278" w:lineRule="exact"/>
        <w:ind w:left="2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260" w:right="0" w:firstLine="0"/>
        <w:jc w:val="left"/>
      </w:pPr>
      <w:r>
        <w:rPr>
          <w:color w:val="000000"/>
          <w:spacing w:val="0"/>
          <w:w w:val="100"/>
          <w:position w:val="0"/>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690" w:val="left"/>
        </w:tabs>
        <w:bidi w:val="0"/>
        <w:spacing w:before="0" w:after="40" w:line="278" w:lineRule="exact"/>
        <w:ind w:left="260" w:right="0" w:firstLine="0"/>
        <w:jc w:val="left"/>
      </w:pPr>
      <w:bookmarkStart w:id="1319" w:name="bookmark1319"/>
      <w:bookmarkEnd w:id="1319"/>
      <w:r>
        <w:rPr>
          <w:b/>
          <w:bCs/>
          <w:color w:val="000000"/>
          <w:spacing w:val="0"/>
          <w:w w:val="100"/>
          <w:position w:val="0"/>
        </w:rPr>
        <w:t>.</w:t>
      </w:r>
      <w:r>
        <w:rPr>
          <w:b/>
          <w:bCs/>
          <w:color w:val="000000"/>
          <w:spacing w:val="0"/>
          <w:w w:val="100"/>
          <w:position w:val="0"/>
        </w:rPr>
        <w:t>因金融资产转移而终止确认的长期应收款</w:t>
      </w:r>
    </w:p>
    <w:p>
      <w:pPr>
        <w:pStyle w:val="Style2"/>
        <w:keepNext w:val="0"/>
        <w:keepLines w:val="0"/>
        <w:widowControl w:val="0"/>
        <w:shd w:val="clear" w:color="auto" w:fill="auto"/>
        <w:tabs>
          <w:tab w:pos="1119" w:val="left"/>
        </w:tabs>
        <w:bidi w:val="0"/>
        <w:spacing w:before="0" w:after="40" w:line="278" w:lineRule="exact"/>
        <w:ind w:left="26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690" w:val="left"/>
        </w:tabs>
        <w:bidi w:val="0"/>
        <w:spacing w:before="0" w:after="40" w:line="278" w:lineRule="exact"/>
        <w:ind w:left="260" w:right="0" w:firstLine="0"/>
        <w:jc w:val="left"/>
      </w:pPr>
      <w:bookmarkStart w:id="1320" w:name="bookmark1320"/>
      <w:bookmarkEnd w:id="1320"/>
      <w:r>
        <w:rPr>
          <w:b/>
          <w:bCs/>
          <w:color w:val="000000"/>
          <w:spacing w:val="0"/>
          <w:w w:val="100"/>
          <w:position w:val="0"/>
        </w:rPr>
        <w:t>.</w:t>
      </w:r>
      <w:r>
        <w:rPr>
          <w:b/>
          <w:bCs/>
          <w:color w:val="000000"/>
          <w:spacing w:val="0"/>
          <w:w w:val="100"/>
          <w:position w:val="0"/>
        </w:rPr>
        <w:t>转移长期应收款且继续涉入形成的资产、负债金额</w:t>
      </w:r>
    </w:p>
    <w:p>
      <w:pPr>
        <w:pStyle w:val="Style2"/>
        <w:keepNext w:val="0"/>
        <w:keepLines w:val="0"/>
        <w:widowControl w:val="0"/>
        <w:shd w:val="clear" w:color="auto" w:fill="auto"/>
        <w:tabs>
          <w:tab w:pos="1119" w:val="left"/>
        </w:tabs>
        <w:bidi w:val="0"/>
        <w:spacing w:before="0" w:after="0" w:line="278" w:lineRule="exact"/>
        <w:ind w:left="26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2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78" w:lineRule="exact"/>
        <w:ind w:left="260" w:right="0" w:firstLine="0"/>
        <w:jc w:val="left"/>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412" w:right="1159" w:bottom="1551" w:left="825"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340" w:after="100" w:line="240" w:lineRule="auto"/>
        <w:ind w:left="0" w:right="0" w:firstLine="260"/>
        <w:jc w:val="left"/>
      </w:pPr>
      <w:bookmarkStart w:id="1321" w:name="bookmark1321"/>
      <w:bookmarkStart w:id="1322" w:name="bookmark1322"/>
      <w:bookmarkStart w:id="1323" w:name="bookmark1323"/>
      <w:bookmarkStart w:id="1324" w:name="bookmark1324"/>
      <w:r>
        <w:rPr>
          <w:color w:val="000000"/>
          <w:spacing w:val="0"/>
          <w:w w:val="100"/>
          <w:position w:val="0"/>
        </w:rPr>
        <w:t>1</w:t>
      </w:r>
      <w:bookmarkEnd w:id="1323"/>
      <w:r>
        <w:rPr>
          <w:color w:val="000000"/>
          <w:spacing w:val="0"/>
          <w:w w:val="100"/>
          <w:position w:val="0"/>
        </w:rPr>
        <w:t>7、长期股权投资</w:t>
      </w:r>
      <w:bookmarkEnd w:id="1321"/>
      <w:bookmarkEnd w:id="1322"/>
      <w:bookmarkEnd w:id="1324"/>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800" w:right="0" w:firstLine="0"/>
        <w:jc w:val="left"/>
      </w:pPr>
      <w:r>
        <w:rPr>
          <w:color w:val="000000"/>
          <w:spacing w:val="0"/>
          <w:w w:val="100"/>
          <w:position w:val="0"/>
        </w:rPr>
        <w:t>单位：元币种：人民币</w:t>
      </w:r>
    </w:p>
    <w:tbl>
      <w:tblPr>
        <w:tblOverlap w:val="never"/>
        <w:jc w:val="center"/>
        <w:tblLayout w:type="fixed"/>
      </w:tblPr>
      <w:tblGrid>
        <w:gridCol w:w="725"/>
        <w:gridCol w:w="902"/>
        <w:gridCol w:w="898"/>
        <w:gridCol w:w="907"/>
        <w:gridCol w:w="898"/>
        <w:gridCol w:w="274"/>
        <w:gridCol w:w="811"/>
        <w:gridCol w:w="360"/>
        <w:gridCol w:w="835"/>
        <w:gridCol w:w="787"/>
        <w:gridCol w:w="902"/>
        <w:gridCol w:w="538"/>
      </w:tblGrid>
      <w:tr>
        <w:trPr>
          <w:trHeight w:val="18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3" w:lineRule="exact"/>
              <w:ind w:left="0" w:right="0" w:firstLine="0"/>
              <w:jc w:val="center"/>
              <w:rPr>
                <w:sz w:val="12"/>
                <w:szCs w:val="12"/>
              </w:rPr>
            </w:pPr>
            <w:r>
              <w:rPr>
                <w:rFonts w:ascii="SimHei" w:eastAsia="SimHei" w:hAnsi="SimHei" w:cs="SimHei"/>
                <w:color w:val="000000"/>
                <w:spacing w:val="0"/>
                <w:w w:val="100"/>
                <w:position w:val="0"/>
                <w:sz w:val="12"/>
                <w:szCs w:val="12"/>
              </w:rPr>
              <w:t>被投资 单位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3" w:lineRule="exact"/>
              <w:ind w:left="0" w:right="0" w:firstLine="0"/>
              <w:jc w:val="center"/>
              <w:rPr>
                <w:sz w:val="12"/>
                <w:szCs w:val="12"/>
              </w:rPr>
            </w:pPr>
            <w:r>
              <w:rPr>
                <w:rFonts w:ascii="SimHei" w:eastAsia="SimHei" w:hAnsi="SimHei" w:cs="SimHei"/>
                <w:color w:val="000000"/>
                <w:spacing w:val="0"/>
                <w:w w:val="100"/>
                <w:position w:val="0"/>
                <w:sz w:val="12"/>
                <w:szCs w:val="12"/>
              </w:rPr>
              <w:t>期初 余额</w:t>
            </w: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58" w:lineRule="exact"/>
              <w:ind w:left="0" w:right="0" w:firstLine="0"/>
              <w:jc w:val="center"/>
              <w:rPr>
                <w:sz w:val="12"/>
                <w:szCs w:val="12"/>
              </w:rPr>
            </w:pPr>
            <w:r>
              <w:rPr>
                <w:rFonts w:ascii="SimHei" w:eastAsia="SimHei" w:hAnsi="SimHei" w:cs="SimHei"/>
                <w:color w:val="000000"/>
                <w:spacing w:val="0"/>
                <w:w w:val="100"/>
                <w:position w:val="0"/>
                <w:sz w:val="12"/>
                <w:szCs w:val="12"/>
              </w:rPr>
              <w:t>期末 余额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170" w:lineRule="exact"/>
              <w:ind w:left="0" w:right="0" w:firstLine="0"/>
              <w:jc w:val="left"/>
              <w:rPr>
                <w:sz w:val="12"/>
                <w:szCs w:val="12"/>
              </w:rPr>
            </w:pPr>
            <w:r>
              <w:rPr>
                <w:rFonts w:ascii="SimHei" w:eastAsia="SimHei" w:hAnsi="SimHei" w:cs="SimHei"/>
                <w:color w:val="000000"/>
                <w:spacing w:val="0"/>
                <w:w w:val="100"/>
                <w:position w:val="0"/>
                <w:sz w:val="12"/>
                <w:szCs w:val="12"/>
              </w:rPr>
              <w:t>减值 准备 期末 余额</w:t>
            </w:r>
          </w:p>
        </w:tc>
      </w:tr>
      <w:tr>
        <w:trPr>
          <w:trHeight w:val="18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000000"/>
                <w:spacing w:val="0"/>
                <w:w w:val="100"/>
                <w:position w:val="0"/>
                <w:sz w:val="12"/>
                <w:szCs w:val="12"/>
              </w:rPr>
              <w:t>追加投资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2"/>
                <w:szCs w:val="12"/>
              </w:rPr>
            </w:pPr>
            <w:r>
              <w:rPr>
                <w:rFonts w:ascii="SimHei" w:eastAsia="SimHei" w:hAnsi="SimHei" w:cs="SimHei"/>
                <w:color w:val="000000"/>
                <w:spacing w:val="0"/>
                <w:w w:val="100"/>
                <w:position w:val="0"/>
                <w:sz w:val="12"/>
                <w:szCs w:val="12"/>
              </w:rPr>
              <w:t>减少投资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68" w:lineRule="exact"/>
              <w:ind w:left="0" w:right="0" w:firstLine="0"/>
              <w:jc w:val="center"/>
              <w:rPr>
                <w:sz w:val="12"/>
                <w:szCs w:val="12"/>
              </w:rPr>
            </w:pPr>
            <w:r>
              <w:rPr>
                <w:rFonts w:ascii="SimHei" w:eastAsia="SimHei" w:hAnsi="SimHei" w:cs="SimHei"/>
                <w:color w:val="000000"/>
                <w:spacing w:val="0"/>
                <w:w w:val="100"/>
                <w:position w:val="0"/>
                <w:sz w:val="12"/>
                <w:szCs w:val="12"/>
              </w:rPr>
              <w:t>权益法下确 认的投资损 益</w:t>
            </w:r>
          </w:p>
        </w:tc>
        <w:tc>
          <w:tcPr>
            <w:tcBorders>
              <w:top w:val="single" w:sz="4"/>
              <w:left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68" w:lineRule="exact"/>
              <w:ind w:left="0" w:right="0" w:firstLine="0"/>
              <w:jc w:val="center"/>
              <w:rPr>
                <w:sz w:val="12"/>
                <w:szCs w:val="12"/>
              </w:rPr>
            </w:pPr>
            <w:r>
              <w:rPr>
                <w:rFonts w:ascii="SimHei" w:eastAsia="SimHei" w:hAnsi="SimHei" w:cs="SimHei"/>
                <w:color w:val="000000"/>
                <w:spacing w:val="0"/>
                <w:w w:val="100"/>
                <w:position w:val="0"/>
                <w:sz w:val="12"/>
                <w:szCs w:val="12"/>
              </w:rPr>
              <w:t>其他权益 变动</w:t>
            </w:r>
          </w:p>
        </w:tc>
        <w:tc>
          <w:tcPr>
            <w:tcBorders>
              <w:top w:val="single" w:sz="4"/>
              <w:left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宣告发放现金股利或利润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3" w:lineRule="exact"/>
              <w:ind w:left="0" w:right="0" w:firstLine="0"/>
              <w:jc w:val="center"/>
              <w:rPr>
                <w:sz w:val="12"/>
                <w:szCs w:val="12"/>
              </w:rPr>
            </w:pPr>
            <w:r>
              <w:rPr>
                <w:rFonts w:ascii="SimHei" w:eastAsia="SimHei" w:hAnsi="SimHei" w:cs="SimHei"/>
                <w:color w:val="000000"/>
                <w:spacing w:val="0"/>
                <w:w w:val="100"/>
                <w:position w:val="0"/>
                <w:sz w:val="12"/>
                <w:szCs w:val="12"/>
              </w:rPr>
              <w:t>计提减值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2"/>
                <w:szCs w:val="12"/>
              </w:rPr>
            </w:pPr>
            <w:r>
              <w:rPr>
                <w:rFonts w:ascii="SimHei" w:eastAsia="SimHei" w:hAnsi="SimHei" w:cs="SimHei"/>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gridSpan w:val="1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一、合营企业</w:t>
            </w:r>
          </w:p>
        </w:tc>
      </w:tr>
      <w:tr>
        <w:trPr>
          <w:trHeight w:val="1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gridSpan w:val="1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二、联营企业</w:t>
            </w:r>
          </w:p>
        </w:tc>
      </w:tr>
      <w:tr>
        <w:trPr>
          <w:trHeight w:val="16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沈阳拓</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153,380,438.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8,400,099.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3,149,781.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158,550,242.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荆</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6,380,076.84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89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85</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73" w:lineRule="exact"/>
              <w:ind w:left="0" w:right="0" w:firstLine="0"/>
              <w:jc w:val="left"/>
              <w:rPr>
                <w:sz w:val="12"/>
                <w:szCs w:val="12"/>
              </w:rPr>
            </w:pPr>
            <w:r>
              <w:rPr>
                <w:rFonts w:ascii="SimHei" w:eastAsia="SimHei" w:hAnsi="SimHei" w:cs="SimHei"/>
                <w:color w:val="000000"/>
                <w:spacing w:val="0"/>
                <w:w w:val="100"/>
                <w:position w:val="0"/>
                <w:sz w:val="12"/>
                <w:szCs w:val="12"/>
              </w:rPr>
              <w:t>上海创 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3,808,873.37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3,709,502.35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-99,371.02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上海芯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8,740,183.40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3,709,502.35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-344,290.03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12,105,395.7</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元基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2</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洪朴科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874,880.0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25,879,667.7</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2,995,212.38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0</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Solayer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46,533,547.0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27,734,631.1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7,529,566.18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10,969,154.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300,195.4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2</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9,154</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w:t>
            </w:r>
          </w:p>
        </w:tc>
      </w:tr>
      <w:tr>
        <w:trPr>
          <w:trHeight w:val="16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中欣晶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199,999,999.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199,999,999.</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90</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12"/>
                <w:szCs w:val="12"/>
              </w:rPr>
              <w:t>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168,929,494.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275,243,049.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8,400,099.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3,724,466.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424,269,937.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97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3,709,502.35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17,348,516.4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10,969,154.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29</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9,154</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w:t>
            </w:r>
          </w:p>
        </w:tc>
      </w:tr>
      <w:tr>
        <w:trPr>
          <w:trHeight w:val="1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168,929,494.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275,243,049.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8,400,099.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3,724,466.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424,269,937.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w:t>
            </w:r>
          </w:p>
        </w:tc>
      </w:tr>
      <w:tr>
        <w:trPr>
          <w:trHeight w:val="15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rFonts w:ascii="SimHei" w:eastAsia="SimHei" w:hAnsi="SimHei" w:cs="SimHei"/>
                <w:color w:val="000000"/>
                <w:spacing w:val="0"/>
                <w:w w:val="100"/>
                <w:position w:val="0"/>
                <w:sz w:val="12"/>
                <w:szCs w:val="12"/>
              </w:rPr>
              <w:t>合计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97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3,709,502.35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17,348,516.4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10,969,154.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29</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9,154</w:t>
            </w:r>
          </w:p>
        </w:tc>
      </w:tr>
      <w:tr>
        <w:trPr>
          <w:trHeight w:val="15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w:t>
            </w:r>
          </w:p>
        </w:tc>
      </w:tr>
    </w:tbl>
    <w:p>
      <w:pPr>
        <w:pStyle w:val="Style2"/>
        <w:keepNext w:val="0"/>
        <w:keepLines w:val="0"/>
        <w:widowControl w:val="0"/>
        <w:shd w:val="clear" w:color="auto" w:fill="auto"/>
        <w:bidi w:val="0"/>
        <w:spacing w:before="0" w:after="0" w:line="276"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240" w:line="276" w:lineRule="exact"/>
        <w:ind w:left="260" w:right="0" w:firstLine="20"/>
        <w:jc w:val="left"/>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日，沈阳拓荆拟向其他投资方股权融资</w:t>
      </w:r>
      <w:r>
        <w:rPr>
          <w:rFonts w:ascii="Times New Roman" w:eastAsia="Times New Roman" w:hAnsi="Times New Roman" w:cs="Times New Roman"/>
          <w:color w:val="000000"/>
          <w:spacing w:val="0"/>
          <w:w w:val="100"/>
          <w:position w:val="0"/>
        </w:rPr>
        <w:t>450,000,000.00</w:t>
      </w:r>
      <w:r>
        <w:rPr>
          <w:color w:val="000000"/>
          <w:spacing w:val="0"/>
          <w:w w:val="100"/>
          <w:position w:val="0"/>
        </w:rPr>
        <w:t>元，本集团将按稀释 后的持股比例确认归属于本集团的本年度因沈阳拓荆新增股权融资导致的净资产增加份额，与持 股比例下降部分的长期股权投资账面价值之间的差额</w:t>
      </w:r>
      <w:r>
        <w:rPr>
          <w:rFonts w:ascii="Times New Roman" w:eastAsia="Times New Roman" w:hAnsi="Times New Roman" w:cs="Times New Roman"/>
          <w:color w:val="000000"/>
          <w:spacing w:val="0"/>
          <w:w w:val="100"/>
          <w:position w:val="0"/>
        </w:rPr>
        <w:t>8,400,099.60</w:t>
      </w:r>
      <w:r>
        <w:rPr>
          <w:color w:val="000000"/>
          <w:spacing w:val="0"/>
          <w:w w:val="100"/>
          <w:position w:val="0"/>
        </w:rPr>
        <w:t>元计入资本公积。</w:t>
      </w:r>
    </w:p>
    <w:p>
      <w:pPr>
        <w:pStyle w:val="Style2"/>
        <w:keepNext w:val="0"/>
        <w:keepLines w:val="0"/>
        <w:widowControl w:val="0"/>
        <w:shd w:val="clear" w:color="auto" w:fill="auto"/>
        <w:bidi w:val="0"/>
        <w:spacing w:before="0" w:after="240" w:line="274" w:lineRule="exact"/>
        <w:ind w:left="260" w:right="0" w:firstLine="20"/>
        <w:jc w:val="left"/>
      </w:pPr>
      <w:r>
        <w:rPr>
          <w:color w:val="000000"/>
          <w:spacing w:val="0"/>
          <w:w w:val="100"/>
          <w:position w:val="0"/>
        </w:rPr>
        <w:t>因上海创徒进行股权重组，本公司向关联方上海芯元基以现金</w:t>
      </w:r>
      <w:r>
        <w:rPr>
          <w:rFonts w:ascii="Times New Roman" w:eastAsia="Times New Roman" w:hAnsi="Times New Roman" w:cs="Times New Roman"/>
          <w:color w:val="000000"/>
          <w:spacing w:val="0"/>
          <w:w w:val="100"/>
          <w:position w:val="0"/>
        </w:rPr>
        <w:t>570</w:t>
      </w:r>
      <w:r>
        <w:rPr>
          <w:color w:val="000000"/>
          <w:spacing w:val="0"/>
          <w:w w:val="100"/>
          <w:position w:val="0"/>
        </w:rPr>
        <w:t>万元转让所持有的上海创徒全 部股权，并将所获得股权转让款全额增资上海芯元基，该股权交易已于本年度完成。该股权重组 完成后，本公司将通过上海芯元基间接持有上海创徒股权。</w:t>
      </w:r>
    </w:p>
    <w:p>
      <w:pPr>
        <w:pStyle w:val="Style2"/>
        <w:keepNext w:val="0"/>
        <w:keepLines w:val="0"/>
        <w:widowControl w:val="0"/>
        <w:shd w:val="clear" w:color="auto" w:fill="auto"/>
        <w:bidi w:val="0"/>
        <w:spacing w:before="0" w:after="0" w:line="336" w:lineRule="exact"/>
        <w:ind w:left="0" w:right="0" w:firstLine="260"/>
        <w:jc w:val="left"/>
      </w:pPr>
      <w:bookmarkStart w:id="1325" w:name="bookmark1325"/>
      <w:r>
        <w:rPr>
          <w:b/>
          <w:bCs/>
          <w:color w:val="000000"/>
          <w:spacing w:val="0"/>
          <w:w w:val="100"/>
          <w:position w:val="0"/>
        </w:rPr>
        <w:t>1</w:t>
      </w:r>
      <w:bookmarkEnd w:id="1325"/>
      <w:r>
        <w:rPr>
          <w:b/>
          <w:bCs/>
          <w:color w:val="000000"/>
          <w:spacing w:val="0"/>
          <w:w w:val="100"/>
          <w:position w:val="0"/>
        </w:rPr>
        <w:t>8、其他权益工具投资</w:t>
      </w:r>
    </w:p>
    <w:p>
      <w:pPr>
        <w:pStyle w:val="Style2"/>
        <w:keepNext w:val="0"/>
        <w:keepLines w:val="0"/>
        <w:widowControl w:val="0"/>
        <w:numPr>
          <w:ilvl w:val="0"/>
          <w:numId w:val="123"/>
        </w:numPr>
        <w:shd w:val="clear" w:color="auto" w:fill="auto"/>
        <w:tabs>
          <w:tab w:pos="705" w:val="left"/>
        </w:tabs>
        <w:bidi w:val="0"/>
        <w:spacing w:before="0" w:after="0" w:line="336" w:lineRule="exact"/>
        <w:ind w:left="260" w:right="0" w:firstLine="20"/>
        <w:jc w:val="left"/>
      </w:pPr>
      <w:bookmarkStart w:id="1326" w:name="bookmark1326"/>
      <w:bookmarkEnd w:id="1326"/>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705" w:val="left"/>
        </w:tabs>
        <w:bidi w:val="0"/>
        <w:spacing w:before="0" w:after="0" w:line="336" w:lineRule="exact"/>
        <w:ind w:left="260" w:right="0" w:firstLine="20"/>
        <w:jc w:val="left"/>
      </w:pPr>
      <w:bookmarkStart w:id="1327" w:name="bookmark1327"/>
      <w:bookmarkEnd w:id="1327"/>
      <w:r>
        <w:rPr>
          <w:b/>
          <w:bCs/>
          <w:color w:val="000000"/>
          <w:spacing w:val="0"/>
          <w:w w:val="100"/>
          <w:position w:val="0"/>
        </w:rPr>
        <w:t>.</w:t>
      </w:r>
      <w:r>
        <w:rPr>
          <w:b/>
          <w:bCs/>
          <w:color w:val="000000"/>
          <w:spacing w:val="0"/>
          <w:w w:val="100"/>
          <w:position w:val="0"/>
        </w:rPr>
        <w:t xml:space="preserve">非交易性权益工具投资的情况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260" w:right="0" w:firstLine="2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260" w:right="0" w:firstLine="2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260" w:right="0" w:firstLine="20"/>
        <w:jc w:val="left"/>
      </w:pPr>
      <w:bookmarkStart w:id="1328" w:name="bookmark1328"/>
      <w:bookmarkStart w:id="1329" w:name="bookmark1329"/>
      <w:bookmarkStart w:id="1330" w:name="bookmark1330"/>
      <w:bookmarkStart w:id="1331" w:name="bookmark1331"/>
      <w:r>
        <w:rPr>
          <w:color w:val="000000"/>
          <w:spacing w:val="0"/>
          <w:w w:val="100"/>
          <w:position w:val="0"/>
        </w:rPr>
        <w:t>1</w:t>
      </w:r>
      <w:bookmarkEnd w:id="1330"/>
      <w:r>
        <w:rPr>
          <w:color w:val="000000"/>
          <w:spacing w:val="0"/>
          <w:w w:val="100"/>
          <w:position w:val="0"/>
        </w:rPr>
        <w:t>9、其他非流动金融资产</w:t>
      </w:r>
      <w:bookmarkEnd w:id="1328"/>
      <w:bookmarkEnd w:id="1329"/>
      <w:bookmarkEnd w:id="1331"/>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800" w:right="0" w:firstLine="0"/>
        <w:jc w:val="left"/>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235,055,000.00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566"/>
        <w:gridCol w:w="2621"/>
        <w:gridCol w:w="2650"/>
      </w:tblGrid>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235,055,000.00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220" w:right="0" w:firstLine="4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4" w:lineRule="exact"/>
        <w:ind w:left="0" w:right="0" w:firstLine="220"/>
        <w:jc w:val="left"/>
      </w:pPr>
      <w:bookmarkStart w:id="1332" w:name="bookmark1332"/>
      <w:bookmarkStart w:id="1333" w:name="bookmark1333"/>
      <w:bookmarkStart w:id="1334" w:name="bookmark1334"/>
      <w:bookmarkStart w:id="1335" w:name="bookmark1335"/>
      <w:r>
        <w:rPr>
          <w:color w:val="000000"/>
          <w:spacing w:val="0"/>
          <w:w w:val="100"/>
          <w:position w:val="0"/>
        </w:rPr>
        <w:t>2</w:t>
      </w:r>
      <w:bookmarkEnd w:id="1334"/>
      <w:r>
        <w:rPr>
          <w:color w:val="000000"/>
          <w:spacing w:val="0"/>
          <w:w w:val="100"/>
          <w:position w:val="0"/>
        </w:rPr>
        <w:t>0、投资性房地产</w:t>
      </w:r>
      <w:bookmarkEnd w:id="1332"/>
      <w:bookmarkEnd w:id="1333"/>
      <w:bookmarkEnd w:id="1335"/>
    </w:p>
    <w:p>
      <w:pPr>
        <w:pStyle w:val="Style2"/>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投资性房地产计量模式</w:t>
      </w:r>
    </w:p>
    <w:p>
      <w:pPr>
        <w:pStyle w:val="Style2"/>
        <w:keepNext w:val="0"/>
        <w:keepLines w:val="0"/>
        <w:widowControl w:val="0"/>
        <w:numPr>
          <w:ilvl w:val="0"/>
          <w:numId w:val="125"/>
        </w:numPr>
        <w:shd w:val="clear" w:color="auto" w:fill="auto"/>
        <w:bidi w:val="0"/>
        <w:spacing w:before="0" w:after="40" w:line="274" w:lineRule="exact"/>
        <w:ind w:left="0" w:right="0" w:firstLine="220"/>
        <w:jc w:val="left"/>
      </w:pPr>
      <w:bookmarkStart w:id="1336" w:name="bookmark1336"/>
      <w:bookmarkEnd w:id="1336"/>
      <w:r>
        <w:rPr>
          <w:b/>
          <w:bCs/>
          <w:color w:val="000000"/>
          <w:spacing w:val="0"/>
          <w:w w:val="100"/>
          <w:position w:val="0"/>
        </w:rPr>
        <w:t>.</w:t>
      </w:r>
      <w:r>
        <w:rPr>
          <w:b/>
          <w:bCs/>
          <w:color w:val="000000"/>
          <w:spacing w:val="0"/>
          <w:w w:val="100"/>
          <w:position w:val="0"/>
        </w:rPr>
        <w:t>采用成本计量模式的投资性房地产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82"/>
        <w:gridCol w:w="2582"/>
        <w:gridCol w:w="2472"/>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8,705,124.84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8,705,124.84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存货'固定资产'在建工程转 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8,705,124.84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8,705,124.84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844,215.77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844,215.77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413,493.42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413,493.42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413,493.42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413,493.42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1,257,709.19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1,257,709.19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7,447,415.65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7,447,415.65</w:t>
            </w:r>
          </w:p>
        </w:tc>
      </w:tr>
      <w:tr>
        <w:trPr>
          <w:trHeight w:val="30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7,860,909.07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7,860,909.07</w:t>
            </w:r>
          </w:p>
        </w:tc>
      </w:tr>
    </w:tbl>
    <w:p>
      <w:pPr>
        <w:widowControl w:val="0"/>
        <w:spacing w:after="239" w:line="1" w:lineRule="exact"/>
      </w:pPr>
    </w:p>
    <w:p>
      <w:pPr>
        <w:pStyle w:val="Style2"/>
        <w:keepNext w:val="0"/>
        <w:keepLines w:val="0"/>
        <w:widowControl w:val="0"/>
        <w:shd w:val="clear" w:color="auto" w:fill="auto"/>
        <w:bidi w:val="0"/>
        <w:spacing w:before="0" w:after="40" w:line="274" w:lineRule="exact"/>
        <w:ind w:left="220" w:right="0" w:firstLine="48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年度，投资性房地产计入其他业务成本及管理费用折旧的金额分别为</w:t>
      </w:r>
      <w:r>
        <w:rPr>
          <w:rFonts w:ascii="Times New Roman" w:eastAsia="Times New Roman" w:hAnsi="Times New Roman" w:cs="Times New Roman"/>
          <w:color w:val="000000"/>
          <w:spacing w:val="0"/>
          <w:w w:val="100"/>
          <w:position w:val="0"/>
        </w:rPr>
        <w:t>84,060.48</w:t>
      </w:r>
      <w:r>
        <w:rPr>
          <w:color w:val="000000"/>
          <w:spacing w:val="0"/>
          <w:w w:val="100"/>
          <w:position w:val="0"/>
        </w:rPr>
        <w:t xml:space="preserve">元及 </w:t>
      </w:r>
      <w:r>
        <w:rPr>
          <w:rFonts w:ascii="Times New Roman" w:eastAsia="Times New Roman" w:hAnsi="Times New Roman" w:cs="Times New Roman"/>
          <w:color w:val="000000"/>
          <w:spacing w:val="0"/>
          <w:w w:val="100"/>
          <w:position w:val="0"/>
        </w:rPr>
        <w:t>329,432.94</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年度计入其他业务成本的折旧金额为</w:t>
      </w:r>
      <w:r>
        <w:rPr>
          <w:rFonts w:ascii="Times New Roman" w:eastAsia="Times New Roman" w:hAnsi="Times New Roman" w:cs="Times New Roman"/>
          <w:color w:val="000000"/>
          <w:spacing w:val="0"/>
          <w:w w:val="100"/>
          <w:position w:val="0"/>
        </w:rPr>
        <w:t>413,493.44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numPr>
          <w:ilvl w:val="0"/>
          <w:numId w:val="125"/>
        </w:numPr>
        <w:shd w:val="clear" w:color="auto" w:fill="auto"/>
        <w:bidi w:val="0"/>
        <w:spacing w:before="0" w:after="40" w:line="274" w:lineRule="exact"/>
        <w:ind w:left="0" w:right="0" w:firstLine="220"/>
        <w:jc w:val="left"/>
      </w:pPr>
      <w:bookmarkStart w:id="1337" w:name="bookmark1337"/>
      <w:bookmarkEnd w:id="1337"/>
      <w:r>
        <w:rPr>
          <w:b/>
          <w:bCs/>
          <w:color w:val="000000"/>
          <w:spacing w:val="0"/>
          <w:w w:val="100"/>
          <w:position w:val="0"/>
        </w:rPr>
        <w:t>.</w:t>
      </w:r>
      <w:r>
        <w:rPr>
          <w:b/>
          <w:bCs/>
          <w:color w:val="000000"/>
          <w:spacing w:val="0"/>
          <w:w w:val="100"/>
          <w:position w:val="0"/>
        </w:rPr>
        <w:t>未办妥产权证书的投资性房地产情况</w:t>
      </w:r>
    </w:p>
    <w:p>
      <w:pPr>
        <w:pStyle w:val="Style2"/>
        <w:keepNext w:val="0"/>
        <w:keepLines w:val="0"/>
        <w:widowControl w:val="0"/>
        <w:shd w:val="clear" w:color="auto" w:fill="auto"/>
        <w:bidi w:val="0"/>
        <w:spacing w:before="0" w:after="0" w:line="274" w:lineRule="exact"/>
        <w:ind w:left="0" w:right="0" w:firstLine="22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其他说明</w:t>
      </w:r>
    </w:p>
    <w:p>
      <w:pPr>
        <w:pStyle w:val="Style2"/>
        <w:keepNext w:val="0"/>
        <w:keepLines w:val="0"/>
        <w:widowControl w:val="0"/>
        <w:shd w:val="clear" w:color="auto" w:fill="auto"/>
        <w:bidi w:val="0"/>
        <w:spacing w:before="0" w:after="40" w:line="274" w:lineRule="exact"/>
        <w:ind w:left="0" w:right="0" w:firstLine="22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r>
        <w:br w:type="page"/>
      </w:r>
    </w:p>
    <w:p>
      <w:pPr>
        <w:pStyle w:val="Style35"/>
        <w:keepNext/>
        <w:keepLines/>
        <w:widowControl w:val="0"/>
        <w:shd w:val="clear" w:color="auto" w:fill="auto"/>
        <w:bidi w:val="0"/>
        <w:spacing w:before="0" w:after="100" w:line="240" w:lineRule="auto"/>
        <w:ind w:left="0" w:right="0" w:firstLine="260"/>
        <w:jc w:val="left"/>
      </w:pPr>
      <w:bookmarkStart w:id="1338" w:name="bookmark1338"/>
      <w:bookmarkStart w:id="1339" w:name="bookmark1339"/>
      <w:bookmarkStart w:id="1340" w:name="bookmark1340"/>
      <w:bookmarkStart w:id="1341" w:name="bookmark1341"/>
      <w:r>
        <w:rPr>
          <w:color w:val="000000"/>
          <w:spacing w:val="0"/>
          <w:w w:val="100"/>
          <w:position w:val="0"/>
        </w:rPr>
        <w:t>2</w:t>
      </w:r>
      <w:bookmarkEnd w:id="1340"/>
      <w:r>
        <w:rPr>
          <w:color w:val="000000"/>
          <w:spacing w:val="0"/>
          <w:w w:val="100"/>
          <w:position w:val="0"/>
        </w:rPr>
        <w:t>1、固定资产</w:t>
      </w:r>
      <w:bookmarkEnd w:id="1338"/>
      <w:bookmarkEnd w:id="1339"/>
      <w:bookmarkEnd w:id="1341"/>
    </w:p>
    <w:p>
      <w:pPr>
        <w:pStyle w:val="Style35"/>
        <w:keepNext/>
        <w:keepLines/>
        <w:widowControl w:val="0"/>
        <w:shd w:val="clear" w:color="auto" w:fill="auto"/>
        <w:bidi w:val="0"/>
        <w:spacing w:before="0" w:after="100" w:line="240" w:lineRule="auto"/>
        <w:ind w:left="0" w:right="0" w:firstLine="260"/>
        <w:jc w:val="left"/>
      </w:pPr>
      <w:bookmarkStart w:id="1338" w:name="bookmark1338"/>
      <w:bookmarkStart w:id="1339" w:name="bookmark1339"/>
      <w:bookmarkStart w:id="1342" w:name="bookmark1342"/>
      <w:r>
        <w:rPr>
          <w:color w:val="000000"/>
          <w:spacing w:val="0"/>
          <w:w w:val="100"/>
          <w:position w:val="0"/>
        </w:rPr>
        <w:t>项目列示</w:t>
      </w:r>
      <w:bookmarkEnd w:id="1338"/>
      <w:bookmarkEnd w:id="1339"/>
      <w:bookmarkEnd w:id="1342"/>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800" w:right="0" w:firstLine="0"/>
        <w:jc w:val="left"/>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182,946,651.32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154,798,804.99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182,946,651.32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154,798,804.99</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260"/>
        <w:jc w:val="left"/>
      </w:pPr>
      <w:r>
        <w:rPr>
          <w:b/>
          <w:bCs/>
          <w:color w:val="000000"/>
          <w:spacing w:val="0"/>
          <w:w w:val="100"/>
          <w:position w:val="0"/>
        </w:rPr>
        <w:t>固定资产</w:t>
      </w:r>
    </w:p>
    <w:p>
      <w:pPr>
        <w:pStyle w:val="Style2"/>
        <w:keepNext w:val="0"/>
        <w:keepLines w:val="0"/>
        <w:widowControl w:val="0"/>
        <w:numPr>
          <w:ilvl w:val="0"/>
          <w:numId w:val="127"/>
        </w:numPr>
        <w:shd w:val="clear" w:color="auto" w:fill="auto"/>
        <w:bidi w:val="0"/>
        <w:spacing w:before="0" w:after="100" w:line="240" w:lineRule="auto"/>
        <w:ind w:left="0" w:right="0" w:firstLine="260"/>
        <w:jc w:val="left"/>
      </w:pPr>
      <w:bookmarkStart w:id="1343" w:name="bookmark1343"/>
      <w:bookmarkEnd w:id="1343"/>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800" w:right="0" w:firstLine="0"/>
        <w:jc w:val="left"/>
      </w:pPr>
      <w:r>
        <w:rPr>
          <w:color w:val="000000"/>
          <w:spacing w:val="0"/>
          <w:w w:val="100"/>
          <w:position w:val="0"/>
        </w:rPr>
        <w:t>单位：元 币种：人民币</w:t>
      </w:r>
    </w:p>
    <w:tbl>
      <w:tblPr>
        <w:tblOverlap w:val="never"/>
        <w:jc w:val="center"/>
        <w:tblLayout w:type="fixed"/>
      </w:tblPr>
      <w:tblGrid>
        <w:gridCol w:w="1709"/>
        <w:gridCol w:w="1229"/>
        <w:gridCol w:w="1224"/>
        <w:gridCol w:w="1066"/>
        <w:gridCol w:w="1147"/>
        <w:gridCol w:w="1229"/>
        <w:gridCol w:w="1234"/>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办公设备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计算机及电子 设备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合计</w:t>
            </w:r>
          </w:p>
        </w:tc>
      </w:tr>
      <w:tr>
        <w:trPr>
          <w:trHeight w:val="22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151,024,393.91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130,726,368.39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2,914,441.27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11,683,179.90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176,833,471.12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473,181,854.59</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2,944,559.74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545,667.12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378,832.72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56,153,971.50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60,023,031.08</w:t>
            </w:r>
          </w:p>
        </w:tc>
      </w:tr>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2,944,559.74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545,667.12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378,832.72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34,852,737.71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38,721,797.29</w:t>
            </w:r>
          </w:p>
        </w:tc>
      </w:tr>
      <w:tr>
        <w:trPr>
          <w:trHeight w:val="4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)在建工</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21,301,233.79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21,301,233.79</w:t>
            </w:r>
          </w:p>
        </w:tc>
      </w:tr>
      <w:tr>
        <w:trPr>
          <w:trHeight w:val="42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)企业合 并增加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940,610.16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8,079.45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466,399.87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1,415,089.48</w:t>
            </w:r>
          </w:p>
        </w:tc>
      </w:tr>
      <w:tr>
        <w:trPr>
          <w:trHeight w:val="4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)处置或 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812,997.45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34,456.00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847,453.45</w:t>
            </w:r>
          </w:p>
        </w:tc>
      </w:tr>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外币报表 折算差异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127,612.71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8,079.45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431,943.87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567,636.03</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151,024,393.91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132,730,317.97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3,460,108.39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12,053,933.17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232,521,042.75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531,789,796.19</w:t>
            </w:r>
          </w:p>
        </w:tc>
      </w:tr>
      <w:tr>
        <w:trPr>
          <w:trHeight w:val="22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61,198,361.92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108,608,625.69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2,174,716.78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11,070,235.76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135,232,151.27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318,284,091.42</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7,316,212.83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6,224,852.44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211,629.83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375,640.21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17,687,507.99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31,815,843.30</w:t>
            </w:r>
          </w:p>
        </w:tc>
      </w:tr>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7,316,212.83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6,224,852.44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211,629.83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375,640.21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17,687,507.99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31,815,843.30</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889,476.69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4,311.61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461,959.73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1,355,748.03</w:t>
            </w:r>
          </w:p>
        </w:tc>
      </w:tr>
      <w:tr>
        <w:trPr>
          <w:trHeight w:val="4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)处置或 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772,347.58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32,733.20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805,080.78</w:t>
            </w:r>
          </w:p>
        </w:tc>
      </w:tr>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外币报表 折算差异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117,129.11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4,311.61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429,226.53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550,667.25</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68,514,574.75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113,944,001.44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2,386,346.61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11,441,564.36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152,457,699.53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348,744,186.69</w:t>
            </w:r>
          </w:p>
        </w:tc>
      </w:tr>
      <w:tr>
        <w:trPr>
          <w:trHeight w:val="22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98,958.18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98,958.18</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)处置或 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98,958.18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98,958.18</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期末账面价值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82,509,819.16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18,687,358.35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1,073,761.78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612,368.81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80,063,343.22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182,946,651.32</w:t>
            </w:r>
          </w:p>
        </w:tc>
      </w:tr>
      <w:tr>
        <w:trPr>
          <w:trHeight w:val="2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89,826,031.99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22,018,784.52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739,724.49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612,944.14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41,601,319.85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154,798,804.99</w:t>
            </w:r>
          </w:p>
        </w:tc>
      </w:tr>
    </w:tbl>
    <w:p>
      <w:pPr>
        <w:widowControl w:val="0"/>
        <w:spacing w:after="599" w:line="1" w:lineRule="exact"/>
      </w:pPr>
    </w:p>
    <w:p>
      <w:pPr>
        <w:pStyle w:val="Style35"/>
        <w:keepNext/>
        <w:keepLines/>
        <w:widowControl w:val="0"/>
        <w:numPr>
          <w:ilvl w:val="0"/>
          <w:numId w:val="127"/>
        </w:numPr>
        <w:shd w:val="clear" w:color="auto" w:fill="auto"/>
        <w:bidi w:val="0"/>
        <w:spacing w:before="0" w:after="100" w:line="240" w:lineRule="auto"/>
        <w:ind w:left="0" w:right="0" w:firstLine="26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w:t>
      </w:r>
      <w:r>
        <w:rPr>
          <w:color w:val="000000"/>
          <w:spacing w:val="0"/>
          <w:w w:val="100"/>
          <w:position w:val="0"/>
        </w:rPr>
        <w:t>暂时闲置的固定资产情况</w:t>
      </w:r>
      <w:bookmarkEnd w:id="1344"/>
      <w:bookmarkEnd w:id="1345"/>
      <w:bookmarkEnd w:id="1347"/>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27"/>
        </w:numPr>
        <w:shd w:val="clear" w:color="auto" w:fill="auto"/>
        <w:tabs>
          <w:tab w:pos="690" w:val="left"/>
        </w:tabs>
        <w:bidi w:val="0"/>
        <w:spacing w:before="0" w:after="100" w:line="240" w:lineRule="auto"/>
        <w:ind w:left="0" w:right="0" w:firstLine="26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w:t>
      </w:r>
      <w:r>
        <w:rPr>
          <w:color w:val="000000"/>
          <w:spacing w:val="0"/>
          <w:w w:val="100"/>
          <w:position w:val="0"/>
        </w:rPr>
        <w:t>通过融资租赁租入的固定资产情况</w:t>
      </w:r>
      <w:bookmarkEnd w:id="1348"/>
      <w:bookmarkEnd w:id="1349"/>
      <w:bookmarkEnd w:id="1351"/>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690" w:val="left"/>
        </w:tabs>
        <w:bidi w:val="0"/>
        <w:spacing w:before="0" w:after="100" w:line="240" w:lineRule="auto"/>
        <w:ind w:left="0" w:right="0" w:firstLine="260"/>
        <w:jc w:val="left"/>
      </w:pPr>
      <w:bookmarkStart w:id="1352" w:name="bookmark1352"/>
      <w:bookmarkEnd w:id="1352"/>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690" w:val="left"/>
        </w:tabs>
        <w:bidi w:val="0"/>
        <w:spacing w:before="0" w:after="100" w:line="240" w:lineRule="auto"/>
        <w:ind w:left="0" w:right="0" w:firstLine="260"/>
        <w:jc w:val="left"/>
      </w:pPr>
      <w:bookmarkStart w:id="1353" w:name="bookmark1353"/>
      <w:bookmarkEnd w:id="1353"/>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40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0" w:line="269" w:lineRule="exact"/>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58"/>
        <w:keepNext w:val="0"/>
        <w:keepLines w:val="0"/>
        <w:widowControl w:val="0"/>
        <w:shd w:val="clear" w:color="auto" w:fill="auto"/>
        <w:bidi w:val="0"/>
        <w:spacing w:before="0" w:after="340" w:line="269" w:lineRule="exact"/>
        <w:ind w:left="160" w:right="0" w:firstLine="540"/>
        <w:jc w:val="left"/>
      </w:pPr>
      <w:r>
        <w:rPr>
          <w:color w:val="000000"/>
          <w:spacing w:val="0"/>
          <w:w w:val="100"/>
          <w:position w:val="0"/>
        </w:rPr>
        <w:t>2020</w:t>
      </w:r>
      <w:r>
        <w:rPr>
          <w:rFonts w:ascii="SimSun" w:eastAsia="SimSun" w:hAnsi="SimSun" w:cs="SimSun"/>
          <w:color w:val="000000"/>
          <w:spacing w:val="0"/>
          <w:w w:val="100"/>
          <w:position w:val="0"/>
        </w:rPr>
        <w:t xml:space="preserve">年度计入营业成本、销售费用、管理费用、研发费用及开发支出的折旧费用为 </w:t>
      </w:r>
      <w:r>
        <w:rPr>
          <w:color w:val="000000"/>
          <w:spacing w:val="0"/>
          <w:w w:val="100"/>
          <w:position w:val="0"/>
        </w:rPr>
        <w:t xml:space="preserve">11,823,696.29 </w:t>
      </w:r>
      <w:r>
        <w:rPr>
          <w:rFonts w:ascii="SimSun" w:eastAsia="SimSun" w:hAnsi="SimSun" w:cs="SimSun"/>
          <w:color w:val="000000"/>
          <w:spacing w:val="0"/>
          <w:w w:val="100"/>
          <w:position w:val="0"/>
        </w:rPr>
        <w:t>元、</w:t>
      </w:r>
      <w:r>
        <w:rPr>
          <w:color w:val="000000"/>
          <w:spacing w:val="0"/>
          <w:w w:val="100"/>
          <w:position w:val="0"/>
        </w:rPr>
        <w:t xml:space="preserve">1,096,407.50 </w:t>
      </w:r>
      <w:r>
        <w:rPr>
          <w:rFonts w:ascii="SimSun" w:eastAsia="SimSun" w:hAnsi="SimSun" w:cs="SimSun"/>
          <w:color w:val="000000"/>
          <w:spacing w:val="0"/>
          <w:w w:val="100"/>
          <w:position w:val="0"/>
        </w:rPr>
        <w:t>元、</w:t>
      </w:r>
      <w:r>
        <w:rPr>
          <w:color w:val="000000"/>
          <w:spacing w:val="0"/>
          <w:w w:val="100"/>
          <w:position w:val="0"/>
        </w:rPr>
        <w:t xml:space="preserve">1,652,628.88 </w:t>
      </w:r>
      <w:r>
        <w:rPr>
          <w:rFonts w:ascii="SimSun" w:eastAsia="SimSun" w:hAnsi="SimSun" w:cs="SimSun"/>
          <w:color w:val="000000"/>
          <w:spacing w:val="0"/>
          <w:w w:val="100"/>
          <w:position w:val="0"/>
        </w:rPr>
        <w:t>元、</w:t>
      </w:r>
      <w:r>
        <w:rPr>
          <w:color w:val="000000"/>
          <w:spacing w:val="0"/>
          <w:w w:val="100"/>
          <w:position w:val="0"/>
        </w:rPr>
        <w:t xml:space="preserve">14,984,188.16 </w:t>
      </w:r>
      <w:r>
        <w:rPr>
          <w:rFonts w:ascii="SimSun" w:eastAsia="SimSun" w:hAnsi="SimSun" w:cs="SimSun"/>
          <w:color w:val="000000"/>
          <w:spacing w:val="0"/>
          <w:w w:val="100"/>
          <w:position w:val="0"/>
        </w:rPr>
        <w:t xml:space="preserve">元及 </w:t>
      </w:r>
      <w:r>
        <w:rPr>
          <w:color w:val="000000"/>
          <w:spacing w:val="0"/>
          <w:w w:val="100"/>
          <w:position w:val="0"/>
        </w:rPr>
        <w:t xml:space="preserve">2,258,922.47 </w:t>
      </w:r>
      <w:r>
        <w:rPr>
          <w:rFonts w:ascii="SimSun" w:eastAsia="SimSun" w:hAnsi="SimSun" w:cs="SimSun"/>
          <w:color w:val="000000"/>
          <w:spacing w:val="0"/>
          <w:w w:val="100"/>
          <w:position w:val="0"/>
        </w:rPr>
        <w:t>元</w:t>
      </w:r>
      <w:r>
        <w:rPr>
          <w:color w:val="000000"/>
          <w:spacing w:val="0"/>
          <w:w w:val="100"/>
          <w:position w:val="0"/>
        </w:rPr>
        <w:t xml:space="preserve">(2019 </w:t>
      </w:r>
      <w:r>
        <w:rPr>
          <w:rFonts w:ascii="SimSun" w:eastAsia="SimSun" w:hAnsi="SimSun" w:cs="SimSun"/>
          <w:color w:val="000000"/>
          <w:spacing w:val="0"/>
          <w:w w:val="100"/>
          <w:position w:val="0"/>
        </w:rPr>
        <w:t>年 度</w:t>
      </w:r>
      <w:r>
        <w:rPr>
          <w:rFonts w:ascii="SimSun" w:eastAsia="SimSun" w:hAnsi="SimSun" w:cs="SimSun"/>
          <w:color w:val="000000"/>
          <w:spacing w:val="0"/>
          <w:w w:val="100"/>
          <w:position w:val="0"/>
        </w:rPr>
        <w:t>：</w:t>
      </w:r>
      <w:r>
        <w:rPr>
          <w:color w:val="000000"/>
          <w:spacing w:val="0"/>
          <w:w w:val="100"/>
          <w:position w:val="0"/>
        </w:rPr>
        <w:t xml:space="preserve">9,416,996.75 </w:t>
      </w:r>
      <w:r>
        <w:rPr>
          <w:rFonts w:ascii="SimSun" w:eastAsia="SimSun" w:hAnsi="SimSun" w:cs="SimSun"/>
          <w:color w:val="000000"/>
          <w:spacing w:val="0"/>
          <w:w w:val="100"/>
          <w:position w:val="0"/>
        </w:rPr>
        <w:t>元、</w:t>
      </w:r>
      <w:r>
        <w:rPr>
          <w:color w:val="000000"/>
          <w:spacing w:val="0"/>
          <w:w w:val="100"/>
          <w:position w:val="0"/>
        </w:rPr>
        <w:t xml:space="preserve">1,805,392.69 </w:t>
      </w:r>
      <w:r>
        <w:rPr>
          <w:rFonts w:ascii="SimSun" w:eastAsia="SimSun" w:hAnsi="SimSun" w:cs="SimSun"/>
          <w:color w:val="000000"/>
          <w:spacing w:val="0"/>
          <w:w w:val="100"/>
          <w:position w:val="0"/>
        </w:rPr>
        <w:t>元、</w:t>
      </w:r>
      <w:r>
        <w:rPr>
          <w:color w:val="000000"/>
          <w:spacing w:val="0"/>
          <w:w w:val="100"/>
          <w:position w:val="0"/>
        </w:rPr>
        <w:t xml:space="preserve">1,036,024.16 </w:t>
      </w:r>
      <w:r>
        <w:rPr>
          <w:rFonts w:ascii="SimSun" w:eastAsia="SimSun" w:hAnsi="SimSun" w:cs="SimSun"/>
          <w:color w:val="000000"/>
          <w:spacing w:val="0"/>
          <w:w w:val="100"/>
          <w:position w:val="0"/>
        </w:rPr>
        <w:t>元、</w:t>
      </w:r>
      <w:r>
        <w:rPr>
          <w:color w:val="000000"/>
          <w:spacing w:val="0"/>
          <w:w w:val="100"/>
          <w:position w:val="0"/>
        </w:rPr>
        <w:t xml:space="preserve">5,011,547.95 </w:t>
      </w:r>
      <w:r>
        <w:rPr>
          <w:rFonts w:ascii="SimSun" w:eastAsia="SimSun" w:hAnsi="SimSun" w:cs="SimSun"/>
          <w:color w:val="000000"/>
          <w:spacing w:val="0"/>
          <w:w w:val="100"/>
          <w:position w:val="0"/>
        </w:rPr>
        <w:t xml:space="preserve">元及 </w:t>
      </w:r>
      <w:r>
        <w:rPr>
          <w:color w:val="000000"/>
          <w:spacing w:val="0"/>
          <w:w w:val="100"/>
          <w:position w:val="0"/>
        </w:rPr>
        <w:t xml:space="preserve">11,940,964.93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35"/>
        <w:keepNext/>
        <w:keepLines/>
        <w:widowControl w:val="0"/>
        <w:shd w:val="clear" w:color="auto" w:fill="auto"/>
        <w:bidi w:val="0"/>
        <w:spacing w:before="0" w:after="0" w:line="269" w:lineRule="exact"/>
        <w:ind w:left="0" w:right="0" w:firstLine="260"/>
        <w:jc w:val="left"/>
      </w:pPr>
      <w:bookmarkStart w:id="1354" w:name="bookmark1354"/>
      <w:bookmarkStart w:id="1355" w:name="bookmark1355"/>
      <w:bookmarkStart w:id="1356" w:name="bookmark1356"/>
      <w:r>
        <w:rPr>
          <w:color w:val="000000"/>
          <w:spacing w:val="0"/>
          <w:w w:val="100"/>
          <w:position w:val="0"/>
        </w:rPr>
        <w:t>固定资产清理</w:t>
      </w:r>
      <w:bookmarkEnd w:id="1354"/>
      <w:bookmarkEnd w:id="1355"/>
      <w:bookmarkEnd w:id="1356"/>
    </w:p>
    <w:p>
      <w:pPr>
        <w:pStyle w:val="Style2"/>
        <w:keepNext w:val="0"/>
        <w:keepLines w:val="0"/>
        <w:widowControl w:val="0"/>
        <w:shd w:val="clear" w:color="auto" w:fill="auto"/>
        <w:bidi w:val="0"/>
        <w:spacing w:before="0" w:after="240" w:line="269" w:lineRule="exact"/>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350" w:lineRule="exact"/>
        <w:ind w:left="260" w:right="0" w:firstLine="0"/>
        <w:jc w:val="left"/>
      </w:pPr>
      <w:bookmarkStart w:id="1357" w:name="bookmark1357"/>
      <w:bookmarkStart w:id="1358" w:name="bookmark1358"/>
      <w:bookmarkStart w:id="1359" w:name="bookmark1359"/>
      <w:bookmarkStart w:id="1360" w:name="bookmark1360"/>
      <w:r>
        <w:rPr>
          <w:color w:val="000000"/>
          <w:spacing w:val="0"/>
          <w:w w:val="100"/>
          <w:position w:val="0"/>
        </w:rPr>
        <w:t>2</w:t>
      </w:r>
      <w:bookmarkEnd w:id="1359"/>
      <w:r>
        <w:rPr>
          <w:color w:val="000000"/>
          <w:spacing w:val="0"/>
          <w:w w:val="100"/>
          <w:position w:val="0"/>
        </w:rPr>
        <w:t>2、在建工程 项目列示</w:t>
      </w:r>
      <w:bookmarkEnd w:id="1357"/>
      <w:bookmarkEnd w:id="1358"/>
      <w:bookmarkEnd w:id="1360"/>
    </w:p>
    <w:p>
      <w:pPr>
        <w:pStyle w:val="Style2"/>
        <w:keepNext w:val="0"/>
        <w:keepLines w:val="0"/>
        <w:widowControl w:val="0"/>
        <w:shd w:val="clear" w:color="auto" w:fill="auto"/>
        <w:bidi w:val="0"/>
        <w:spacing w:before="0" w:after="0" w:line="36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13,944,386.94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7,567,294.96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13,944,386.94</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7,567,294.96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26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260"/>
        <w:jc w:val="left"/>
      </w:pPr>
      <w:bookmarkStart w:id="1361" w:name="bookmark1361"/>
      <w:bookmarkStart w:id="1362" w:name="bookmark1362"/>
      <w:bookmarkStart w:id="1363" w:name="bookmark1363"/>
      <w:r>
        <w:rPr>
          <w:color w:val="000000"/>
          <w:spacing w:val="0"/>
          <w:w w:val="100"/>
          <w:position w:val="0"/>
        </w:rPr>
        <w:t>在建工程</w:t>
      </w:r>
      <w:bookmarkEnd w:id="1361"/>
      <w:bookmarkEnd w:id="1362"/>
      <w:bookmarkEnd w:id="1363"/>
    </w:p>
    <w:p>
      <w:pPr>
        <w:pStyle w:val="Style35"/>
        <w:keepNext/>
        <w:keepLines/>
        <w:widowControl w:val="0"/>
        <w:numPr>
          <w:ilvl w:val="0"/>
          <w:numId w:val="129"/>
        </w:numPr>
        <w:shd w:val="clear" w:color="auto" w:fill="auto"/>
        <w:bidi w:val="0"/>
        <w:spacing w:before="0" w:after="100" w:line="240" w:lineRule="auto"/>
        <w:ind w:left="0" w:right="0" w:firstLine="260"/>
        <w:jc w:val="left"/>
      </w:pPr>
      <w:bookmarkStart w:id="1361" w:name="bookmark1361"/>
      <w:bookmarkStart w:id="1362" w:name="bookmark1362"/>
      <w:bookmarkStart w:id="1364" w:name="bookmark1364"/>
      <w:bookmarkStart w:id="1365" w:name="bookmark1365"/>
      <w:bookmarkEnd w:id="1364"/>
      <w:r>
        <w:rPr>
          <w:color w:val="000000"/>
          <w:spacing w:val="0"/>
          <w:w w:val="100"/>
          <w:position w:val="0"/>
        </w:rPr>
        <w:t>.</w:t>
      </w:r>
      <w:r>
        <w:rPr>
          <w:color w:val="000000"/>
          <w:spacing w:val="0"/>
          <w:w w:val="100"/>
          <w:position w:val="0"/>
        </w:rPr>
        <w:t>在建工程情况</w:t>
      </w:r>
      <w:bookmarkEnd w:id="1361"/>
      <w:bookmarkEnd w:id="1362"/>
      <w:bookmarkEnd w:id="1365"/>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3"/>
        <w:gridCol w:w="1358"/>
        <w:gridCol w:w="1051"/>
        <w:gridCol w:w="1320"/>
        <w:gridCol w:w="1162"/>
        <w:gridCol w:w="1051"/>
        <w:gridCol w:w="1171"/>
      </w:tblGrid>
      <w:tr>
        <w:trPr>
          <w:trHeight w:val="25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r>
      <w:tr>
        <w:trPr>
          <w:trHeight w:val="48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临港产业化基地一 期项目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4,124,016.79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4,124,016.79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临港总部及研发中 心项目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2,982,277.93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2,982,277.93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厂房部分改造工程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2,854,226.66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2,854,226.66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3,704,570.17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3,704,570.17</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MOCVD</w:t>
            </w:r>
            <w:r>
              <w:rPr>
                <w:color w:val="000000"/>
                <w:spacing w:val="0"/>
                <w:w w:val="100"/>
                <w:position w:val="0"/>
                <w:sz w:val="17"/>
                <w:szCs w:val="17"/>
              </w:rPr>
              <w:t>工程项目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2,103,407.53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2,103,407.53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洁净室改造工程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1,880,458.03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1,880,458.03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3,862,724.79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3,862,724.79</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13,944,386.94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13,944,386.94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7,567,294.96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7,567,294.96</w:t>
            </w:r>
          </w:p>
        </w:tc>
      </w:tr>
    </w:tbl>
    <w:p>
      <w:pPr>
        <w:sectPr>
          <w:footnotePr>
            <w:pos w:val="pageBottom"/>
            <w:numFmt w:val="decimal"/>
            <w:numRestart w:val="continuous"/>
          </w:footnotePr>
          <w:pgSz w:w="11900" w:h="16840"/>
          <w:pgMar w:top="1441" w:right="989" w:bottom="1633" w:left="994" w:header="0" w:footer="3" w:gutter="0"/>
          <w:cols w:space="720"/>
          <w:noEndnote/>
          <w:rtlGutter w:val="0"/>
          <w:docGrid w:linePitch="360"/>
        </w:sectPr>
      </w:pPr>
    </w:p>
    <w:p>
      <w:pPr>
        <w:pStyle w:val="Style35"/>
        <w:keepNext/>
        <w:keepLines/>
        <w:widowControl w:val="0"/>
        <w:numPr>
          <w:ilvl w:val="0"/>
          <w:numId w:val="129"/>
        </w:numPr>
        <w:shd w:val="clear" w:color="auto" w:fill="auto"/>
        <w:bidi w:val="0"/>
        <w:spacing w:before="0" w:after="120" w:line="240" w:lineRule="auto"/>
        <w:ind w:left="0" w:right="0" w:firstLine="72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w:t>
      </w:r>
      <w:r>
        <w:rPr>
          <w:color w:val="000000"/>
          <w:spacing w:val="0"/>
          <w:w w:val="100"/>
          <w:position w:val="0"/>
        </w:rPr>
        <w:t>重要在建工程项目本期变动情况</w:t>
      </w:r>
      <w:bookmarkEnd w:id="1366"/>
      <w:bookmarkEnd w:id="1367"/>
      <w:bookmarkEnd w:id="1369"/>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1421"/>
        <w:gridCol w:w="1296"/>
        <w:gridCol w:w="1277"/>
        <w:gridCol w:w="1555"/>
        <w:gridCol w:w="1416"/>
        <w:gridCol w:w="1421"/>
        <w:gridCol w:w="1560"/>
        <w:gridCol w:w="854"/>
        <w:gridCol w:w="854"/>
        <w:gridCol w:w="365"/>
        <w:gridCol w:w="365"/>
        <w:gridCol w:w="538"/>
        <w:gridCol w:w="1848"/>
      </w:tblGrid>
      <w:tr>
        <w:trPr>
          <w:trHeight w:val="25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预算数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期初</w:t>
            </w:r>
          </w:p>
          <w:p>
            <w:pPr>
              <w:pStyle w:val="Style2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本期转入固定资 产金额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本期其他减少金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期末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3" w:lineRule="exact"/>
              <w:ind w:left="0" w:right="0" w:firstLine="0"/>
              <w:jc w:val="center"/>
              <w:rPr>
                <w:sz w:val="16"/>
                <w:szCs w:val="16"/>
              </w:rPr>
            </w:pPr>
            <w:r>
              <w:rPr>
                <w:color w:val="000000"/>
                <w:spacing w:val="0"/>
                <w:w w:val="100"/>
                <w:position w:val="0"/>
                <w:sz w:val="16"/>
                <w:szCs w:val="16"/>
              </w:rPr>
              <w:t>工程累 计投入 占预算 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工程进 度</w:t>
            </w:r>
          </w:p>
        </w:tc>
        <w:tc>
          <w:tcPr>
            <w:tcBorders>
              <w:top w:val="single" w:sz="4"/>
              <w:left w:val="single" w:sz="4"/>
            </w:tcBorders>
            <w:shd w:val="clear" w:color="auto" w:fill="FFFFFF"/>
            <w:textDirection w:val="tbRlV"/>
            <w:vAlign w:val="bottom"/>
          </w:tcPr>
          <w:p>
            <w:pPr>
              <w:pStyle w:val="Style8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利息资本化累计金额</w:t>
            </w:r>
          </w:p>
        </w:tc>
        <w:tc>
          <w:tcPr>
            <w:tcBorders>
              <w:top w:val="single" w:sz="4"/>
              <w:left w:val="single" w:sz="4"/>
            </w:tcBorders>
            <w:shd w:val="clear" w:color="auto" w:fill="FFFFFF"/>
            <w:textDirection w:val="tbRlV"/>
            <w:vAlign w:val="center"/>
          </w:tcPr>
          <w:p>
            <w:pPr>
              <w:pStyle w:val="Style8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其中.•本期利息资本化金额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3" w:lineRule="exact"/>
              <w:ind w:left="0" w:right="0" w:firstLine="0"/>
              <w:jc w:val="left"/>
              <w:rPr>
                <w:sz w:val="16"/>
                <w:szCs w:val="16"/>
              </w:rPr>
            </w:pPr>
            <w:r>
              <w:rPr>
                <w:color w:val="000000"/>
                <w:spacing w:val="0"/>
                <w:w w:val="100"/>
                <w:position w:val="0"/>
                <w:sz w:val="16"/>
                <w:szCs w:val="16"/>
              </w:rPr>
              <w:t>本期 利息 资本 化率</w:t>
            </w:r>
          </w:p>
          <w:p>
            <w:pPr>
              <w:pStyle w:val="Style25"/>
              <w:keepNext w:val="0"/>
              <w:keepLines w:val="0"/>
              <w:widowControl w:val="0"/>
              <w:shd w:val="clear" w:color="auto" w:fill="auto"/>
              <w:bidi w:val="0"/>
              <w:spacing w:before="0" w:after="0" w:line="213" w:lineRule="exact"/>
              <w:ind w:left="0" w:right="0" w:firstLine="14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资金来源</w:t>
            </w:r>
          </w:p>
        </w:tc>
      </w:tr>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临港产业化基</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地一期项目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 xml:space="preserve">154,813 </w:t>
            </w:r>
            <w:r>
              <w:rPr>
                <w:color w:val="000000"/>
                <w:spacing w:val="0"/>
                <w:w w:val="100"/>
                <w:position w:val="0"/>
                <w:sz w:val="16"/>
                <w:szCs w:val="16"/>
              </w:rPr>
              <w:t>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4,124,016.79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4,124,016.79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临港总部及研</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发中心项目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 xml:space="preserve">108,000 </w:t>
            </w:r>
            <w:r>
              <w:rPr>
                <w:color w:val="000000"/>
                <w:spacing w:val="0"/>
                <w:w w:val="100"/>
                <w:position w:val="0"/>
                <w:sz w:val="16"/>
                <w:szCs w:val="16"/>
              </w:rPr>
              <w:t>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2,982,277.93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2,982,277.93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r>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厂房部分改造 工程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 xml:space="preserve">1,080 </w:t>
            </w:r>
            <w:r>
              <w:rPr>
                <w:color w:val="000000"/>
                <w:spacing w:val="0"/>
                <w:w w:val="100"/>
                <w:position w:val="0"/>
                <w:sz w:val="16"/>
                <w:szCs w:val="16"/>
              </w:rPr>
              <w:t>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3,704,570.17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4,107,994.33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4,958,337.84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2,854,226.66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募集资金</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南昌厂房建设</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231</w:t>
            </w:r>
            <w:r>
              <w:rPr>
                <w:color w:val="000000"/>
                <w:spacing w:val="0"/>
                <w:w w:val="100"/>
                <w:position w:val="0"/>
                <w:sz w:val="16"/>
                <w:szCs w:val="16"/>
              </w:rPr>
              <w:t>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389,908.26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389,908.26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0"/>
              <w:jc w:val="left"/>
              <w:rPr>
                <w:sz w:val="16"/>
                <w:szCs w:val="16"/>
              </w:rPr>
            </w:pPr>
            <w:r>
              <w:rPr>
                <w:rFonts w:ascii="Arial" w:eastAsia="Arial" w:hAnsi="Arial" w:cs="Arial"/>
                <w:color w:val="000000"/>
                <w:spacing w:val="0"/>
                <w:w w:val="100"/>
                <w:position w:val="0"/>
                <w:sz w:val="16"/>
                <w:szCs w:val="16"/>
              </w:rPr>
              <w:t>MOCVD</w:t>
            </w:r>
            <w:r>
              <w:rPr>
                <w:color w:val="000000"/>
                <w:spacing w:val="0"/>
                <w:w w:val="100"/>
                <w:position w:val="0"/>
                <w:sz w:val="16"/>
                <w:szCs w:val="16"/>
              </w:rPr>
              <w:t>工程 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480</w:t>
            </w:r>
            <w:r>
              <w:rPr>
                <w:color w:val="000000"/>
                <w:spacing w:val="0"/>
                <w:w w:val="100"/>
                <w:position w:val="0"/>
                <w:sz w:val="16"/>
                <w:szCs w:val="16"/>
              </w:rPr>
              <w:t>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2,103,407.53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2,103,407.53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洁净室改造工</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 xml:space="preserve">1,995 </w:t>
            </w:r>
            <w:r>
              <w:rPr>
                <w:color w:val="000000"/>
                <w:spacing w:val="0"/>
                <w:w w:val="100"/>
                <w:position w:val="0"/>
                <w:sz w:val="16"/>
                <w:szCs w:val="16"/>
              </w:rPr>
              <w:t>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3,862,724.79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14,360,629.19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16,342,895.95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1,880,458.03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募集资金</w:t>
            </w:r>
          </w:p>
        </w:tc>
      </w:tr>
      <w:tr>
        <w:trPr>
          <w:trHeight w:val="2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 xml:space="preserve">266,599 </w:t>
            </w:r>
            <w:r>
              <w:rPr>
                <w:color w:val="000000"/>
                <w:spacing w:val="0"/>
                <w:w w:val="100"/>
                <w:position w:val="0"/>
                <w:sz w:val="16"/>
                <w:szCs w:val="16"/>
              </w:rPr>
              <w:t>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7,567,294.96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28,068,234.03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21,301,233.79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389,908.26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13,944,386.94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2699" w:line="1" w:lineRule="exact"/>
      </w:pPr>
    </w:p>
    <w:p>
      <w:pPr>
        <w:pStyle w:val="Style45"/>
        <w:keepNext w:val="0"/>
        <w:keepLines w:val="0"/>
        <w:widowControl w:val="0"/>
        <w:shd w:val="clear" w:color="auto" w:fill="auto"/>
        <w:bidi w:val="0"/>
        <w:spacing w:before="0" w:after="60" w:line="240" w:lineRule="auto"/>
        <w:ind w:left="0" w:right="0" w:firstLine="0"/>
        <w:jc w:val="center"/>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614" w:right="1273" w:bottom="1190" w:left="798" w:header="0" w:footer="762" w:gutter="0"/>
          <w:cols w:space="720"/>
          <w:noEndnote/>
          <w:rtlGutter w:val="0"/>
          <w:docGrid w:linePitch="360"/>
        </w:sectPr>
      </w:pPr>
      <w:r>
        <w:rPr>
          <w:color w:val="000000"/>
          <w:spacing w:val="0"/>
          <w:w w:val="100"/>
          <w:position w:val="0"/>
        </w:rPr>
        <w:t xml:space="preserve">150 </w:t>
      </w:r>
      <w:r>
        <w:rPr>
          <w:b w:val="0"/>
          <w:bCs w:val="0"/>
          <w:color w:val="000000"/>
          <w:spacing w:val="0"/>
          <w:w w:val="100"/>
          <w:position w:val="0"/>
        </w:rPr>
        <w:t xml:space="preserve">/ </w:t>
      </w:r>
      <w:r>
        <w:rPr>
          <w:color w:val="000000"/>
          <w:spacing w:val="0"/>
          <w:w w:val="100"/>
          <w:position w:val="0"/>
        </w:rPr>
        <w:t>193</w:t>
      </w:r>
    </w:p>
    <w:p>
      <w:pPr>
        <w:pStyle w:val="Style35"/>
        <w:keepNext/>
        <w:keepLines/>
        <w:widowControl w:val="0"/>
        <w:numPr>
          <w:ilvl w:val="0"/>
          <w:numId w:val="129"/>
        </w:numPr>
        <w:shd w:val="clear" w:color="auto" w:fill="auto"/>
        <w:tabs>
          <w:tab w:pos="430" w:val="left"/>
        </w:tabs>
        <w:bidi w:val="0"/>
        <w:spacing w:before="460" w:after="40" w:line="274" w:lineRule="exact"/>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w:t>
      </w:r>
      <w:r>
        <w:rPr>
          <w:color w:val="000000"/>
          <w:spacing w:val="0"/>
          <w:w w:val="100"/>
          <w:position w:val="0"/>
        </w:rPr>
        <w:t>本期计提在建工程减值准备情况</w:t>
      </w:r>
      <w:bookmarkEnd w:id="1370"/>
      <w:bookmarkEnd w:id="1371"/>
      <w:bookmarkEnd w:id="137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工程物资</w:t>
      </w:r>
    </w:p>
    <w:p>
      <w:pPr>
        <w:pStyle w:val="Style2"/>
        <w:keepNext w:val="0"/>
        <w:keepLines w:val="0"/>
        <w:widowControl w:val="0"/>
        <w:numPr>
          <w:ilvl w:val="0"/>
          <w:numId w:val="129"/>
        </w:numPr>
        <w:shd w:val="clear" w:color="auto" w:fill="auto"/>
        <w:tabs>
          <w:tab w:pos="430" w:val="left"/>
        </w:tabs>
        <w:bidi w:val="0"/>
        <w:spacing w:before="0" w:after="40" w:line="274" w:lineRule="exact"/>
        <w:ind w:left="0" w:right="0" w:firstLine="0"/>
        <w:jc w:val="left"/>
      </w:pPr>
      <w:bookmarkStart w:id="1374" w:name="bookmark1374"/>
      <w:bookmarkEnd w:id="1374"/>
      <w:r>
        <w:rPr>
          <w:b/>
          <w:bCs/>
          <w:color w:val="000000"/>
          <w:spacing w:val="0"/>
          <w:w w:val="100"/>
          <w:position w:val="0"/>
        </w:rPr>
        <w:t>.</w:t>
      </w:r>
      <w:r>
        <w:rPr>
          <w:b/>
          <w:bCs/>
          <w:color w:val="000000"/>
          <w:spacing w:val="0"/>
          <w:w w:val="100"/>
          <w:position w:val="0"/>
        </w:rPr>
        <w:t>工程物资情况</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40" w:line="274" w:lineRule="exact"/>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2</w:t>
      </w:r>
      <w:bookmarkEnd w:id="1377"/>
      <w:r>
        <w:rPr>
          <w:color w:val="000000"/>
          <w:spacing w:val="0"/>
          <w:w w:val="100"/>
          <w:position w:val="0"/>
        </w:rPr>
        <w:t>3、</w:t>
        <w:tab/>
        <w:t>生产性生物资产</w:t>
      </w:r>
      <w:bookmarkEnd w:id="1375"/>
      <w:bookmarkEnd w:id="1376"/>
      <w:bookmarkEnd w:id="1378"/>
    </w:p>
    <w:p>
      <w:pPr>
        <w:pStyle w:val="Style35"/>
        <w:keepNext/>
        <w:keepLines/>
        <w:widowControl w:val="0"/>
        <w:numPr>
          <w:ilvl w:val="0"/>
          <w:numId w:val="131"/>
        </w:numPr>
        <w:shd w:val="clear" w:color="auto" w:fill="auto"/>
        <w:tabs>
          <w:tab w:pos="430" w:val="left"/>
        </w:tabs>
        <w:bidi w:val="0"/>
        <w:spacing w:before="0" w:after="40" w:line="274" w:lineRule="exact"/>
        <w:ind w:left="0" w:right="0" w:firstLine="0"/>
        <w:jc w:val="left"/>
      </w:pPr>
      <w:bookmarkStart w:id="1375" w:name="bookmark1375"/>
      <w:bookmarkStart w:id="1376" w:name="bookmark1376"/>
      <w:bookmarkStart w:id="1379" w:name="bookmark1379"/>
      <w:bookmarkStart w:id="1380" w:name="bookmark1380"/>
      <w:bookmarkEnd w:id="1379"/>
      <w:r>
        <w:rPr>
          <w:color w:val="000000"/>
          <w:spacing w:val="0"/>
          <w:w w:val="100"/>
          <w:position w:val="0"/>
        </w:rPr>
        <w:t>.</w:t>
      </w:r>
      <w:r>
        <w:rPr>
          <w:color w:val="000000"/>
          <w:spacing w:val="0"/>
          <w:w w:val="100"/>
          <w:position w:val="0"/>
        </w:rPr>
        <w:t>采用成本计量模式的生产性生物资产</w:t>
      </w:r>
      <w:bookmarkEnd w:id="1375"/>
      <w:bookmarkEnd w:id="1376"/>
      <w:bookmarkEnd w:id="1380"/>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30" w:val="left"/>
        </w:tabs>
        <w:bidi w:val="0"/>
        <w:spacing w:before="0" w:after="40" w:line="274" w:lineRule="exact"/>
        <w:ind w:left="0" w:right="0" w:firstLine="0"/>
        <w:jc w:val="left"/>
      </w:pPr>
      <w:bookmarkStart w:id="1381" w:name="bookmark1381"/>
      <w:bookmarkEnd w:id="1381"/>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40" w:line="274" w:lineRule="exact"/>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2</w:t>
      </w:r>
      <w:bookmarkEnd w:id="1384"/>
      <w:r>
        <w:rPr>
          <w:color w:val="000000"/>
          <w:spacing w:val="0"/>
          <w:w w:val="100"/>
          <w:position w:val="0"/>
        </w:rPr>
        <w:t>4、</w:t>
        <w:tab/>
        <w:t>油气资产</w:t>
      </w:r>
      <w:bookmarkEnd w:id="1382"/>
      <w:bookmarkEnd w:id="1383"/>
      <w:bookmarkEnd w:id="1385"/>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40" w:line="274" w:lineRule="exact"/>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2</w:t>
      </w:r>
      <w:bookmarkEnd w:id="1388"/>
      <w:r>
        <w:rPr>
          <w:color w:val="000000"/>
          <w:spacing w:val="0"/>
          <w:w w:val="100"/>
          <w:position w:val="0"/>
        </w:rPr>
        <w:t>5、</w:t>
        <w:tab/>
        <w:t>使用权资产</w:t>
      </w:r>
      <w:bookmarkEnd w:id="1386"/>
      <w:bookmarkEnd w:id="1387"/>
      <w:bookmarkEnd w:id="1389"/>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40" w:line="274" w:lineRule="exact"/>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2</w:t>
      </w:r>
      <w:bookmarkEnd w:id="1392"/>
      <w:r>
        <w:rPr>
          <w:color w:val="000000"/>
          <w:spacing w:val="0"/>
          <w:w w:val="100"/>
          <w:position w:val="0"/>
        </w:rPr>
        <w:t>6、</w:t>
        <w:tab/>
        <w:t>无形资产</w:t>
      </w:r>
      <w:bookmarkEnd w:id="1390"/>
      <w:bookmarkEnd w:id="1391"/>
      <w:bookmarkEnd w:id="1393"/>
    </w:p>
    <w:p>
      <w:pPr>
        <w:pStyle w:val="Style35"/>
        <w:keepNext/>
        <w:keepLines/>
        <w:widowControl w:val="0"/>
        <w:numPr>
          <w:ilvl w:val="0"/>
          <w:numId w:val="133"/>
        </w:numPr>
        <w:shd w:val="clear" w:color="auto" w:fill="auto"/>
        <w:bidi w:val="0"/>
        <w:spacing w:before="0" w:after="100" w:line="274" w:lineRule="exact"/>
        <w:ind w:left="0" w:right="0" w:firstLine="0"/>
        <w:jc w:val="left"/>
      </w:pPr>
      <w:bookmarkStart w:id="1390" w:name="bookmark1390"/>
      <w:bookmarkStart w:id="1391" w:name="bookmark1391"/>
      <w:bookmarkStart w:id="1394" w:name="bookmark1394"/>
      <w:bookmarkStart w:id="1395" w:name="bookmark1395"/>
      <w:bookmarkEnd w:id="1394"/>
      <w:r>
        <w:rPr>
          <w:color w:val="000000"/>
          <w:spacing w:val="0"/>
          <w:w w:val="100"/>
          <w:position w:val="0"/>
        </w:rPr>
        <w:t>.</w:t>
      </w:r>
      <w:r>
        <w:rPr>
          <w:color w:val="000000"/>
          <w:spacing w:val="0"/>
          <w:w w:val="100"/>
          <w:position w:val="0"/>
        </w:rPr>
        <w:t>无形资产情况</w:t>
      </w:r>
      <w:bookmarkEnd w:id="1390"/>
      <w:bookmarkEnd w:id="1391"/>
      <w:bookmarkEnd w:id="1395"/>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64"/>
        <w:gridCol w:w="1358"/>
        <w:gridCol w:w="1450"/>
        <w:gridCol w:w="1454"/>
        <w:gridCol w:w="1550"/>
        <w:gridCol w:w="156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专有技术权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内部开发技术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合计</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7,939,232.11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21,027,269.20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56,539,700.00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297,823,485.66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383,329,686.97</w:t>
            </w:r>
          </w:p>
        </w:tc>
      </w:tr>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本期增加金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4,560,937.23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37,601,411.59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42,162,348.82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购置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4,560,937.23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4,560,937.23</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内部研 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37,601,411.59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37,601,411.59</w:t>
            </w:r>
          </w:p>
        </w:tc>
      </w:tr>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企业合 并增加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外币报 表折算差异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本期减少金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1,119.73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1,119.73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1" w:lineRule="exact"/>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外币报 表折算差异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1,119.73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1,119.73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7,939,232.11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25,587,086.70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56,539,700.00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335,424,897.25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425,490,916.06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1,887,142.17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17,672,857.35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56,539,700.00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11,471,958.95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87,571,658.47</w:t>
            </w:r>
          </w:p>
        </w:tc>
      </w:tr>
      <w:tr>
        <w:trPr>
          <w:trHeight w:val="42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本期增加金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170,064.22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2,356,553.20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46,127,299.06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48,653,916.48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170,064.22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2,356,553.20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46,127,299.06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48,653,916.48</w:t>
            </w:r>
          </w:p>
        </w:tc>
      </w:tr>
    </w:tbl>
    <w:p>
      <w:pPr>
        <w:spacing w:lineRule="exact" w:line="1"/>
        <w:rPr>
          <w:sz w:val="2"/>
          <w:szCs w:val="2"/>
        </w:rPr>
      </w:pPr>
      <w:r>
        <w:br w:type="page"/>
      </w:r>
    </w:p>
    <w:tbl>
      <w:tblPr>
        <w:tblOverlap w:val="never"/>
        <w:jc w:val="center"/>
        <w:tblLayout w:type="fixed"/>
      </w:tblPr>
      <w:tblGrid>
        <w:gridCol w:w="1450"/>
        <w:gridCol w:w="1373"/>
        <w:gridCol w:w="1464"/>
        <w:gridCol w:w="1440"/>
        <w:gridCol w:w="1550"/>
        <w:gridCol w:w="1560"/>
      </w:tblGrid>
      <w:tr>
        <w:trPr>
          <w:trHeight w:val="43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本期减少金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1,119.73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1,119.73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外币报 表折算差异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1,119.73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1,119.73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2,057,206.39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20,028,290.82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56,539,700.00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57,599,258.01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136,224,455.22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期末账面价 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5,882,025.72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5,558,795.88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277,825,639.24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289,266,460.84</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期初账面价 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6,052,089.94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3,354,411.85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286,351,526.71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295,758,028.50</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内部研发形成的无形资产占无形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修资产余额的比例</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列 </w:t>
            </w:r>
            <w:r>
              <w:rPr>
                <w:rFonts w:ascii="Times New Roman" w:eastAsia="Times New Roman" w:hAnsi="Times New Roman" w:cs="Times New Roman"/>
                <w:color w:val="000000"/>
                <w:spacing w:val="0"/>
                <w:w w:val="100"/>
                <w:position w:val="0"/>
              </w:rPr>
              <w:t>96.04%</w:t>
            </w:r>
          </w:p>
        </w:tc>
      </w:tr>
    </w:tbl>
    <w:p>
      <w:pPr>
        <w:widowControl w:val="0"/>
        <w:spacing w:after="299" w:line="1" w:lineRule="exact"/>
      </w:pPr>
    </w:p>
    <w:p>
      <w:pPr>
        <w:pStyle w:val="Style35"/>
        <w:keepNext/>
        <w:keepLines/>
        <w:widowControl w:val="0"/>
        <w:numPr>
          <w:ilvl w:val="0"/>
          <w:numId w:val="133"/>
        </w:numPr>
        <w:shd w:val="clear" w:color="auto" w:fill="auto"/>
        <w:bidi w:val="0"/>
        <w:spacing w:before="0" w:after="60" w:line="271" w:lineRule="exact"/>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w:t>
      </w:r>
      <w:r>
        <w:rPr>
          <w:color w:val="000000"/>
          <w:spacing w:val="0"/>
          <w:w w:val="100"/>
          <w:position w:val="0"/>
        </w:rPr>
        <w:t>未办妥产权证书的土地使用权情况</w:t>
      </w:r>
      <w:bookmarkEnd w:id="1396"/>
      <w:bookmarkEnd w:id="1397"/>
      <w:bookmarkEnd w:id="1399"/>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58"/>
        <w:keepNext w:val="0"/>
        <w:keepLines w:val="0"/>
        <w:widowControl w:val="0"/>
        <w:shd w:val="clear" w:color="auto" w:fill="auto"/>
        <w:bidi w:val="0"/>
        <w:spacing w:before="0" w:after="300" w:line="271" w:lineRule="exact"/>
        <w:ind w:left="0" w:right="0" w:firstLine="440"/>
        <w:jc w:val="left"/>
      </w:pPr>
      <w:r>
        <w:rPr>
          <w:color w:val="000000"/>
          <w:spacing w:val="0"/>
          <w:w w:val="100"/>
          <w:position w:val="0"/>
        </w:rPr>
        <w:t>2020</w:t>
      </w:r>
      <w:r>
        <w:rPr>
          <w:rFonts w:ascii="SimSun" w:eastAsia="SimSun" w:hAnsi="SimSun" w:cs="SimSun"/>
          <w:color w:val="000000"/>
          <w:spacing w:val="0"/>
          <w:w w:val="100"/>
          <w:position w:val="0"/>
        </w:rPr>
        <w:t xml:space="preserve">年度计入营业成本、销售费用、管理费用、研发费用及开发支出的摊销费用为 </w:t>
      </w:r>
      <w:r>
        <w:rPr>
          <w:color w:val="000000"/>
          <w:spacing w:val="0"/>
          <w:w w:val="100"/>
          <w:position w:val="0"/>
        </w:rPr>
        <w:t xml:space="preserve">46,572,158.10 </w:t>
      </w:r>
      <w:r>
        <w:rPr>
          <w:rFonts w:ascii="SimSun" w:eastAsia="SimSun" w:hAnsi="SimSun" w:cs="SimSun"/>
          <w:color w:val="000000"/>
          <w:spacing w:val="0"/>
          <w:w w:val="100"/>
          <w:position w:val="0"/>
        </w:rPr>
        <w:t>元、</w:t>
      </w:r>
      <w:r>
        <w:rPr>
          <w:color w:val="000000"/>
          <w:spacing w:val="0"/>
          <w:w w:val="100"/>
          <w:position w:val="0"/>
        </w:rPr>
        <w:t xml:space="preserve">79,896.86 </w:t>
      </w:r>
      <w:r>
        <w:rPr>
          <w:rFonts w:ascii="SimSun" w:eastAsia="SimSun" w:hAnsi="SimSun" w:cs="SimSun"/>
          <w:color w:val="000000"/>
          <w:spacing w:val="0"/>
          <w:w w:val="100"/>
          <w:position w:val="0"/>
        </w:rPr>
        <w:t>元、</w:t>
      </w:r>
      <w:r>
        <w:rPr>
          <w:color w:val="000000"/>
          <w:spacing w:val="0"/>
          <w:w w:val="100"/>
          <w:position w:val="0"/>
        </w:rPr>
        <w:t xml:space="preserve">173,326.98 </w:t>
      </w:r>
      <w:r>
        <w:rPr>
          <w:rFonts w:ascii="SimSun" w:eastAsia="SimSun" w:hAnsi="SimSun" w:cs="SimSun"/>
          <w:color w:val="000000"/>
          <w:spacing w:val="0"/>
          <w:w w:val="100"/>
          <w:position w:val="0"/>
        </w:rPr>
        <w:t>元、</w:t>
      </w:r>
      <w:r>
        <w:rPr>
          <w:color w:val="000000"/>
          <w:spacing w:val="0"/>
          <w:w w:val="100"/>
          <w:position w:val="0"/>
        </w:rPr>
        <w:t xml:space="preserve">1,556,957.99 </w:t>
      </w:r>
      <w:r>
        <w:rPr>
          <w:rFonts w:ascii="SimSun" w:eastAsia="SimSun" w:hAnsi="SimSun" w:cs="SimSun"/>
          <w:color w:val="000000"/>
          <w:spacing w:val="0"/>
          <w:w w:val="100"/>
          <w:position w:val="0"/>
        </w:rPr>
        <w:t xml:space="preserve">元及 </w:t>
      </w:r>
      <w:r>
        <w:rPr>
          <w:color w:val="000000"/>
          <w:spacing w:val="0"/>
          <w:w w:val="100"/>
          <w:position w:val="0"/>
        </w:rPr>
        <w:t xml:space="preserve">271,576.55 </w:t>
      </w:r>
      <w:r>
        <w:rPr>
          <w:rFonts w:ascii="SimSun" w:eastAsia="SimSun" w:hAnsi="SimSun" w:cs="SimSun"/>
          <w:color w:val="000000"/>
          <w:spacing w:val="0"/>
          <w:w w:val="100"/>
          <w:position w:val="0"/>
        </w:rPr>
        <w:t>元</w:t>
      </w:r>
      <w:r>
        <w:rPr>
          <w:color w:val="000000"/>
          <w:spacing w:val="0"/>
          <w:w w:val="100"/>
          <w:position w:val="0"/>
        </w:rPr>
        <w:t xml:space="preserve">(2019 </w:t>
      </w:r>
      <w:r>
        <w:rPr>
          <w:rFonts w:ascii="SimSun" w:eastAsia="SimSun" w:hAnsi="SimSun" w:cs="SimSun"/>
          <w:color w:val="000000"/>
          <w:spacing w:val="0"/>
          <w:w w:val="100"/>
          <w:position w:val="0"/>
        </w:rPr>
        <w:t xml:space="preserve">年度: </w:t>
      </w:r>
      <w:r>
        <w:rPr>
          <w:color w:val="000000"/>
          <w:spacing w:val="0"/>
          <w:w w:val="100"/>
          <w:position w:val="0"/>
        </w:rPr>
        <w:t xml:space="preserve">10,030,084.54 </w:t>
      </w:r>
      <w:r>
        <w:rPr>
          <w:rFonts w:ascii="SimSun" w:eastAsia="SimSun" w:hAnsi="SimSun" w:cs="SimSun"/>
          <w:color w:val="000000"/>
          <w:spacing w:val="0"/>
          <w:w w:val="100"/>
          <w:position w:val="0"/>
        </w:rPr>
        <w:t>元、</w:t>
      </w:r>
      <w:r>
        <w:rPr>
          <w:color w:val="000000"/>
          <w:spacing w:val="0"/>
          <w:w w:val="100"/>
          <w:position w:val="0"/>
        </w:rPr>
        <w:t xml:space="preserve">91,975.70 </w:t>
      </w:r>
      <w:r>
        <w:rPr>
          <w:rFonts w:ascii="SimSun" w:eastAsia="SimSun" w:hAnsi="SimSun" w:cs="SimSun"/>
          <w:color w:val="000000"/>
          <w:spacing w:val="0"/>
          <w:w w:val="100"/>
          <w:position w:val="0"/>
        </w:rPr>
        <w:t>元、</w:t>
      </w:r>
      <w:r>
        <w:rPr>
          <w:color w:val="000000"/>
          <w:spacing w:val="0"/>
          <w:w w:val="100"/>
          <w:position w:val="0"/>
        </w:rPr>
        <w:t xml:space="preserve">198,225.20 </w:t>
      </w:r>
      <w:r>
        <w:rPr>
          <w:rFonts w:ascii="SimSun" w:eastAsia="SimSun" w:hAnsi="SimSun" w:cs="SimSun"/>
          <w:color w:val="000000"/>
          <w:spacing w:val="0"/>
          <w:w w:val="100"/>
          <w:position w:val="0"/>
        </w:rPr>
        <w:t>元、</w:t>
      </w:r>
      <w:r>
        <w:rPr>
          <w:color w:val="000000"/>
          <w:spacing w:val="0"/>
          <w:w w:val="100"/>
          <w:position w:val="0"/>
        </w:rPr>
        <w:t xml:space="preserve">191,222.52 </w:t>
      </w:r>
      <w:r>
        <w:rPr>
          <w:rFonts w:ascii="SimSun" w:eastAsia="SimSun" w:hAnsi="SimSun" w:cs="SimSun"/>
          <w:color w:val="000000"/>
          <w:spacing w:val="0"/>
          <w:w w:val="100"/>
          <w:position w:val="0"/>
        </w:rPr>
        <w:t xml:space="preserve">元及 </w:t>
      </w:r>
      <w:r>
        <w:rPr>
          <w:color w:val="000000"/>
          <w:spacing w:val="0"/>
          <w:w w:val="100"/>
          <w:position w:val="0"/>
        </w:rPr>
        <w:t xml:space="preserve">284,764.30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35"/>
        <w:keepNext/>
        <w:keepLines/>
        <w:widowControl w:val="0"/>
        <w:shd w:val="clear" w:color="auto" w:fill="auto"/>
        <w:bidi w:val="0"/>
        <w:spacing w:before="0" w:after="120" w:line="271" w:lineRule="exact"/>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2</w:t>
      </w:r>
      <w:bookmarkEnd w:id="1402"/>
      <w:r>
        <w:rPr>
          <w:color w:val="000000"/>
          <w:spacing w:val="0"/>
          <w:w w:val="100"/>
          <w:position w:val="0"/>
        </w:rPr>
        <w:t>7、开发支出</w:t>
      </w:r>
      <w:bookmarkEnd w:id="1400"/>
      <w:bookmarkEnd w:id="1401"/>
      <w:bookmarkEnd w:id="1403"/>
    </w:p>
    <w:p>
      <w:pPr>
        <w:pStyle w:val="Style2"/>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49"/>
        <w:gridCol w:w="1339"/>
        <w:gridCol w:w="1253"/>
        <w:gridCol w:w="1147"/>
        <w:gridCol w:w="1248"/>
        <w:gridCol w:w="1152"/>
        <w:gridCol w:w="1349"/>
      </w:tblGrid>
      <w:tr>
        <w:trPr>
          <w:trHeight w:val="24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期初 余额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 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转入当期损 益</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刻蚀机相关项</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185,141,394.86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63,682,477.56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37,601,411.59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211,222,460.83</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MOCVD</w:t>
            </w:r>
            <w:r>
              <w:rPr>
                <w:color w:val="000000"/>
                <w:spacing w:val="0"/>
                <w:w w:val="100"/>
                <w:position w:val="0"/>
                <w:sz w:val="17"/>
                <w:szCs w:val="17"/>
              </w:rPr>
              <w:t>相关 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46,461,788.00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13,523,807.52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59,985,595.52</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231,603,182.86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77,206,285.08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37,601,411.59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271,208,056.35</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40" w:line="271" w:lineRule="exact"/>
        <w:ind w:left="0" w:right="0" w:firstLine="440"/>
        <w:jc w:val="left"/>
      </w:pPr>
      <w:r>
        <w:rPr>
          <w:color w:val="000000"/>
          <w:spacing w:val="0"/>
          <w:w w:val="100"/>
          <w:position w:val="0"/>
        </w:rPr>
        <w:t>2020</w:t>
      </w:r>
      <w:r>
        <w:rPr>
          <w:rFonts w:ascii="SimSun" w:eastAsia="SimSun" w:hAnsi="SimSun" w:cs="SimSun"/>
          <w:color w:val="000000"/>
          <w:spacing w:val="0"/>
          <w:w w:val="100"/>
          <w:position w:val="0"/>
        </w:rPr>
        <w:t>年度，本集团研究开发支出共计</w:t>
      </w:r>
      <w:r>
        <w:rPr>
          <w:color w:val="000000"/>
          <w:spacing w:val="0"/>
          <w:w w:val="100"/>
          <w:position w:val="0"/>
        </w:rPr>
        <w:t>639,786,670.75</w:t>
      </w:r>
      <w:r>
        <w:rPr>
          <w:rFonts w:ascii="SimSun" w:eastAsia="SimSun" w:hAnsi="SimSun" w:cs="SimSun"/>
          <w:color w:val="000000"/>
          <w:spacing w:val="0"/>
          <w:w w:val="100"/>
          <w:position w:val="0"/>
        </w:rPr>
        <w:t xml:space="preserve">元，政府补助抵减研发费用 </w:t>
      </w:r>
      <w:r>
        <w:rPr>
          <w:color w:val="000000"/>
          <w:spacing w:val="0"/>
          <w:w w:val="100"/>
          <w:position w:val="0"/>
        </w:rPr>
        <w:t>231,858,983.60</w:t>
      </w:r>
      <w:r>
        <w:rPr>
          <w:rFonts w:ascii="SimSun" w:eastAsia="SimSun" w:hAnsi="SimSun" w:cs="SimSun"/>
          <w:color w:val="000000"/>
          <w:spacing w:val="0"/>
          <w:w w:val="100"/>
          <w:position w:val="0"/>
        </w:rPr>
        <w:t>元，研究开发支出净额为</w:t>
      </w:r>
      <w:r>
        <w:rPr>
          <w:color w:val="000000"/>
          <w:spacing w:val="0"/>
          <w:w w:val="100"/>
          <w:position w:val="0"/>
        </w:rPr>
        <w:t>407,927,687.15</w:t>
      </w:r>
      <w:r>
        <w:rPr>
          <w:rFonts w:ascii="SimSun" w:eastAsia="SimSun" w:hAnsi="SimSun" w:cs="SimSun"/>
          <w:color w:val="000000"/>
          <w:spacing w:val="0"/>
          <w:w w:val="100"/>
          <w:position w:val="0"/>
        </w:rPr>
        <w:t>元；其中，计入研发费用</w:t>
      </w:r>
      <w:r>
        <w:rPr>
          <w:color w:val="000000"/>
          <w:spacing w:val="0"/>
          <w:w w:val="100"/>
          <w:position w:val="0"/>
        </w:rPr>
        <w:t xml:space="preserve">330,721,402.07 </w:t>
      </w:r>
      <w:r>
        <w:rPr>
          <w:rFonts w:ascii="SimSun" w:eastAsia="SimSun" w:hAnsi="SimSun" w:cs="SimSun"/>
          <w:color w:val="000000"/>
          <w:spacing w:val="0"/>
          <w:w w:val="100"/>
          <w:position w:val="0"/>
        </w:rPr>
        <w:t>元，开发支出资本化</w:t>
      </w:r>
      <w:r>
        <w:rPr>
          <w:color w:val="000000"/>
          <w:spacing w:val="0"/>
          <w:w w:val="100"/>
          <w:position w:val="0"/>
        </w:rPr>
        <w:t>77,206,285.08</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年度，本集团研究开发支出共计</w:t>
      </w:r>
      <w:r>
        <w:rPr>
          <w:color w:val="000000"/>
          <w:spacing w:val="0"/>
          <w:w w:val="100"/>
          <w:position w:val="0"/>
        </w:rPr>
        <w:t>424,572,387.28</w:t>
      </w:r>
      <w:r>
        <w:rPr>
          <w:rFonts w:ascii="SimSun" w:eastAsia="SimSun" w:hAnsi="SimSun" w:cs="SimSun"/>
          <w:color w:val="000000"/>
          <w:spacing w:val="0"/>
          <w:w w:val="100"/>
          <w:position w:val="0"/>
        </w:rPr>
        <w:t>元， 政府补助抵减研发费用</w:t>
      </w:r>
      <w:r>
        <w:rPr>
          <w:color w:val="000000"/>
          <w:spacing w:val="0"/>
          <w:w w:val="100"/>
          <w:position w:val="0"/>
        </w:rPr>
        <w:t>15,494,724.39</w:t>
      </w:r>
      <w:r>
        <w:rPr>
          <w:rFonts w:ascii="SimSun" w:eastAsia="SimSun" w:hAnsi="SimSun" w:cs="SimSun"/>
          <w:color w:val="000000"/>
          <w:spacing w:val="0"/>
          <w:w w:val="100"/>
          <w:position w:val="0"/>
        </w:rPr>
        <w:t>元，研究开发支出净额为</w:t>
      </w:r>
      <w:r>
        <w:rPr>
          <w:color w:val="000000"/>
          <w:spacing w:val="0"/>
          <w:w w:val="100"/>
          <w:position w:val="0"/>
        </w:rPr>
        <w:t>409,077,662.89</w:t>
      </w:r>
      <w:r>
        <w:rPr>
          <w:rFonts w:ascii="SimSun" w:eastAsia="SimSun" w:hAnsi="SimSun" w:cs="SimSun"/>
          <w:color w:val="000000"/>
          <w:spacing w:val="0"/>
          <w:w w:val="100"/>
          <w:position w:val="0"/>
        </w:rPr>
        <w:t>元；其中，计入研 发费用</w:t>
      </w:r>
      <w:r>
        <w:rPr>
          <w:color w:val="000000"/>
          <w:spacing w:val="0"/>
          <w:w w:val="100"/>
          <w:position w:val="0"/>
        </w:rPr>
        <w:t>233,729,647.57</w:t>
      </w:r>
      <w:r>
        <w:rPr>
          <w:rFonts w:ascii="SimSun" w:eastAsia="SimSun" w:hAnsi="SimSun" w:cs="SimSun"/>
          <w:color w:val="000000"/>
          <w:spacing w:val="0"/>
          <w:w w:val="100"/>
          <w:position w:val="0"/>
        </w:rPr>
        <w:t>元，开发支出资本化</w:t>
      </w:r>
      <w:r>
        <w:rPr>
          <w:color w:val="000000"/>
          <w:spacing w:val="0"/>
          <w:w w:val="100"/>
          <w:position w:val="0"/>
        </w:rPr>
        <w:t>175,348,015.32</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35"/>
        <w:keepNext/>
        <w:keepLines/>
        <w:widowControl w:val="0"/>
        <w:shd w:val="clear" w:color="auto" w:fill="auto"/>
        <w:tabs>
          <w:tab w:pos="506" w:val="left"/>
        </w:tabs>
        <w:bidi w:val="0"/>
        <w:spacing w:before="0" w:after="10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2</w:t>
      </w:r>
      <w:bookmarkEnd w:id="1406"/>
      <w:r>
        <w:rPr>
          <w:color w:val="000000"/>
          <w:spacing w:val="0"/>
          <w:w w:val="100"/>
          <w:position w:val="0"/>
        </w:rPr>
        <w:t>8、</w:t>
        <w:tab/>
        <w:t>商誉</w:t>
      </w:r>
      <w:bookmarkEnd w:id="1404"/>
      <w:bookmarkEnd w:id="1405"/>
      <w:bookmarkEnd w:id="1407"/>
    </w:p>
    <w:p>
      <w:pPr>
        <w:pStyle w:val="Style35"/>
        <w:keepNext/>
        <w:keepLines/>
        <w:widowControl w:val="0"/>
        <w:numPr>
          <w:ilvl w:val="0"/>
          <w:numId w:val="135"/>
        </w:numPr>
        <w:shd w:val="clear" w:color="auto" w:fill="auto"/>
        <w:tabs>
          <w:tab w:pos="430" w:val="left"/>
        </w:tabs>
        <w:bidi w:val="0"/>
        <w:spacing w:before="0" w:after="100" w:line="240" w:lineRule="auto"/>
        <w:ind w:left="0" w:right="0" w:firstLine="0"/>
        <w:jc w:val="left"/>
      </w:pPr>
      <w:bookmarkStart w:id="1404" w:name="bookmark1404"/>
      <w:bookmarkStart w:id="1405" w:name="bookmark1405"/>
      <w:bookmarkStart w:id="1408" w:name="bookmark1408"/>
      <w:bookmarkStart w:id="1409" w:name="bookmark1409"/>
      <w:bookmarkEnd w:id="1408"/>
      <w:r>
        <w:rPr>
          <w:color w:val="000000"/>
          <w:spacing w:val="0"/>
          <w:w w:val="100"/>
          <w:position w:val="0"/>
        </w:rPr>
        <w:t>.</w:t>
      </w:r>
      <w:r>
        <w:rPr>
          <w:color w:val="000000"/>
          <w:spacing w:val="0"/>
          <w:w w:val="100"/>
          <w:position w:val="0"/>
        </w:rPr>
        <w:t>商誉账面原值</w:t>
      </w:r>
      <w:bookmarkEnd w:id="1404"/>
      <w:bookmarkEnd w:id="1405"/>
      <w:bookmarkEnd w:id="140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0" w:val="left"/>
        </w:tabs>
        <w:bidi w:val="0"/>
        <w:spacing w:before="0" w:after="100" w:line="240" w:lineRule="auto"/>
        <w:ind w:left="0" w:right="0" w:firstLine="0"/>
        <w:jc w:val="left"/>
      </w:pPr>
      <w:bookmarkStart w:id="1410" w:name="bookmark1410"/>
      <w:bookmarkEnd w:id="1410"/>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0" w:val="left"/>
        </w:tabs>
        <w:bidi w:val="0"/>
        <w:spacing w:before="0" w:after="100" w:line="240" w:lineRule="auto"/>
        <w:ind w:left="0" w:right="0" w:firstLine="0"/>
        <w:jc w:val="left"/>
      </w:pPr>
      <w:bookmarkStart w:id="1411" w:name="bookmark1411"/>
      <w:bookmarkEnd w:id="1411"/>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0" w:val="left"/>
        </w:tabs>
        <w:bidi w:val="0"/>
        <w:spacing w:before="0" w:after="0" w:line="240" w:lineRule="auto"/>
        <w:ind w:left="0" w:right="0" w:firstLine="0"/>
        <w:jc w:val="left"/>
      </w:pPr>
      <w:bookmarkStart w:id="1412" w:name="bookmark1412"/>
      <w:bookmarkEnd w:id="1412"/>
      <w:r>
        <w:rPr>
          <w:b/>
          <w:bCs/>
          <w:color w:val="000000"/>
          <w:spacing w:val="0"/>
          <w:w w:val="100"/>
          <w:position w:val="0"/>
        </w:rPr>
        <w:t>.说明商誉减值测试过程、关键参数(例如预计未来现金流量现值时的预测期增长率、稳定期</w:t>
      </w:r>
    </w:p>
    <w:p>
      <w:pPr>
        <w:pStyle w:val="Style2"/>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增长率、利润率、折现率、预测期等，如适用)及商誉减值损失的确认方法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0" w:val="left"/>
        </w:tabs>
        <w:bidi w:val="0"/>
        <w:spacing w:before="0" w:after="100" w:line="240" w:lineRule="auto"/>
        <w:ind w:left="0" w:right="0" w:firstLine="0"/>
        <w:jc w:val="left"/>
      </w:pPr>
      <w:bookmarkStart w:id="1413" w:name="bookmark1413"/>
      <w:bookmarkEnd w:id="1413"/>
      <w:r>
        <w:rPr>
          <w:b/>
          <w:bCs/>
          <w:color w:val="000000"/>
          <w:spacing w:val="0"/>
          <w:w w:val="100"/>
          <w:position w:val="0"/>
        </w:rPr>
        <w:t>.</w:t>
      </w:r>
      <w:r>
        <w:rPr>
          <w:b/>
          <w:bCs/>
          <w:color w:val="000000"/>
          <w:spacing w:val="0"/>
          <w:w w:val="100"/>
          <w:position w:val="0"/>
        </w:rPr>
        <w:t>商誉减值测试的影响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6" w:val="left"/>
        </w:tabs>
        <w:bidi w:val="0"/>
        <w:spacing w:before="0" w:after="10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2</w:t>
      </w:r>
      <w:bookmarkEnd w:id="1416"/>
      <w:r>
        <w:rPr>
          <w:color w:val="000000"/>
          <w:spacing w:val="0"/>
          <w:w w:val="100"/>
          <w:position w:val="0"/>
        </w:rPr>
        <w:t>9、</w:t>
        <w:tab/>
        <w:t>长期待摊费用</w:t>
      </w:r>
      <w:bookmarkEnd w:id="1414"/>
      <w:bookmarkEnd w:id="1415"/>
      <w:bookmarkEnd w:id="141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459"/>
        <w:gridCol w:w="1459"/>
        <w:gridCol w:w="1459"/>
        <w:gridCol w:w="1483"/>
        <w:gridCol w:w="1555"/>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本期摊销金额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经营租入固定资 产改良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8,308,821.56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389,908.26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5,885,197.16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79,416.75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2,734,115.91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8,308,821.56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389,908.26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5,885,197.16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79,416.75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2,734,115.91</w:t>
            </w: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3</w:t>
      </w:r>
      <w:bookmarkEnd w:id="1420"/>
      <w:r>
        <w:rPr>
          <w:color w:val="000000"/>
          <w:spacing w:val="0"/>
          <w:w w:val="100"/>
          <w:position w:val="0"/>
        </w:rPr>
        <w:t>0、递延所得税资产/递延所得税负债</w:t>
      </w:r>
      <w:bookmarkEnd w:id="1418"/>
      <w:bookmarkEnd w:id="1419"/>
      <w:bookmarkEnd w:id="1421"/>
    </w:p>
    <w:p>
      <w:pPr>
        <w:pStyle w:val="Style35"/>
        <w:keepNext/>
        <w:keepLines/>
        <w:widowControl w:val="0"/>
        <w:shd w:val="clear" w:color="auto" w:fill="auto"/>
        <w:bidi w:val="0"/>
        <w:spacing w:before="0" w:after="100" w:line="240" w:lineRule="auto"/>
        <w:ind w:left="0" w:right="0" w:firstLine="0"/>
        <w:jc w:val="left"/>
      </w:pPr>
      <w:bookmarkStart w:id="1418" w:name="bookmark1418"/>
      <w:bookmarkStart w:id="1419" w:name="bookmark1419"/>
      <w:bookmarkStart w:id="1422" w:name="bookmark1422"/>
      <w:r>
        <w:rPr>
          <w:color w:val="000000"/>
          <w:spacing w:val="0"/>
          <w:w w:val="100"/>
          <w:position w:val="0"/>
        </w:rPr>
        <w:t>(1).</w:t>
      </w:r>
      <w:r>
        <w:rPr>
          <w:color w:val="000000"/>
          <w:spacing w:val="0"/>
          <w:w w:val="100"/>
          <w:position w:val="0"/>
        </w:rPr>
        <w:t>未经抵销的递延所得税资产</w:t>
      </w:r>
      <w:bookmarkEnd w:id="1418"/>
      <w:bookmarkEnd w:id="1419"/>
      <w:bookmarkEnd w:id="142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90"/>
        <w:gridCol w:w="1608"/>
        <w:gridCol w:w="1608"/>
        <w:gridCol w:w="1622"/>
        <w:gridCol w:w="1613"/>
      </w:tblGrid>
      <w:tr>
        <w:trPr>
          <w:trHeight w:val="30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117,149,473.03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17,572,420.96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20,149,441.05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3,022,416.16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28,922,656.62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4,338,398.49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56,778,703.75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8,516,805.55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223,000,274.45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33,450,041.16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r>
    </w:tbl>
    <w:p>
      <w:pPr>
        <w:widowControl w:val="0"/>
        <w:spacing w:after="599" w:line="1" w:lineRule="exact"/>
      </w:pPr>
    </w:p>
    <w:p>
      <w:pPr>
        <w:pStyle w:val="Style35"/>
        <w:keepNext/>
        <w:keepLines/>
        <w:widowControl w:val="0"/>
        <w:numPr>
          <w:ilvl w:val="0"/>
          <w:numId w:val="137"/>
        </w:numPr>
        <w:shd w:val="clear" w:color="auto" w:fill="auto"/>
        <w:bidi w:val="0"/>
        <w:spacing w:before="0" w:after="10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r>
      <w:r>
        <w:rPr>
          <w:color w:val="000000"/>
          <w:spacing w:val="0"/>
          <w:w w:val="100"/>
          <w:position w:val="0"/>
        </w:rPr>
        <w:t>未经抵销的递延所得税负债</w:t>
      </w:r>
      <w:bookmarkEnd w:id="1423"/>
      <w:bookmarkEnd w:id="1424"/>
      <w:bookmarkEnd w:id="142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23"/>
        <w:gridCol w:w="1632"/>
        <w:gridCol w:w="1622"/>
        <w:gridCol w:w="1618"/>
        <w:gridCol w:w="1642"/>
      </w:tblGrid>
      <w:tr>
        <w:trPr>
          <w:trHeight w:val="2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bl>
    <w:p>
      <w:pPr>
        <w:spacing w:lineRule="exact" w:line="1"/>
        <w:rPr>
          <w:sz w:val="2"/>
          <w:szCs w:val="2"/>
        </w:rPr>
      </w:pPr>
      <w:r>
        <w:br w:type="page"/>
      </w:r>
    </w:p>
    <w:tbl>
      <w:tblPr>
        <w:tblOverlap w:val="never"/>
        <w:jc w:val="center"/>
        <w:tblLayout w:type="fixed"/>
      </w:tblPr>
      <w:tblGrid>
        <w:gridCol w:w="2323"/>
        <w:gridCol w:w="1632"/>
        <w:gridCol w:w="1622"/>
        <w:gridCol w:w="1618"/>
        <w:gridCol w:w="1642"/>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265,200,119.62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39,780,017.94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265,200,119.62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39,780,017.94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numPr>
          <w:ilvl w:val="0"/>
          <w:numId w:val="137"/>
        </w:numPr>
        <w:shd w:val="clear" w:color="auto" w:fill="auto"/>
        <w:bidi w:val="0"/>
        <w:spacing w:before="0" w:after="10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r>
      <w:r>
        <w:rPr>
          <w:color w:val="000000"/>
          <w:spacing w:val="0"/>
          <w:w w:val="100"/>
          <w:position w:val="0"/>
        </w:rPr>
        <w:t>以抵销后净额列示的递延所得税资产或负债</w:t>
      </w:r>
      <w:bookmarkEnd w:id="1427"/>
      <w:bookmarkEnd w:id="1428"/>
      <w:bookmarkEnd w:id="143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4"/>
        <w:gridCol w:w="1632"/>
        <w:gridCol w:w="1618"/>
        <w:gridCol w:w="1646"/>
        <w:gridCol w:w="1627"/>
      </w:tblGrid>
      <w:tr>
        <w:trPr>
          <w:trHeight w:val="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递延所得税资 产和负债期末 互抵金额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 得税资产或负 债期末余额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递延所得税资 产和负债期初 互抵金额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 得税资产或负 债期初余额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-33,450,041.16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33,450,041.16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-6,329,976.78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numPr>
          <w:ilvl w:val="0"/>
          <w:numId w:val="137"/>
        </w:numPr>
        <w:shd w:val="clear" w:color="auto" w:fill="auto"/>
        <w:bidi w:val="0"/>
        <w:spacing w:before="0" w:after="10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w:t>
      </w:r>
      <w:r>
        <w:rPr>
          <w:color w:val="000000"/>
          <w:spacing w:val="0"/>
          <w:w w:val="100"/>
          <w:position w:val="0"/>
        </w:rPr>
        <w:t>未确认递延所得税资产明细</w:t>
      </w:r>
      <w:bookmarkEnd w:id="1431"/>
      <w:bookmarkEnd w:id="1432"/>
      <w:bookmarkEnd w:id="1434"/>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2"/>
        <w:gridCol w:w="3005"/>
        <w:gridCol w:w="3010"/>
      </w:tblGrid>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80,636,326.17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227,130,906.01</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507,831,255.50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544,094,159.90</w:t>
            </w: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588,467,581.67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771,225,065.91</w:t>
            </w:r>
          </w:p>
        </w:tc>
      </w:tr>
    </w:tbl>
    <w:p>
      <w:pPr>
        <w:widowControl w:val="0"/>
        <w:spacing w:after="319" w:line="1" w:lineRule="exact"/>
      </w:pPr>
    </w:p>
    <w:p>
      <w:pPr>
        <w:pStyle w:val="Style35"/>
        <w:keepNext/>
        <w:keepLines/>
        <w:widowControl w:val="0"/>
        <w:numPr>
          <w:ilvl w:val="0"/>
          <w:numId w:val="137"/>
        </w:numPr>
        <w:shd w:val="clear" w:color="auto" w:fill="auto"/>
        <w:bidi w:val="0"/>
        <w:spacing w:before="0" w:after="10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w:t>
      </w:r>
      <w:r>
        <w:rPr>
          <w:color w:val="000000"/>
          <w:spacing w:val="0"/>
          <w:w w:val="100"/>
          <w:position w:val="0"/>
        </w:rPr>
        <w:t>未确认递延所得税资产的可抵扣亏损将于以下年度到期</w:t>
      </w:r>
      <w:bookmarkEnd w:id="1435"/>
      <w:bookmarkEnd w:id="1436"/>
      <w:bookmarkEnd w:id="143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0"/>
        <w:gridCol w:w="2227"/>
        <w:gridCol w:w="2266"/>
        <w:gridCol w:w="2304"/>
      </w:tblGrid>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5,516,570.06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5,516,570.06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309,946.36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6,662,140.08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6,997,231.73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2,782,762.12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6,033,189.29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4,630,131.98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19,901,550.60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18,856,937.44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日，中微国际未确认递延所得税资产的可抵扣亏损为人民币</w:t>
      </w:r>
      <w:r>
        <w:rPr>
          <w:rFonts w:ascii="Times New Roman" w:eastAsia="Times New Roman" w:hAnsi="Times New Roman" w:cs="Times New Roman"/>
          <w:color w:val="000000"/>
          <w:spacing w:val="0"/>
          <w:w w:val="100"/>
          <w:position w:val="0"/>
        </w:rPr>
        <w:t xml:space="preserve">487,929,704.90 </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525,237,222.47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，上述可抵扣亏损无固定到期日。</w:t>
      </w:r>
    </w:p>
    <w:p>
      <w:pPr>
        <w:pStyle w:val="Style35"/>
        <w:keepNext/>
        <w:keepLines/>
        <w:widowControl w:val="0"/>
        <w:shd w:val="clear" w:color="auto" w:fill="auto"/>
        <w:bidi w:val="0"/>
        <w:spacing w:before="0" w:after="100" w:line="274" w:lineRule="exact"/>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3</w:t>
      </w:r>
      <w:bookmarkEnd w:id="1441"/>
      <w:r>
        <w:rPr>
          <w:color w:val="000000"/>
          <w:spacing w:val="0"/>
          <w:w w:val="100"/>
          <w:position w:val="0"/>
        </w:rPr>
        <w:t>1、其他非流动资产</w:t>
      </w:r>
      <w:bookmarkEnd w:id="1439"/>
      <w:bookmarkEnd w:id="1440"/>
      <w:bookmarkEnd w:id="1442"/>
    </w:p>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0"/>
        <w:gridCol w:w="1536"/>
        <w:gridCol w:w="912"/>
        <w:gridCol w:w="1541"/>
        <w:gridCol w:w="1435"/>
        <w:gridCol w:w="773"/>
        <w:gridCol w:w="1440"/>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80"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40" w:line="281" w:lineRule="exact"/>
              <w:ind w:left="0" w:right="0" w:firstLine="0"/>
              <w:jc w:val="left"/>
            </w:pPr>
            <w:r>
              <w:rPr>
                <w:color w:val="000000"/>
                <w:spacing w:val="0"/>
                <w:w w:val="100"/>
                <w:position w:val="0"/>
              </w:rPr>
              <w:t>预付土地 购置款及 相关款项</w:t>
            </w:r>
          </w:p>
          <w:p>
            <w:pPr>
              <w:pStyle w:val="Style25"/>
              <w:keepNext w:val="0"/>
              <w:keepLines w:val="0"/>
              <w:widowControl w:val="0"/>
              <w:shd w:val="clear" w:color="auto" w:fill="auto"/>
              <w:bidi w:val="0"/>
              <w:spacing w:before="0" w:after="0" w:line="293" w:lineRule="auto"/>
              <w:ind w:left="0" w:right="0" w:firstLine="0"/>
              <w:jc w:val="left"/>
            </w:pPr>
            <w:r>
              <w:rPr>
                <w:rFonts w:ascii="Arial" w:eastAsia="Arial" w:hAnsi="Arial" w:cs="Arial"/>
                <w:color w:val="000000"/>
                <w:spacing w:val="0"/>
                <w:w w:val="100"/>
                <w:position w:val="0"/>
              </w:rPr>
              <w:t>(a)</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139,162,000.00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139,162,000.00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00"/>
        <w:gridCol w:w="1536"/>
        <w:gridCol w:w="912"/>
        <w:gridCol w:w="1541"/>
        <w:gridCol w:w="1435"/>
        <w:gridCol w:w="773"/>
        <w:gridCol w:w="1440"/>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r>
              <w:rPr>
                <w:rFonts w:ascii="Arial" w:eastAsia="Arial" w:hAnsi="Arial" w:cs="Arial"/>
                <w:color w:val="000000"/>
                <w:spacing w:val="0"/>
                <w:w w:val="100"/>
                <w:position w:val="0"/>
              </w:rPr>
              <w:t>(b)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21,685,874.22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21,685,874.22</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144,162,000.00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144,162,000.00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21,685,874.22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21,685,874.22</w:t>
            </w:r>
          </w:p>
        </w:tc>
      </w:tr>
    </w:tbl>
    <w:p>
      <w:pPr>
        <w:widowControl w:val="0"/>
        <w:spacing w:after="239" w:line="1" w:lineRule="exact"/>
      </w:pP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其他说明：</w:t>
      </w:r>
    </w:p>
    <w:p>
      <w:pPr>
        <w:pStyle w:val="Style2"/>
        <w:keepNext w:val="0"/>
        <w:keepLines w:val="0"/>
        <w:widowControl w:val="0"/>
        <w:numPr>
          <w:ilvl w:val="0"/>
          <w:numId w:val="139"/>
        </w:numPr>
        <w:shd w:val="clear" w:color="auto" w:fill="auto"/>
        <w:tabs>
          <w:tab w:pos="416" w:val="left"/>
        </w:tabs>
        <w:bidi w:val="0"/>
        <w:spacing w:before="0" w:after="240" w:line="273" w:lineRule="exact"/>
        <w:ind w:left="0" w:right="0" w:firstLine="0"/>
        <w:jc w:val="both"/>
      </w:pPr>
      <w:bookmarkStart w:id="1443" w:name="bookmark1443"/>
      <w:bookmarkEnd w:id="1443"/>
      <w:r>
        <w:rPr>
          <w:color w:val="000000"/>
          <w:spacing w:val="0"/>
          <w:w w:val="100"/>
          <w:position w:val="0"/>
        </w:rPr>
        <w:t>根据本集团于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日与中国</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自由贸易试验区临港新片区管理委员会签订国有 建设用地使用权出让合同</w:t>
      </w:r>
      <w:r>
        <w:rPr>
          <w:rFonts w:ascii="Times New Roman" w:eastAsia="Times New Roman" w:hAnsi="Times New Roman" w:cs="Times New Roman"/>
          <w:color w:val="000000"/>
          <w:spacing w:val="0"/>
          <w:w w:val="100"/>
          <w:position w:val="0"/>
        </w:rPr>
        <w:t>(</w:t>
      </w:r>
      <w:r>
        <w:rPr>
          <w:color w:val="000000"/>
          <w:spacing w:val="0"/>
          <w:w w:val="100"/>
          <w:position w:val="0"/>
        </w:rPr>
        <w:t>工业用地产业项目类</w:t>
      </w:r>
      <w:r>
        <w:rPr>
          <w:rFonts w:ascii="Times New Roman" w:eastAsia="Times New Roman" w:hAnsi="Times New Roman" w:cs="Times New Roman"/>
          <w:color w:val="000000"/>
          <w:spacing w:val="0"/>
          <w:w w:val="100"/>
          <w:position w:val="0"/>
        </w:rPr>
        <w:t>)</w:t>
      </w:r>
      <w:r>
        <w:rPr>
          <w:color w:val="000000"/>
          <w:spacing w:val="0"/>
          <w:w w:val="100"/>
          <w:position w:val="0"/>
        </w:rPr>
        <w:t>，本集团受让土地宗地总面积为</w:t>
      </w:r>
      <w:r>
        <w:rPr>
          <w:rFonts w:ascii="Times New Roman" w:eastAsia="Times New Roman" w:hAnsi="Times New Roman" w:cs="Times New Roman"/>
          <w:color w:val="000000"/>
          <w:spacing w:val="0"/>
          <w:w w:val="100"/>
          <w:position w:val="0"/>
        </w:rPr>
        <w:t>105,030.60</w:t>
      </w:r>
      <w:r>
        <w:rPr>
          <w:color w:val="000000"/>
          <w:spacing w:val="0"/>
          <w:w w:val="100"/>
          <w:position w:val="0"/>
        </w:rPr>
        <w:t>平方 米，土地出让价款为</w:t>
      </w:r>
      <w:r>
        <w:rPr>
          <w:rFonts w:ascii="Times New Roman" w:eastAsia="Times New Roman" w:hAnsi="Times New Roman" w:cs="Times New Roman"/>
          <w:color w:val="000000"/>
          <w:spacing w:val="0"/>
          <w:w w:val="100"/>
          <w:position w:val="0"/>
        </w:rPr>
        <w:t>120,650,000.00</w:t>
      </w:r>
      <w:r>
        <w:rPr>
          <w:color w:val="000000"/>
          <w:spacing w:val="0"/>
          <w:w w:val="100"/>
          <w:position w:val="0"/>
        </w:rPr>
        <w:t>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日，本集团支付该土地使用权出让竞 买保证金</w:t>
      </w:r>
      <w:r>
        <w:rPr>
          <w:rFonts w:ascii="Times New Roman" w:eastAsia="Times New Roman" w:hAnsi="Times New Roman" w:cs="Times New Roman"/>
          <w:color w:val="000000"/>
          <w:spacing w:val="0"/>
          <w:w w:val="100"/>
          <w:position w:val="0"/>
        </w:rPr>
        <w:t>12,070,000.00</w:t>
      </w:r>
      <w:r>
        <w:rPr>
          <w:color w:val="000000"/>
          <w:spacing w:val="0"/>
          <w:w w:val="100"/>
          <w:position w:val="0"/>
        </w:rPr>
        <w:t>元并于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日支付合同履约保证金</w:t>
      </w:r>
      <w:r>
        <w:rPr>
          <w:rFonts w:ascii="Times New Roman" w:eastAsia="Times New Roman" w:hAnsi="Times New Roman" w:cs="Times New Roman"/>
          <w:color w:val="000000"/>
          <w:spacing w:val="0"/>
          <w:w w:val="100"/>
          <w:position w:val="0"/>
        </w:rPr>
        <w:t>24,130,000.00</w:t>
      </w:r>
      <w:r>
        <w:rPr>
          <w:color w:val="000000"/>
          <w:spacing w:val="0"/>
          <w:w w:val="100"/>
          <w:position w:val="0"/>
        </w:rPr>
        <w:t>元。于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日及</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日，本集团已分批全额支付土地出让价款</w:t>
      </w:r>
      <w:r>
        <w:rPr>
          <w:rFonts w:ascii="Times New Roman" w:eastAsia="Times New Roman" w:hAnsi="Times New Roman" w:cs="Times New Roman"/>
          <w:color w:val="000000"/>
          <w:spacing w:val="0"/>
          <w:w w:val="100"/>
          <w:position w:val="0"/>
        </w:rPr>
        <w:t>120,650,000.00</w:t>
      </w:r>
      <w:r>
        <w:rPr>
          <w:color w:val="000000"/>
          <w:spacing w:val="0"/>
          <w:w w:val="100"/>
          <w:position w:val="0"/>
        </w:rPr>
        <w:t>元。于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日本集团已全额收回该土地使用权出让竞买保证金。</w:t>
      </w: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根据本集团于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日与中国</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自由贸易试验区临港新片区管理委员会签订国有建 设用地使用权出让合同</w:t>
      </w:r>
      <w:r>
        <w:rPr>
          <w:rFonts w:ascii="Times New Roman" w:eastAsia="Times New Roman" w:hAnsi="Times New Roman" w:cs="Times New Roman"/>
          <w:color w:val="000000"/>
          <w:spacing w:val="0"/>
          <w:w w:val="100"/>
          <w:position w:val="0"/>
        </w:rPr>
        <w:t>(</w:t>
      </w:r>
      <w:r>
        <w:rPr>
          <w:color w:val="000000"/>
          <w:spacing w:val="0"/>
          <w:w w:val="100"/>
          <w:position w:val="0"/>
        </w:rPr>
        <w:t>研发总部产业项目类</w:t>
      </w:r>
      <w:r>
        <w:rPr>
          <w:rFonts w:ascii="Times New Roman" w:eastAsia="Times New Roman" w:hAnsi="Times New Roman" w:cs="Times New Roman"/>
          <w:color w:val="000000"/>
          <w:spacing w:val="0"/>
          <w:w w:val="100"/>
          <w:position w:val="0"/>
        </w:rPr>
        <w:t>)</w:t>
      </w:r>
      <w:r>
        <w:rPr>
          <w:color w:val="000000"/>
          <w:spacing w:val="0"/>
          <w:w w:val="100"/>
          <w:position w:val="0"/>
        </w:rPr>
        <w:t>，本集团受让土地宗地总面积为</w:t>
      </w:r>
      <w:r>
        <w:rPr>
          <w:rFonts w:ascii="Times New Roman" w:eastAsia="Times New Roman" w:hAnsi="Times New Roman" w:cs="Times New Roman"/>
          <w:color w:val="000000"/>
          <w:spacing w:val="0"/>
          <w:w w:val="100"/>
          <w:position w:val="0"/>
        </w:rPr>
        <w:t>16,701.40</w:t>
      </w:r>
      <w:r>
        <w:rPr>
          <w:color w:val="000000"/>
          <w:spacing w:val="0"/>
          <w:w w:val="100"/>
          <w:position w:val="0"/>
        </w:rPr>
        <w:t>平方米， 土地出让价款为</w:t>
      </w:r>
      <w:r>
        <w:rPr>
          <w:rFonts w:ascii="Times New Roman" w:eastAsia="Times New Roman" w:hAnsi="Times New Roman" w:cs="Times New Roman"/>
          <w:color w:val="000000"/>
          <w:spacing w:val="0"/>
          <w:w w:val="100"/>
          <w:position w:val="0"/>
        </w:rPr>
        <w:t>64,750,000.00</w:t>
      </w:r>
      <w:r>
        <w:rPr>
          <w:color w:val="000000"/>
          <w:spacing w:val="0"/>
          <w:w w:val="100"/>
          <w:position w:val="0"/>
        </w:rPr>
        <w:t>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日，本集团支付该土地使用权出让竞买保证 金</w:t>
      </w:r>
      <w:r>
        <w:rPr>
          <w:rFonts w:ascii="Times New Roman" w:eastAsia="Times New Roman" w:hAnsi="Times New Roman" w:cs="Times New Roman"/>
          <w:color w:val="000000"/>
          <w:spacing w:val="0"/>
          <w:w w:val="100"/>
          <w:position w:val="0"/>
        </w:rPr>
        <w:t>6,480,000.00</w:t>
      </w:r>
      <w:r>
        <w:rPr>
          <w:color w:val="000000"/>
          <w:spacing w:val="0"/>
          <w:w w:val="100"/>
          <w:position w:val="0"/>
        </w:rPr>
        <w:t>元并于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日支付合同履约保证金</w:t>
      </w:r>
      <w:r>
        <w:rPr>
          <w:rFonts w:ascii="Times New Roman" w:eastAsia="Times New Roman" w:hAnsi="Times New Roman" w:cs="Times New Roman"/>
          <w:color w:val="000000"/>
          <w:spacing w:val="0"/>
          <w:w w:val="100"/>
          <w:position w:val="0"/>
        </w:rPr>
        <w:t>12,950,000.00</w:t>
      </w:r>
      <w:r>
        <w:rPr>
          <w:color w:val="000000"/>
          <w:spacing w:val="0"/>
          <w:w w:val="100"/>
          <w:position w:val="0"/>
        </w:rPr>
        <w:t>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日，本集团支付土地出让价款</w:t>
      </w:r>
      <w:r>
        <w:rPr>
          <w:rFonts w:ascii="Times New Roman" w:eastAsia="Times New Roman" w:hAnsi="Times New Roman" w:cs="Times New Roman"/>
          <w:color w:val="000000"/>
          <w:spacing w:val="0"/>
          <w:w w:val="100"/>
          <w:position w:val="0"/>
        </w:rPr>
        <w:t>12,950,000.00</w:t>
      </w:r>
      <w:r>
        <w:rPr>
          <w:color w:val="000000"/>
          <w:spacing w:val="0"/>
          <w:w w:val="100"/>
          <w:position w:val="0"/>
        </w:rPr>
        <w:t>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日支付剩余款项</w:t>
      </w:r>
      <w:r>
        <w:rPr>
          <w:rFonts w:ascii="Times New Roman" w:eastAsia="Times New Roman" w:hAnsi="Times New Roman" w:cs="Times New Roman"/>
          <w:color w:val="000000"/>
          <w:spacing w:val="0"/>
          <w:w w:val="100"/>
          <w:position w:val="0"/>
        </w:rPr>
        <w:t xml:space="preserve">51,800,000.00 </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日，本集团已全额收回该土地使用权出让竞买保证金。</w:t>
      </w:r>
    </w:p>
    <w:p>
      <w:pPr>
        <w:pStyle w:val="Style2"/>
        <w:keepNext w:val="0"/>
        <w:keepLines w:val="0"/>
        <w:widowControl w:val="0"/>
        <w:shd w:val="clear" w:color="auto" w:fill="auto"/>
        <w:bidi w:val="0"/>
        <w:spacing w:before="0" w:after="240" w:line="275"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日，本集团已根据上述土地出让价款计提应交土地契税金额</w:t>
      </w:r>
      <w:r>
        <w:rPr>
          <w:rFonts w:ascii="Times New Roman" w:eastAsia="Times New Roman" w:hAnsi="Times New Roman" w:cs="Times New Roman"/>
          <w:color w:val="000000"/>
          <w:spacing w:val="0"/>
          <w:w w:val="100"/>
          <w:position w:val="0"/>
        </w:rPr>
        <w:t>5,562,000.00</w:t>
      </w:r>
      <w:r>
        <w:rPr>
          <w:color w:val="000000"/>
          <w:spacing w:val="0"/>
          <w:w w:val="100"/>
          <w:position w:val="0"/>
        </w:rPr>
        <w:t>元。 本集团将土地使用权出让竞买保证金</w:t>
      </w:r>
      <w:r>
        <w:rPr>
          <w:rFonts w:ascii="Times New Roman" w:eastAsia="Times New Roman" w:hAnsi="Times New Roman" w:cs="Times New Roman"/>
          <w:color w:val="000000"/>
          <w:spacing w:val="0"/>
          <w:w w:val="100"/>
          <w:position w:val="0"/>
        </w:rPr>
        <w:t>6,480,000.00</w:t>
      </w:r>
      <w:r>
        <w:rPr>
          <w:color w:val="000000"/>
          <w:spacing w:val="0"/>
          <w:w w:val="100"/>
          <w:position w:val="0"/>
        </w:rPr>
        <w:t xml:space="preserve">元以及预计一年以内收回的合同履约保证金 </w:t>
      </w:r>
      <w:r>
        <w:rPr>
          <w:rFonts w:ascii="Times New Roman" w:eastAsia="Times New Roman" w:hAnsi="Times New Roman" w:cs="Times New Roman"/>
          <w:color w:val="000000"/>
          <w:spacing w:val="0"/>
          <w:w w:val="100"/>
          <w:position w:val="0"/>
        </w:rPr>
        <w:t>22,248,000.00</w:t>
      </w:r>
      <w:r>
        <w:rPr>
          <w:color w:val="000000"/>
          <w:spacing w:val="0"/>
          <w:w w:val="100"/>
          <w:position w:val="0"/>
        </w:rPr>
        <w:t>元计入其他应收款</w:t>
      </w:r>
      <w:r>
        <w:rPr>
          <w:rFonts w:ascii="Times New Roman" w:eastAsia="Times New Roman" w:hAnsi="Times New Roman" w:cs="Times New Roman"/>
          <w:color w:val="000000"/>
          <w:spacing w:val="0"/>
          <w:w w:val="100"/>
          <w:position w:val="0"/>
        </w:rPr>
        <w:t>(</w:t>
      </w:r>
      <w:r>
        <w:rPr>
          <w:color w:val="000000"/>
          <w:spacing w:val="0"/>
          <w:w w:val="100"/>
          <w:position w:val="0"/>
        </w:rPr>
        <w:t>附注四</w:t>
      </w:r>
      <w:r>
        <w:rPr>
          <w:rFonts w:ascii="Times New Roman" w:eastAsia="Times New Roman" w:hAnsi="Times New Roman" w:cs="Times New Roman"/>
          <w:color w:val="000000"/>
          <w:spacing w:val="0"/>
          <w:w w:val="100"/>
          <w:position w:val="0"/>
        </w:rPr>
        <w:t>(6))</w:t>
      </w:r>
      <w:r>
        <w:rPr>
          <w:color w:val="000000"/>
          <w:spacing w:val="0"/>
          <w:w w:val="100"/>
          <w:position w:val="0"/>
        </w:rPr>
        <w:t>，并将预计一年后收回的合同履约保证金</w:t>
      </w:r>
      <w:r>
        <w:rPr>
          <w:rFonts w:ascii="Times New Roman" w:eastAsia="Times New Roman" w:hAnsi="Times New Roman" w:cs="Times New Roman"/>
          <w:color w:val="000000"/>
          <w:spacing w:val="0"/>
          <w:w w:val="100"/>
          <w:position w:val="0"/>
        </w:rPr>
        <w:t xml:space="preserve">14,832,000.00 </w:t>
      </w:r>
      <w:r>
        <w:rPr>
          <w:color w:val="000000"/>
          <w:spacing w:val="0"/>
          <w:w w:val="100"/>
          <w:position w:val="0"/>
        </w:rPr>
        <w:t>元列示于长期应收款</w:t>
      </w:r>
      <w:r>
        <w:rPr>
          <w:color w:val="000000"/>
          <w:spacing w:val="0"/>
          <w:w w:val="100"/>
          <w:position w:val="0"/>
        </w:rPr>
        <w:t>(</w:t>
      </w:r>
      <w:r>
        <w:rPr>
          <w:color w:val="000000"/>
          <w:spacing w:val="0"/>
          <w:w w:val="100"/>
          <w:position w:val="0"/>
        </w:rPr>
        <w:t>附注四</w:t>
      </w:r>
      <w:r>
        <w:rPr>
          <w:rFonts w:ascii="Times New Roman" w:eastAsia="Times New Roman" w:hAnsi="Times New Roman" w:cs="Times New Roman"/>
          <w:color w:val="000000"/>
          <w:spacing w:val="0"/>
          <w:w w:val="100"/>
          <w:position w:val="0"/>
        </w:rPr>
        <w:t>(9)</w:t>
      </w:r>
      <w:r>
        <w:rPr>
          <w:color w:val="000000"/>
          <w:spacing w:val="0"/>
          <w:w w:val="100"/>
          <w:position w:val="0"/>
        </w:rPr>
        <w:t>冲。截至本财务报表报出日，本集团已取得上述土地使用权建设 用地规划许可证并正在办理土地使用权证。</w:t>
      </w:r>
    </w:p>
    <w:p>
      <w:pPr>
        <w:pStyle w:val="Style2"/>
        <w:keepNext w:val="0"/>
        <w:keepLines w:val="0"/>
        <w:widowControl w:val="0"/>
        <w:numPr>
          <w:ilvl w:val="0"/>
          <w:numId w:val="139"/>
        </w:numPr>
        <w:shd w:val="clear" w:color="auto" w:fill="auto"/>
        <w:tabs>
          <w:tab w:pos="426" w:val="left"/>
        </w:tabs>
        <w:bidi w:val="0"/>
        <w:spacing w:before="0" w:after="300" w:line="274" w:lineRule="exact"/>
        <w:ind w:left="0" w:right="0" w:firstLine="0"/>
        <w:jc w:val="both"/>
      </w:pPr>
      <w:bookmarkStart w:id="1444" w:name="bookmark1444"/>
      <w:bookmarkEnd w:id="1444"/>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日，本集团预付投资款为支付睿励仪器投资款人民币</w:t>
      </w:r>
      <w:r>
        <w:rPr>
          <w:rFonts w:ascii="Times New Roman" w:eastAsia="Times New Roman" w:hAnsi="Times New Roman" w:cs="Times New Roman"/>
          <w:color w:val="000000"/>
          <w:spacing w:val="0"/>
          <w:w w:val="100"/>
          <w:position w:val="0"/>
        </w:rPr>
        <w:t>5,000,000.00</w:t>
      </w:r>
      <w:r>
        <w:rPr>
          <w:color w:val="000000"/>
          <w:spacing w:val="0"/>
          <w:w w:val="100"/>
          <w:position w:val="0"/>
        </w:rPr>
        <w:t>元。根 据本集团与睿励仪器于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日签订的投资协议，本集团投资额总计人民币</w:t>
      </w:r>
      <w:r>
        <w:rPr>
          <w:rFonts w:ascii="Times New Roman" w:eastAsia="Times New Roman" w:hAnsi="Times New Roman" w:cs="Times New Roman"/>
          <w:color w:val="000000"/>
          <w:spacing w:val="0"/>
          <w:w w:val="100"/>
          <w:position w:val="0"/>
        </w:rPr>
        <w:t xml:space="preserve">5,000,000.00 </w:t>
      </w:r>
      <w:r>
        <w:rPr>
          <w:color w:val="000000"/>
          <w:spacing w:val="0"/>
          <w:w w:val="100"/>
          <w:position w:val="0"/>
        </w:rPr>
        <w:t>元，持有该公司</w:t>
      </w:r>
      <w:r>
        <w:rPr>
          <w:rFonts w:ascii="Times New Roman" w:eastAsia="Times New Roman" w:hAnsi="Times New Roman" w:cs="Times New Roman"/>
          <w:color w:val="000000"/>
          <w:spacing w:val="0"/>
          <w:w w:val="100"/>
          <w:position w:val="0"/>
        </w:rPr>
        <w:t>1.2091%</w:t>
      </w:r>
      <w:r>
        <w:rPr>
          <w:color w:val="000000"/>
          <w:spacing w:val="0"/>
          <w:w w:val="100"/>
          <w:position w:val="0"/>
        </w:rPr>
        <w:t>的股权。于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日，睿励科学已完成上述工商登记变更。</w:t>
      </w:r>
    </w:p>
    <w:p>
      <w:pPr>
        <w:pStyle w:val="Style35"/>
        <w:keepNext/>
        <w:keepLines/>
        <w:widowControl w:val="0"/>
        <w:shd w:val="clear" w:color="auto" w:fill="auto"/>
        <w:tabs>
          <w:tab w:pos="478" w:val="left"/>
        </w:tabs>
        <w:bidi w:val="0"/>
        <w:spacing w:before="0" w:after="40" w:line="273" w:lineRule="exact"/>
        <w:ind w:left="0" w:right="0" w:firstLine="0"/>
        <w:jc w:val="both"/>
      </w:pPr>
      <w:bookmarkStart w:id="1445" w:name="bookmark1445"/>
      <w:bookmarkStart w:id="1446" w:name="bookmark1446"/>
      <w:bookmarkStart w:id="1447" w:name="bookmark1447"/>
      <w:bookmarkStart w:id="1448" w:name="bookmark1448"/>
      <w:r>
        <w:rPr>
          <w:color w:val="000000"/>
          <w:spacing w:val="0"/>
          <w:w w:val="100"/>
          <w:position w:val="0"/>
        </w:rPr>
        <w:t>3</w:t>
      </w:r>
      <w:bookmarkEnd w:id="1447"/>
      <w:r>
        <w:rPr>
          <w:color w:val="000000"/>
          <w:spacing w:val="0"/>
          <w:w w:val="100"/>
          <w:position w:val="0"/>
        </w:rPr>
        <w:t>2、</w:t>
        <w:tab/>
        <w:t>短期借款</w:t>
      </w:r>
      <w:bookmarkEnd w:id="1445"/>
      <w:bookmarkEnd w:id="1446"/>
      <w:bookmarkEnd w:id="1448"/>
    </w:p>
    <w:p>
      <w:pPr>
        <w:pStyle w:val="Style35"/>
        <w:keepNext/>
        <w:keepLines/>
        <w:widowControl w:val="0"/>
        <w:numPr>
          <w:ilvl w:val="0"/>
          <w:numId w:val="141"/>
        </w:numPr>
        <w:shd w:val="clear" w:color="auto" w:fill="auto"/>
        <w:tabs>
          <w:tab w:pos="430" w:val="left"/>
        </w:tabs>
        <w:bidi w:val="0"/>
        <w:spacing w:before="0" w:after="40" w:line="273" w:lineRule="exact"/>
        <w:ind w:left="0" w:right="0" w:firstLine="0"/>
        <w:jc w:val="both"/>
      </w:pPr>
      <w:bookmarkStart w:id="1445" w:name="bookmark1445"/>
      <w:bookmarkStart w:id="1446" w:name="bookmark1446"/>
      <w:bookmarkStart w:id="1449" w:name="bookmark1449"/>
      <w:bookmarkStart w:id="1450" w:name="bookmark1450"/>
      <w:bookmarkEnd w:id="1449"/>
      <w:r>
        <w:rPr>
          <w:color w:val="000000"/>
          <w:spacing w:val="0"/>
          <w:w w:val="100"/>
          <w:position w:val="0"/>
        </w:rPr>
        <w:t>.</w:t>
      </w:r>
      <w:r>
        <w:rPr>
          <w:color w:val="000000"/>
          <w:spacing w:val="0"/>
          <w:w w:val="100"/>
          <w:position w:val="0"/>
        </w:rPr>
        <w:t>短期借款分类</w:t>
      </w:r>
      <w:bookmarkEnd w:id="1445"/>
      <w:bookmarkEnd w:id="1446"/>
      <w:bookmarkEnd w:id="1450"/>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30" w:val="left"/>
        </w:tabs>
        <w:bidi w:val="0"/>
        <w:spacing w:before="0" w:after="40" w:line="273" w:lineRule="exact"/>
        <w:ind w:left="0" w:right="0" w:firstLine="0"/>
        <w:jc w:val="both"/>
      </w:pPr>
      <w:bookmarkStart w:id="1451" w:name="bookmark1451"/>
      <w:bookmarkEnd w:id="1451"/>
      <w:r>
        <w:rPr>
          <w:b/>
          <w:bCs/>
          <w:color w:val="000000"/>
          <w:spacing w:val="0"/>
          <w:w w:val="100"/>
          <w:position w:val="0"/>
        </w:rPr>
        <w:t>.</w:t>
      </w:r>
      <w:r>
        <w:rPr>
          <w:b/>
          <w:bCs/>
          <w:color w:val="000000"/>
          <w:spacing w:val="0"/>
          <w:w w:val="100"/>
          <w:position w:val="0"/>
        </w:rPr>
        <w:t>已逾期未偿还的短期借款情况</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40" w:line="273" w:lineRule="exact"/>
        <w:ind w:left="0" w:right="0" w:firstLine="0"/>
        <w:jc w:val="both"/>
      </w:pPr>
      <w:bookmarkStart w:id="1452" w:name="bookmark1452"/>
      <w:bookmarkStart w:id="1453" w:name="bookmark1453"/>
      <w:bookmarkStart w:id="1454" w:name="bookmark1454"/>
      <w:bookmarkStart w:id="1455" w:name="bookmark1455"/>
      <w:r>
        <w:rPr>
          <w:color w:val="000000"/>
          <w:spacing w:val="0"/>
          <w:w w:val="100"/>
          <w:position w:val="0"/>
        </w:rPr>
        <w:t>3</w:t>
      </w:r>
      <w:bookmarkEnd w:id="1454"/>
      <w:r>
        <w:rPr>
          <w:color w:val="000000"/>
          <w:spacing w:val="0"/>
          <w:w w:val="100"/>
          <w:position w:val="0"/>
        </w:rPr>
        <w:t>3、</w:t>
        <w:tab/>
        <w:t>交易性金融负债</w:t>
      </w:r>
      <w:bookmarkEnd w:id="1452"/>
      <w:bookmarkEnd w:id="1453"/>
      <w:bookmarkEnd w:id="1455"/>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40" w:line="273" w:lineRule="exact"/>
        <w:ind w:left="0" w:right="0" w:firstLine="0"/>
        <w:jc w:val="both"/>
      </w:pPr>
      <w:bookmarkStart w:id="1456" w:name="bookmark1456"/>
      <w:bookmarkStart w:id="1457" w:name="bookmark1457"/>
      <w:bookmarkStart w:id="1458" w:name="bookmark1458"/>
      <w:bookmarkStart w:id="1459" w:name="bookmark1459"/>
      <w:r>
        <w:rPr>
          <w:color w:val="000000"/>
          <w:spacing w:val="0"/>
          <w:w w:val="100"/>
          <w:position w:val="0"/>
        </w:rPr>
        <w:t>3</w:t>
      </w:r>
      <w:bookmarkEnd w:id="1458"/>
      <w:r>
        <w:rPr>
          <w:color w:val="000000"/>
          <w:spacing w:val="0"/>
          <w:w w:val="100"/>
          <w:position w:val="0"/>
        </w:rPr>
        <w:t>4、</w:t>
        <w:tab/>
        <w:t>衍生金融负债</w:t>
      </w:r>
      <w:bookmarkEnd w:id="1456"/>
      <w:bookmarkEnd w:id="1457"/>
      <w:bookmarkEnd w:id="1459"/>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78" w:val="left"/>
        </w:tabs>
        <w:bidi w:val="0"/>
        <w:spacing w:before="0" w:after="40" w:line="273" w:lineRule="exact"/>
        <w:ind w:left="0" w:right="0" w:firstLine="0"/>
        <w:jc w:val="both"/>
      </w:pPr>
      <w:bookmarkStart w:id="1460" w:name="bookmark1460"/>
      <w:bookmarkStart w:id="1461" w:name="bookmark1461"/>
      <w:bookmarkStart w:id="1462" w:name="bookmark1462"/>
      <w:bookmarkStart w:id="1463" w:name="bookmark1463"/>
      <w:r>
        <w:rPr>
          <w:color w:val="000000"/>
          <w:spacing w:val="0"/>
          <w:w w:val="100"/>
          <w:position w:val="0"/>
        </w:rPr>
        <w:t>3</w:t>
      </w:r>
      <w:bookmarkEnd w:id="1462"/>
      <w:r>
        <w:rPr>
          <w:color w:val="000000"/>
          <w:spacing w:val="0"/>
          <w:w w:val="100"/>
          <w:position w:val="0"/>
        </w:rPr>
        <w:t>5、</w:t>
        <w:tab/>
        <w:t>应付票据</w:t>
      </w:r>
      <w:bookmarkEnd w:id="1460"/>
      <w:bookmarkEnd w:id="1461"/>
      <w:bookmarkEnd w:id="1463"/>
    </w:p>
    <w:p>
      <w:pPr>
        <w:pStyle w:val="Style35"/>
        <w:keepNext/>
        <w:keepLines/>
        <w:widowControl w:val="0"/>
        <w:shd w:val="clear" w:color="auto" w:fill="auto"/>
        <w:bidi w:val="0"/>
        <w:spacing w:before="0" w:after="40" w:line="273" w:lineRule="exact"/>
        <w:ind w:left="0" w:right="0" w:firstLine="0"/>
        <w:jc w:val="both"/>
      </w:pPr>
      <w:bookmarkStart w:id="1460" w:name="bookmark1460"/>
      <w:bookmarkStart w:id="1461" w:name="bookmark1461"/>
      <w:bookmarkStart w:id="1464" w:name="bookmark1464"/>
      <w:r>
        <w:rPr>
          <w:color w:val="000000"/>
          <w:spacing w:val="0"/>
          <w:w w:val="100"/>
          <w:position w:val="0"/>
        </w:rPr>
        <w:t>(1).</w:t>
      </w:r>
      <w:r>
        <w:rPr>
          <w:color w:val="000000"/>
          <w:spacing w:val="0"/>
          <w:w w:val="100"/>
          <w:position w:val="0"/>
        </w:rPr>
        <w:t>应付票据列示</w:t>
      </w:r>
      <w:bookmarkEnd w:id="1460"/>
      <w:bookmarkEnd w:id="1461"/>
      <w:bookmarkEnd w:id="1464"/>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3</w:t>
      </w:r>
      <w:bookmarkEnd w:id="1467"/>
      <w:r>
        <w:rPr>
          <w:color w:val="000000"/>
          <w:spacing w:val="0"/>
          <w:w w:val="100"/>
          <w:position w:val="0"/>
        </w:rPr>
        <w:t>6、应付账款</w:t>
      </w:r>
      <w:bookmarkEnd w:id="1465"/>
      <w:bookmarkEnd w:id="1466"/>
      <w:bookmarkEnd w:id="1468"/>
    </w:p>
    <w:p>
      <w:pPr>
        <w:pStyle w:val="Style35"/>
        <w:keepNext/>
        <w:keepLines/>
        <w:widowControl w:val="0"/>
        <w:shd w:val="clear" w:color="auto" w:fill="auto"/>
        <w:bidi w:val="0"/>
        <w:spacing w:before="0" w:after="100" w:line="240" w:lineRule="auto"/>
        <w:ind w:left="0" w:right="0" w:firstLine="0"/>
        <w:jc w:val="left"/>
      </w:pPr>
      <w:bookmarkStart w:id="1465" w:name="bookmark1465"/>
      <w:bookmarkStart w:id="1466" w:name="bookmark1466"/>
      <w:bookmarkStart w:id="1469" w:name="bookmark1469"/>
      <w:r>
        <w:rPr>
          <w:color w:val="000000"/>
          <w:spacing w:val="0"/>
          <w:w w:val="100"/>
          <w:position w:val="0"/>
        </w:rPr>
        <w:t>(1).</w:t>
      </w:r>
      <w:r>
        <w:rPr>
          <w:color w:val="000000"/>
          <w:spacing w:val="0"/>
          <w:w w:val="100"/>
          <w:position w:val="0"/>
        </w:rPr>
        <w:t>应付账款列示</w:t>
      </w:r>
      <w:bookmarkEnd w:id="1465"/>
      <w:bookmarkEnd w:id="1466"/>
      <w:bookmarkEnd w:id="1469"/>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2794"/>
        <w:gridCol w:w="326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应付材料采购款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422,217,875.80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221,679,872.59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422,217,875.80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221,679,872.59</w:t>
            </w:r>
          </w:p>
        </w:tc>
      </w:tr>
    </w:tbl>
    <w:p>
      <w:pPr>
        <w:widowControl w:val="0"/>
        <w:spacing w:after="319" w:line="1" w:lineRule="exact"/>
      </w:pPr>
    </w:p>
    <w:p>
      <w:pPr>
        <w:pStyle w:val="Style35"/>
        <w:keepNext/>
        <w:keepLines/>
        <w:widowControl w:val="0"/>
        <w:numPr>
          <w:ilvl w:val="0"/>
          <w:numId w:val="143"/>
        </w:numPr>
        <w:shd w:val="clear" w:color="auto" w:fill="auto"/>
        <w:bidi w:val="0"/>
        <w:spacing w:before="0" w:after="40" w:line="274" w:lineRule="exact"/>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账龄超过1年的重要应付账款</w:t>
      </w:r>
      <w:bookmarkEnd w:id="1470"/>
      <w:bookmarkEnd w:id="1471"/>
      <w:bookmarkEnd w:id="147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日，账龄超过一年的应付账款为</w:t>
      </w:r>
      <w:r>
        <w:rPr>
          <w:rFonts w:ascii="Times New Roman" w:eastAsia="Times New Roman" w:hAnsi="Times New Roman" w:cs="Times New Roman"/>
          <w:color w:val="000000"/>
          <w:spacing w:val="0"/>
          <w:w w:val="100"/>
          <w:position w:val="0"/>
        </w:rPr>
        <w:t>303,668.30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142,069.14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，主要为未结清的应付材料采购款。</w:t>
      </w:r>
    </w:p>
    <w:p>
      <w:pPr>
        <w:pStyle w:val="Style35"/>
        <w:keepNext/>
        <w:keepLines/>
        <w:widowControl w:val="0"/>
        <w:shd w:val="clear" w:color="auto" w:fill="auto"/>
        <w:tabs>
          <w:tab w:pos="499" w:val="left"/>
        </w:tabs>
        <w:bidi w:val="0"/>
        <w:spacing w:before="0" w:after="100" w:line="274" w:lineRule="exact"/>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3</w:t>
      </w:r>
      <w:bookmarkEnd w:id="1476"/>
      <w:r>
        <w:rPr>
          <w:color w:val="000000"/>
          <w:spacing w:val="0"/>
          <w:w w:val="100"/>
          <w:position w:val="0"/>
        </w:rPr>
        <w:t>7、</w:t>
        <w:tab/>
        <w:t>预收款项</w:t>
      </w:r>
      <w:bookmarkEnd w:id="1474"/>
      <w:bookmarkEnd w:id="1475"/>
      <w:bookmarkEnd w:id="1477"/>
    </w:p>
    <w:p>
      <w:pPr>
        <w:pStyle w:val="Style35"/>
        <w:keepNext/>
        <w:keepLines/>
        <w:widowControl w:val="0"/>
        <w:numPr>
          <w:ilvl w:val="0"/>
          <w:numId w:val="145"/>
        </w:numPr>
        <w:shd w:val="clear" w:color="auto" w:fill="auto"/>
        <w:tabs>
          <w:tab w:pos="430" w:val="left"/>
        </w:tabs>
        <w:bidi w:val="0"/>
        <w:spacing w:before="0" w:after="40" w:line="274" w:lineRule="exact"/>
        <w:ind w:left="0" w:right="0" w:firstLine="0"/>
        <w:jc w:val="left"/>
      </w:pPr>
      <w:bookmarkStart w:id="1474" w:name="bookmark1474"/>
      <w:bookmarkStart w:id="1475" w:name="bookmark1475"/>
      <w:bookmarkStart w:id="1478" w:name="bookmark1478"/>
      <w:bookmarkStart w:id="1479" w:name="bookmark1479"/>
      <w:bookmarkEnd w:id="1478"/>
      <w:r>
        <w:rPr>
          <w:color w:val="000000"/>
          <w:spacing w:val="0"/>
          <w:w w:val="100"/>
          <w:position w:val="0"/>
        </w:rPr>
        <w:t>.</w:t>
      </w:r>
      <w:r>
        <w:rPr>
          <w:color w:val="000000"/>
          <w:spacing w:val="0"/>
          <w:w w:val="100"/>
          <w:position w:val="0"/>
        </w:rPr>
        <w:t>预收账款项列示</w:t>
      </w:r>
      <w:bookmarkEnd w:id="1474"/>
      <w:bookmarkEnd w:id="1475"/>
      <w:bookmarkEnd w:id="1479"/>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430" w:val="left"/>
        </w:tabs>
        <w:bidi w:val="0"/>
        <w:spacing w:before="0" w:after="40" w:line="274" w:lineRule="exact"/>
        <w:ind w:left="0" w:right="0" w:firstLine="0"/>
        <w:jc w:val="left"/>
      </w:pPr>
      <w:bookmarkStart w:id="1480" w:name="bookmark1480"/>
      <w:bookmarkEnd w:id="1480"/>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99" w:val="left"/>
        </w:tabs>
        <w:bidi w:val="0"/>
        <w:spacing w:before="0" w:after="100" w:line="274" w:lineRule="exact"/>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3</w:t>
      </w:r>
      <w:bookmarkEnd w:id="1483"/>
      <w:r>
        <w:rPr>
          <w:color w:val="000000"/>
          <w:spacing w:val="0"/>
          <w:w w:val="100"/>
          <w:position w:val="0"/>
        </w:rPr>
        <w:t>8、</w:t>
        <w:tab/>
        <w:t>合同负债</w:t>
      </w:r>
      <w:bookmarkEnd w:id="1481"/>
      <w:bookmarkEnd w:id="1482"/>
      <w:bookmarkEnd w:id="1484"/>
    </w:p>
    <w:p>
      <w:pPr>
        <w:pStyle w:val="Style35"/>
        <w:keepNext/>
        <w:keepLines/>
        <w:widowControl w:val="0"/>
        <w:shd w:val="clear" w:color="auto" w:fill="auto"/>
        <w:bidi w:val="0"/>
        <w:spacing w:before="0" w:after="100" w:line="274" w:lineRule="exact"/>
        <w:ind w:left="0" w:right="0" w:firstLine="0"/>
        <w:jc w:val="left"/>
      </w:pPr>
      <w:bookmarkStart w:id="1481" w:name="bookmark1481"/>
      <w:bookmarkStart w:id="1482" w:name="bookmark1482"/>
      <w:bookmarkStart w:id="1485" w:name="bookmark1485"/>
      <w:r>
        <w:rPr>
          <w:color w:val="000000"/>
          <w:spacing w:val="0"/>
          <w:w w:val="100"/>
          <w:position w:val="0"/>
        </w:rPr>
        <w:t>(1).</w:t>
      </w:r>
      <w:r>
        <w:rPr>
          <w:color w:val="000000"/>
          <w:spacing w:val="0"/>
          <w:w w:val="100"/>
          <w:position w:val="0"/>
        </w:rPr>
        <w:t>合同负债情况</w:t>
      </w:r>
      <w:bookmarkEnd w:id="1481"/>
      <w:bookmarkEnd w:id="1482"/>
      <w:bookmarkEnd w:id="1485"/>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000"/>
        <w:gridCol w:w="3005"/>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预收产品销售款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592,139,816.14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517,498,868.04</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592,139,816.14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517,498,868.04</w:t>
            </w:r>
          </w:p>
        </w:tc>
      </w:tr>
    </w:tbl>
    <w:p>
      <w:pPr>
        <w:widowControl w:val="0"/>
        <w:spacing w:after="359" w:line="1" w:lineRule="exact"/>
      </w:pPr>
    </w:p>
    <w:p>
      <w:pPr>
        <w:pStyle w:val="Style35"/>
        <w:keepNext/>
        <w:keepLines/>
        <w:widowControl w:val="0"/>
        <w:numPr>
          <w:ilvl w:val="0"/>
          <w:numId w:val="147"/>
        </w:numPr>
        <w:shd w:val="clear" w:color="auto" w:fill="auto"/>
        <w:bidi w:val="0"/>
        <w:spacing w:before="0" w:after="10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w:t>
      </w:r>
      <w:r>
        <w:rPr>
          <w:color w:val="000000"/>
          <w:spacing w:val="0"/>
          <w:w w:val="100"/>
          <w:position w:val="0"/>
        </w:rPr>
        <w:t>报告期内账面价值发生重大变动的金额和原因</w:t>
      </w:r>
      <w:bookmarkEnd w:id="1486"/>
      <w:bookmarkEnd w:id="1487"/>
      <w:bookmarkEnd w:id="148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包括在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日账面价值中的</w:t>
      </w:r>
      <w:r>
        <w:rPr>
          <w:rFonts w:ascii="Times New Roman" w:eastAsia="Times New Roman" w:hAnsi="Times New Roman" w:cs="Times New Roman"/>
          <w:color w:val="000000"/>
          <w:spacing w:val="0"/>
          <w:w w:val="100"/>
          <w:position w:val="0"/>
        </w:rPr>
        <w:t>511,681,596.76</w:t>
      </w:r>
      <w:r>
        <w:rPr>
          <w:color w:val="000000"/>
          <w:spacing w:val="0"/>
          <w:w w:val="100"/>
          <w:position w:val="0"/>
        </w:rPr>
        <w:t>元合同负债已于</w:t>
      </w:r>
      <w:r>
        <w:rPr>
          <w:rFonts w:ascii="Times New Roman" w:eastAsia="Times New Roman" w:hAnsi="Times New Roman" w:cs="Times New Roman"/>
          <w:color w:val="000000"/>
          <w:spacing w:val="0"/>
          <w:w w:val="100"/>
          <w:position w:val="0"/>
        </w:rPr>
        <w:t>2020</w:t>
      </w:r>
      <w:r>
        <w:rPr>
          <w:color w:val="000000"/>
          <w:spacing w:val="0"/>
          <w:w w:val="100"/>
          <w:position w:val="0"/>
        </w:rPr>
        <w:t>年度转入营业收入。</w:t>
      </w:r>
    </w:p>
    <w:p>
      <w:pPr>
        <w:pStyle w:val="Style35"/>
        <w:keepNext/>
        <w:keepLines/>
        <w:widowControl w:val="0"/>
        <w:shd w:val="clear" w:color="auto" w:fill="auto"/>
        <w:bidi w:val="0"/>
        <w:spacing w:before="0" w:after="10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3</w:t>
      </w:r>
      <w:bookmarkEnd w:id="1492"/>
      <w:r>
        <w:rPr>
          <w:color w:val="000000"/>
          <w:spacing w:val="0"/>
          <w:w w:val="100"/>
          <w:position w:val="0"/>
        </w:rPr>
        <w:t>9、应付职工薪酬</w:t>
      </w:r>
      <w:bookmarkEnd w:id="1490"/>
      <w:bookmarkEnd w:id="1491"/>
      <w:bookmarkEnd w:id="1493"/>
    </w:p>
    <w:p>
      <w:pPr>
        <w:pStyle w:val="Style35"/>
        <w:keepNext/>
        <w:keepLines/>
        <w:widowControl w:val="0"/>
        <w:shd w:val="clear" w:color="auto" w:fill="auto"/>
        <w:bidi w:val="0"/>
        <w:spacing w:before="0" w:after="100" w:line="240" w:lineRule="auto"/>
        <w:ind w:left="0" w:right="0" w:firstLine="0"/>
        <w:jc w:val="left"/>
      </w:pPr>
      <w:bookmarkStart w:id="1490" w:name="bookmark1490"/>
      <w:bookmarkStart w:id="1491" w:name="bookmark1491"/>
      <w:bookmarkStart w:id="1494" w:name="bookmark1494"/>
      <w:r>
        <w:rPr>
          <w:color w:val="000000"/>
          <w:spacing w:val="0"/>
          <w:w w:val="100"/>
          <w:position w:val="0"/>
        </w:rPr>
        <w:t>(1).</w:t>
      </w:r>
      <w:r>
        <w:rPr>
          <w:color w:val="000000"/>
          <w:spacing w:val="0"/>
          <w:w w:val="100"/>
          <w:position w:val="0"/>
        </w:rPr>
        <w:t>应付职工薪酬列示</w:t>
      </w:r>
      <w:bookmarkEnd w:id="1490"/>
      <w:bookmarkEnd w:id="1491"/>
      <w:bookmarkEnd w:id="1494"/>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4"/>
        <w:gridCol w:w="1570"/>
        <w:gridCol w:w="1565"/>
        <w:gridCol w:w="1570"/>
        <w:gridCol w:w="1589"/>
      </w:tblGrid>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86,079,601.37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421,187,089.03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400,706,374.29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106,560,316.11</w:t>
            </w:r>
          </w:p>
        </w:tc>
      </w:tr>
      <w:tr>
        <w:trPr>
          <w:trHeight w:val="52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1,697,554.45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1,697,554.45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1,810,067.51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1,810,067.51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44"/>
        <w:gridCol w:w="1570"/>
        <w:gridCol w:w="1565"/>
        <w:gridCol w:w="1570"/>
        <w:gridCol w:w="1589"/>
      </w:tblGrid>
      <w:tr>
        <w:trPr>
          <w:trHeight w:val="28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86,079,601.37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424,694,710.99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404,213,996.25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106,560,316.11</w:t>
            </w:r>
          </w:p>
        </w:tc>
      </w:tr>
    </w:tbl>
    <w:p>
      <w:pPr>
        <w:widowControl w:val="0"/>
        <w:spacing w:after="339" w:line="1" w:lineRule="exact"/>
      </w:pPr>
    </w:p>
    <w:p>
      <w:pPr>
        <w:pStyle w:val="Style35"/>
        <w:keepNext/>
        <w:keepLines/>
        <w:widowControl w:val="0"/>
        <w:numPr>
          <w:ilvl w:val="0"/>
          <w:numId w:val="149"/>
        </w:numPr>
        <w:shd w:val="clear" w:color="auto" w:fill="auto"/>
        <w:bidi w:val="0"/>
        <w:spacing w:before="0" w:after="12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短期薪酬列示</w:t>
      </w:r>
      <w:bookmarkEnd w:id="1495"/>
      <w:bookmarkEnd w:id="1496"/>
      <w:bookmarkEnd w:id="149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4"/>
        <w:gridCol w:w="1574"/>
        <w:gridCol w:w="1555"/>
        <w:gridCol w:w="1565"/>
        <w:gridCol w:w="1589"/>
      </w:tblGrid>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期末余额</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69,683,375.37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345,439,566.27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330,372,512.78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84,750,428.86</w:t>
            </w:r>
          </w:p>
        </w:tc>
      </w:tr>
      <w:tr>
        <w:trPr>
          <w:trHeight w:val="2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16,246,301.21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53,486,431.52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50,291,707.18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19,441,025.55</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10,240,023.45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10,207,985.04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32,038.41</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9,242,236.42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9,210,198.01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32,038.41</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25,325.82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25,325.82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972,461.21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972,461.21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149,924.79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9,844,312.68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9,834,169.29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160,068.18</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五、工会经费和职工教育经费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六、短期带薪缺勤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七、短期利润分享计划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八、股票增值权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2,176,755.11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2,176,755.11</w:t>
            </w:r>
          </w:p>
        </w:tc>
      </w:tr>
      <w:tr>
        <w:trPr>
          <w:trHeight w:val="2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86,079,601.37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421,187,089.03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400,706,374.29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106,560,316.11</w:t>
            </w:r>
          </w:p>
        </w:tc>
      </w:tr>
    </w:tbl>
    <w:p>
      <w:pPr>
        <w:widowControl w:val="0"/>
        <w:spacing w:after="339" w:line="1" w:lineRule="exact"/>
      </w:pPr>
    </w:p>
    <w:p>
      <w:pPr>
        <w:pStyle w:val="Style35"/>
        <w:keepNext/>
        <w:keepLines/>
        <w:widowControl w:val="0"/>
        <w:numPr>
          <w:ilvl w:val="0"/>
          <w:numId w:val="149"/>
        </w:numPr>
        <w:shd w:val="clear" w:color="auto" w:fill="auto"/>
        <w:bidi w:val="0"/>
        <w:spacing w:before="0" w:after="12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w:t>
      </w:r>
      <w:r>
        <w:rPr>
          <w:color w:val="000000"/>
          <w:spacing w:val="0"/>
          <w:w w:val="100"/>
          <w:position w:val="0"/>
        </w:rPr>
        <w:t>设定提存计划列示</w:t>
      </w:r>
      <w:bookmarkEnd w:id="1499"/>
      <w:bookmarkEnd w:id="1500"/>
      <w:bookmarkEnd w:id="150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0"/>
        <w:gridCol w:w="1584"/>
        <w:gridCol w:w="1565"/>
        <w:gridCol w:w="1598"/>
        <w:gridCol w:w="1560"/>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1,645,997.58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1,645,997.58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51,556.87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1,697,554.45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1,697,554.45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58"/>
        <w:keepNext w:val="0"/>
        <w:keepLines w:val="0"/>
        <w:widowControl w:val="0"/>
        <w:shd w:val="clear" w:color="auto" w:fill="auto"/>
        <w:bidi w:val="0"/>
        <w:spacing w:before="0" w:after="340" w:line="288"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年度，本集团因解除劳动关系所支付的辞退福利为</w:t>
      </w:r>
      <w:r>
        <w:rPr>
          <w:color w:val="000000"/>
          <w:spacing w:val="0"/>
          <w:w w:val="100"/>
          <w:position w:val="0"/>
        </w:rPr>
        <w:t>1,810,067.51</w:t>
      </w:r>
      <w:r>
        <w:rPr>
          <w:rFonts w:ascii="SimSun" w:eastAsia="SimSun" w:hAnsi="SimSun" w:cs="SimSun"/>
          <w:color w:val="000000"/>
          <w:spacing w:val="0"/>
          <w:w w:val="100"/>
          <w:position w:val="0"/>
        </w:rPr>
        <w:t>元</w:t>
      </w:r>
      <w:r>
        <w:rPr>
          <w:color w:val="000000"/>
          <w:spacing w:val="0"/>
          <w:w w:val="100"/>
          <w:position w:val="0"/>
        </w:rPr>
        <w:t>(2019</w:t>
      </w:r>
      <w:r>
        <w:rPr>
          <w:rFonts w:ascii="SimSun" w:eastAsia="SimSun" w:hAnsi="SimSun" w:cs="SimSun"/>
          <w:color w:val="000000"/>
          <w:spacing w:val="0"/>
          <w:w w:val="100"/>
          <w:position w:val="0"/>
        </w:rPr>
        <w:t>年度：</w:t>
      </w:r>
      <w:r>
        <w:rPr>
          <w:color w:val="000000"/>
          <w:spacing w:val="0"/>
          <w:w w:val="100"/>
          <w:position w:val="0"/>
        </w:rPr>
        <w:t xml:space="preserve">1,896,235.10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35"/>
        <w:keepNext/>
        <w:keepLines/>
        <w:widowControl w:val="0"/>
        <w:shd w:val="clear" w:color="auto" w:fill="auto"/>
        <w:bidi w:val="0"/>
        <w:spacing w:before="0" w:after="12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4</w:t>
      </w:r>
      <w:bookmarkEnd w:id="1505"/>
      <w:r>
        <w:rPr>
          <w:color w:val="000000"/>
          <w:spacing w:val="0"/>
          <w:w w:val="100"/>
          <w:position w:val="0"/>
        </w:rPr>
        <w:t>0、应交税费</w:t>
      </w:r>
      <w:bookmarkEnd w:id="1503"/>
      <w:bookmarkEnd w:id="1504"/>
      <w:bookmarkEnd w:id="150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62"/>
        <w:gridCol w:w="2933"/>
        <w:gridCol w:w="2942"/>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应交土地契税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5,562,000.00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应交企业所得税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5,218,003.03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676,124.03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3,573,754.45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204,253.20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3,355,352.68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2,789,061.80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应交印花税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1,050,627.30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2,029,021.84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36,874.27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66,916.29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应交教育费附加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30,235.98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56,822.46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106,543.59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188,216.03</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18,933,391.30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6,010,415.65</w:t>
            </w:r>
          </w:p>
        </w:tc>
      </w:tr>
    </w:tbl>
    <w:p>
      <w:pPr>
        <w:pStyle w:val="Style2"/>
        <w:keepNext w:val="0"/>
        <w:keepLines w:val="0"/>
        <w:widowControl w:val="0"/>
        <w:shd w:val="clear" w:color="auto" w:fill="auto"/>
        <w:bidi w:val="0"/>
        <w:spacing w:before="0" w:after="60" w:line="283"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350" w:lineRule="exact"/>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4</w:t>
      </w:r>
      <w:bookmarkEnd w:id="1509"/>
      <w:r>
        <w:rPr>
          <w:color w:val="000000"/>
          <w:spacing w:val="0"/>
          <w:w w:val="100"/>
          <w:position w:val="0"/>
        </w:rPr>
        <w:t>1、其他应付款 项目列示</w:t>
      </w:r>
      <w:bookmarkEnd w:id="1507"/>
      <w:bookmarkEnd w:id="1508"/>
      <w:bookmarkEnd w:id="1510"/>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29,998,179.58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24,836,762.97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29,998,179.58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24,836,762.97</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11" w:name="bookmark1511"/>
      <w:bookmarkStart w:id="1512" w:name="bookmark1512"/>
      <w:bookmarkStart w:id="1513" w:name="bookmark1513"/>
      <w:r>
        <w:rPr>
          <w:color w:val="000000"/>
          <w:spacing w:val="0"/>
          <w:w w:val="100"/>
          <w:position w:val="0"/>
        </w:rPr>
        <w:t>应付利息</w:t>
      </w:r>
      <w:bookmarkEnd w:id="1511"/>
      <w:bookmarkEnd w:id="1512"/>
      <w:bookmarkEnd w:id="1513"/>
    </w:p>
    <w:p>
      <w:pPr>
        <w:pStyle w:val="Style35"/>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511" w:name="bookmark1511"/>
      <w:bookmarkStart w:id="1512" w:name="bookmark1512"/>
      <w:bookmarkStart w:id="1514" w:name="bookmark1514"/>
      <w:bookmarkStart w:id="1515" w:name="bookmark1515"/>
      <w:bookmarkEnd w:id="1514"/>
      <w:r>
        <w:rPr>
          <w:color w:val="000000"/>
          <w:spacing w:val="0"/>
          <w:w w:val="100"/>
          <w:position w:val="0"/>
        </w:rPr>
        <w:t>.</w:t>
      </w:r>
      <w:r>
        <w:rPr>
          <w:color w:val="000000"/>
          <w:spacing w:val="0"/>
          <w:w w:val="100"/>
          <w:position w:val="0"/>
        </w:rPr>
        <w:t>分类列示</w:t>
      </w:r>
      <w:bookmarkEnd w:id="1511"/>
      <w:bookmarkEnd w:id="1512"/>
      <w:bookmarkEnd w:id="151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16" w:name="bookmark1516"/>
      <w:bookmarkStart w:id="1517" w:name="bookmark1517"/>
      <w:bookmarkStart w:id="1518" w:name="bookmark1518"/>
      <w:r>
        <w:rPr>
          <w:color w:val="000000"/>
          <w:spacing w:val="0"/>
          <w:w w:val="100"/>
          <w:position w:val="0"/>
        </w:rPr>
        <w:t>应付股利</w:t>
      </w:r>
      <w:bookmarkEnd w:id="1516"/>
      <w:bookmarkEnd w:id="1517"/>
      <w:bookmarkEnd w:id="1518"/>
    </w:p>
    <w:p>
      <w:pPr>
        <w:pStyle w:val="Style35"/>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516" w:name="bookmark1516"/>
      <w:bookmarkStart w:id="1517" w:name="bookmark1517"/>
      <w:bookmarkStart w:id="1519" w:name="bookmark1519"/>
      <w:bookmarkStart w:id="1520" w:name="bookmark1520"/>
      <w:bookmarkEnd w:id="1519"/>
      <w:r>
        <w:rPr>
          <w:color w:val="000000"/>
          <w:spacing w:val="0"/>
          <w:w w:val="100"/>
          <w:position w:val="0"/>
        </w:rPr>
        <w:t>.</w:t>
      </w:r>
      <w:r>
        <w:rPr>
          <w:color w:val="000000"/>
          <w:spacing w:val="0"/>
          <w:w w:val="100"/>
          <w:position w:val="0"/>
        </w:rPr>
        <w:t>分类列示</w:t>
      </w:r>
      <w:bookmarkEnd w:id="1516"/>
      <w:bookmarkEnd w:id="1517"/>
      <w:bookmarkEnd w:id="152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21" w:name="bookmark1521"/>
      <w:bookmarkStart w:id="1522" w:name="bookmark1522"/>
      <w:bookmarkStart w:id="1523" w:name="bookmark1523"/>
      <w:r>
        <w:rPr>
          <w:color w:val="000000"/>
          <w:spacing w:val="0"/>
          <w:w w:val="100"/>
          <w:position w:val="0"/>
        </w:rPr>
        <w:t>其他应付款</w:t>
      </w:r>
      <w:bookmarkEnd w:id="1521"/>
      <w:bookmarkEnd w:id="1522"/>
      <w:bookmarkEnd w:id="1523"/>
    </w:p>
    <w:p>
      <w:pPr>
        <w:pStyle w:val="Style35"/>
        <w:keepNext/>
        <w:keepLines/>
        <w:widowControl w:val="0"/>
        <w:shd w:val="clear" w:color="auto" w:fill="auto"/>
        <w:bidi w:val="0"/>
        <w:spacing w:before="0" w:after="100" w:line="240" w:lineRule="auto"/>
        <w:ind w:left="0" w:right="0" w:firstLine="0"/>
        <w:jc w:val="left"/>
      </w:pPr>
      <w:bookmarkStart w:id="1521" w:name="bookmark1521"/>
      <w:bookmarkStart w:id="1522" w:name="bookmark1522"/>
      <w:bookmarkStart w:id="1524" w:name="bookmark1524"/>
      <w:r>
        <w:rPr>
          <w:color w:val="000000"/>
          <w:spacing w:val="0"/>
          <w:w w:val="100"/>
          <w:position w:val="0"/>
        </w:rPr>
        <w:t>(1).</w:t>
      </w:r>
      <w:r>
        <w:rPr>
          <w:color w:val="000000"/>
          <w:spacing w:val="0"/>
          <w:w w:val="100"/>
          <w:position w:val="0"/>
        </w:rPr>
        <w:t>按款项性质列示其他应付款</w:t>
      </w:r>
      <w:bookmarkEnd w:id="1521"/>
      <w:bookmarkEnd w:id="1522"/>
      <w:bookmarkEnd w:id="1524"/>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应付专业机构服务费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7,367,446.04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6,230,518.33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应付采购固定资产款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4,844,042.69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4,583,658.49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应付物流费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4,435,320.46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2,088,541.80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应付员工福利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4,065,277.84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1,517,797.86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应付日常运营费用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3,877,588.44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5,565,319.28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应付系统维护费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2,801,711.50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2,802,524.94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应付专利申请费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1,484,721.10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569,047.18</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1,122,071.51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1,479,355.09</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29,998,179.58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24,836,762.97</w:t>
            </w:r>
          </w:p>
        </w:tc>
      </w:tr>
    </w:tbl>
    <w:p>
      <w:pPr>
        <w:widowControl w:val="0"/>
        <w:spacing w:after="299" w:line="1" w:lineRule="exact"/>
      </w:pPr>
    </w:p>
    <w:p>
      <w:pPr>
        <w:pStyle w:val="Style35"/>
        <w:keepNext/>
        <w:keepLines/>
        <w:widowControl w:val="0"/>
        <w:shd w:val="clear" w:color="auto" w:fill="auto"/>
        <w:bidi w:val="0"/>
        <w:spacing w:before="0" w:after="40" w:line="274" w:lineRule="exact"/>
        <w:ind w:left="0" w:right="0" w:firstLine="0"/>
        <w:jc w:val="left"/>
      </w:pPr>
      <w:bookmarkStart w:id="1525" w:name="bookmark1525"/>
      <w:bookmarkStart w:id="1526" w:name="bookmark1526"/>
      <w:bookmarkStart w:id="1527" w:name="bookmark1527"/>
      <w:r>
        <w:rPr>
          <w:color w:val="000000"/>
          <w:spacing w:val="0"/>
          <w:w w:val="100"/>
          <w:position w:val="0"/>
        </w:rPr>
        <w:t>(2).</w:t>
      </w:r>
      <w:r>
        <w:rPr>
          <w:color w:val="000000"/>
          <w:spacing w:val="0"/>
          <w:w w:val="100"/>
          <w:position w:val="0"/>
        </w:rPr>
        <w:t>账龄超过1年的重要其他应付款</w:t>
      </w:r>
      <w:bookmarkEnd w:id="1525"/>
      <w:bookmarkEnd w:id="1526"/>
      <w:bookmarkEnd w:id="152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4" w:lineRule="exact"/>
        <w:ind w:left="0" w:right="0" w:firstLine="34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日，账龄超过一年的其他应付款为</w:t>
      </w:r>
      <w:r>
        <w:rPr>
          <w:rFonts w:ascii="Times New Roman" w:eastAsia="Times New Roman" w:hAnsi="Times New Roman" w:cs="Times New Roman"/>
          <w:color w:val="000000"/>
          <w:spacing w:val="0"/>
          <w:w w:val="100"/>
          <w:position w:val="0"/>
        </w:rPr>
        <w:t>255,996.87</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856,082.32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，主要为应付市场营销费用，该款项尚未结清。</w:t>
      </w:r>
    </w:p>
    <w:p>
      <w:pPr>
        <w:pStyle w:val="Style35"/>
        <w:keepNext/>
        <w:keepLines/>
        <w:widowControl w:val="0"/>
        <w:shd w:val="clear" w:color="auto" w:fill="auto"/>
        <w:bidi w:val="0"/>
        <w:spacing w:before="0" w:after="40" w:line="274" w:lineRule="exact"/>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4</w:t>
      </w:r>
      <w:bookmarkEnd w:id="1530"/>
      <w:r>
        <w:rPr>
          <w:color w:val="000000"/>
          <w:spacing w:val="0"/>
          <w:w w:val="100"/>
          <w:position w:val="0"/>
        </w:rPr>
        <w:t>2、持有待售负债</w:t>
      </w:r>
      <w:bookmarkEnd w:id="1528"/>
      <w:bookmarkEnd w:id="1529"/>
      <w:bookmarkEnd w:id="1531"/>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4</w:t>
      </w:r>
      <w:bookmarkEnd w:id="1534"/>
      <w:r>
        <w:rPr>
          <w:color w:val="000000"/>
          <w:spacing w:val="0"/>
          <w:w w:val="100"/>
          <w:position w:val="0"/>
        </w:rPr>
        <w:t>3、1年内到期的非流动负债</w:t>
      </w:r>
      <w:bookmarkEnd w:id="1532"/>
      <w:bookmarkEnd w:id="1533"/>
      <w:bookmarkEnd w:id="15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4" w:lineRule="exact"/>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4</w:t>
      </w:r>
      <w:bookmarkEnd w:id="1538"/>
      <w:r>
        <w:rPr>
          <w:color w:val="000000"/>
          <w:spacing w:val="0"/>
          <w:w w:val="100"/>
          <w:position w:val="0"/>
        </w:rPr>
        <w:t>4、其他流动负债</w:t>
      </w:r>
      <w:bookmarkEnd w:id="1536"/>
      <w:bookmarkEnd w:id="1537"/>
      <w:bookmarkEnd w:id="1539"/>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其他流动负债情况 </w:t>
      </w: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36"/>
        <w:gridCol w:w="3043"/>
        <w:gridCol w:w="3058"/>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年内到期的预计负债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62,781,288.38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39,990,773.90</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62,781,288.38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39,990,773.90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4</w:t>
      </w:r>
      <w:bookmarkEnd w:id="1542"/>
      <w:r>
        <w:rPr>
          <w:color w:val="000000"/>
          <w:spacing w:val="0"/>
          <w:w w:val="100"/>
          <w:position w:val="0"/>
        </w:rPr>
        <w:t>5、</w:t>
        <w:tab/>
        <w:t>长期借款</w:t>
      </w:r>
      <w:bookmarkEnd w:id="1540"/>
      <w:bookmarkEnd w:id="1541"/>
      <w:bookmarkEnd w:id="1543"/>
    </w:p>
    <w:p>
      <w:pPr>
        <w:pStyle w:val="Style35"/>
        <w:keepNext/>
        <w:keepLines/>
        <w:widowControl w:val="0"/>
        <w:shd w:val="clear" w:color="auto" w:fill="auto"/>
        <w:bidi w:val="0"/>
        <w:spacing w:before="0" w:after="100" w:line="240" w:lineRule="auto"/>
        <w:ind w:left="0" w:right="0" w:firstLine="0"/>
        <w:jc w:val="left"/>
      </w:pPr>
      <w:bookmarkStart w:id="1540" w:name="bookmark1540"/>
      <w:bookmarkStart w:id="1541" w:name="bookmark1541"/>
      <w:bookmarkStart w:id="1544" w:name="bookmark1544"/>
      <w:r>
        <w:rPr>
          <w:color w:val="000000"/>
          <w:spacing w:val="0"/>
          <w:w w:val="100"/>
          <w:position w:val="0"/>
        </w:rPr>
        <w:t>(1).</w:t>
      </w:r>
      <w:r>
        <w:rPr>
          <w:color w:val="000000"/>
          <w:spacing w:val="0"/>
          <w:w w:val="100"/>
          <w:position w:val="0"/>
        </w:rPr>
        <w:t>长期借款分类</w:t>
      </w:r>
      <w:bookmarkEnd w:id="1540"/>
      <w:bookmarkEnd w:id="1541"/>
      <w:bookmarkEnd w:id="15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4</w:t>
      </w:r>
      <w:bookmarkEnd w:id="1547"/>
      <w:r>
        <w:rPr>
          <w:color w:val="000000"/>
          <w:spacing w:val="0"/>
          <w:w w:val="100"/>
          <w:position w:val="0"/>
        </w:rPr>
        <w:t>6、</w:t>
        <w:tab/>
        <w:t>应付债券</w:t>
      </w:r>
      <w:bookmarkEnd w:id="1545"/>
      <w:bookmarkEnd w:id="1546"/>
      <w:bookmarkEnd w:id="1548"/>
    </w:p>
    <w:p>
      <w:pPr>
        <w:pStyle w:val="Style35"/>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545" w:name="bookmark1545"/>
      <w:bookmarkStart w:id="1546" w:name="bookmark1546"/>
      <w:bookmarkStart w:id="1549" w:name="bookmark1549"/>
      <w:bookmarkStart w:id="1550" w:name="bookmark1550"/>
      <w:bookmarkEnd w:id="1549"/>
      <w:r>
        <w:rPr>
          <w:color w:val="000000"/>
          <w:spacing w:val="0"/>
          <w:w w:val="100"/>
          <w:position w:val="0"/>
        </w:rPr>
        <w:t>.</w:t>
      </w:r>
      <w:r>
        <w:rPr>
          <w:color w:val="000000"/>
          <w:spacing w:val="0"/>
          <w:w w:val="100"/>
          <w:position w:val="0"/>
        </w:rPr>
        <w:t>应付债券</w:t>
      </w:r>
      <w:bookmarkEnd w:id="1545"/>
      <w:bookmarkEnd w:id="1546"/>
      <w:bookmarkEnd w:id="155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430" w:val="left"/>
        </w:tabs>
        <w:bidi w:val="0"/>
        <w:spacing w:before="0" w:after="100" w:line="240" w:lineRule="auto"/>
        <w:ind w:left="0" w:right="0" w:firstLine="0"/>
        <w:jc w:val="left"/>
      </w:pPr>
      <w:bookmarkStart w:id="1551" w:name="bookmark1551"/>
      <w:bookmarkEnd w:id="1551"/>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430" w:val="left"/>
        </w:tabs>
        <w:bidi w:val="0"/>
        <w:spacing w:before="0" w:after="100" w:line="240" w:lineRule="auto"/>
        <w:ind w:left="0" w:right="0" w:firstLine="0"/>
        <w:jc w:val="left"/>
      </w:pPr>
      <w:bookmarkStart w:id="1552" w:name="bookmark1552"/>
      <w:bookmarkEnd w:id="1552"/>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.划分为金融负债的其他金融工具说明</w:t>
      </w:r>
      <w:bookmarkEnd w:id="1553"/>
      <w:bookmarkEnd w:id="1554"/>
      <w:bookmarkEnd w:id="155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4</w:t>
      </w:r>
      <w:bookmarkEnd w:id="1559"/>
      <w:r>
        <w:rPr>
          <w:color w:val="000000"/>
          <w:spacing w:val="0"/>
          <w:w w:val="100"/>
          <w:position w:val="0"/>
        </w:rPr>
        <w:t>7、</w:t>
        <w:tab/>
        <w:t>租赁负债</w:t>
      </w:r>
      <w:bookmarkEnd w:id="1557"/>
      <w:bookmarkEnd w:id="1558"/>
      <w:bookmarkEnd w:id="156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4</w:t>
      </w:r>
      <w:bookmarkEnd w:id="1563"/>
      <w:r>
        <w:rPr>
          <w:color w:val="000000"/>
          <w:spacing w:val="0"/>
          <w:w w:val="100"/>
          <w:position w:val="0"/>
        </w:rPr>
        <w:t>8、</w:t>
        <w:tab/>
        <w:t>长期应付款</w:t>
      </w:r>
      <w:bookmarkEnd w:id="1561"/>
      <w:bookmarkEnd w:id="1562"/>
      <w:bookmarkEnd w:id="1564"/>
    </w:p>
    <w:p>
      <w:pPr>
        <w:pStyle w:val="Style35"/>
        <w:keepNext/>
        <w:keepLines/>
        <w:widowControl w:val="0"/>
        <w:shd w:val="clear" w:color="auto" w:fill="auto"/>
        <w:bidi w:val="0"/>
        <w:spacing w:before="0" w:after="100" w:line="240" w:lineRule="auto"/>
        <w:ind w:left="0" w:right="0" w:firstLine="0"/>
        <w:jc w:val="left"/>
      </w:pPr>
      <w:bookmarkStart w:id="1561" w:name="bookmark1561"/>
      <w:bookmarkStart w:id="1562" w:name="bookmark1562"/>
      <w:bookmarkStart w:id="1565" w:name="bookmark1565"/>
      <w:r>
        <w:rPr>
          <w:color w:val="000000"/>
          <w:spacing w:val="0"/>
          <w:w w:val="100"/>
          <w:position w:val="0"/>
        </w:rPr>
        <w:t>项目列示</w:t>
      </w:r>
      <w:bookmarkEnd w:id="1561"/>
      <w:bookmarkEnd w:id="1562"/>
      <w:bookmarkEnd w:id="156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长期应付款</w:t>
      </w:r>
    </w:p>
    <w:p>
      <w:pPr>
        <w:pStyle w:val="Style2"/>
        <w:keepNext w:val="0"/>
        <w:keepLines w:val="0"/>
        <w:widowControl w:val="0"/>
        <w:numPr>
          <w:ilvl w:val="0"/>
          <w:numId w:val="155"/>
        </w:numPr>
        <w:shd w:val="clear" w:color="auto" w:fill="auto"/>
        <w:tabs>
          <w:tab w:pos="440" w:val="left"/>
        </w:tabs>
        <w:bidi w:val="0"/>
        <w:spacing w:before="0" w:after="0" w:line="336" w:lineRule="exact"/>
        <w:ind w:left="0" w:right="0" w:firstLine="0"/>
        <w:jc w:val="left"/>
      </w:pPr>
      <w:bookmarkStart w:id="1566" w:name="bookmark1566"/>
      <w:bookmarkEnd w:id="1566"/>
      <w:r>
        <w:rPr>
          <w:b/>
          <w:bCs/>
          <w:color w:val="000000"/>
          <w:spacing w:val="0"/>
          <w:w w:val="100"/>
          <w:position w:val="0"/>
        </w:rPr>
        <w:t>.</w:t>
      </w:r>
      <w:r>
        <w:rPr>
          <w:b/>
          <w:bCs/>
          <w:color w:val="000000"/>
          <w:spacing w:val="0"/>
          <w:w w:val="100"/>
          <w:position w:val="0"/>
        </w:rPr>
        <w:t xml:space="preserve">按款项性质列示长期应付款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专项应付款</w:t>
      </w:r>
    </w:p>
    <w:p>
      <w:pPr>
        <w:pStyle w:val="Style2"/>
        <w:keepNext w:val="0"/>
        <w:keepLines w:val="0"/>
        <w:widowControl w:val="0"/>
        <w:numPr>
          <w:ilvl w:val="0"/>
          <w:numId w:val="155"/>
        </w:numPr>
        <w:shd w:val="clear" w:color="auto" w:fill="auto"/>
        <w:tabs>
          <w:tab w:pos="440" w:val="left"/>
        </w:tabs>
        <w:bidi w:val="0"/>
        <w:spacing w:before="0" w:after="240" w:line="336" w:lineRule="exact"/>
        <w:ind w:left="0" w:right="0" w:firstLine="0"/>
        <w:jc w:val="left"/>
      </w:pPr>
      <w:bookmarkStart w:id="1567" w:name="bookmark1567"/>
      <w:bookmarkEnd w:id="1567"/>
      <w:r>
        <w:rPr>
          <w:b/>
          <w:bCs/>
          <w:color w:val="000000"/>
          <w:spacing w:val="0"/>
          <w:w w:val="100"/>
          <w:position w:val="0"/>
        </w:rPr>
        <w:t>.</w:t>
      </w:r>
      <w:r>
        <w:rPr>
          <w:b/>
          <w:bCs/>
          <w:color w:val="000000"/>
          <w:spacing w:val="0"/>
          <w:w w:val="100"/>
          <w:position w:val="0"/>
        </w:rPr>
        <w:t xml:space="preserve">按款项性质列示专项应付款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336" w:lineRule="exact"/>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4</w:t>
      </w:r>
      <w:bookmarkEnd w:id="1570"/>
      <w:r>
        <w:rPr>
          <w:color w:val="000000"/>
          <w:spacing w:val="0"/>
          <w:w w:val="100"/>
          <w:position w:val="0"/>
        </w:rPr>
        <w:t>9、长期应付职工薪酬</w:t>
      </w:r>
      <w:bookmarkEnd w:id="1568"/>
      <w:bookmarkEnd w:id="1569"/>
      <w:bookmarkEnd w:id="1571"/>
    </w:p>
    <w:p>
      <w:pPr>
        <w:pStyle w:val="Style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336" w:lineRule="exact"/>
        <w:ind w:left="0" w:right="0" w:firstLine="0"/>
        <w:jc w:val="left"/>
      </w:pPr>
      <w:r>
        <w:rPr>
          <w:b/>
          <w:bCs/>
          <w:color w:val="000000"/>
          <w:spacing w:val="0"/>
          <w:w w:val="100"/>
          <w:position w:val="0"/>
        </w:rPr>
        <w:t>(1).</w:t>
      </w:r>
      <w:r>
        <w:rPr>
          <w:b/>
          <w:bCs/>
          <w:color w:val="000000"/>
          <w:spacing w:val="0"/>
          <w:w w:val="100"/>
          <w:position w:val="0"/>
        </w:rPr>
        <w:t>长期应付职工薪酬表</w:t>
      </w:r>
    </w:p>
    <w:p>
      <w:pPr>
        <w:pStyle w:val="Style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1"/>
        <w:gridCol w:w="2563"/>
        <w:gridCol w:w="2702"/>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股票增值权激励计划</w:t>
            </w:r>
            <w:r>
              <w:rPr>
                <w:rFonts w:ascii="Times New Roman" w:eastAsia="Times New Roman" w:hAnsi="Times New Roman" w:cs="Times New Roman"/>
                <w:color w:val="000000"/>
                <w:spacing w:val="0"/>
                <w:w w:val="100"/>
                <w:position w:val="0"/>
              </w:rPr>
              <w:t>(</w:t>
            </w:r>
            <w:r>
              <w:rPr>
                <w:color w:val="000000"/>
                <w:spacing w:val="0"/>
                <w:w w:val="100"/>
                <w:position w:val="0"/>
              </w:rPr>
              <w:t>附注十三</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3,385,625.20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3,385,625.20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0" w:line="274" w:lineRule="exact"/>
        <w:ind w:left="0" w:right="0" w:firstLine="0"/>
        <w:jc w:val="left"/>
      </w:pPr>
      <w:bookmarkStart w:id="1572" w:name="bookmark1572"/>
      <w:bookmarkStart w:id="1573" w:name="bookmark1573"/>
      <w:bookmarkStart w:id="1574" w:name="bookmark1574"/>
      <w:r>
        <w:rPr>
          <w:color w:val="000000"/>
          <w:spacing w:val="0"/>
          <w:w w:val="100"/>
          <w:position w:val="0"/>
        </w:rPr>
        <w:t>(2).</w:t>
      </w:r>
      <w:r>
        <w:rPr>
          <w:color w:val="000000"/>
          <w:spacing w:val="0"/>
          <w:w w:val="100"/>
          <w:position w:val="0"/>
        </w:rPr>
        <w:t>设定受益计划变动情况</w:t>
      </w:r>
      <w:bookmarkEnd w:id="1572"/>
      <w:bookmarkEnd w:id="1573"/>
      <w:bookmarkEnd w:id="157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设定受益计划的内容及与之相关风险、对公司未来现金流量、时间和不确定性的影响说明: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50、预计负债</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64"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37,908,758.39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16,067,280.23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37,908,758.39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16,067,280.23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336" w:lineRule="exact"/>
        <w:ind w:left="0" w:right="0" w:firstLine="0"/>
        <w:jc w:val="distribute"/>
      </w:pPr>
      <w:r>
        <w:rPr>
          <w:color w:val="000000"/>
          <w:spacing w:val="0"/>
          <w:w w:val="100"/>
          <w:position w:val="0"/>
        </w:rPr>
        <w:t>其他说明，包括重要预计负债的相关重要假设、估计说明: 无。</w:t>
      </w:r>
    </w:p>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5</w:t>
      </w:r>
      <w:bookmarkEnd w:id="1577"/>
      <w:r>
        <w:rPr>
          <w:color w:val="000000"/>
          <w:spacing w:val="0"/>
          <w:w w:val="100"/>
          <w:position w:val="0"/>
        </w:rPr>
        <w:t>1、递延收益</w:t>
      </w:r>
      <w:bookmarkEnd w:id="1575"/>
      <w:bookmarkEnd w:id="1576"/>
      <w:bookmarkEnd w:id="15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8"/>
        <w:gridCol w:w="1435"/>
        <w:gridCol w:w="1541"/>
        <w:gridCol w:w="1536"/>
        <w:gridCol w:w="1541"/>
        <w:gridCol w:w="1426"/>
      </w:tblGrid>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358"/>
        <w:gridCol w:w="1435"/>
        <w:gridCol w:w="1541"/>
        <w:gridCol w:w="1536"/>
        <w:gridCol w:w="1541"/>
        <w:gridCol w:w="1426"/>
      </w:tblGrid>
      <w:tr>
        <w:trPr>
          <w:trHeight w:val="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88,836,145.60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316,179,000.00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231,858,983.60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173,156,162.00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政府拨付用 于研发的资 金</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88,836,145.60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316,179,000.00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231,858,983.60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173,156,162.00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94"/>
        <w:gridCol w:w="1258"/>
        <w:gridCol w:w="1354"/>
        <w:gridCol w:w="408"/>
        <w:gridCol w:w="403"/>
        <w:gridCol w:w="1354"/>
        <w:gridCol w:w="1349"/>
        <w:gridCol w:w="1018"/>
      </w:tblGrid>
      <w:tr>
        <w:trPr>
          <w:trHeight w:val="25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本期新增补助 金额</w:t>
            </w:r>
          </w:p>
        </w:tc>
        <w:tc>
          <w:tcPr>
            <w:tcBorders>
              <w:top w:val="single" w:sz="4"/>
              <w:left w:val="single" w:sz="4"/>
            </w:tcBorders>
            <w:shd w:val="clear" w:color="auto" w:fill="FFFFFF"/>
            <w:textDirection w:val="tbRlV"/>
            <w:vAlign w:val="center"/>
          </w:tcPr>
          <w:p>
            <w:pPr>
              <w:pStyle w:val="Style8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本期计入营业外收入金额</w:t>
            </w:r>
          </w:p>
        </w:tc>
        <w:tc>
          <w:tcPr>
            <w:tcBorders>
              <w:top w:val="single" w:sz="4"/>
              <w:left w:val="single" w:sz="4"/>
            </w:tcBorders>
            <w:shd w:val="clear" w:color="auto" w:fill="FFFFFF"/>
            <w:textDirection w:val="tbRlV"/>
            <w:vAlign w:val="center"/>
          </w:tcPr>
          <w:p>
            <w:pPr>
              <w:pStyle w:val="Style8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本期计入其他收益金额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刻蚀机相关项目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62,879,864.71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266,459,910.12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203,718,498.20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125,621,276.63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MOCVD</w:t>
            </w:r>
            <w:r>
              <w:rPr>
                <w:color w:val="000000"/>
                <w:spacing w:val="0"/>
                <w:w w:val="100"/>
                <w:position w:val="0"/>
                <w:sz w:val="17"/>
                <w:szCs w:val="17"/>
              </w:rPr>
              <w:t>相关项目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44,057,947.21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17,213,138.53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28,334,808.68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收益相关</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刻蚀机相关项目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18,962,207.32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501,039.44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5,543,242.43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13,920,004.33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资产相关</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MOCVD</w:t>
            </w:r>
            <w:r>
              <w:rPr>
                <w:color w:val="000000"/>
                <w:spacing w:val="0"/>
                <w:w w:val="100"/>
                <w:position w:val="0"/>
                <w:sz w:val="17"/>
                <w:szCs w:val="17"/>
              </w:rPr>
              <w:t>相关项目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474,073.57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354,104.44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119,969.13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资产相关</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4,760,103.23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4,760,103.23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资产相关</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88,836,145.60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316,179,000.00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231,858,983.60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173,156,162.00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5</w:t>
      </w:r>
      <w:bookmarkEnd w:id="1581"/>
      <w:r>
        <w:rPr>
          <w:color w:val="000000"/>
          <w:spacing w:val="0"/>
          <w:w w:val="100"/>
          <w:position w:val="0"/>
        </w:rPr>
        <w:t>2、其他非流动负债</w:t>
      </w:r>
      <w:bookmarkEnd w:id="1579"/>
      <w:bookmarkEnd w:id="1580"/>
      <w:bookmarkEnd w:id="158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5</w:t>
      </w:r>
      <w:bookmarkEnd w:id="1585"/>
      <w:r>
        <w:rPr>
          <w:color w:val="000000"/>
          <w:spacing w:val="0"/>
          <w:w w:val="100"/>
          <w:position w:val="0"/>
        </w:rPr>
        <w:t>3、股本</w:t>
      </w:r>
      <w:bookmarkEnd w:id="1583"/>
      <w:bookmarkEnd w:id="1584"/>
      <w:bookmarkEnd w:id="158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61"/>
        <w:gridCol w:w="1526"/>
        <w:gridCol w:w="902"/>
        <w:gridCol w:w="898"/>
        <w:gridCol w:w="974"/>
        <w:gridCol w:w="984"/>
        <w:gridCol w:w="955"/>
        <w:gridCol w:w="1536"/>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卜、一)</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534,862,237.00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534,862,237.00</w:t>
            </w:r>
          </w:p>
        </w:tc>
      </w:tr>
    </w:tbl>
    <w:p>
      <w:pPr>
        <w:pStyle w:val="Style2"/>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5</w:t>
      </w:r>
      <w:bookmarkEnd w:id="1589"/>
      <w:r>
        <w:rPr>
          <w:color w:val="000000"/>
          <w:spacing w:val="0"/>
          <w:w w:val="100"/>
          <w:position w:val="0"/>
        </w:rPr>
        <w:t>4、其他权益工具</w:t>
      </w:r>
      <w:bookmarkEnd w:id="1587"/>
      <w:bookmarkEnd w:id="1588"/>
      <w:bookmarkEnd w:id="1590"/>
    </w:p>
    <w:p>
      <w:pPr>
        <w:pStyle w:val="Style35"/>
        <w:keepNext/>
        <w:keepLines/>
        <w:widowControl w:val="0"/>
        <w:shd w:val="clear" w:color="auto" w:fill="auto"/>
        <w:bidi w:val="0"/>
        <w:spacing w:before="0" w:after="100" w:line="240" w:lineRule="auto"/>
        <w:ind w:left="0" w:right="0" w:firstLine="0"/>
        <w:jc w:val="left"/>
      </w:pPr>
      <w:bookmarkStart w:id="1587" w:name="bookmark1587"/>
      <w:bookmarkStart w:id="1588" w:name="bookmark1588"/>
      <w:bookmarkStart w:id="1591" w:name="bookmark1591"/>
      <w:r>
        <w:rPr>
          <w:color w:val="000000"/>
          <w:spacing w:val="0"/>
          <w:w w:val="100"/>
          <w:position w:val="0"/>
        </w:rPr>
        <w:t>(1).</w:t>
      </w:r>
      <w:r>
        <w:rPr>
          <w:color w:val="000000"/>
          <w:spacing w:val="0"/>
          <w:w w:val="100"/>
          <w:position w:val="0"/>
        </w:rPr>
        <w:t>期末发行在外的优先股、永续债等其他金融工具基本情况</w:t>
      </w:r>
      <w:bookmarkEnd w:id="1587"/>
      <w:bookmarkEnd w:id="1588"/>
      <w:bookmarkEnd w:id="159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60" w:line="274" w:lineRule="exact"/>
        <w:ind w:left="0" w:right="0" w:firstLine="0"/>
        <w:jc w:val="left"/>
      </w:pPr>
      <w:bookmarkStart w:id="1592" w:name="bookmark1592"/>
      <w:bookmarkStart w:id="1593" w:name="bookmark1593"/>
      <w:bookmarkStart w:id="1594" w:name="bookmark1594"/>
      <w:r>
        <w:rPr>
          <w:color w:val="000000"/>
          <w:spacing w:val="0"/>
          <w:w w:val="100"/>
          <w:position w:val="0"/>
        </w:rPr>
        <w:t>(2).</w:t>
      </w:r>
      <w:r>
        <w:rPr>
          <w:color w:val="000000"/>
          <w:spacing w:val="0"/>
          <w:w w:val="100"/>
          <w:position w:val="0"/>
        </w:rPr>
        <w:t>期末发行在外的优先股、永续债等金融工具变动情况表</w:t>
      </w:r>
      <w:bookmarkEnd w:id="1592"/>
      <w:bookmarkEnd w:id="1593"/>
      <w:bookmarkEnd w:id="159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其他权益工具本期增减变动情况、变动原因说明，以及相关会计处理的依据: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2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5</w:t>
      </w:r>
      <w:bookmarkEnd w:id="1597"/>
      <w:r>
        <w:rPr>
          <w:color w:val="000000"/>
          <w:spacing w:val="0"/>
          <w:w w:val="100"/>
          <w:position w:val="0"/>
        </w:rPr>
        <w:t>5、资本公积</w:t>
      </w:r>
      <w:bookmarkEnd w:id="1595"/>
      <w:bookmarkEnd w:id="1596"/>
      <w:bookmarkEnd w:id="159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71"/>
        <w:gridCol w:w="1810"/>
        <w:gridCol w:w="1790"/>
        <w:gridCol w:w="179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3,683,966,558.34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3,683,966,558.34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4,926,246.91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130,447,077.26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135,373,324.17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3,688,892,805.25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130,447,077.26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3,819,339,882.51</w:t>
            </w:r>
          </w:p>
        </w:tc>
      </w:tr>
    </w:tbl>
    <w:p>
      <w:pPr>
        <w:pStyle w:val="Style22"/>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其他说明，包括本期增减变动情况、变动原因说明: 无。</w:t>
      </w:r>
    </w:p>
    <w:p>
      <w:pPr>
        <w:widowControl w:val="0"/>
        <w:spacing w:after="339" w:line="1" w:lineRule="exact"/>
      </w:pPr>
    </w:p>
    <w:p>
      <w:pPr>
        <w:pStyle w:val="Style35"/>
        <w:keepNext/>
        <w:keepLines/>
        <w:widowControl w:val="0"/>
        <w:shd w:val="clear" w:color="auto" w:fill="auto"/>
        <w:bidi w:val="0"/>
        <w:spacing w:before="0" w:after="12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5</w:t>
      </w:r>
      <w:bookmarkEnd w:id="1601"/>
      <w:r>
        <w:rPr>
          <w:color w:val="000000"/>
          <w:spacing w:val="0"/>
          <w:w w:val="100"/>
          <w:position w:val="0"/>
        </w:rPr>
        <w:t>6、库存股</w:t>
      </w:r>
      <w:bookmarkEnd w:id="1599"/>
      <w:bookmarkEnd w:id="1600"/>
      <w:bookmarkEnd w:id="160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2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5</w:t>
      </w:r>
      <w:bookmarkEnd w:id="1605"/>
      <w:r>
        <w:rPr>
          <w:color w:val="000000"/>
          <w:spacing w:val="0"/>
          <w:w w:val="100"/>
          <w:position w:val="0"/>
        </w:rPr>
        <w:t>7、其他综合收益</w:t>
      </w:r>
      <w:bookmarkEnd w:id="1603"/>
      <w:bookmarkEnd w:id="1604"/>
      <w:bookmarkEnd w:id="160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258"/>
        <w:gridCol w:w="1253"/>
        <w:gridCol w:w="538"/>
        <w:gridCol w:w="538"/>
        <w:gridCol w:w="533"/>
        <w:gridCol w:w="1306"/>
        <w:gridCol w:w="374"/>
        <w:gridCol w:w="1147"/>
      </w:tblGrid>
      <w:tr>
        <w:trPr>
          <w:trHeight w:val="23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gridSpan w:val="6"/>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期末 余额</w:t>
            </w:r>
          </w:p>
        </w:tc>
      </w:tr>
      <w:tr>
        <w:trPr>
          <w:trHeight w:val="20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本期所得税前 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7" w:lineRule="exact"/>
              <w:ind w:left="0" w:right="0" w:firstLine="0"/>
              <w:jc w:val="both"/>
              <w:rPr>
                <w:sz w:val="16"/>
                <w:szCs w:val="16"/>
              </w:rPr>
            </w:pPr>
            <w:r>
              <w:rPr>
                <w:color w:val="000000"/>
                <w:spacing w:val="0"/>
                <w:w w:val="100"/>
                <w:position w:val="0"/>
                <w:sz w:val="16"/>
                <w:szCs w:val="16"/>
              </w:rPr>
              <w:t>减：</w:t>
            </w:r>
          </w:p>
          <w:p>
            <w:pPr>
              <w:pStyle w:val="Style25"/>
              <w:keepNext w:val="0"/>
              <w:keepLines w:val="0"/>
              <w:widowControl w:val="0"/>
              <w:shd w:val="clear" w:color="auto" w:fill="auto"/>
              <w:bidi w:val="0"/>
              <w:spacing w:before="0" w:after="0" w:line="207" w:lineRule="exact"/>
              <w:ind w:left="0" w:right="0" w:firstLine="0"/>
              <w:jc w:val="both"/>
              <w:rPr>
                <w:sz w:val="16"/>
                <w:szCs w:val="16"/>
              </w:rPr>
            </w:pPr>
            <w:r>
              <w:rPr>
                <w:color w:val="000000"/>
                <w:spacing w:val="0"/>
                <w:w w:val="100"/>
                <w:position w:val="0"/>
                <w:sz w:val="16"/>
                <w:szCs w:val="16"/>
              </w:rPr>
              <w:t>前期 计入 其他 综合 收益 当期 转入 损益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减：</w:t>
            </w:r>
          </w:p>
          <w:p>
            <w:pPr>
              <w:pStyle w:val="Style25"/>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前期 计入 其他 综合 收益 当期 转入 留存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4" w:lineRule="exact"/>
              <w:ind w:left="0" w:right="0" w:firstLine="0"/>
              <w:jc w:val="right"/>
              <w:rPr>
                <w:sz w:val="16"/>
                <w:szCs w:val="16"/>
              </w:rPr>
            </w:pPr>
            <w:r>
              <w:rPr>
                <w:color w:val="000000"/>
                <w:spacing w:val="0"/>
                <w:w w:val="100"/>
                <w:position w:val="0"/>
                <w:sz w:val="16"/>
                <w:szCs w:val="16"/>
              </w:rPr>
              <w:t>减：</w:t>
            </w:r>
          </w:p>
          <w:p>
            <w:pPr>
              <w:pStyle w:val="Style25"/>
              <w:keepNext w:val="0"/>
              <w:keepLines w:val="0"/>
              <w:widowControl w:val="0"/>
              <w:shd w:val="clear" w:color="auto" w:fill="auto"/>
              <w:bidi w:val="0"/>
              <w:spacing w:before="0" w:after="0" w:line="214" w:lineRule="exact"/>
              <w:ind w:left="0" w:right="0" w:firstLine="0"/>
              <w:jc w:val="center"/>
              <w:rPr>
                <w:sz w:val="16"/>
                <w:szCs w:val="16"/>
              </w:rPr>
            </w:pPr>
            <w:r>
              <w:rPr>
                <w:color w:val="000000"/>
                <w:spacing w:val="0"/>
                <w:w w:val="100"/>
                <w:position w:val="0"/>
                <w:sz w:val="16"/>
                <w:szCs w:val="16"/>
              </w:rPr>
              <w:t>所得 税费 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税后归属于母 公司</w:t>
            </w: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税后归属于少数股东</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二、将重分类进损益的</w:t>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-17,322,422.32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-4,665,504.05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-4,665,504.05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21,987,926.37</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其中：权益法下可转损 益的其他综合收益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-300,195.48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-300,195.48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-300,195.48</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06" w:lineRule="exact"/>
              <w:ind w:left="0" w:right="0" w:firstLine="260"/>
              <w:jc w:val="left"/>
              <w:rPr>
                <w:sz w:val="16"/>
                <w:szCs w:val="16"/>
              </w:rPr>
            </w:pPr>
            <w:r>
              <w:rPr>
                <w:color w:val="000000"/>
                <w:spacing w:val="0"/>
                <w:w w:val="100"/>
                <w:position w:val="0"/>
                <w:sz w:val="16"/>
                <w:szCs w:val="16"/>
              </w:rPr>
              <w:t>外币财务报表折算差 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-17,322,422.32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-4,365,308.57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-4,365,308.57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21,687,730.89</w:t>
            </w:r>
          </w:p>
        </w:tc>
      </w:tr>
      <w:tr>
        <w:trPr>
          <w:trHeight w:val="38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-17,322,422.32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-4,665,504.05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-4,665,504.05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21,987,926.37</w:t>
            </w:r>
          </w:p>
        </w:tc>
      </w:tr>
    </w:tbl>
    <w:p>
      <w:pPr>
        <w:widowControl w:val="0"/>
        <w:spacing w:after="239" w:line="1" w:lineRule="exact"/>
      </w:pP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5"/>
        <w:keepNext/>
        <w:keepLines/>
        <w:widowControl w:val="0"/>
        <w:shd w:val="clear" w:color="auto" w:fill="auto"/>
        <w:bidi w:val="0"/>
        <w:spacing w:before="0" w:after="0" w:line="336" w:lineRule="exact"/>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5</w:t>
      </w:r>
      <w:bookmarkEnd w:id="1609"/>
      <w:r>
        <w:rPr>
          <w:color w:val="000000"/>
          <w:spacing w:val="0"/>
          <w:w w:val="100"/>
          <w:position w:val="0"/>
        </w:rPr>
        <w:t>8、专项储备</w:t>
      </w:r>
      <w:bookmarkEnd w:id="1607"/>
      <w:bookmarkEnd w:id="1608"/>
      <w:bookmarkEnd w:id="1610"/>
    </w:p>
    <w:p>
      <w:pPr>
        <w:pStyle w:val="Style2"/>
        <w:keepNext w:val="0"/>
        <w:keepLines w:val="0"/>
        <w:widowControl w:val="0"/>
        <w:shd w:val="clear" w:color="auto" w:fill="auto"/>
        <w:bidi w:val="0"/>
        <w:spacing w:before="0" w:after="340" w:line="33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2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5</w:t>
      </w:r>
      <w:bookmarkEnd w:id="1613"/>
      <w:r>
        <w:rPr>
          <w:color w:val="000000"/>
          <w:spacing w:val="0"/>
          <w:w w:val="100"/>
          <w:position w:val="0"/>
        </w:rPr>
        <w:t>9、盈余公积</w:t>
      </w:r>
      <w:bookmarkEnd w:id="1611"/>
      <w:bookmarkEnd w:id="1612"/>
      <w:bookmarkEnd w:id="1614"/>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86"/>
        <w:gridCol w:w="1786"/>
        <w:gridCol w:w="1805"/>
        <w:gridCol w:w="179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26,767,419.64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42,864,572.37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69,631,992.01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26,767,419.64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42,864,572.37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69,631,992.01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340" w:line="269" w:lineRule="exact"/>
        <w:ind w:left="0" w:right="0" w:firstLine="440"/>
        <w:jc w:val="left"/>
      </w:pPr>
      <w:r>
        <w:rPr>
          <w:color w:val="000000"/>
          <w:spacing w:val="0"/>
          <w:w w:val="100"/>
          <w:position w:val="0"/>
        </w:rPr>
        <w:t>根据《中华人民共和国公司法》及本公司章程，本公司按年度净利润的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 积金，当法定盈余公积金累计额达到注册资本的</w:t>
      </w:r>
      <w:r>
        <w:rPr>
          <w:rFonts w:ascii="Times New Roman" w:eastAsia="Times New Roman" w:hAnsi="Times New Roman" w:cs="Times New Roman"/>
          <w:color w:val="000000"/>
          <w:spacing w:val="0"/>
          <w:w w:val="100"/>
          <w:position w:val="0"/>
        </w:rPr>
        <w:t>50%</w:t>
      </w:r>
      <w:r>
        <w:rPr>
          <w:color w:val="000000"/>
          <w:spacing w:val="0"/>
          <w:w w:val="100"/>
          <w:position w:val="0"/>
        </w:rPr>
        <w:t>以上时，可不再提取。法定盈余公积金经批 准后可用于弥补亏损，或者增加股本。本公司</w:t>
      </w:r>
      <w:r>
        <w:rPr>
          <w:rFonts w:ascii="Times New Roman" w:eastAsia="Times New Roman" w:hAnsi="Times New Roman" w:cs="Times New Roman"/>
          <w:color w:val="000000"/>
          <w:spacing w:val="0"/>
          <w:w w:val="100"/>
          <w:position w:val="0"/>
        </w:rPr>
        <w:t>2020</w:t>
      </w:r>
      <w:r>
        <w:rPr>
          <w:color w:val="000000"/>
          <w:spacing w:val="0"/>
          <w:w w:val="100"/>
          <w:position w:val="0"/>
        </w:rPr>
        <w:t>年按净利润的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提取法定盈余公积金 </w:t>
      </w:r>
      <w:r>
        <w:rPr>
          <w:rFonts w:ascii="Times New Roman" w:eastAsia="Times New Roman" w:hAnsi="Times New Roman" w:cs="Times New Roman"/>
          <w:color w:val="000000"/>
          <w:spacing w:val="0"/>
          <w:w w:val="100"/>
          <w:position w:val="0"/>
        </w:rPr>
        <w:t>42,864,572.37</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rPr>
        <w:t>17,115,633.12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100" w:line="269" w:lineRule="exact"/>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6</w:t>
      </w:r>
      <w:bookmarkEnd w:id="1617"/>
      <w:r>
        <w:rPr>
          <w:color w:val="000000"/>
          <w:spacing w:val="0"/>
          <w:w w:val="100"/>
          <w:position w:val="0"/>
        </w:rPr>
        <w:t>0、未分配利润</w:t>
      </w:r>
      <w:bookmarkEnd w:id="1615"/>
      <w:bookmarkEnd w:id="1616"/>
      <w:bookmarkEnd w:id="1618"/>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-482,123,079.33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-653,799,774.89</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调整期初未分配利润合计数(调增 </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228,109.59</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-482,123,079.33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-653,571,665.30</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492,199,161.31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188,564,219.09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42,864,572.37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17,115,633.12</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-32,788,490.39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-482,123,079.33</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0" w:line="240" w:lineRule="auto"/>
        <w:ind w:left="0" w:right="0" w:firstLine="0"/>
        <w:jc w:val="left"/>
      </w:pPr>
      <w:bookmarkStart w:id="1619" w:name="bookmark1619"/>
      <w:r>
        <w:rPr>
          <w:rFonts w:ascii="Times New Roman" w:eastAsia="Times New Roman" w:hAnsi="Times New Roman" w:cs="Times New Roman"/>
          <w:color w:val="000000"/>
          <w:spacing w:val="0"/>
          <w:w w:val="100"/>
          <w:position w:val="0"/>
        </w:rPr>
        <w:t>1</w:t>
      </w:r>
      <w:bookmarkEnd w:id="1619"/>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620" w:name="bookmark1620"/>
      <w:r>
        <w:rPr>
          <w:rFonts w:ascii="Times New Roman" w:eastAsia="Times New Roman" w:hAnsi="Times New Roman" w:cs="Times New Roman"/>
          <w:color w:val="000000"/>
          <w:spacing w:val="0"/>
          <w:w w:val="100"/>
          <w:position w:val="0"/>
        </w:rPr>
        <w:t>2</w:t>
      </w:r>
      <w:bookmarkEnd w:id="1620"/>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621" w:name="bookmark1621"/>
      <w:r>
        <w:rPr>
          <w:rFonts w:ascii="Times New Roman" w:eastAsia="Times New Roman" w:hAnsi="Times New Roman" w:cs="Times New Roman"/>
          <w:color w:val="000000"/>
          <w:spacing w:val="0"/>
          <w:w w:val="100"/>
          <w:position w:val="0"/>
        </w:rPr>
        <w:t>3</w:t>
      </w:r>
      <w:bookmarkEnd w:id="1621"/>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622" w:name="bookmark1622"/>
      <w:r>
        <w:rPr>
          <w:rFonts w:ascii="Times New Roman" w:eastAsia="Times New Roman" w:hAnsi="Times New Roman" w:cs="Times New Roman"/>
          <w:color w:val="000000"/>
          <w:spacing w:val="0"/>
          <w:w w:val="100"/>
          <w:position w:val="0"/>
        </w:rPr>
        <w:t>4</w:t>
      </w:r>
      <w:bookmarkEnd w:id="1622"/>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340" w:line="240" w:lineRule="auto"/>
        <w:ind w:left="0" w:right="0" w:firstLine="0"/>
        <w:jc w:val="left"/>
      </w:pPr>
      <w:bookmarkStart w:id="1623" w:name="bookmark1623"/>
      <w:r>
        <w:rPr>
          <w:rFonts w:ascii="Times New Roman" w:eastAsia="Times New Roman" w:hAnsi="Times New Roman" w:cs="Times New Roman"/>
          <w:color w:val="000000"/>
          <w:spacing w:val="0"/>
          <w:w w:val="100"/>
          <w:position w:val="0"/>
        </w:rPr>
        <w:t>5</w:t>
      </w:r>
      <w:bookmarkEnd w:id="1623"/>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5"/>
        <w:keepNext/>
        <w:keepLines/>
        <w:widowControl w:val="0"/>
        <w:shd w:val="clear" w:color="auto" w:fill="auto"/>
        <w:bidi w:val="0"/>
        <w:spacing w:before="0" w:after="10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6</w:t>
      </w:r>
      <w:bookmarkEnd w:id="1626"/>
      <w:r>
        <w:rPr>
          <w:color w:val="000000"/>
          <w:spacing w:val="0"/>
          <w:w w:val="100"/>
          <w:position w:val="0"/>
        </w:rPr>
        <w:t>1、营业收入和营业成本</w:t>
      </w:r>
      <w:bookmarkEnd w:id="1624"/>
      <w:bookmarkEnd w:id="1625"/>
      <w:bookmarkEnd w:id="1627"/>
    </w:p>
    <w:p>
      <w:pPr>
        <w:pStyle w:val="Style35"/>
        <w:keepNext/>
        <w:keepLines/>
        <w:widowControl w:val="0"/>
        <w:shd w:val="clear" w:color="auto" w:fill="auto"/>
        <w:bidi w:val="0"/>
        <w:spacing w:before="0" w:after="100" w:line="240" w:lineRule="auto"/>
        <w:ind w:left="0" w:right="0" w:firstLine="0"/>
        <w:jc w:val="left"/>
      </w:pPr>
      <w:bookmarkStart w:id="1624" w:name="bookmark1624"/>
      <w:bookmarkStart w:id="1625" w:name="bookmark1625"/>
      <w:bookmarkStart w:id="1628" w:name="bookmark1628"/>
      <w:r>
        <w:rPr>
          <w:color w:val="000000"/>
          <w:spacing w:val="0"/>
          <w:w w:val="100"/>
          <w:position w:val="0"/>
        </w:rPr>
        <w:t>(1).</w:t>
      </w:r>
      <w:r>
        <w:rPr>
          <w:color w:val="000000"/>
          <w:spacing w:val="0"/>
          <w:w w:val="100"/>
          <w:position w:val="0"/>
        </w:rPr>
        <w:t>营业收入和营业成本情况</w:t>
      </w:r>
      <w:bookmarkEnd w:id="1624"/>
      <w:bookmarkEnd w:id="1625"/>
      <w:bookmarkEnd w:id="162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4"/>
        <w:gridCol w:w="1834"/>
        <w:gridCol w:w="1824"/>
        <w:gridCol w:w="1838"/>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2,273,144,009.93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1,416,958,436.04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1,946,200,969.98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1,266,465,566.51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147,888.13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91,667.36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748,280.77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429,301.86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2,273,291,898.06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1,417,050,103.40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1,946,949,250.75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1,266,894,868.37</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629" w:name="bookmark1629"/>
      <w:bookmarkStart w:id="1630" w:name="bookmark1630"/>
      <w:bookmarkStart w:id="1631" w:name="bookmark1631"/>
      <w:r>
        <w:rPr>
          <w:color w:val="000000"/>
          <w:spacing w:val="0"/>
          <w:w w:val="100"/>
          <w:position w:val="0"/>
        </w:rPr>
        <w:t>(2).</w:t>
      </w:r>
      <w:r>
        <w:rPr>
          <w:color w:val="000000"/>
          <w:spacing w:val="0"/>
          <w:w w:val="100"/>
          <w:position w:val="0"/>
        </w:rPr>
        <w:t>合同产生的收入的情况</w:t>
      </w:r>
      <w:bookmarkEnd w:id="1629"/>
      <w:bookmarkEnd w:id="1630"/>
      <w:bookmarkEnd w:id="16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履约义务的说明</w:t>
      </w:r>
      <w:bookmarkEnd w:id="1632"/>
      <w:bookmarkEnd w:id="1633"/>
      <w:bookmarkEnd w:id="16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430" w:val="left"/>
        </w:tabs>
        <w:bidi w:val="0"/>
        <w:spacing w:before="0" w:after="100" w:line="240" w:lineRule="auto"/>
        <w:ind w:left="0" w:right="0" w:firstLine="0"/>
        <w:jc w:val="left"/>
      </w:pPr>
      <w:bookmarkStart w:id="1636" w:name="bookmark1636"/>
      <w:bookmarkEnd w:id="1636"/>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6</w:t>
      </w:r>
      <w:bookmarkEnd w:id="1639"/>
      <w:r>
        <w:rPr>
          <w:color w:val="000000"/>
          <w:spacing w:val="0"/>
          <w:w w:val="100"/>
          <w:position w:val="0"/>
        </w:rPr>
        <w:t>2、税金及附加</w:t>
      </w:r>
      <w:bookmarkEnd w:id="1637"/>
      <w:bookmarkEnd w:id="1638"/>
      <w:bookmarkEnd w:id="164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80,036.57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60,992.48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107,337.07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53,772.40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102,531.60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102,531.60</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104,706.82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104,706.82</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1,263,038.88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1,615,631.60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71,544.04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35,569.70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124,101.28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211,702.18</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1,853,296.26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2,184,906.78</w:t>
            </w:r>
          </w:p>
        </w:tc>
      </w:tr>
    </w:tbl>
    <w:p>
      <w:pPr>
        <w:pStyle w:val="Style2"/>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6</w:t>
      </w:r>
      <w:bookmarkEnd w:id="1643"/>
      <w:r>
        <w:rPr>
          <w:color w:val="000000"/>
          <w:spacing w:val="0"/>
          <w:w w:val="100"/>
          <w:position w:val="0"/>
        </w:rPr>
        <w:t>3、销售费用</w:t>
      </w:r>
      <w:bookmarkEnd w:id="1641"/>
      <w:bookmarkEnd w:id="1642"/>
      <w:bookmarkEnd w:id="1644"/>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120,335,160.59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104,291,258.91</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预计产品质量保证损失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52,517,137.39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57,034,996.15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33,909,890.79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7,347,078.52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12,449,155.57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5,213,345.63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5,894,555.66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3,878,360.88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5,533,666.92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物流仓储费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3,675,764.16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3,391,547.24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2,004,869.18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2,733,164.84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1,716,174.13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2,331,226.61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6,066,055.02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3,309,270.48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236,663,836.29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196,968,842.38</w:t>
            </w:r>
          </w:p>
        </w:tc>
      </w:tr>
    </w:tbl>
    <w:p>
      <w:pPr>
        <w:pStyle w:val="Style2"/>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6</w:t>
      </w:r>
      <w:bookmarkEnd w:id="1647"/>
      <w:r>
        <w:rPr>
          <w:color w:val="000000"/>
          <w:spacing w:val="0"/>
          <w:w w:val="100"/>
          <w:position w:val="0"/>
        </w:rPr>
        <w:t>4、管理费用</w:t>
      </w:r>
      <w:bookmarkEnd w:id="1645"/>
      <w:bookmarkEnd w:id="1646"/>
      <w:bookmarkEnd w:id="164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67,976,588.13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59,566,496.26</w:t>
            </w:r>
          </w:p>
        </w:tc>
      </w:tr>
    </w:tbl>
    <w:p>
      <w:pPr>
        <w:spacing w:lineRule="exact" w:line="1"/>
        <w:rPr>
          <w:sz w:val="2"/>
          <w:szCs w:val="2"/>
        </w:rPr>
      </w:pPr>
      <w:r>
        <w:br w:type="page"/>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28,911,365.65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24,159,571.96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21,475,559.18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8,707,078.17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6,337,884.86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3,421,455.16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3,195,216.90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2,746,191.64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4,232,147.62</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2,721,714.58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2,557,342.15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2,155,388.80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1,234,249.36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1,890,439.53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1,484,905.28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10,313,552.58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8,757,752.83</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153,003,346.20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108,841,554.44</w:t>
            </w: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299" w:line="1" w:lineRule="exact"/>
      </w:pPr>
    </w:p>
    <w:p>
      <w:pPr>
        <w:pStyle w:val="Style35"/>
        <w:keepNext/>
        <w:keepLines/>
        <w:widowControl w:val="0"/>
        <w:shd w:val="clear" w:color="auto" w:fill="auto"/>
        <w:bidi w:val="0"/>
        <w:spacing w:before="0" w:after="12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6</w:t>
      </w:r>
      <w:bookmarkEnd w:id="1651"/>
      <w:r>
        <w:rPr>
          <w:color w:val="000000"/>
          <w:spacing w:val="0"/>
          <w:w w:val="100"/>
          <w:position w:val="0"/>
        </w:rPr>
        <w:t>5、研发费用</w:t>
      </w:r>
      <w:bookmarkEnd w:id="1649"/>
      <w:bookmarkEnd w:id="1650"/>
      <w:bookmarkEnd w:id="165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耗用的原材料和低值易耗品等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142,835,522.44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153,545,285.91</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100,223,061.22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69,661,431.23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48,939,985.35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10,643,799.28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626,273.76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5,126,631.56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3,031,599.09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3,928,740.20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1,578,607.02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3,866,888.05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2,445,038.33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15,156,773.97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2,841,412.23</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330,721,402.07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233,729,647.57</w:t>
            </w: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年度，本集团收到政府补助冲减研发费用金额为</w:t>
      </w:r>
      <w:r>
        <w:rPr>
          <w:rFonts w:ascii="Times New Roman" w:eastAsia="Times New Roman" w:hAnsi="Times New Roman" w:cs="Times New Roman"/>
          <w:color w:val="000000"/>
          <w:spacing w:val="0"/>
          <w:w w:val="100"/>
          <w:position w:val="0"/>
        </w:rPr>
        <w:t>231,858,983.60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 xml:space="preserve">15,494,724.39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299" w:line="1" w:lineRule="exact"/>
      </w:pPr>
    </w:p>
    <w:p>
      <w:pPr>
        <w:pStyle w:val="Style35"/>
        <w:keepNext/>
        <w:keepLines/>
        <w:widowControl w:val="0"/>
        <w:shd w:val="clear" w:color="auto" w:fill="auto"/>
        <w:bidi w:val="0"/>
        <w:spacing w:before="0" w:after="12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6</w:t>
      </w:r>
      <w:bookmarkEnd w:id="1655"/>
      <w:r>
        <w:rPr>
          <w:color w:val="000000"/>
          <w:spacing w:val="0"/>
          <w:w w:val="100"/>
          <w:position w:val="0"/>
        </w:rPr>
        <w:t>6、财务费用</w:t>
      </w:r>
      <w:bookmarkEnd w:id="1653"/>
      <w:bookmarkEnd w:id="1654"/>
      <w:bookmarkEnd w:id="165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利息费用（收入以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-9,774,035.37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-14,168,064.82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797,537.44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r>
              <w:rPr>
                <w:rFonts w:ascii="Times New Roman" w:eastAsia="Times New Roman" w:hAnsi="Times New Roman" w:cs="Times New Roman"/>
                <w:color w:val="000000"/>
                <w:spacing w:val="0"/>
                <w:w w:val="100"/>
                <w:position w:val="0"/>
              </w:rPr>
              <w:t>/</w:t>
            </w:r>
            <w:r>
              <w:rPr>
                <w:color w:val="000000"/>
                <w:spacing w:val="0"/>
                <w:w w:val="100"/>
                <w:position w:val="0"/>
              </w:rPr>
              <w:t>收益（收入以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-1,171,234.18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10,248,727.35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3,259,686.59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1,882,782.63</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-7,424,808.14</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-1,239,017.40</w:t>
            </w:r>
          </w:p>
        </w:tc>
      </w:tr>
    </w:tbl>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 无。</w:t>
      </w:r>
    </w:p>
    <w:p>
      <w:pPr>
        <w:widowControl w:val="0"/>
        <w:spacing w:after="299" w:line="1" w:lineRule="exact"/>
      </w:pPr>
    </w:p>
    <w:p>
      <w:pPr>
        <w:pStyle w:val="Style35"/>
        <w:keepNext/>
        <w:keepLines/>
        <w:widowControl w:val="0"/>
        <w:shd w:val="clear" w:color="auto" w:fill="auto"/>
        <w:bidi w:val="0"/>
        <w:spacing w:before="0" w:after="12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6</w:t>
      </w:r>
      <w:bookmarkEnd w:id="1659"/>
      <w:r>
        <w:rPr>
          <w:color w:val="000000"/>
          <w:spacing w:val="0"/>
          <w:w w:val="100"/>
          <w:position w:val="0"/>
        </w:rPr>
        <w:t>7、其他收益</w:t>
      </w:r>
      <w:bookmarkEnd w:id="1657"/>
      <w:bookmarkEnd w:id="1658"/>
      <w:bookmarkEnd w:id="166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2938"/>
        <w:gridCol w:w="294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南昌高新开发区补贴</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84,620,000.00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92,290,000.00</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地市级财政补贴与扶持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18,708,654.60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9,799,421.31</w:t>
            </w:r>
          </w:p>
        </w:tc>
      </w:tr>
    </w:tbl>
    <w:p>
      <w:pPr>
        <w:spacing w:lineRule="exact" w:line="1"/>
        <w:rPr>
          <w:sz w:val="2"/>
          <w:szCs w:val="2"/>
        </w:rPr>
      </w:pPr>
      <w:r>
        <w:br w:type="page"/>
      </w:r>
    </w:p>
    <w:tbl>
      <w:tblPr>
        <w:tblOverlap w:val="never"/>
        <w:jc w:val="center"/>
        <w:tblLayout w:type="fixed"/>
      </w:tblPr>
      <w:tblGrid>
        <w:gridCol w:w="2952"/>
        <w:gridCol w:w="2938"/>
        <w:gridCol w:w="294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747,540.00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1,387,470.00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2,061,482.02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255,849.21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106,137,676.62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103,732,740.52</w:t>
            </w:r>
          </w:p>
        </w:tc>
      </w:tr>
    </w:tbl>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于本年度，本公司之子公司南昌中微半导体设备有限公司</w:t>
      </w:r>
      <w:r>
        <w:rPr>
          <w:rFonts w:ascii="Times New Roman" w:eastAsia="Times New Roman" w:hAnsi="Times New Roman" w:cs="Times New Roman"/>
          <w:color w:val="000000"/>
          <w:spacing w:val="0"/>
          <w:w w:val="100"/>
          <w:position w:val="0"/>
        </w:rPr>
        <w:t>（“</w:t>
      </w:r>
      <w:r>
        <w:rPr>
          <w:color w:val="000000"/>
          <w:spacing w:val="0"/>
          <w:w w:val="100"/>
          <w:position w:val="0"/>
        </w:rPr>
        <w:t>南昌中微</w:t>
      </w:r>
      <w:r>
        <w:rPr>
          <w:rFonts w:ascii="Times New Roman" w:eastAsia="Times New Roman" w:hAnsi="Times New Roman" w:cs="Times New Roman"/>
          <w:color w:val="000000"/>
          <w:spacing w:val="0"/>
          <w:w w:val="100"/>
          <w:position w:val="0"/>
        </w:rPr>
        <w:t>''）</w:t>
      </w:r>
      <w:r>
        <w:rPr>
          <w:color w:val="000000"/>
          <w:spacing w:val="0"/>
          <w:w w:val="100"/>
          <w:position w:val="0"/>
        </w:rPr>
        <w:t xml:space="preserve">获得政府补贴 </w:t>
      </w:r>
      <w:r>
        <w:rPr>
          <w:rFonts w:ascii="Times New Roman" w:eastAsia="Times New Roman" w:hAnsi="Times New Roman" w:cs="Times New Roman"/>
          <w:color w:val="000000"/>
          <w:spacing w:val="0"/>
          <w:w w:val="100"/>
          <w:position w:val="0"/>
        </w:rPr>
        <w:t>84,620,000.00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92,290,000.00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，该政府补助与南昌中微日常经营业务相关并已连 续三年获得，本集团将其确认为其他收益项目。</w:t>
      </w:r>
    </w:p>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6</w:t>
      </w:r>
      <w:bookmarkEnd w:id="1663"/>
      <w:r>
        <w:rPr>
          <w:color w:val="000000"/>
          <w:spacing w:val="0"/>
          <w:w w:val="100"/>
          <w:position w:val="0"/>
        </w:rPr>
        <w:t>8、投资收益</w:t>
      </w:r>
      <w:bookmarkEnd w:id="1661"/>
      <w:bookmarkEnd w:id="1662"/>
      <w:bookmarkEnd w:id="1664"/>
    </w:p>
    <w:p>
      <w:pPr>
        <w:pStyle w:val="Style22"/>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-17,348,516.45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-12,566,282.74</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44,363,246.80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14,120,075.24</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27,014,730.35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1,553,792.50</w:t>
            </w:r>
          </w:p>
        </w:tc>
      </w:tr>
    </w:tbl>
    <w:p>
      <w:pPr>
        <w:pStyle w:val="Style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 无。</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6</w:t>
      </w:r>
      <w:bookmarkEnd w:id="1667"/>
      <w:r>
        <w:rPr>
          <w:color w:val="000000"/>
          <w:spacing w:val="0"/>
          <w:w w:val="100"/>
          <w:position w:val="0"/>
        </w:rPr>
        <w:t>9、</w:t>
        <w:tab/>
        <w:t>净敞口套期收益</w:t>
      </w:r>
      <w:bookmarkEnd w:id="1665"/>
      <w:bookmarkEnd w:id="1666"/>
      <w:bookmarkEnd w:id="166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0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7</w:t>
      </w:r>
      <w:bookmarkEnd w:id="1671"/>
      <w:r>
        <w:rPr>
          <w:color w:val="000000"/>
          <w:spacing w:val="0"/>
          <w:w w:val="100"/>
          <w:position w:val="0"/>
        </w:rPr>
        <w:t>0、</w:t>
        <w:tab/>
        <w:t>公允价值变动收益</w:t>
      </w:r>
      <w:bookmarkEnd w:id="1669"/>
      <w:bookmarkEnd w:id="1670"/>
      <w:bookmarkEnd w:id="167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257,464,331.96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7,735,787.66</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257,464,331.96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7,735,787.66</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 无。</w:t>
      </w:r>
      <w:r>
        <w:br w:type="page"/>
      </w:r>
    </w:p>
    <w:p>
      <w:pPr>
        <w:pStyle w:val="Style35"/>
        <w:keepNext/>
        <w:keepLines/>
        <w:widowControl w:val="0"/>
        <w:shd w:val="clear" w:color="auto" w:fill="auto"/>
        <w:bidi w:val="0"/>
        <w:spacing w:before="0" w:after="100" w:line="240" w:lineRule="auto"/>
        <w:ind w:left="0" w:right="0" w:firstLine="0"/>
        <w:jc w:val="both"/>
      </w:pPr>
      <w:bookmarkStart w:id="1673" w:name="bookmark1673"/>
      <w:bookmarkStart w:id="1674" w:name="bookmark1674"/>
      <w:bookmarkStart w:id="1675" w:name="bookmark1675"/>
      <w:bookmarkStart w:id="1676" w:name="bookmark1676"/>
      <w:r>
        <w:rPr>
          <w:color w:val="000000"/>
          <w:spacing w:val="0"/>
          <w:w w:val="100"/>
          <w:position w:val="0"/>
        </w:rPr>
        <w:t>7</w:t>
      </w:r>
      <w:bookmarkEnd w:id="1675"/>
      <w:r>
        <w:rPr>
          <w:color w:val="000000"/>
          <w:spacing w:val="0"/>
          <w:w w:val="100"/>
          <w:position w:val="0"/>
        </w:rPr>
        <w:t>1、信用减值损失</w:t>
      </w:r>
      <w:bookmarkEnd w:id="1673"/>
      <w:bookmarkEnd w:id="1674"/>
      <w:bookmarkEnd w:id="1676"/>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888,116.77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-708,877.68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3,379,392.81</w:t>
            </w:r>
          </w:p>
        </w:tc>
      </w:tr>
      <w:tr>
        <w:trPr>
          <w:trHeight w:val="28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-615,369.18</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189,697.64</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2,764,023.63</w:t>
            </w: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both"/>
      </w:pPr>
      <w:bookmarkStart w:id="1677" w:name="bookmark1677"/>
      <w:bookmarkStart w:id="1678" w:name="bookmark1678"/>
      <w:bookmarkStart w:id="1679" w:name="bookmark1679"/>
      <w:bookmarkStart w:id="1680" w:name="bookmark1680"/>
      <w:r>
        <w:rPr>
          <w:color w:val="000000"/>
          <w:spacing w:val="0"/>
          <w:w w:val="100"/>
          <w:position w:val="0"/>
        </w:rPr>
        <w:t>7</w:t>
      </w:r>
      <w:bookmarkEnd w:id="1679"/>
      <w:r>
        <w:rPr>
          <w:color w:val="000000"/>
          <w:spacing w:val="0"/>
          <w:w w:val="100"/>
          <w:position w:val="0"/>
        </w:rPr>
        <w:t>2、资产减值损失</w:t>
      </w:r>
      <w:bookmarkEnd w:id="1677"/>
      <w:bookmarkEnd w:id="1678"/>
      <w:bookmarkEnd w:id="1680"/>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6,016,890.27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49,673,147.49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10,969,154.22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16,986,044.49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49,673,147.49</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 无。</w:t>
      </w:r>
    </w:p>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both"/>
      </w:pPr>
      <w:bookmarkStart w:id="1681" w:name="bookmark1681"/>
      <w:bookmarkStart w:id="1682" w:name="bookmark1682"/>
      <w:bookmarkStart w:id="1683" w:name="bookmark1683"/>
      <w:bookmarkStart w:id="1684" w:name="bookmark1684"/>
      <w:r>
        <w:rPr>
          <w:color w:val="000000"/>
          <w:spacing w:val="0"/>
          <w:w w:val="100"/>
          <w:position w:val="0"/>
        </w:rPr>
        <w:t>7</w:t>
      </w:r>
      <w:bookmarkEnd w:id="1683"/>
      <w:r>
        <w:rPr>
          <w:color w:val="000000"/>
          <w:spacing w:val="0"/>
          <w:w w:val="100"/>
          <w:position w:val="0"/>
        </w:rPr>
        <w:t>3、资产处置收益</w:t>
      </w:r>
      <w:bookmarkEnd w:id="1681"/>
      <w:bookmarkEnd w:id="1682"/>
      <w:bookmarkEnd w:id="1684"/>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2947"/>
        <w:gridCol w:w="296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-2,234,720.02</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-2,234,720.02</w:t>
            </w:r>
          </w:p>
        </w:tc>
      </w:tr>
    </w:tbl>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 无。</w:t>
      </w:r>
    </w:p>
    <w:p>
      <w:pPr>
        <w:widowControl w:val="0"/>
        <w:spacing w:after="299" w:line="1" w:lineRule="exact"/>
      </w:pPr>
    </w:p>
    <w:p>
      <w:pPr>
        <w:pStyle w:val="Style35"/>
        <w:keepNext/>
        <w:keepLines/>
        <w:widowControl w:val="0"/>
        <w:shd w:val="clear" w:color="auto" w:fill="auto"/>
        <w:bidi w:val="0"/>
        <w:spacing w:before="0" w:after="100" w:line="240" w:lineRule="auto"/>
        <w:ind w:left="0" w:right="0" w:firstLine="0"/>
        <w:jc w:val="both"/>
      </w:pPr>
      <w:bookmarkStart w:id="1685" w:name="bookmark1685"/>
      <w:bookmarkStart w:id="1686" w:name="bookmark1686"/>
      <w:bookmarkStart w:id="1687" w:name="bookmark1687"/>
      <w:bookmarkStart w:id="1688" w:name="bookmark1688"/>
      <w:r>
        <w:rPr>
          <w:color w:val="000000"/>
          <w:spacing w:val="0"/>
          <w:w w:val="100"/>
          <w:position w:val="0"/>
        </w:rPr>
        <w:t>7</w:t>
      </w:r>
      <w:bookmarkEnd w:id="1687"/>
      <w:r>
        <w:rPr>
          <w:color w:val="000000"/>
          <w:spacing w:val="0"/>
          <w:w w:val="100"/>
          <w:position w:val="0"/>
        </w:rPr>
        <w:t>4、营业外收入</w:t>
      </w:r>
      <w:bookmarkEnd w:id="1685"/>
      <w:bookmarkEnd w:id="1686"/>
      <w:bookmarkEnd w:id="168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51"/>
        <w:gridCol w:w="2256"/>
        <w:gridCol w:w="226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计入当期非经常性损 益的金额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罚金及理赔款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48,980.70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119,288.00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48,980.70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保险赔偿款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18,525.00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18,433.00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18,525.00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27,927.58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357,289.26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27,927.58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95,433.28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495,010.26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95,433.28</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计入当期损益的政府补助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7</w:t>
      </w:r>
      <w:bookmarkEnd w:id="1691"/>
      <w:r>
        <w:rPr>
          <w:color w:val="000000"/>
          <w:spacing w:val="0"/>
          <w:w w:val="100"/>
          <w:position w:val="0"/>
        </w:rPr>
        <w:t>5、营业外支出</w:t>
      </w:r>
      <w:bookmarkEnd w:id="1689"/>
      <w:bookmarkEnd w:id="1690"/>
      <w:bookmarkEnd w:id="169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2318"/>
        <w:gridCol w:w="2270"/>
        <w:gridCol w:w="2266"/>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疫情防护用品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147,090.00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147,090.00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774,887.29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31,653.37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774,887.29</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2,221,977.29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31,653.37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2,221,977.29</w:t>
            </w:r>
          </w:p>
        </w:tc>
      </w:tr>
    </w:tbl>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 无。</w:t>
      </w:r>
    </w:p>
    <w:p>
      <w:pPr>
        <w:widowControl w:val="0"/>
        <w:spacing w:after="279" w:line="1" w:lineRule="exact"/>
      </w:pPr>
    </w:p>
    <w:p>
      <w:pPr>
        <w:pStyle w:val="Style35"/>
        <w:keepNext/>
        <w:keepLines/>
        <w:widowControl w:val="0"/>
        <w:shd w:val="clear" w:color="auto" w:fill="auto"/>
        <w:bidi w:val="0"/>
        <w:spacing w:before="0" w:after="10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7</w:t>
      </w:r>
      <w:bookmarkEnd w:id="1695"/>
      <w:r>
        <w:rPr>
          <w:color w:val="000000"/>
          <w:spacing w:val="0"/>
          <w:w w:val="100"/>
          <w:position w:val="0"/>
        </w:rPr>
        <w:t>6、所得税费用</w:t>
      </w:r>
      <w:bookmarkEnd w:id="1693"/>
      <w:bookmarkEnd w:id="1694"/>
      <w:bookmarkEnd w:id="1696"/>
    </w:p>
    <w:p>
      <w:pPr>
        <w:pStyle w:val="Style35"/>
        <w:keepNext/>
        <w:keepLines/>
        <w:widowControl w:val="0"/>
        <w:shd w:val="clear" w:color="auto" w:fill="auto"/>
        <w:bidi w:val="0"/>
        <w:spacing w:before="0" w:after="100" w:line="240" w:lineRule="auto"/>
        <w:ind w:left="0" w:right="0" w:firstLine="0"/>
        <w:jc w:val="left"/>
      </w:pPr>
      <w:bookmarkStart w:id="1693" w:name="bookmark1693"/>
      <w:bookmarkStart w:id="1694" w:name="bookmark1694"/>
      <w:bookmarkStart w:id="1697" w:name="bookmark1697"/>
      <w:r>
        <w:rPr>
          <w:color w:val="000000"/>
          <w:spacing w:val="0"/>
          <w:w w:val="100"/>
          <w:position w:val="0"/>
        </w:rPr>
        <w:t>(1).</w:t>
      </w:r>
      <w:r>
        <w:rPr>
          <w:color w:val="000000"/>
          <w:spacing w:val="0"/>
          <w:w w:val="100"/>
          <w:position w:val="0"/>
        </w:rPr>
        <w:t>所得税费用表</w:t>
      </w:r>
      <w:bookmarkEnd w:id="1693"/>
      <w:bookmarkEnd w:id="1694"/>
      <w:bookmarkEnd w:id="169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14,060,306.82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9,799,428.32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6,329,976.78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20,390,283.60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9,799,428.32</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698" w:name="bookmark1698"/>
      <w:bookmarkStart w:id="1699" w:name="bookmark1699"/>
      <w:bookmarkStart w:id="1700" w:name="bookmark1700"/>
      <w:r>
        <w:rPr>
          <w:color w:val="000000"/>
          <w:spacing w:val="0"/>
          <w:w w:val="100"/>
          <w:position w:val="0"/>
        </w:rPr>
        <w:t>(2).</w:t>
      </w:r>
      <w:r>
        <w:rPr>
          <w:color w:val="000000"/>
          <w:spacing w:val="0"/>
          <w:w w:val="100"/>
          <w:position w:val="0"/>
        </w:rPr>
        <w:t>会计利润与所得税费用调整过程</w:t>
      </w:r>
      <w:bookmarkEnd w:id="1698"/>
      <w:bookmarkEnd w:id="1699"/>
      <w:bookmarkEnd w:id="170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56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512,696,802.10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128,174,200.52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-3,079,761.71</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优惠税率的影响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-43,523,472.99</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25,011,572.33</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安置残疾人员所支付的工资加计扣除</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-39,661.96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-60,504,837.12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未确认递延所得税资产的暂时性差异变动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-19,434,407.86</w:t>
            </w:r>
          </w:p>
        </w:tc>
      </w:tr>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-7,370,880.61</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1,157,533.00</w:t>
            </w:r>
          </w:p>
        </w:tc>
      </w:tr>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20,390,283.60</w:t>
            </w:r>
          </w:p>
        </w:tc>
      </w:tr>
    </w:tbl>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r>
        <w:br w:type="page"/>
      </w:r>
    </w:p>
    <w:p>
      <w:pPr>
        <w:pStyle w:val="Style35"/>
        <w:keepNext/>
        <w:keepLines/>
        <w:widowControl w:val="0"/>
        <w:shd w:val="clear" w:color="auto" w:fill="auto"/>
        <w:tabs>
          <w:tab w:pos="499" w:val="left"/>
        </w:tabs>
        <w:bidi w:val="0"/>
        <w:spacing w:before="0" w:after="80" w:line="269" w:lineRule="exact"/>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7</w:t>
      </w:r>
      <w:bookmarkEnd w:id="1703"/>
      <w:r>
        <w:rPr>
          <w:color w:val="000000"/>
          <w:spacing w:val="0"/>
          <w:w w:val="100"/>
          <w:position w:val="0"/>
        </w:rPr>
        <w:t>7、</w:t>
        <w:tab/>
        <w:t>其他综合收益</w:t>
      </w:r>
      <w:bookmarkEnd w:id="1701"/>
      <w:bookmarkEnd w:id="1702"/>
      <w:bookmarkEnd w:id="1704"/>
    </w:p>
    <w:p>
      <w:pPr>
        <w:pStyle w:val="Style2"/>
        <w:keepNext w:val="0"/>
        <w:keepLines w:val="0"/>
        <w:widowControl w:val="0"/>
        <w:shd w:val="clear" w:color="auto" w:fill="auto"/>
        <w:bidi w:val="0"/>
        <w:spacing w:before="0" w:after="340" w:line="269" w:lineRule="exact"/>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 详见本节附注七、</w:t>
      </w:r>
      <w:r>
        <w:rPr>
          <w:rFonts w:ascii="Times New Roman" w:eastAsia="Times New Roman" w:hAnsi="Times New Roman" w:cs="Times New Roman"/>
          <w:color w:val="000000"/>
          <w:spacing w:val="0"/>
          <w:w w:val="100"/>
          <w:position w:val="0"/>
        </w:rPr>
        <w:t>57</w:t>
      </w:r>
    </w:p>
    <w:p>
      <w:pPr>
        <w:pStyle w:val="Style35"/>
        <w:keepNext/>
        <w:keepLines/>
        <w:widowControl w:val="0"/>
        <w:shd w:val="clear" w:color="auto" w:fill="auto"/>
        <w:tabs>
          <w:tab w:pos="499" w:val="left"/>
        </w:tabs>
        <w:bidi w:val="0"/>
        <w:spacing w:before="0" w:after="80" w:line="269" w:lineRule="exact"/>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7</w:t>
      </w:r>
      <w:bookmarkEnd w:id="1707"/>
      <w:r>
        <w:rPr>
          <w:color w:val="000000"/>
          <w:spacing w:val="0"/>
          <w:w w:val="100"/>
          <w:position w:val="0"/>
        </w:rPr>
        <w:t>8、</w:t>
        <w:tab/>
        <w:t>现金流量表项目</w:t>
      </w:r>
      <w:bookmarkEnd w:id="1705"/>
      <w:bookmarkEnd w:id="1706"/>
      <w:bookmarkEnd w:id="1708"/>
    </w:p>
    <w:p>
      <w:pPr>
        <w:pStyle w:val="Style35"/>
        <w:keepNext/>
        <w:keepLines/>
        <w:widowControl w:val="0"/>
        <w:shd w:val="clear" w:color="auto" w:fill="auto"/>
        <w:bidi w:val="0"/>
        <w:spacing w:before="0" w:after="80" w:line="269" w:lineRule="exact"/>
        <w:ind w:left="0" w:right="0" w:firstLine="0"/>
        <w:jc w:val="left"/>
      </w:pPr>
      <w:bookmarkStart w:id="1705" w:name="bookmark1705"/>
      <w:bookmarkStart w:id="1706" w:name="bookmark1706"/>
      <w:bookmarkStart w:id="1709" w:name="bookmark1709"/>
      <w:r>
        <w:rPr>
          <w:color w:val="000000"/>
          <w:spacing w:val="0"/>
          <w:w w:val="100"/>
          <w:position w:val="0"/>
        </w:rPr>
        <w:t>(1).</w:t>
      </w:r>
      <w:r>
        <w:rPr>
          <w:color w:val="000000"/>
          <w:spacing w:val="0"/>
          <w:w w:val="100"/>
          <w:position w:val="0"/>
        </w:rPr>
        <w:t>收到的其他与经营活动有关的现金</w:t>
      </w:r>
      <w:bookmarkEnd w:id="1705"/>
      <w:bookmarkEnd w:id="1706"/>
      <w:bookmarkEnd w:id="1709"/>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435,488,676.62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176,269,940.52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收回保函及信用证保证金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14,321,706.36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60,113,949.51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9,719,568.07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5,164,836.07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3,741,975.91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1,007,199.76</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463,271,926.96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242,555,925.86</w:t>
            </w:r>
          </w:p>
        </w:tc>
      </w:tr>
    </w:tbl>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收到的其他与经营活动有关的现金说明: 无。</w:t>
      </w:r>
    </w:p>
    <w:p>
      <w:pPr>
        <w:pStyle w:val="Style35"/>
        <w:keepNext/>
        <w:keepLines/>
        <w:widowControl w:val="0"/>
        <w:shd w:val="clear" w:color="auto" w:fill="auto"/>
        <w:bidi w:val="0"/>
        <w:spacing w:before="0" w:after="80" w:line="240" w:lineRule="auto"/>
        <w:ind w:left="0" w:right="0" w:firstLine="0"/>
        <w:jc w:val="left"/>
      </w:pPr>
      <w:bookmarkStart w:id="1710" w:name="bookmark1710"/>
      <w:bookmarkStart w:id="1711" w:name="bookmark1711"/>
      <w:bookmarkStart w:id="1712" w:name="bookmark1712"/>
      <w:r>
        <w:rPr>
          <w:color w:val="000000"/>
          <w:spacing w:val="0"/>
          <w:w w:val="100"/>
          <w:position w:val="0"/>
        </w:rPr>
        <w:t>(2).</w:t>
      </w:r>
      <w:r>
        <w:rPr>
          <w:color w:val="000000"/>
          <w:spacing w:val="0"/>
          <w:w w:val="100"/>
          <w:position w:val="0"/>
        </w:rPr>
        <w:t>支付的其他与经营活动有关的现金</w:t>
      </w:r>
      <w:bookmarkEnd w:id="1710"/>
      <w:bookmarkEnd w:id="1711"/>
      <w:bookmarkEnd w:id="171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支付保函及信用证保证金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16,397,478.91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65,432,989.35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交通差旅费用支出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15,128,210.36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20,976,600.26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下拨的政府补助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12,872,000.00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12,301,168.66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12,211,313.75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8,707,078.17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6,350,782.35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办公室租赁费支出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7,245,283.79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8,612,543.49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3,259,686.59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1,882,782.63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134,876.37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719,198.00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5,243,691.88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2,588,995.52</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81,289,474.73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118,775,205.35</w:t>
            </w:r>
          </w:p>
        </w:tc>
      </w:tr>
    </w:tbl>
    <w:p>
      <w:pPr>
        <w:pStyle w:val="Style2"/>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支付的其他与经营活动有关的现金说明: 无。</w:t>
      </w:r>
    </w:p>
    <w:p>
      <w:pPr>
        <w:pStyle w:val="Style35"/>
        <w:keepNext/>
        <w:keepLines/>
        <w:widowControl w:val="0"/>
        <w:numPr>
          <w:ilvl w:val="0"/>
          <w:numId w:val="159"/>
        </w:numPr>
        <w:shd w:val="clear" w:color="auto" w:fill="auto"/>
        <w:bidi w:val="0"/>
        <w:spacing w:before="0" w:after="8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收到的其他与投资活动有关的现金</w:t>
      </w:r>
      <w:bookmarkEnd w:id="1713"/>
      <w:bookmarkEnd w:id="1714"/>
      <w:bookmarkEnd w:id="171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收回土地使用权出让竞买保证金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12,070,000.00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80" w:line="326" w:lineRule="exact"/>
        <w:ind w:left="0" w:right="0" w:firstLine="0"/>
        <w:jc w:val="left"/>
      </w:pPr>
      <w:r>
        <w:rPr>
          <w:color w:val="000000"/>
          <w:spacing w:val="0"/>
          <w:w w:val="100"/>
          <w:position w:val="0"/>
        </w:rPr>
        <w:t>收到的其他与投资活动有关的现金说明: 无。</w:t>
      </w:r>
      <w:r>
        <w:br w:type="page"/>
      </w:r>
    </w:p>
    <w:p>
      <w:pPr>
        <w:pStyle w:val="Style35"/>
        <w:keepNext/>
        <w:keepLines/>
        <w:widowControl w:val="0"/>
        <w:shd w:val="clear" w:color="auto" w:fill="auto"/>
        <w:tabs>
          <w:tab w:pos="430" w:val="left"/>
        </w:tabs>
        <w:bidi w:val="0"/>
        <w:spacing w:before="0" w:after="100" w:line="240" w:lineRule="auto"/>
        <w:ind w:left="0" w:right="0" w:firstLine="0"/>
        <w:jc w:val="both"/>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color w:val="000000"/>
          <w:spacing w:val="0"/>
          <w:w w:val="100"/>
          <w:position w:val="0"/>
        </w:rPr>
        <w:t>4）</w:t>
        <w:tab/>
        <w:t>.</w:t>
      </w:r>
      <w:r>
        <w:rPr>
          <w:color w:val="000000"/>
          <w:spacing w:val="0"/>
          <w:w w:val="100"/>
          <w:position w:val="0"/>
        </w:rPr>
        <w:t>支付的其他与投资活动有关的现金</w:t>
      </w:r>
      <w:bookmarkEnd w:id="1717"/>
      <w:bookmarkEnd w:id="1718"/>
      <w:bookmarkEnd w:id="1720"/>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0" w:val="left"/>
        </w:tabs>
        <w:bidi w:val="0"/>
        <w:spacing w:before="0" w:after="100" w:line="240" w:lineRule="auto"/>
        <w:ind w:left="0" w:right="0" w:firstLine="0"/>
        <w:jc w:val="both"/>
      </w:pPr>
      <w:bookmarkStart w:id="1721" w:name="bookmark1721"/>
      <w:r>
        <w:rPr>
          <w:b/>
          <w:bCs/>
          <w:color w:val="000000"/>
          <w:spacing w:val="0"/>
          <w:w w:val="100"/>
          <w:position w:val="0"/>
        </w:rPr>
        <w:t>（</w:t>
      </w:r>
      <w:bookmarkEnd w:id="1721"/>
      <w:r>
        <w:rPr>
          <w:b/>
          <w:bCs/>
          <w:color w:val="000000"/>
          <w:spacing w:val="0"/>
          <w:w w:val="100"/>
          <w:position w:val="0"/>
        </w:rPr>
        <w:t>5）</w:t>
        <w:tab/>
        <w:t>.</w:t>
      </w:r>
      <w:r>
        <w:rPr>
          <w:b/>
          <w:bCs/>
          <w:color w:val="000000"/>
          <w:spacing w:val="0"/>
          <w:w w:val="100"/>
          <w:position w:val="0"/>
        </w:rPr>
        <w:t>收到的其他与筹资活动有关的现金</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30" w:val="left"/>
        </w:tabs>
        <w:bidi w:val="0"/>
        <w:spacing w:before="0" w:after="100" w:line="240" w:lineRule="auto"/>
        <w:ind w:left="0" w:right="0" w:firstLine="0"/>
        <w:jc w:val="both"/>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color w:val="000000"/>
          <w:spacing w:val="0"/>
          <w:w w:val="100"/>
          <w:position w:val="0"/>
        </w:rPr>
        <w:t>6）</w:t>
        <w:tab/>
        <w:t>.</w:t>
      </w:r>
      <w:r>
        <w:rPr>
          <w:color w:val="000000"/>
          <w:spacing w:val="0"/>
          <w:w w:val="100"/>
          <w:position w:val="0"/>
        </w:rPr>
        <w:t>支付的其他与筹资活动有关的现金</w:t>
      </w:r>
      <w:bookmarkEnd w:id="1722"/>
      <w:bookmarkEnd w:id="1723"/>
      <w:bookmarkEnd w:id="1725"/>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发行中介费用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1,444,824.58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23,062,716.98</w:t>
            </w:r>
          </w:p>
        </w:tc>
      </w:tr>
      <w:tr>
        <w:trPr>
          <w:trHeight w:val="28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1,444,824.58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23,062,716.98</w:t>
            </w:r>
          </w:p>
        </w:tc>
      </w:tr>
    </w:tbl>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支付的其他与筹资活动有关的现金说明: 无。</w:t>
      </w:r>
    </w:p>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both"/>
      </w:pPr>
      <w:bookmarkStart w:id="1726" w:name="bookmark1726"/>
      <w:bookmarkStart w:id="1727" w:name="bookmark1727"/>
      <w:bookmarkStart w:id="1728" w:name="bookmark1728"/>
      <w:bookmarkStart w:id="1729" w:name="bookmark1729"/>
      <w:r>
        <w:rPr>
          <w:color w:val="000000"/>
          <w:spacing w:val="0"/>
          <w:w w:val="100"/>
          <w:position w:val="0"/>
        </w:rPr>
        <w:t>7</w:t>
      </w:r>
      <w:bookmarkEnd w:id="1728"/>
      <w:r>
        <w:rPr>
          <w:color w:val="000000"/>
          <w:spacing w:val="0"/>
          <w:w w:val="100"/>
          <w:position w:val="0"/>
        </w:rPr>
        <w:t>9、现金流量表补充资料</w:t>
      </w:r>
      <w:bookmarkEnd w:id="1726"/>
      <w:bookmarkEnd w:id="1727"/>
      <w:bookmarkEnd w:id="1729"/>
    </w:p>
    <w:p>
      <w:pPr>
        <w:pStyle w:val="Style35"/>
        <w:keepNext/>
        <w:keepLines/>
        <w:widowControl w:val="0"/>
        <w:shd w:val="clear" w:color="auto" w:fill="auto"/>
        <w:bidi w:val="0"/>
        <w:spacing w:before="0" w:after="100" w:line="240" w:lineRule="auto"/>
        <w:ind w:left="0" w:right="0" w:firstLine="0"/>
        <w:jc w:val="both"/>
      </w:pPr>
      <w:bookmarkStart w:id="1726" w:name="bookmark1726"/>
      <w:bookmarkStart w:id="1727" w:name="bookmark1727"/>
      <w:bookmarkStart w:id="1730" w:name="bookmark1730"/>
      <w:r>
        <w:rPr>
          <w:color w:val="000000"/>
          <w:spacing w:val="0"/>
          <w:w w:val="100"/>
          <w:position w:val="0"/>
        </w:rPr>
        <w:t>（1）.</w:t>
      </w:r>
      <w:r>
        <w:rPr>
          <w:color w:val="000000"/>
          <w:spacing w:val="0"/>
          <w:w w:val="100"/>
          <w:position w:val="0"/>
        </w:rPr>
        <w:t>现金流量表补充资料</w:t>
      </w:r>
      <w:bookmarkEnd w:id="1726"/>
      <w:bookmarkEnd w:id="1727"/>
      <w:bookmarkEnd w:id="1730"/>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492,306,518.50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188,582,806.72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16,986,044.49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49,673,147.49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189,697.64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29,556,920.83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17,269,961.55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48,382,339.93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10,511,507.96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5,885,197.16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5,003,280.88</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处置固定资产、无形资产和其他长 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2,234,720.02</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-257,464,331.96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-7,735,787.66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123,590,483.18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22,670,501.82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-8,820,020.35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-27,014,730.35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-1,553,792.50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6,329,976.78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18,310,357.10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109,804,652.42</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-17,385,822.98</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91,576,013.78</w:t>
            </w:r>
          </w:p>
        </w:tc>
      </w:tr>
    </w:tbl>
    <w:p>
      <w:pPr>
        <w:spacing w:lineRule="exact" w:line="1"/>
        <w:rPr>
          <w:sz w:val="2"/>
          <w:szCs w:val="2"/>
        </w:rPr>
      </w:pPr>
      <w:r>
        <w:br w:type="page"/>
      </w:r>
    </w:p>
    <w:tbl>
      <w:tblPr>
        <w:tblOverlap w:val="never"/>
        <w:jc w:val="center"/>
        <w:tblLayout w:type="fixed"/>
      </w:tblPr>
      <w:tblGrid>
        <w:gridCol w:w="3403"/>
        <w:gridCol w:w="2726"/>
        <w:gridCol w:w="2707"/>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293,616,759.44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-390,538,737.21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90,290,570.79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67,263,238.44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846,292,855.04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133,270,991.54</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1,113,426,614.20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828,619,907.81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828,619,907.81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652,472,585.79</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284,806,706.39</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176,147,322.02</w:t>
            </w:r>
          </w:p>
        </w:tc>
      </w:tr>
    </w:tbl>
    <w:p>
      <w:pPr>
        <w:widowControl w:val="0"/>
        <w:spacing w:after="459" w:line="1" w:lineRule="exact"/>
      </w:pPr>
    </w:p>
    <w:p>
      <w:pPr>
        <w:pStyle w:val="Style2"/>
        <w:keepNext w:val="0"/>
        <w:keepLines w:val="0"/>
        <w:widowControl w:val="0"/>
        <w:numPr>
          <w:ilvl w:val="0"/>
          <w:numId w:val="161"/>
        </w:numPr>
        <w:shd w:val="clear" w:color="auto" w:fill="auto"/>
        <w:tabs>
          <w:tab w:pos="440" w:val="left"/>
        </w:tabs>
        <w:bidi w:val="0"/>
        <w:spacing w:before="0" w:after="0" w:line="346" w:lineRule="exact"/>
        <w:ind w:left="0" w:right="0" w:firstLine="0"/>
        <w:jc w:val="left"/>
      </w:pPr>
      <w:bookmarkStart w:id="1731" w:name="bookmark1731"/>
      <w:bookmarkEnd w:id="1731"/>
      <w:r>
        <w:rPr>
          <w:b/>
          <w:bCs/>
          <w:color w:val="000000"/>
          <w:spacing w:val="0"/>
          <w:w w:val="100"/>
          <w:position w:val="0"/>
        </w:rPr>
        <w:t>,</w:t>
      </w:r>
      <w:r>
        <w:rPr>
          <w:b/>
          <w:bCs/>
          <w:color w:val="000000"/>
          <w:spacing w:val="0"/>
          <w:w w:val="100"/>
          <w:position w:val="0"/>
        </w:rPr>
        <w:t xml:space="preserve">本期支付的取得子公司的现金净额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430" w:val="left"/>
        </w:tabs>
        <w:bidi w:val="0"/>
        <w:spacing w:before="0" w:after="0" w:line="346" w:lineRule="exact"/>
        <w:ind w:left="0" w:right="0" w:firstLine="0"/>
        <w:jc w:val="left"/>
      </w:pPr>
      <w:bookmarkStart w:id="1732" w:name="bookmark1732"/>
      <w:bookmarkEnd w:id="1732"/>
      <w:r>
        <w:rPr>
          <w:b/>
          <w:bCs/>
          <w:color w:val="000000"/>
          <w:spacing w:val="0"/>
          <w:w w:val="100"/>
          <w:position w:val="0"/>
        </w:rPr>
        <w:t>,</w:t>
      </w:r>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430" w:val="left"/>
        </w:tabs>
        <w:bidi w:val="0"/>
        <w:spacing w:before="0" w:after="120" w:line="346" w:lineRule="exact"/>
        <w:ind w:left="0" w:right="0" w:firstLine="0"/>
        <w:jc w:val="left"/>
      </w:pPr>
      <w:bookmarkStart w:id="1733" w:name="bookmark1733"/>
      <w:bookmarkEnd w:id="1733"/>
      <w:r>
        <w:rPr>
          <w:b/>
          <w:bCs/>
          <w:color w:val="000000"/>
          <w:spacing w:val="0"/>
          <w:w w:val="100"/>
          <w:position w:val="0"/>
        </w:rPr>
        <w:t>.现金和现金等价物的构成</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846"/>
        <w:gridCol w:w="2674"/>
      </w:tblGrid>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1,113,426,614.20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828,619,907.81</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86,950.78</w:t>
            </w:r>
          </w:p>
        </w:tc>
      </w:tr>
      <w:tr>
        <w:trPr>
          <w:trHeight w:val="29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1,113,325,909.01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828,532,957.03</w:t>
            </w:r>
          </w:p>
        </w:tc>
      </w:tr>
      <w:tr>
        <w:trPr>
          <w:trHeight w:val="2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1,113,426,614.20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828,619,907.81</w:t>
            </w:r>
          </w:p>
        </w:tc>
      </w:tr>
    </w:tbl>
    <w:p>
      <w:pPr>
        <w:widowControl w:val="0"/>
        <w:spacing w:after="359" w:line="1" w:lineRule="exact"/>
      </w:pP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60" w:line="274" w:lineRule="exact"/>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8</w:t>
      </w:r>
      <w:bookmarkEnd w:id="1736"/>
      <w:r>
        <w:rPr>
          <w:color w:val="000000"/>
          <w:spacing w:val="0"/>
          <w:w w:val="100"/>
          <w:position w:val="0"/>
        </w:rPr>
        <w:t>0、</w:t>
        <w:tab/>
        <w:t>所有者权益变动表项目注释</w:t>
      </w:r>
      <w:bookmarkEnd w:id="1734"/>
      <w:bookmarkEnd w:id="1735"/>
      <w:bookmarkEnd w:id="1737"/>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说明对上年期末余额进行调整的“其他”项目名称及调整金额等事项: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504" w:val="left"/>
        </w:tabs>
        <w:bidi w:val="0"/>
        <w:spacing w:before="0" w:after="120" w:line="274" w:lineRule="exact"/>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8</w:t>
      </w:r>
      <w:bookmarkEnd w:id="1740"/>
      <w:r>
        <w:rPr>
          <w:color w:val="000000"/>
          <w:spacing w:val="0"/>
          <w:w w:val="100"/>
          <w:position w:val="0"/>
        </w:rPr>
        <w:t>1、</w:t>
        <w:tab/>
        <w:t>所有权或使用权受到限制的资产</w:t>
      </w:r>
      <w:bookmarkEnd w:id="1738"/>
      <w:bookmarkEnd w:id="1739"/>
      <w:bookmarkEnd w:id="1741"/>
    </w:p>
    <w:p>
      <w:pPr>
        <w:pStyle w:val="Style2"/>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22"/>
        <w:gridCol w:w="2880"/>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18,243,170.62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保函保证金及信用证保证金</w:t>
            </w: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18,243,170.62</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8</w:t>
      </w:r>
      <w:bookmarkEnd w:id="1744"/>
      <w:r>
        <w:rPr>
          <w:color w:val="000000"/>
          <w:spacing w:val="0"/>
          <w:w w:val="100"/>
          <w:position w:val="0"/>
        </w:rPr>
        <w:t>2、外币货币性项目</w:t>
      </w:r>
      <w:bookmarkEnd w:id="1742"/>
      <w:bookmarkEnd w:id="1743"/>
      <w:bookmarkEnd w:id="1745"/>
    </w:p>
    <w:p>
      <w:pPr>
        <w:pStyle w:val="Style35"/>
        <w:keepNext/>
        <w:keepLines/>
        <w:widowControl w:val="0"/>
        <w:shd w:val="clear" w:color="auto" w:fill="auto"/>
        <w:bidi w:val="0"/>
        <w:spacing w:before="0" w:after="100" w:line="240" w:lineRule="auto"/>
        <w:ind w:left="0" w:right="0" w:firstLine="0"/>
        <w:jc w:val="left"/>
      </w:pPr>
      <w:bookmarkStart w:id="1742" w:name="bookmark1742"/>
      <w:bookmarkStart w:id="1743" w:name="bookmark1743"/>
      <w:bookmarkStart w:id="1746" w:name="bookmark1746"/>
      <w:r>
        <w:rPr>
          <w:color w:val="000000"/>
          <w:spacing w:val="0"/>
          <w:w w:val="100"/>
          <w:position w:val="0"/>
        </w:rPr>
        <w:t>(1).</w:t>
      </w:r>
      <w:r>
        <w:rPr>
          <w:color w:val="000000"/>
          <w:spacing w:val="0"/>
          <w:w w:val="100"/>
          <w:position w:val="0"/>
        </w:rPr>
        <w:t>外币货币性项目</w:t>
      </w:r>
      <w:bookmarkEnd w:id="1742"/>
      <w:bookmarkEnd w:id="1743"/>
      <w:bookmarkEnd w:id="1746"/>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832"/>
        <w:gridCol w:w="1997"/>
        <w:gridCol w:w="2006"/>
        <w:gridCol w:w="2002"/>
      </w:tblGrid>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74,447,004.41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485,759,259.07</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19,525,112.00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4,540,564.80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2,962,806.54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493,262,630.41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40,146,984.12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261,955,056.68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19,574.70</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2,976,676.00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692,374.84</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711,949.54</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58,363,359.80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380,815,086.36</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116,670.00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0.2326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27,131.61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618,346.14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381,460,564.11</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311,693.79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2,033,770.81</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2,446,917.00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0.2326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569,030.55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1,077,200.28</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3,680,001.64</w:t>
            </w:r>
          </w:p>
        </w:tc>
      </w:tr>
    </w:tbl>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上述外币货币性项目指除人民币之外的所有货币。</w:t>
      </w:r>
    </w:p>
    <w:p>
      <w:pPr>
        <w:pStyle w:val="Style35"/>
        <w:keepNext/>
        <w:keepLines/>
        <w:widowControl w:val="0"/>
        <w:shd w:val="clear" w:color="auto" w:fill="auto"/>
        <w:bidi w:val="0"/>
        <w:spacing w:before="0" w:after="40" w:line="283" w:lineRule="exact"/>
        <w:ind w:left="440" w:right="0" w:hanging="440"/>
        <w:jc w:val="left"/>
      </w:pPr>
      <w:bookmarkStart w:id="1747" w:name="bookmark1747"/>
      <w:bookmarkStart w:id="1748" w:name="bookmark1748"/>
      <w:bookmarkStart w:id="1749" w:name="bookmark1749"/>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747"/>
      <w:bookmarkEnd w:id="1748"/>
      <w:bookmarkEnd w:id="1749"/>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83" w:lineRule="exact"/>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8</w:t>
      </w:r>
      <w:bookmarkEnd w:id="1752"/>
      <w:r>
        <w:rPr>
          <w:color w:val="000000"/>
          <w:spacing w:val="0"/>
          <w:w w:val="100"/>
          <w:position w:val="0"/>
        </w:rPr>
        <w:t>3、套期</w:t>
      </w:r>
      <w:bookmarkEnd w:id="1750"/>
      <w:bookmarkEnd w:id="1751"/>
      <w:bookmarkEnd w:id="1753"/>
    </w:p>
    <w:p>
      <w:pPr>
        <w:pStyle w:val="Style2"/>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84、政府补助</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政府补助基本情况</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69" w:hRule="exact"/>
        </w:trPr>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南昌高新开发区补贴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84,620,000.00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地市级财政补贴与扶持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18,708,654.60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18,708,654.60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747,540.00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747,540.00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2,061,482.02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2,061,482.02</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106,137,676.62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106,137,676.62</w:t>
            </w:r>
          </w:p>
        </w:tc>
      </w:tr>
    </w:tbl>
    <w:p>
      <w:pPr>
        <w:widowControl w:val="0"/>
        <w:spacing w:after="29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u w:val="single"/>
        </w:rPr>
        <w:t>递延收益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22"/>
        <w:gridCol w:w="1325"/>
        <w:gridCol w:w="1469"/>
        <w:gridCol w:w="1474"/>
        <w:gridCol w:w="1469"/>
        <w:gridCol w:w="1478"/>
      </w:tblGrid>
      <w:tr>
        <w:trPr>
          <w:trHeight w:val="79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本期新增政府补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本期计入损益金 额（冲减研发费 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pPr>
            <w:r>
              <w:rPr>
                <w:color w:val="000000"/>
                <w:spacing w:val="0"/>
                <w:w w:val="100"/>
                <w:position w:val="0"/>
              </w:rPr>
              <w:t>与资产相关/与 收益相关</w:t>
            </w: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刻蚀机相关项目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62,879,864.71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266,459,910.12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204,018,498.20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125,621,276.63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收益相关</w:t>
            </w: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MOCVD</w:t>
            </w:r>
            <w:r>
              <w:rPr>
                <w:color w:val="000000"/>
                <w:spacing w:val="0"/>
                <w:w w:val="100"/>
                <w:position w:val="0"/>
              </w:rPr>
              <w:t>相关项目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44,057,947.21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17,213,138.53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28,334,808.68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收益相关</w:t>
            </w:r>
          </w:p>
        </w:tc>
      </w:tr>
      <w:tr>
        <w:trPr>
          <w:trHeight w:val="26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5,030,000.00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收益相关</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刻蚀机相关项目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18,962,207.32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501,039.44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5,543,242.43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13,920,004.33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MOCVD</w:t>
            </w:r>
            <w:r>
              <w:rPr>
                <w:color w:val="000000"/>
                <w:spacing w:val="0"/>
                <w:w w:val="100"/>
                <w:position w:val="0"/>
              </w:rPr>
              <w:t>相关项目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474,073.57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354,104.44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119,969.13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17,632,103.23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12,872,000.00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4,760,103.23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资产相关</w:t>
            </w:r>
          </w:p>
        </w:tc>
      </w:tr>
      <w:tr>
        <w:trPr>
          <w:trHeight w:val="28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88,836,145.60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329,051,000.00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245,030,983.60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173,156,162.00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60" w:line="269" w:lineRule="exact"/>
        <w:ind w:left="0" w:right="0" w:firstLine="0"/>
        <w:jc w:val="left"/>
      </w:pPr>
      <w:bookmarkStart w:id="1754" w:name="bookmark1754"/>
      <w:bookmarkStart w:id="1755" w:name="bookmark1755"/>
      <w:bookmarkStart w:id="1756" w:name="bookmark1756"/>
      <w:r>
        <w:rPr>
          <w:color w:val="000000"/>
          <w:spacing w:val="0"/>
          <w:w w:val="100"/>
          <w:position w:val="0"/>
        </w:rPr>
        <w:t>（2）.</w:t>
      </w:r>
      <w:r>
        <w:rPr>
          <w:color w:val="000000"/>
          <w:spacing w:val="0"/>
          <w:w w:val="100"/>
          <w:position w:val="0"/>
        </w:rPr>
        <w:t>政府补助退回情况</w:t>
      </w:r>
      <w:bookmarkEnd w:id="1754"/>
      <w:bookmarkEnd w:id="1755"/>
      <w:bookmarkEnd w:id="1756"/>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60" w:line="269" w:lineRule="exact"/>
        <w:ind w:left="0" w:right="0" w:firstLine="0"/>
        <w:jc w:val="left"/>
      </w:pPr>
      <w:bookmarkStart w:id="1757" w:name="bookmark1757"/>
      <w:bookmarkStart w:id="1758" w:name="bookmark1758"/>
      <w:bookmarkStart w:id="1759" w:name="bookmark1759"/>
      <w:r>
        <w:rPr>
          <w:color w:val="000000"/>
          <w:spacing w:val="0"/>
          <w:w w:val="100"/>
          <w:position w:val="0"/>
        </w:rPr>
        <w:t>85、其他</w:t>
      </w:r>
      <w:bookmarkEnd w:id="1757"/>
      <w:bookmarkEnd w:id="1758"/>
      <w:bookmarkEnd w:id="1759"/>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60" w:line="269" w:lineRule="exact"/>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八</w:t>
      </w:r>
      <w:bookmarkEnd w:id="1762"/>
      <w:r>
        <w:rPr>
          <w:color w:val="000000"/>
          <w:spacing w:val="0"/>
          <w:w w:val="100"/>
          <w:position w:val="0"/>
        </w:rPr>
        <w:t>、合并范围的变更</w:t>
      </w:r>
      <w:bookmarkEnd w:id="1760"/>
      <w:bookmarkEnd w:id="1761"/>
      <w:bookmarkEnd w:id="1763"/>
    </w:p>
    <w:p>
      <w:pPr>
        <w:pStyle w:val="Style35"/>
        <w:keepNext/>
        <w:keepLines/>
        <w:widowControl w:val="0"/>
        <w:shd w:val="clear" w:color="auto" w:fill="auto"/>
        <w:tabs>
          <w:tab w:pos="419" w:val="left"/>
        </w:tabs>
        <w:bidi w:val="0"/>
        <w:spacing w:before="0" w:after="60" w:line="269" w:lineRule="exact"/>
        <w:ind w:left="0" w:right="0" w:firstLine="0"/>
        <w:jc w:val="left"/>
      </w:pPr>
      <w:bookmarkStart w:id="1760" w:name="bookmark1760"/>
      <w:bookmarkStart w:id="1761" w:name="bookmark1761"/>
      <w:bookmarkStart w:id="1764" w:name="bookmark1764"/>
      <w:bookmarkStart w:id="1765" w:name="bookmark1765"/>
      <w:r>
        <w:rPr>
          <w:color w:val="000000"/>
          <w:spacing w:val="0"/>
          <w:w w:val="100"/>
          <w:position w:val="0"/>
        </w:rPr>
        <w:t>1</w:t>
      </w:r>
      <w:bookmarkEnd w:id="1764"/>
      <w:r>
        <w:rPr>
          <w:color w:val="000000"/>
          <w:spacing w:val="0"/>
          <w:w w:val="100"/>
          <w:position w:val="0"/>
        </w:rPr>
        <w:t>、</w:t>
        <w:tab/>
        <w:t>非同一控制下企业合并</w:t>
      </w:r>
      <w:bookmarkEnd w:id="1760"/>
      <w:bookmarkEnd w:id="1761"/>
      <w:bookmarkEnd w:id="1765"/>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19" w:val="left"/>
        </w:tabs>
        <w:bidi w:val="0"/>
        <w:spacing w:before="0" w:after="60" w:line="269" w:lineRule="exact"/>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2</w:t>
      </w:r>
      <w:bookmarkEnd w:id="1768"/>
      <w:r>
        <w:rPr>
          <w:color w:val="000000"/>
          <w:spacing w:val="0"/>
          <w:w w:val="100"/>
          <w:position w:val="0"/>
        </w:rPr>
        <w:t>、</w:t>
        <w:tab/>
        <w:t>同一控制下企业合并</w:t>
      </w:r>
      <w:bookmarkEnd w:id="1766"/>
      <w:bookmarkEnd w:id="1767"/>
      <w:bookmarkEnd w:id="1769"/>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19" w:val="left"/>
        </w:tabs>
        <w:bidi w:val="0"/>
        <w:spacing w:before="0" w:after="60" w:line="269" w:lineRule="exact"/>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3</w:t>
      </w:r>
      <w:bookmarkEnd w:id="1772"/>
      <w:r>
        <w:rPr>
          <w:color w:val="000000"/>
          <w:spacing w:val="0"/>
          <w:w w:val="100"/>
          <w:position w:val="0"/>
        </w:rPr>
        <w:t>、</w:t>
        <w:tab/>
        <w:t>反向购买</w:t>
      </w:r>
      <w:bookmarkEnd w:id="1770"/>
      <w:bookmarkEnd w:id="1771"/>
      <w:bookmarkEnd w:id="1773"/>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19" w:val="left"/>
        </w:tabs>
        <w:bidi w:val="0"/>
        <w:spacing w:before="0" w:after="60" w:line="269" w:lineRule="exact"/>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4</w:t>
      </w:r>
      <w:bookmarkEnd w:id="1776"/>
      <w:r>
        <w:rPr>
          <w:color w:val="000000"/>
          <w:spacing w:val="0"/>
          <w:w w:val="100"/>
          <w:position w:val="0"/>
        </w:rPr>
        <w:t>、</w:t>
        <w:tab/>
        <w:t>处置子公司</w:t>
      </w:r>
      <w:bookmarkEnd w:id="1774"/>
      <w:bookmarkEnd w:id="1775"/>
      <w:bookmarkEnd w:id="1777"/>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是否存在单次处置对子公司投资即丧失控制权的情形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19" w:val="left"/>
        </w:tabs>
        <w:bidi w:val="0"/>
        <w:spacing w:before="0" w:after="60" w:line="269" w:lineRule="exact"/>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5</w:t>
      </w:r>
      <w:bookmarkEnd w:id="1780"/>
      <w:r>
        <w:rPr>
          <w:color w:val="000000"/>
          <w:spacing w:val="0"/>
          <w:w w:val="100"/>
          <w:position w:val="0"/>
        </w:rPr>
        <w:t>、</w:t>
        <w:tab/>
        <w:t>其他原因的合并范围变动</w:t>
      </w:r>
      <w:bookmarkEnd w:id="1778"/>
      <w:bookmarkEnd w:id="1779"/>
      <w:bookmarkEnd w:id="1781"/>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说明其他原因导致的合并范围变动（如，新设子公司、清算子公司等）及其相关情况: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19" w:val="left"/>
        </w:tabs>
        <w:bidi w:val="0"/>
        <w:spacing w:before="0" w:after="60" w:line="269" w:lineRule="exact"/>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6</w:t>
      </w:r>
      <w:bookmarkEnd w:id="1784"/>
      <w:r>
        <w:rPr>
          <w:color w:val="000000"/>
          <w:spacing w:val="0"/>
          <w:w w:val="100"/>
          <w:position w:val="0"/>
        </w:rPr>
        <w:t>、</w:t>
        <w:tab/>
        <w:t>其他</w:t>
      </w:r>
      <w:bookmarkEnd w:id="1782"/>
      <w:bookmarkEnd w:id="1783"/>
      <w:bookmarkEnd w:id="1785"/>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九、在其他主体中的权益</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1、在子公司中的权益</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1296"/>
        <w:gridCol w:w="1234"/>
        <w:gridCol w:w="1219"/>
        <w:gridCol w:w="1248"/>
        <w:gridCol w:w="1234"/>
        <w:gridCol w:w="1238"/>
        <w:gridCol w:w="1368"/>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直接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中微惠创科 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产品制造 及贸易销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中微半导体 设备</w:t>
            </w:r>
            <w:r>
              <w:rPr>
                <w:rFonts w:ascii="Times New Roman" w:eastAsia="Times New Roman" w:hAnsi="Times New Roman" w:cs="Times New Roman"/>
                <w:color w:val="000000"/>
                <w:spacing w:val="0"/>
                <w:w w:val="100"/>
                <w:position w:val="0"/>
              </w:rPr>
              <w:t>（</w:t>
            </w:r>
            <w:r>
              <w:rPr>
                <w:color w:val="000000"/>
                <w:spacing w:val="0"/>
                <w:w w:val="100"/>
                <w:position w:val="0"/>
              </w:rPr>
              <w:t>厦门</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产品制造 及贸易销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南昌中微半 导体设备有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both"/>
            </w:pPr>
            <w:r>
              <w:rPr>
                <w:color w:val="000000"/>
                <w:spacing w:val="0"/>
                <w:w w:val="100"/>
                <w:position w:val="0"/>
              </w:rPr>
              <w:t>产品制造 及贸易销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中微汇链科 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中微半导体 </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产品制造 及贸易销 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45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rPr>
              <w:t>Advanced</w:t>
            </w:r>
          </w:p>
          <w:p>
            <w:pPr>
              <w:pStyle w:val="Style25"/>
              <w:keepNext w:val="0"/>
              <w:keepLines w:val="0"/>
              <w:widowControl w:val="0"/>
              <w:shd w:val="clear" w:color="auto" w:fill="auto"/>
              <w:bidi w:val="0"/>
              <w:spacing w:before="0" w:after="0" w:line="252" w:lineRule="auto"/>
              <w:ind w:left="0" w:right="0" w:firstLine="0"/>
              <w:jc w:val="left"/>
            </w:pPr>
            <w:r>
              <w:rPr>
                <w:rFonts w:ascii="Times New Roman" w:eastAsia="Times New Roman" w:hAnsi="Times New Roman" w:cs="Times New Roman"/>
                <w:color w:val="000000"/>
                <w:spacing w:val="0"/>
                <w:w w:val="100"/>
                <w:position w:val="0"/>
              </w:rPr>
              <w:t>Micro</w:t>
              <w:softHyphen/>
              <w:t>Fabrication Equipment International Pte. Ltd.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贸易销售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73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Japan Co.,</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rPr>
              <w:t>AMEC North America, Inc.</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22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rPr>
              <w:t>Advanced</w:t>
            </w:r>
          </w:p>
          <w:p>
            <w:pPr>
              <w:pStyle w:val="Style25"/>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rPr>
              <w:t>Micro</w:t>
              <w:softHyphen/>
              <w:t>Fabrication Equipment Korea Ltd.</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在子公司的持股比例不同于表决权比例的说明: 不适用。</w:t>
      </w:r>
    </w:p>
    <w:p>
      <w:pPr>
        <w:widowControl w:val="0"/>
        <w:spacing w:after="179" w:line="1" w:lineRule="exact"/>
      </w:pP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不适用。</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确定公司是代理人还是委托人的依据: 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日以现金人民币</w:t>
      </w:r>
      <w:r>
        <w:rPr>
          <w:rFonts w:ascii="Times New Roman" w:eastAsia="Times New Roman" w:hAnsi="Times New Roman" w:cs="Times New Roman"/>
          <w:color w:val="000000"/>
          <w:spacing w:val="0"/>
          <w:w w:val="100"/>
          <w:position w:val="0"/>
        </w:rPr>
        <w:t>185,000,000.00</w:t>
      </w:r>
      <w:r>
        <w:rPr>
          <w:color w:val="000000"/>
          <w:spacing w:val="0"/>
          <w:w w:val="100"/>
          <w:position w:val="0"/>
        </w:rPr>
        <w:t xml:space="preserve">元出资设立了全资子公司中微半导体 </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p>
      <w:pPr>
        <w:pStyle w:val="Style35"/>
        <w:keepNext/>
        <w:keepLines/>
        <w:widowControl w:val="0"/>
        <w:shd w:val="clear" w:color="auto" w:fill="auto"/>
        <w:bidi w:val="0"/>
        <w:spacing w:before="0" w:after="100" w:line="283" w:lineRule="exact"/>
        <w:ind w:left="0" w:right="0" w:firstLine="0"/>
        <w:jc w:val="left"/>
      </w:pPr>
      <w:bookmarkStart w:id="1786" w:name="bookmark1786"/>
      <w:bookmarkStart w:id="1787" w:name="bookmark1787"/>
      <w:bookmarkStart w:id="1788" w:name="bookmark1788"/>
      <w:r>
        <w:rPr>
          <w:color w:val="000000"/>
          <w:spacing w:val="0"/>
          <w:w w:val="100"/>
          <w:position w:val="0"/>
        </w:rPr>
        <w:t>(2).</w:t>
      </w:r>
      <w:r>
        <w:rPr>
          <w:color w:val="000000"/>
          <w:spacing w:val="0"/>
          <w:w w:val="100"/>
          <w:position w:val="0"/>
        </w:rPr>
        <w:t>重要的非全资子公司</w:t>
      </w:r>
      <w:bookmarkEnd w:id="1786"/>
      <w:bookmarkEnd w:id="1787"/>
      <w:bookmarkEnd w:id="1788"/>
    </w:p>
    <w:p>
      <w:pPr>
        <w:pStyle w:val="Style2"/>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中微汇链科技 </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 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107,357.19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249,289.65</w:t>
            </w:r>
          </w:p>
        </w:tc>
      </w:tr>
    </w:tbl>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子公司少数股东的持股比例不同于表决权比例的说明: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w:t>
      </w:r>
      <w:r>
        <w:rPr>
          <w:color w:val="000000"/>
          <w:spacing w:val="0"/>
          <w:w w:val="100"/>
          <w:position w:val="0"/>
        </w:rPr>
        <w:t>重要非全资子公司的主要财务信息</w:t>
      </w:r>
      <w:bookmarkEnd w:id="1789"/>
      <w:bookmarkEnd w:id="1790"/>
      <w:bookmarkEnd w:id="179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100" w:line="240" w:lineRule="auto"/>
        <w:ind w:left="0" w:right="0" w:firstLine="0"/>
        <w:jc w:val="left"/>
      </w:pPr>
      <w:bookmarkStart w:id="1793" w:name="bookmark1793"/>
      <w:bookmarkEnd w:id="1793"/>
      <w:r>
        <w:rPr>
          <w:b/>
          <w:bCs/>
          <w:color w:val="000000"/>
          <w:spacing w:val="0"/>
          <w:w w:val="100"/>
          <w:position w:val="0"/>
        </w:rPr>
        <w:t>.</w:t>
      </w:r>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100" w:line="240" w:lineRule="auto"/>
        <w:ind w:left="0" w:right="0" w:firstLine="0"/>
        <w:jc w:val="left"/>
      </w:pPr>
      <w:bookmarkStart w:id="1794" w:name="bookmark1794"/>
      <w:bookmarkEnd w:id="1794"/>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10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2</w:t>
      </w:r>
      <w:bookmarkEnd w:id="1797"/>
      <w:r>
        <w:rPr>
          <w:color w:val="000000"/>
          <w:spacing w:val="0"/>
          <w:w w:val="100"/>
          <w:position w:val="0"/>
        </w:rPr>
        <w:t>、</w:t>
        <w:tab/>
        <w:t>在子公司的所有者权益份额发生变化且仍控制子公司的交易</w:t>
      </w:r>
      <w:bookmarkEnd w:id="1795"/>
      <w:bookmarkEnd w:id="1796"/>
      <w:bookmarkEnd w:id="179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10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3</w:t>
      </w:r>
      <w:bookmarkEnd w:id="1801"/>
      <w:r>
        <w:rPr>
          <w:color w:val="000000"/>
          <w:spacing w:val="0"/>
          <w:w w:val="100"/>
          <w:position w:val="0"/>
        </w:rPr>
        <w:t>、</w:t>
        <w:tab/>
        <w:t>在合营企业或联营企业中的权益</w:t>
      </w:r>
      <w:bookmarkEnd w:id="1799"/>
      <w:bookmarkEnd w:id="1800"/>
      <w:bookmarkEnd w:id="1802"/>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803" w:name="bookmark1803"/>
      <w:bookmarkEnd w:id="1803"/>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804" w:name="bookmark1804"/>
      <w:bookmarkEnd w:id="1804"/>
      <w:r>
        <w:rPr>
          <w:b/>
          <w:bCs/>
          <w:color w:val="000000"/>
          <w:spacing w:val="0"/>
          <w:w w:val="100"/>
          <w:position w:val="0"/>
        </w:rPr>
        <w:t>.</w:t>
      </w:r>
      <w:r>
        <w:rPr>
          <w:b/>
          <w:bCs/>
          <w:color w:val="000000"/>
          <w:spacing w:val="0"/>
          <w:w w:val="100"/>
          <w:position w:val="0"/>
        </w:rPr>
        <w:t>重要合营企业的主要财务信息</w:t>
      </w:r>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805" w:name="bookmark1805"/>
      <w:bookmarkEnd w:id="1805"/>
      <w:r>
        <w:rPr>
          <w:b/>
          <w:bCs/>
          <w:color w:val="000000"/>
          <w:spacing w:val="0"/>
          <w:w w:val="100"/>
          <w:position w:val="0"/>
        </w:rPr>
        <w:t>.</w:t>
      </w:r>
      <w:r>
        <w:rPr>
          <w:b/>
          <w:bCs/>
          <w:color w:val="000000"/>
          <w:spacing w:val="0"/>
          <w:w w:val="100"/>
          <w:position w:val="0"/>
        </w:rPr>
        <w:t>重要联营企业的主要财务信息</w:t>
      </w:r>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806" w:name="bookmark1806"/>
      <w:bookmarkEnd w:id="1806"/>
      <w:r>
        <w:rPr>
          <w:b/>
          <w:bCs/>
          <w:color w:val="000000"/>
          <w:spacing w:val="0"/>
          <w:w w:val="100"/>
          <w:position w:val="0"/>
        </w:rPr>
        <w:t>.不重要的合营企业和联营企业的汇总财务信息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424,269,937.29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168,929,494.97</w:t>
            </w:r>
          </w:p>
        </w:tc>
      </w:tr>
      <w:tr>
        <w:trPr>
          <w:trHeight w:val="283" w:hRule="exact"/>
        </w:trPr>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-17,348,516.45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-12,566,282.74</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2837"/>
        <w:gridCol w:w="2995"/>
        <w:gridCol w:w="3005"/>
      </w:tblGrid>
      <w:tr>
        <w:trPr>
          <w:trHeight w:val="2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-17,648,711.93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-12,566,282.74</w:t>
            </w:r>
          </w:p>
        </w:tc>
      </w:tr>
    </w:tbl>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64" w:lineRule="exact"/>
        <w:ind w:left="0" w:right="0" w:firstLine="440"/>
        <w:jc w:val="both"/>
      </w:pPr>
      <w:r>
        <w:rPr>
          <w:color w:val="000000"/>
          <w:spacing w:val="0"/>
          <w:w w:val="100"/>
          <w:position w:val="0"/>
        </w:rPr>
        <w:t>净利润和其他综合收益均已考虑取得投资时可辨认资产和负债的公允价值以及统一会计政策 的调整影响。</w:t>
      </w:r>
    </w:p>
    <w:p>
      <w:pPr>
        <w:pStyle w:val="Style35"/>
        <w:keepNext/>
        <w:keepLines/>
        <w:widowControl w:val="0"/>
        <w:numPr>
          <w:ilvl w:val="0"/>
          <w:numId w:val="165"/>
        </w:numPr>
        <w:shd w:val="clear" w:color="auto" w:fill="auto"/>
        <w:tabs>
          <w:tab w:pos="430" w:val="left"/>
        </w:tabs>
        <w:bidi w:val="0"/>
        <w:spacing w:before="0" w:after="40" w:line="272" w:lineRule="exact"/>
        <w:ind w:left="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w:t>
      </w:r>
      <w:r>
        <w:rPr>
          <w:color w:val="000000"/>
          <w:spacing w:val="0"/>
          <w:w w:val="100"/>
          <w:position w:val="0"/>
        </w:rPr>
        <w:t>合营企业或联营企业向本公司转移资金的能力存在重大限制的说明</w:t>
      </w:r>
      <w:bookmarkEnd w:id="1807"/>
      <w:bookmarkEnd w:id="1808"/>
      <w:bookmarkEnd w:id="1810"/>
    </w:p>
    <w:p>
      <w:pPr>
        <w:pStyle w:val="Style2"/>
        <w:keepNext w:val="0"/>
        <w:keepLines w:val="0"/>
        <w:widowControl w:val="0"/>
        <w:shd w:val="clear" w:color="auto" w:fill="auto"/>
        <w:tabs>
          <w:tab w:pos="854" w:val="left"/>
        </w:tabs>
        <w:bidi w:val="0"/>
        <w:spacing w:before="0" w:after="40" w:line="27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30" w:val="left"/>
        </w:tabs>
        <w:bidi w:val="0"/>
        <w:spacing w:before="0" w:after="40" w:line="272" w:lineRule="exact"/>
        <w:ind w:left="0" w:right="0" w:firstLine="0"/>
        <w:jc w:val="left"/>
      </w:pPr>
      <w:bookmarkStart w:id="1811" w:name="bookmark1811"/>
      <w:bookmarkEnd w:id="1811"/>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tabs>
          <w:tab w:pos="854" w:val="left"/>
        </w:tabs>
        <w:bidi w:val="0"/>
        <w:spacing w:before="0" w:after="40" w:line="27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30" w:val="left"/>
        </w:tabs>
        <w:bidi w:val="0"/>
        <w:spacing w:before="0" w:after="40" w:line="272" w:lineRule="exact"/>
        <w:ind w:left="0" w:right="0" w:firstLine="0"/>
        <w:jc w:val="left"/>
      </w:pPr>
      <w:bookmarkStart w:id="1812" w:name="bookmark1812"/>
      <w:bookmarkEnd w:id="1812"/>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tabs>
          <w:tab w:pos="854" w:val="left"/>
        </w:tabs>
        <w:bidi w:val="0"/>
        <w:spacing w:before="0" w:after="40" w:line="27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30" w:val="left"/>
        </w:tabs>
        <w:bidi w:val="0"/>
        <w:spacing w:before="0" w:after="40" w:line="272" w:lineRule="exact"/>
        <w:ind w:left="0" w:right="0" w:firstLine="0"/>
        <w:jc w:val="left"/>
      </w:pPr>
      <w:bookmarkStart w:id="1813" w:name="bookmark1813"/>
      <w:bookmarkEnd w:id="1813"/>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tabs>
          <w:tab w:pos="854" w:val="left"/>
        </w:tabs>
        <w:bidi w:val="0"/>
        <w:spacing w:before="0" w:after="40" w:line="27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40" w:line="272" w:lineRule="exact"/>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4</w:t>
      </w:r>
      <w:bookmarkEnd w:id="1816"/>
      <w:r>
        <w:rPr>
          <w:color w:val="000000"/>
          <w:spacing w:val="0"/>
          <w:w w:val="100"/>
          <w:position w:val="0"/>
        </w:rPr>
        <w:t>、</w:t>
        <w:tab/>
        <w:t>重要的共同经营</w:t>
      </w:r>
      <w:bookmarkEnd w:id="1814"/>
      <w:bookmarkEnd w:id="1815"/>
      <w:bookmarkEnd w:id="1817"/>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40" w:line="272" w:lineRule="exact"/>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5</w:t>
      </w:r>
      <w:bookmarkEnd w:id="1820"/>
      <w:r>
        <w:rPr>
          <w:color w:val="000000"/>
          <w:spacing w:val="0"/>
          <w:w w:val="100"/>
          <w:position w:val="0"/>
        </w:rPr>
        <w:t>、</w:t>
        <w:tab/>
        <w:t>在未纳入合并财务报表范围的结构化主体中的权益</w:t>
      </w:r>
      <w:bookmarkEnd w:id="1818"/>
      <w:bookmarkEnd w:id="1819"/>
      <w:bookmarkEnd w:id="1821"/>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未纳入合并财务报表范围的结构化主体的相关说明：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378" w:val="left"/>
        </w:tabs>
        <w:bidi w:val="0"/>
        <w:spacing w:before="0" w:after="40" w:line="272" w:lineRule="exact"/>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6</w:t>
      </w:r>
      <w:bookmarkEnd w:id="1824"/>
      <w:r>
        <w:rPr>
          <w:color w:val="000000"/>
          <w:spacing w:val="0"/>
          <w:w w:val="100"/>
          <w:position w:val="0"/>
        </w:rPr>
        <w:t>、</w:t>
        <w:tab/>
        <w:t>其他</w:t>
      </w:r>
      <w:bookmarkEnd w:id="1822"/>
      <w:bookmarkEnd w:id="1823"/>
      <w:bookmarkEnd w:id="1825"/>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72" w:lineRule="exact"/>
        <w:ind w:left="0" w:right="0" w:firstLine="0"/>
        <w:jc w:val="left"/>
      </w:pPr>
      <w:bookmarkStart w:id="1826" w:name="bookmark1826"/>
      <w:bookmarkStart w:id="1827" w:name="bookmark1827"/>
      <w:bookmarkStart w:id="1828" w:name="bookmark1828"/>
      <w:r>
        <w:rPr>
          <w:color w:val="000000"/>
          <w:spacing w:val="0"/>
          <w:w w:val="100"/>
          <w:position w:val="0"/>
        </w:rPr>
        <w:t>十、与金融工具相关的风险</w:t>
      </w:r>
      <w:bookmarkEnd w:id="1826"/>
      <w:bookmarkEnd w:id="1827"/>
      <w:bookmarkEnd w:id="1828"/>
    </w:p>
    <w:p>
      <w:pPr>
        <w:pStyle w:val="Style2"/>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276" w:lineRule="exact"/>
        <w:ind w:left="0" w:right="0" w:firstLine="440"/>
        <w:jc w:val="both"/>
      </w:pPr>
      <w:r>
        <w:rPr>
          <w:color w:val="000000"/>
          <w:spacing w:val="0"/>
          <w:w w:val="100"/>
          <w:position w:val="0"/>
        </w:rPr>
        <w:t>本集团的经营活动会面临各种金融风险：主要包括市场风险</w:t>
      </w:r>
      <w:r>
        <w:rPr>
          <w:rFonts w:ascii="Times New Roman" w:eastAsia="Times New Roman" w:hAnsi="Times New Roman" w:cs="Times New Roman"/>
          <w:color w:val="000000"/>
          <w:spacing w:val="0"/>
          <w:w w:val="100"/>
          <w:position w:val="0"/>
        </w:rPr>
        <w:t>(</w:t>
      </w:r>
      <w:r>
        <w:rPr>
          <w:color w:val="000000"/>
          <w:spacing w:val="0"/>
          <w:w w:val="100"/>
          <w:position w:val="0"/>
        </w:rPr>
        <w:t>主要为外汇风险、利率风险和 其他价格风险</w:t>
      </w:r>
      <w:r>
        <w:rPr>
          <w:rFonts w:ascii="Times New Roman" w:eastAsia="Times New Roman" w:hAnsi="Times New Roman" w:cs="Times New Roman"/>
          <w:color w:val="000000"/>
          <w:spacing w:val="0"/>
          <w:w w:val="100"/>
          <w:position w:val="0"/>
        </w:rPr>
        <w:t>)</w:t>
      </w:r>
      <w:r>
        <w:rPr>
          <w:color w:val="000000"/>
          <w:spacing w:val="0"/>
          <w:w w:val="100"/>
          <w:position w:val="0"/>
        </w:rPr>
        <w:t>、信用风险和流动性风险。上述金融风险以及本集团为降低这些风险所采取的风 险管理政策如下所述：</w:t>
      </w:r>
    </w:p>
    <w:p>
      <w:pPr>
        <w:pStyle w:val="Style2"/>
        <w:keepNext w:val="0"/>
        <w:keepLines w:val="0"/>
        <w:widowControl w:val="0"/>
        <w:shd w:val="clear" w:color="auto" w:fill="auto"/>
        <w:bidi w:val="0"/>
        <w:spacing w:before="0" w:after="220" w:line="272" w:lineRule="exact"/>
        <w:ind w:left="0" w:right="0" w:firstLine="440"/>
        <w:jc w:val="both"/>
      </w:pPr>
      <w:r>
        <w:rPr>
          <w:color w:val="000000"/>
          <w:spacing w:val="0"/>
          <w:w w:val="100"/>
          <w:position w:val="0"/>
        </w:rPr>
        <w:t>董事会负责规划并建立本集团的风险管理架构，制定本集团的风险管理政策和相关指引并监 督风险管理措施的执行情况。本集团己制定风险管理政策以识别和分析本集团所面临的风险，这 些风险管理政策对特定风险进行了明确规定，涵盖了市场风险、信用风险和流动性风险管理等诸 多方面。本集团定期评估市场环境及本集团经营活动的变化以决定是否对风险管理政策及系统进 行更新。本集团内部审计部门就风险管理控制及程序进行定期的审核，并将审核结果上报本集 团的审计委员会。</w:t>
      </w:r>
    </w:p>
    <w:p>
      <w:pPr>
        <w:pStyle w:val="Style2"/>
        <w:keepNext w:val="0"/>
        <w:keepLines w:val="0"/>
        <w:widowControl w:val="0"/>
        <w:shd w:val="clear" w:color="auto" w:fill="auto"/>
        <w:bidi w:val="0"/>
        <w:spacing w:before="0" w:after="220" w:line="27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外汇风险</w:t>
      </w:r>
    </w:p>
    <w:p>
      <w:pPr>
        <w:pStyle w:val="Style2"/>
        <w:keepNext w:val="0"/>
        <w:keepLines w:val="0"/>
        <w:widowControl w:val="0"/>
        <w:shd w:val="clear" w:color="auto" w:fill="auto"/>
        <w:bidi w:val="0"/>
        <w:spacing w:before="0" w:after="220" w:line="269" w:lineRule="exact"/>
        <w:ind w:left="0" w:right="0" w:firstLine="440"/>
        <w:jc w:val="both"/>
      </w:pPr>
      <w:r>
        <w:rPr>
          <w:color w:val="000000"/>
          <w:spacing w:val="0"/>
          <w:w w:val="100"/>
          <w:position w:val="0"/>
        </w:rPr>
        <w:t>本集团的主要经营位于中国境内，主要业务以人民币结算。本集团已确认的外币资产和负债 及未来的外币交易</w:t>
      </w:r>
      <w:r>
        <w:rPr>
          <w:rFonts w:ascii="Times New Roman" w:eastAsia="Times New Roman" w:hAnsi="Times New Roman" w:cs="Times New Roman"/>
          <w:color w:val="000000"/>
          <w:spacing w:val="0"/>
          <w:w w:val="100"/>
          <w:position w:val="0"/>
        </w:rPr>
        <w:t>(</w:t>
      </w:r>
      <w:r>
        <w:rPr>
          <w:color w:val="000000"/>
          <w:spacing w:val="0"/>
          <w:w w:val="100"/>
          <w:position w:val="0"/>
        </w:rPr>
        <w:t>外币资产和负债及外币交易的计价货币主要为美元</w:t>
      </w:r>
      <w:r>
        <w:rPr>
          <w:rFonts w:ascii="Times New Roman" w:eastAsia="Times New Roman" w:hAnsi="Times New Roman" w:cs="Times New Roman"/>
          <w:color w:val="000000"/>
          <w:spacing w:val="0"/>
          <w:w w:val="100"/>
          <w:position w:val="0"/>
        </w:rPr>
        <w:t>)</w:t>
      </w:r>
      <w:r>
        <w:rPr>
          <w:color w:val="000000"/>
          <w:spacing w:val="0"/>
          <w:w w:val="100"/>
          <w:position w:val="0"/>
        </w:rPr>
        <w:t xml:space="preserve">存在外汇风险。本集团总 部财务部门负责监控集团外币交易和外币资产及负债的规模，以最大程度降低面临的外汇风险； 为此，本集团可能会以签署远期外汇合约或货币互换合约的方式来达到规避外汇风险的目的。于 </w:t>
      </w: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2019</w:t>
      </w:r>
      <w:r>
        <w:rPr>
          <w:color w:val="000000"/>
          <w:spacing w:val="0"/>
          <w:w w:val="100"/>
          <w:position w:val="0"/>
        </w:rPr>
        <w:t>年度，本集团未签署任何远期外汇合约或货币互换合约。</w:t>
      </w:r>
    </w:p>
    <w:p>
      <w:pPr>
        <w:pStyle w:val="Style2"/>
        <w:keepNext w:val="0"/>
        <w:keepLines w:val="0"/>
        <w:widowControl w:val="0"/>
        <w:shd w:val="clear" w:color="auto" w:fill="auto"/>
        <w:bidi w:val="0"/>
        <w:spacing w:before="0" w:after="40" w:line="288"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日，本集团内记账本位币为人民币的公司持有的外 币金融资产和外币金融负债折算成人民币的金额列示如下：</w:t>
      </w:r>
    </w:p>
    <w:p>
      <w:pPr>
        <w:pStyle w:val="Style58"/>
        <w:keepNext w:val="0"/>
        <w:keepLines w:val="0"/>
        <w:widowControl w:val="0"/>
        <w:shd w:val="clear" w:color="auto" w:fill="auto"/>
        <w:bidi w:val="0"/>
        <w:spacing w:before="0" w:after="0" w:line="30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center"/>
        <w:tblLayout w:type="fixed"/>
      </w:tblPr>
      <w:tblGrid>
        <w:gridCol w:w="2213"/>
        <w:gridCol w:w="2203"/>
        <w:gridCol w:w="2208"/>
        <w:gridCol w:w="2213"/>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美元项目</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其他外币项目</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bl>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408,844,238.92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408,844,243.17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156,398,938.39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156,398,938.39</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565,243,177.31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565,243,181.56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380,712,840.07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611,451.24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381,324,291.31</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380,712,840.07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611,451.24</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381,324,291.31</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其他外币项目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181,377,280.28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181,378,805.96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71,210,439.94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71,210,439.94</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252,587,720.22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252,589,245.90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187,914,531.01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366,873.80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188,281,404.81</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187,914,531.01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366,873.80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188,281,404.81</w:t>
            </w:r>
          </w:p>
        </w:tc>
      </w:tr>
    </w:tbl>
    <w:p>
      <w:pPr>
        <w:widowControl w:val="0"/>
        <w:spacing w:after="219" w:line="1" w:lineRule="exact"/>
      </w:pPr>
    </w:p>
    <w:p>
      <w:pPr>
        <w:pStyle w:val="Style2"/>
        <w:keepNext w:val="0"/>
        <w:keepLines w:val="0"/>
        <w:widowControl w:val="0"/>
        <w:shd w:val="clear" w:color="auto" w:fill="auto"/>
        <w:bidi w:val="0"/>
        <w:spacing w:before="0" w:after="220" w:line="274"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日，对于记账本位币为人民币的公司各类美元金融资产和美元金融负 债，如果人民币对外币升值或贬值</w:t>
      </w:r>
      <w:r>
        <w:rPr>
          <w:rFonts w:ascii="Times New Roman" w:eastAsia="Times New Roman" w:hAnsi="Times New Roman" w:cs="Times New Roman"/>
          <w:color w:val="000000"/>
          <w:spacing w:val="0"/>
          <w:w w:val="100"/>
          <w:position w:val="0"/>
        </w:rPr>
        <w:t>10%</w:t>
      </w:r>
      <w:r>
        <w:rPr>
          <w:color w:val="000000"/>
          <w:spacing w:val="0"/>
          <w:w w:val="100"/>
          <w:position w:val="0"/>
        </w:rPr>
        <w:t xml:space="preserve">，其他因素保持不变贝悻集团将减少或增加利润总额 约 </w:t>
      </w:r>
      <w:r>
        <w:rPr>
          <w:rFonts w:ascii="Times New Roman" w:eastAsia="Times New Roman" w:hAnsi="Times New Roman" w:cs="Times New Roman"/>
          <w:color w:val="000000"/>
          <w:spacing w:val="0"/>
          <w:w w:val="100"/>
          <w:position w:val="0"/>
        </w:rPr>
        <w:t xml:space="preserve">18,453,033.72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日：约 </w:t>
      </w:r>
      <w:r>
        <w:rPr>
          <w:rFonts w:ascii="Times New Roman" w:eastAsia="Times New Roman" w:hAnsi="Times New Roman" w:cs="Times New Roman"/>
          <w:color w:val="000000"/>
          <w:spacing w:val="0"/>
          <w:w w:val="100"/>
          <w:position w:val="0"/>
        </w:rPr>
        <w:t xml:space="preserve">6,467,318.92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利率风险</w:t>
      </w:r>
    </w:p>
    <w:p>
      <w:pPr>
        <w:pStyle w:val="Style2"/>
        <w:keepNext w:val="0"/>
        <w:keepLines w:val="0"/>
        <w:widowControl w:val="0"/>
        <w:shd w:val="clear" w:color="auto" w:fill="auto"/>
        <w:bidi w:val="0"/>
        <w:spacing w:before="0" w:after="220" w:line="269" w:lineRule="exact"/>
        <w:ind w:left="0" w:right="0" w:firstLine="440"/>
        <w:jc w:val="both"/>
      </w:pPr>
      <w:r>
        <w:rPr>
          <w:color w:val="000000"/>
          <w:spacing w:val="0"/>
          <w:w w:val="100"/>
          <w:position w:val="0"/>
        </w:rPr>
        <w:t>本集团的利率风险主要产生于长期银行借款等长期带息债务，短期借款为固定利率合同。浮 动利率的金融负债使本集团面临现金流量利率风险，固定利率的金融负债使本集团面临公允价值 利率风险。本集团根据当时的市场环境来决定固定利率及浮动利率合同的相对比例。于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日，本集团无长期带息债务。</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r>
        <w:rPr>
          <w:color w:val="000000"/>
          <w:spacing w:val="0"/>
          <w:w w:val="100"/>
          <w:position w:val="0"/>
        </w:rPr>
        <w:t>）</w:t>
      </w:r>
    </w:p>
    <w:p>
      <w:pPr>
        <w:pStyle w:val="Style2"/>
        <w:keepNext w:val="0"/>
        <w:keepLines w:val="0"/>
        <w:widowControl w:val="0"/>
        <w:shd w:val="clear" w:color="auto" w:fill="auto"/>
        <w:bidi w:val="0"/>
        <w:spacing w:before="0" w:after="300" w:line="267" w:lineRule="exact"/>
        <w:ind w:left="0" w:right="0" w:firstLine="440"/>
        <w:jc w:val="both"/>
      </w:pPr>
      <w:r>
        <w:rPr>
          <w:color w:val="000000"/>
          <w:spacing w:val="0"/>
          <w:w w:val="100"/>
          <w:position w:val="0"/>
        </w:rPr>
        <w:t>本集团总部财务部门持续监控集团利率水平。利率上升会增加新增带息债务的成本以及本集 团尚未付清的以浮动利率计息的带息债务的利息支出，并对本集团的财务业绩产生重大的不利影 响，管理层会依据最新的市场状况及时做出调整，这些调整可能是进行利率互换的安排来降低利 率风险。于</w:t>
      </w: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2019</w:t>
      </w:r>
      <w:r>
        <w:rPr>
          <w:color w:val="000000"/>
          <w:spacing w:val="0"/>
          <w:w w:val="100"/>
          <w:position w:val="0"/>
        </w:rPr>
        <w:t>年度，本集团并无利率互换安排。</w:t>
      </w:r>
    </w:p>
    <w:p>
      <w:pPr>
        <w:pStyle w:val="Style2"/>
        <w:keepNext w:val="0"/>
        <w:keepLines w:val="0"/>
        <w:widowControl w:val="0"/>
        <w:shd w:val="clear" w:color="auto" w:fill="auto"/>
        <w:bidi w:val="0"/>
        <w:spacing w:before="0" w:after="220" w:line="283"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信用风险</w:t>
      </w:r>
    </w:p>
    <w:p>
      <w:pPr>
        <w:pStyle w:val="Style2"/>
        <w:keepNext w:val="0"/>
        <w:keepLines w:val="0"/>
        <w:widowControl w:val="0"/>
        <w:shd w:val="clear" w:color="auto" w:fill="auto"/>
        <w:bidi w:val="0"/>
        <w:spacing w:before="0" w:after="220" w:line="271" w:lineRule="exact"/>
        <w:ind w:left="0" w:right="0" w:firstLine="440"/>
        <w:jc w:val="both"/>
      </w:pPr>
      <w:r>
        <w:rPr>
          <w:color w:val="000000"/>
          <w:spacing w:val="0"/>
          <w:w w:val="100"/>
          <w:position w:val="0"/>
        </w:rPr>
        <w:t>本集团信用风险主要产生于货币资金、应收票据、应收账款和其他应收款等。</w:t>
      </w:r>
    </w:p>
    <w:p>
      <w:pPr>
        <w:pStyle w:val="Style2"/>
        <w:keepNext w:val="0"/>
        <w:keepLines w:val="0"/>
        <w:widowControl w:val="0"/>
        <w:shd w:val="clear" w:color="auto" w:fill="auto"/>
        <w:bidi w:val="0"/>
        <w:spacing w:before="0" w:after="220" w:line="271" w:lineRule="exact"/>
        <w:ind w:left="0" w:right="0" w:firstLine="440"/>
        <w:jc w:val="both"/>
      </w:pPr>
      <w:r>
        <w:rPr>
          <w:color w:val="000000"/>
          <w:spacing w:val="0"/>
          <w:w w:val="100"/>
          <w:position w:val="0"/>
        </w:rPr>
        <w:t>本集团货币资金主要为存放于声誉良好并拥有较高信用评级的国有银行和其他大中型上市银 行的银行存款，本集团认为其不存在重大的信用风险，几乎不会产生因银行违约而导致的重大损 失。</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此外，对于应收票据、应收账款、合同资产和其他应收款，本集团设定相关政策以控制信用 风险敞口。本集团基于对客户的财务状况、历史付款记录、从第三方获取担保的可能性、信用记 录及其它因素诸如目前市场状况等评估客户的信用资质并设置相应信用期。本集团针对每个客户 维护专门的信息评估表，每月对客户的信用情况进行打分，监控对方的信息表现，并出具信用评 估报告，便于业务团队进行必要的管理策略调整。对于信用记录不良的客户，本集团会采用高频 次对账、书面催收、缩短信用期或取消信用期等方式，以确保本集团的整体信用风险在可控的范 围内。</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日，本集团无重大的因债务人抵押而持有的担保物或其他信用增级</w:t>
      </w:r>
      <w:r>
        <w:rPr>
          <w:rFonts w:ascii="Times New Roman" w:eastAsia="Times New Roman" w:hAnsi="Times New Roman" w:cs="Times New Roman"/>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220" w:line="27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流动性风险</w:t>
      </w:r>
    </w:p>
    <w:p>
      <w:pPr>
        <w:pStyle w:val="Style2"/>
        <w:keepNext w:val="0"/>
        <w:keepLines w:val="0"/>
        <w:widowControl w:val="0"/>
        <w:shd w:val="clear" w:color="auto" w:fill="auto"/>
        <w:bidi w:val="0"/>
        <w:spacing w:before="0" w:after="220" w:line="275" w:lineRule="exact"/>
        <w:ind w:left="0" w:right="0" w:firstLine="440"/>
        <w:jc w:val="both"/>
      </w:pPr>
      <w:r>
        <w:rPr>
          <w:color w:val="000000"/>
          <w:spacing w:val="0"/>
          <w:w w:val="100"/>
          <w:position w:val="0"/>
        </w:rPr>
        <w:t>本集团内各子公司负责其自身的现金流量预测。总部财务部门在汇总各子公司现金流量预测 的基础上，在集团层面持续监控短期和长期的资金需求，以确保维持充裕的现金储备和可供随时 变现的有价证券；同时持续监控是否符合借款协议的规定，从主要金融机构获得提供足够备用资 金的承诺，以满足短期和长期的资金需求。</w:t>
      </w:r>
    </w:p>
    <w:p>
      <w:pPr>
        <w:pStyle w:val="Style2"/>
        <w:keepNext w:val="0"/>
        <w:keepLines w:val="0"/>
        <w:widowControl w:val="0"/>
        <w:shd w:val="clear" w:color="auto" w:fill="auto"/>
        <w:bidi w:val="0"/>
        <w:spacing w:before="0" w:after="220" w:line="275" w:lineRule="exact"/>
        <w:ind w:left="0" w:right="0" w:firstLine="440"/>
        <w:jc w:val="left"/>
      </w:pPr>
      <w:r>
        <w:rPr>
          <w:color w:val="000000"/>
          <w:spacing w:val="0"/>
          <w:w w:val="100"/>
          <w:position w:val="0"/>
        </w:rPr>
        <w:t>于资产负债表日，本集团各项金融负债以未折现的合同现金流量按到期日列示如下：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771"/>
        <w:gridCol w:w="1762"/>
        <w:gridCol w:w="1766"/>
        <w:gridCol w:w="1766"/>
        <w:gridCol w:w="17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二到五年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422,217,875.80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422,217,875.80</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29,998,179.58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29,998,179.58</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452,216,055.38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452,216,055.38</w:t>
            </w:r>
          </w:p>
        </w:tc>
      </w:tr>
    </w:tbl>
    <w:p>
      <w:pPr>
        <w:widowControl w:val="0"/>
        <w:spacing w:after="219" w:line="1" w:lineRule="exact"/>
      </w:pP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771"/>
        <w:gridCol w:w="1762"/>
        <w:gridCol w:w="1766"/>
        <w:gridCol w:w="1766"/>
        <w:gridCol w:w="17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二到五年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221,679,872.59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221,679,872.59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24,836,762.97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24,836,762.97</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246,516,635.56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246,516,635.56</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both"/>
      </w:pPr>
      <w:bookmarkStart w:id="1829" w:name="bookmark1829"/>
      <w:bookmarkStart w:id="1830" w:name="bookmark1830"/>
      <w:bookmarkStart w:id="1831" w:name="bookmark1831"/>
      <w:r>
        <w:rPr>
          <w:color w:val="000000"/>
          <w:spacing w:val="0"/>
          <w:w w:val="100"/>
          <w:position w:val="0"/>
        </w:rPr>
        <w:t>十一、公允价值的披露</w:t>
      </w:r>
      <w:bookmarkEnd w:id="1829"/>
      <w:bookmarkEnd w:id="1830"/>
      <w:bookmarkEnd w:id="1831"/>
    </w:p>
    <w:p>
      <w:pPr>
        <w:pStyle w:val="Style35"/>
        <w:keepNext/>
        <w:keepLines/>
        <w:widowControl w:val="0"/>
        <w:shd w:val="clear" w:color="auto" w:fill="auto"/>
        <w:bidi w:val="0"/>
        <w:spacing w:before="0" w:after="100" w:line="240" w:lineRule="auto"/>
        <w:ind w:left="0" w:right="0" w:firstLine="0"/>
        <w:jc w:val="both"/>
      </w:pPr>
      <w:bookmarkStart w:id="1829" w:name="bookmark1829"/>
      <w:bookmarkStart w:id="1830" w:name="bookmark1830"/>
      <w:bookmarkStart w:id="1832" w:name="bookmark1832"/>
      <w:bookmarkStart w:id="1833" w:name="bookmark1833"/>
      <w:r>
        <w:rPr>
          <w:color w:val="000000"/>
          <w:spacing w:val="0"/>
          <w:w w:val="100"/>
          <w:position w:val="0"/>
        </w:rPr>
        <w:t>1</w:t>
      </w:r>
      <w:bookmarkEnd w:id="1832"/>
      <w:r>
        <w:rPr>
          <w:color w:val="000000"/>
          <w:spacing w:val="0"/>
          <w:w w:val="100"/>
          <w:position w:val="0"/>
        </w:rPr>
        <w:t>、以公允价值计量的资产和负债的期末公允价值</w:t>
      </w:r>
      <w:bookmarkEnd w:id="1829"/>
      <w:bookmarkEnd w:id="1830"/>
      <w:bookmarkEnd w:id="1833"/>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1598"/>
        <w:gridCol w:w="1560"/>
        <w:gridCol w:w="1685"/>
        <w:gridCol w:w="169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1,505,200,119.62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1,505,200,119.62</w:t>
            </w:r>
          </w:p>
        </w:tc>
      </w:tr>
      <w:tr>
        <w:trPr>
          <w:trHeight w:val="58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（二）其他非流动金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235,055,000.00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235,055,000.00</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1,740,255,119.62</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1,740,255,119.62</w:t>
            </w:r>
          </w:p>
        </w:tc>
      </w:tr>
    </w:tbl>
    <w:p>
      <w:pPr>
        <w:widowControl w:val="0"/>
        <w:spacing w:after="219" w:line="1" w:lineRule="exact"/>
      </w:pPr>
    </w:p>
    <w:p>
      <w:pPr>
        <w:pStyle w:val="Style2"/>
        <w:keepNext w:val="0"/>
        <w:keepLines w:val="0"/>
        <w:widowControl w:val="0"/>
        <w:shd w:val="clear" w:color="auto" w:fill="auto"/>
        <w:bidi w:val="0"/>
        <w:spacing w:before="0" w:after="340" w:line="346" w:lineRule="exact"/>
        <w:ind w:left="0" w:right="0" w:firstLine="0"/>
        <w:jc w:val="both"/>
      </w:pPr>
      <w:bookmarkStart w:id="1834" w:name="bookmark1834"/>
      <w:r>
        <w:rPr>
          <w:b/>
          <w:bCs/>
          <w:color w:val="000000"/>
          <w:spacing w:val="0"/>
          <w:w w:val="100"/>
          <w:position w:val="0"/>
        </w:rPr>
        <w:t>2</w:t>
      </w:r>
      <w:bookmarkEnd w:id="1834"/>
      <w:r>
        <w:rPr>
          <w:b/>
          <w:bCs/>
          <w:color w:val="000000"/>
          <w:spacing w:val="0"/>
          <w:w w:val="100"/>
          <w:position w:val="0"/>
        </w:rPr>
        <w:t xml:space="preserve">、持续和非持续第一层次公允价值计量项目市价的确定依据 </w:t>
      </w: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5" w:val="left"/>
        </w:tabs>
        <w:bidi w:val="0"/>
        <w:spacing w:before="0" w:after="100" w:line="240" w:lineRule="auto"/>
        <w:ind w:left="0" w:right="0" w:firstLine="0"/>
        <w:jc w:val="both"/>
      </w:pPr>
      <w:bookmarkStart w:id="1835" w:name="bookmark1835"/>
      <w:bookmarkStart w:id="1836" w:name="bookmark1836"/>
      <w:bookmarkStart w:id="1837" w:name="bookmark1837"/>
      <w:bookmarkStart w:id="1838" w:name="bookmark1838"/>
      <w:r>
        <w:rPr>
          <w:color w:val="000000"/>
          <w:spacing w:val="0"/>
          <w:w w:val="100"/>
          <w:position w:val="0"/>
        </w:rPr>
        <w:t>3</w:t>
      </w:r>
      <w:bookmarkEnd w:id="1837"/>
      <w:r>
        <w:rPr>
          <w:color w:val="000000"/>
          <w:spacing w:val="0"/>
          <w:w w:val="100"/>
          <w:position w:val="0"/>
        </w:rPr>
        <w:t>、</w:t>
        <w:tab/>
        <w:t>持续和非持续第二层次公允价值计量项目，采用的估值技术和重要参数的定性及定量信息</w:t>
      </w:r>
      <w:bookmarkEnd w:id="1835"/>
      <w:bookmarkEnd w:id="1836"/>
      <w:bookmarkEnd w:id="1838"/>
    </w:p>
    <w:p>
      <w:pPr>
        <w:pStyle w:val="Style2"/>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5" w:val="left"/>
        </w:tabs>
        <w:bidi w:val="0"/>
        <w:spacing w:before="0" w:after="100" w:line="240" w:lineRule="auto"/>
        <w:ind w:left="0" w:right="0" w:firstLine="0"/>
        <w:jc w:val="both"/>
      </w:pPr>
      <w:bookmarkStart w:id="1839" w:name="bookmark1839"/>
      <w:bookmarkStart w:id="1840" w:name="bookmark1840"/>
      <w:bookmarkStart w:id="1841" w:name="bookmark1841"/>
      <w:bookmarkStart w:id="1842" w:name="bookmark1842"/>
      <w:r>
        <w:rPr>
          <w:color w:val="000000"/>
          <w:spacing w:val="0"/>
          <w:w w:val="100"/>
          <w:position w:val="0"/>
        </w:rPr>
        <w:t>4</w:t>
      </w:r>
      <w:bookmarkEnd w:id="1841"/>
      <w:r>
        <w:rPr>
          <w:color w:val="000000"/>
          <w:spacing w:val="0"/>
          <w:w w:val="100"/>
          <w:position w:val="0"/>
        </w:rPr>
        <w:t>、</w:t>
        <w:tab/>
        <w:t>持续和非持续第三层次公允价值计量项目，采用的估值技术和重要参数的定性及定量信息</w:t>
      </w:r>
      <w:bookmarkEnd w:id="1839"/>
      <w:bookmarkEnd w:id="1840"/>
      <w:bookmarkEnd w:id="1842"/>
    </w:p>
    <w:p>
      <w:pPr>
        <w:pStyle w:val="Style2"/>
        <w:keepNext w:val="0"/>
        <w:keepLines w:val="0"/>
        <w:widowControl w:val="0"/>
        <w:shd w:val="clear" w:color="auto" w:fill="auto"/>
        <w:tabs>
          <w:tab w:pos="854" w:val="left"/>
        </w:tabs>
        <w:bidi w:val="0"/>
        <w:spacing w:before="0" w:after="220" w:line="240" w:lineRule="auto"/>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1" w:val="left"/>
        </w:tabs>
        <w:bidi w:val="0"/>
        <w:spacing w:before="0" w:after="40" w:line="283" w:lineRule="exact"/>
        <w:ind w:left="440" w:right="0" w:hanging="440"/>
        <w:jc w:val="left"/>
      </w:pPr>
      <w:bookmarkStart w:id="1843" w:name="bookmark1843"/>
      <w:bookmarkStart w:id="1844" w:name="bookmark1844"/>
      <w:bookmarkStart w:id="1845" w:name="bookmark1845"/>
      <w:bookmarkStart w:id="1846" w:name="bookmark1846"/>
      <w:r>
        <w:rPr>
          <w:color w:val="000000"/>
          <w:spacing w:val="0"/>
          <w:w w:val="100"/>
          <w:position w:val="0"/>
        </w:rPr>
        <w:t>5</w:t>
      </w:r>
      <w:bookmarkEnd w:id="1845"/>
      <w:r>
        <w:rPr>
          <w:color w:val="000000"/>
          <w:spacing w:val="0"/>
          <w:w w:val="100"/>
          <w:position w:val="0"/>
        </w:rPr>
        <w:t>、</w:t>
        <w:tab/>
        <w:t>持续的第三层次公允价值计量项目，期初与期末账面价值间的调节信息及不可观察参数敏感 性分析</w:t>
      </w:r>
      <w:bookmarkEnd w:id="1843"/>
      <w:bookmarkEnd w:id="1844"/>
      <w:bookmarkEnd w:id="1846"/>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1" w:val="left"/>
        </w:tabs>
        <w:bidi w:val="0"/>
        <w:spacing w:before="0" w:after="40" w:line="278" w:lineRule="exact"/>
        <w:ind w:left="440" w:right="0" w:hanging="440"/>
        <w:jc w:val="left"/>
      </w:pPr>
      <w:bookmarkStart w:id="1847" w:name="bookmark1847"/>
      <w:bookmarkStart w:id="1848" w:name="bookmark1848"/>
      <w:bookmarkStart w:id="1849" w:name="bookmark1849"/>
      <w:bookmarkStart w:id="1850" w:name="bookmark1850"/>
      <w:r>
        <w:rPr>
          <w:color w:val="000000"/>
          <w:spacing w:val="0"/>
          <w:w w:val="100"/>
          <w:position w:val="0"/>
        </w:rPr>
        <w:t>6</w:t>
      </w:r>
      <w:bookmarkEnd w:id="1849"/>
      <w:r>
        <w:rPr>
          <w:color w:val="000000"/>
          <w:spacing w:val="0"/>
          <w:w w:val="100"/>
          <w:position w:val="0"/>
        </w:rPr>
        <w:t>、</w:t>
        <w:tab/>
        <w:t>持续的公允价值计量项目，本期内发生各层级之间转换的，转换的原因及确定转换时点的政 策</w:t>
      </w:r>
      <w:bookmarkEnd w:id="1847"/>
      <w:bookmarkEnd w:id="1848"/>
      <w:bookmarkEnd w:id="1850"/>
    </w:p>
    <w:p>
      <w:pPr>
        <w:pStyle w:val="Style2"/>
        <w:keepNext w:val="0"/>
        <w:keepLines w:val="0"/>
        <w:widowControl w:val="0"/>
        <w:shd w:val="clear" w:color="auto" w:fill="auto"/>
        <w:tabs>
          <w:tab w:pos="854" w:val="left"/>
        </w:tabs>
        <w:bidi w:val="0"/>
        <w:spacing w:before="0" w:after="40" w:line="281"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1" w:val="left"/>
        </w:tabs>
        <w:bidi w:val="0"/>
        <w:spacing w:before="0" w:after="40" w:line="281" w:lineRule="exact"/>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7</w:t>
      </w:r>
      <w:bookmarkEnd w:id="1853"/>
      <w:r>
        <w:rPr>
          <w:color w:val="000000"/>
          <w:spacing w:val="0"/>
          <w:w w:val="100"/>
          <w:position w:val="0"/>
        </w:rPr>
        <w:t>、</w:t>
        <w:tab/>
        <w:t>本期内发生的估值技术变更及变更原因</w:t>
      </w:r>
      <w:bookmarkEnd w:id="1851"/>
      <w:bookmarkEnd w:id="1852"/>
      <w:bookmarkEnd w:id="1854"/>
    </w:p>
    <w:p>
      <w:pPr>
        <w:pStyle w:val="Style2"/>
        <w:keepNext w:val="0"/>
        <w:keepLines w:val="0"/>
        <w:widowControl w:val="0"/>
        <w:shd w:val="clear" w:color="auto" w:fill="auto"/>
        <w:tabs>
          <w:tab w:pos="854" w:val="left"/>
        </w:tabs>
        <w:bidi w:val="0"/>
        <w:spacing w:before="0" w:after="40" w:line="281"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1" w:val="left"/>
        </w:tabs>
        <w:bidi w:val="0"/>
        <w:spacing w:before="0" w:after="40" w:line="281" w:lineRule="exact"/>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8</w:t>
      </w:r>
      <w:bookmarkEnd w:id="1857"/>
      <w:r>
        <w:rPr>
          <w:color w:val="000000"/>
          <w:spacing w:val="0"/>
          <w:w w:val="100"/>
          <w:position w:val="0"/>
        </w:rPr>
        <w:t>、</w:t>
        <w:tab/>
        <w:t>不以公允价值计量的金融资产和金融负债的公允价值情况</w:t>
      </w:r>
      <w:bookmarkEnd w:id="1855"/>
      <w:bookmarkEnd w:id="1856"/>
      <w:bookmarkEnd w:id="1858"/>
    </w:p>
    <w:p>
      <w:pPr>
        <w:pStyle w:val="Style2"/>
        <w:keepNext w:val="0"/>
        <w:keepLines w:val="0"/>
        <w:widowControl w:val="0"/>
        <w:shd w:val="clear" w:color="auto" w:fill="auto"/>
        <w:tabs>
          <w:tab w:pos="854" w:val="left"/>
        </w:tabs>
        <w:bidi w:val="0"/>
        <w:spacing w:before="0" w:after="40" w:line="281"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1" w:val="left"/>
        </w:tabs>
        <w:bidi w:val="0"/>
        <w:spacing w:before="0" w:after="40" w:line="281" w:lineRule="exact"/>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9</w:t>
      </w:r>
      <w:bookmarkEnd w:id="1861"/>
      <w:r>
        <w:rPr>
          <w:color w:val="000000"/>
          <w:spacing w:val="0"/>
          <w:w w:val="100"/>
          <w:position w:val="0"/>
        </w:rPr>
        <w:t>、</w:t>
        <w:tab/>
        <w:t>其他</w:t>
      </w:r>
      <w:bookmarkEnd w:id="1859"/>
      <w:bookmarkEnd w:id="1860"/>
      <w:bookmarkEnd w:id="1862"/>
    </w:p>
    <w:p>
      <w:pPr>
        <w:pStyle w:val="Style2"/>
        <w:keepNext w:val="0"/>
        <w:keepLines w:val="0"/>
        <w:widowControl w:val="0"/>
        <w:shd w:val="clear" w:color="auto" w:fill="auto"/>
        <w:tabs>
          <w:tab w:pos="854" w:val="left"/>
        </w:tabs>
        <w:bidi w:val="0"/>
        <w:spacing w:before="0" w:after="40" w:line="281"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81"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tabs>
          <w:tab w:pos="421" w:val="left"/>
        </w:tabs>
        <w:bidi w:val="0"/>
        <w:spacing w:before="0" w:after="40" w:line="281" w:lineRule="exact"/>
        <w:ind w:left="0" w:right="0" w:firstLine="0"/>
        <w:jc w:val="left"/>
      </w:pPr>
      <w:bookmarkStart w:id="1863" w:name="bookmark1863"/>
      <w:r>
        <w:rPr>
          <w:b/>
          <w:bCs/>
          <w:color w:val="000000"/>
          <w:spacing w:val="0"/>
          <w:w w:val="100"/>
          <w:position w:val="0"/>
        </w:rPr>
        <w:t>1</w:t>
      </w:r>
      <w:bookmarkEnd w:id="1863"/>
      <w:r>
        <w:rPr>
          <w:b/>
          <w:bCs/>
          <w:color w:val="000000"/>
          <w:spacing w:val="0"/>
          <w:w w:val="100"/>
          <w:position w:val="0"/>
        </w:rPr>
        <w:t>、</w:t>
        <w:tab/>
        <w:t>本企业的母公司情况</w:t>
      </w:r>
    </w:p>
    <w:p>
      <w:pPr>
        <w:pStyle w:val="Style2"/>
        <w:keepNext w:val="0"/>
        <w:keepLines w:val="0"/>
        <w:widowControl w:val="0"/>
        <w:shd w:val="clear" w:color="auto" w:fill="auto"/>
        <w:tabs>
          <w:tab w:pos="854" w:val="left"/>
        </w:tabs>
        <w:bidi w:val="0"/>
        <w:spacing w:before="0" w:after="40" w:line="281"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1" w:val="left"/>
        </w:tabs>
        <w:bidi w:val="0"/>
        <w:spacing w:before="0" w:after="40" w:line="281" w:lineRule="exact"/>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2</w:t>
      </w:r>
      <w:bookmarkEnd w:id="1866"/>
      <w:r>
        <w:rPr>
          <w:color w:val="000000"/>
          <w:spacing w:val="0"/>
          <w:w w:val="100"/>
          <w:position w:val="0"/>
        </w:rPr>
        <w:t>、</w:t>
        <w:tab/>
        <w:t>本企业的子公司情况</w:t>
      </w:r>
      <w:bookmarkEnd w:id="1864"/>
      <w:bookmarkEnd w:id="1865"/>
      <w:bookmarkEnd w:id="1867"/>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本公司及子公司的情况详见附注九、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5"/>
        <w:keepNext/>
        <w:keepLines/>
        <w:widowControl w:val="0"/>
        <w:shd w:val="clear" w:color="auto" w:fill="auto"/>
        <w:tabs>
          <w:tab w:pos="421" w:val="left"/>
        </w:tabs>
        <w:bidi w:val="0"/>
        <w:spacing w:before="0" w:after="40" w:line="281" w:lineRule="exact"/>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3</w:t>
      </w:r>
      <w:bookmarkEnd w:id="1870"/>
      <w:r>
        <w:rPr>
          <w:color w:val="000000"/>
          <w:spacing w:val="0"/>
          <w:w w:val="100"/>
          <w:position w:val="0"/>
        </w:rPr>
        <w:t>、</w:t>
        <w:tab/>
        <w:t>本企业合营和联营企业情况</w:t>
      </w:r>
      <w:bookmarkEnd w:id="1868"/>
      <w:bookmarkEnd w:id="1869"/>
      <w:bookmarkEnd w:id="1871"/>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81" w:lineRule="exact"/>
        <w:ind w:left="0" w:right="0" w:firstLine="0"/>
        <w:jc w:val="left"/>
      </w:pPr>
      <w:r>
        <w:rPr>
          <w:color w:val="000000"/>
          <w:spacing w:val="0"/>
          <w:w w:val="100"/>
          <w:position w:val="0"/>
        </w:rPr>
        <w:t>重要合营或联营公司的基本情况和相关信息详见附注九、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2"/>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2"/>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3893"/>
        <w:gridCol w:w="4944"/>
      </w:tblGrid>
      <w:tr>
        <w:trPr>
          <w:trHeight w:val="3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3883"/>
        <w:gridCol w:w="4954"/>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睿励仪器</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由本公司董事担任董事的公司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上海华力微电子有限公司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由本公司董事担任董事的公司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上海华力集成电路制造有限公司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由本公司董事担任董事的公司之子公司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上海集成电路研发中心有限公司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由本公司董事担任董事的公司</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华灿光电（苏州）有限公司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由本公司监事担任董事长的公司之全资子公司</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华灿光电（浙江）有限公司</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由本公司监事担任董事长的公司之全资子公司</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昂坤视觉</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由本公司董事担任董事得公司</w:t>
            </w:r>
          </w:p>
        </w:tc>
      </w:tr>
      <w:tr>
        <w:trPr>
          <w:trHeight w:val="29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上海微电子装备</w:t>
            </w:r>
            <w:r>
              <w:rPr>
                <w:rFonts w:ascii="Calibri" w:eastAsia="Calibri" w:hAnsi="Calibri" w:cs="Calibri"/>
                <w:color w:val="000000"/>
                <w:spacing w:val="0"/>
                <w:w w:val="100"/>
                <w:position w:val="0"/>
                <w:sz w:val="20"/>
                <w:szCs w:val="20"/>
              </w:rPr>
              <w:t>（</w:t>
            </w:r>
            <w:r>
              <w:rPr>
                <w:color w:val="000000"/>
                <w:spacing w:val="0"/>
                <w:w w:val="100"/>
                <w:position w:val="0"/>
              </w:rPr>
              <w:t>集团</w:t>
            </w:r>
            <w:r>
              <w:rPr>
                <w:rFonts w:ascii="Calibri" w:eastAsia="Calibri" w:hAnsi="Calibri" w:cs="Calibri"/>
                <w:color w:val="000000"/>
                <w:spacing w:val="0"/>
                <w:w w:val="100"/>
                <w:position w:val="0"/>
                <w:sz w:val="20"/>
                <w:szCs w:val="20"/>
              </w:rPr>
              <w:t>）</w:t>
            </w:r>
            <w:r>
              <w:rPr>
                <w:color w:val="000000"/>
                <w:spacing w:val="0"/>
                <w:w w:val="100"/>
                <w:position w:val="0"/>
              </w:rPr>
              <w:t>股份有限公司</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由本公司董事担任董事的公司</w:t>
            </w:r>
          </w:p>
        </w:tc>
      </w:tr>
    </w:tbl>
    <w:p>
      <w:pPr>
        <w:spacing w:lineRule="exact" w:line="1"/>
        <w:rPr>
          <w:sz w:val="2"/>
          <w:szCs w:val="2"/>
        </w:rPr>
      </w:pPr>
      <w:r>
        <w:br w:type="page"/>
      </w:r>
    </w:p>
    <w:tbl>
      <w:tblPr>
        <w:tblOverlap w:val="never"/>
        <w:jc w:val="center"/>
        <w:tblLayout w:type="fixed"/>
      </w:tblPr>
      <w:tblGrid>
        <w:gridCol w:w="3883"/>
        <w:gridCol w:w="4954"/>
      </w:tblGrid>
      <w:tr>
        <w:trPr>
          <w:trHeight w:val="2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南昌昂坤半导体设备有限公司</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由本公司董事担任董事的公司之子公司</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5"/>
        <w:keepNext/>
        <w:keepLines/>
        <w:widowControl w:val="0"/>
        <w:shd w:val="clear" w:color="auto" w:fill="auto"/>
        <w:bidi w:val="0"/>
        <w:spacing w:before="0" w:after="10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5</w:t>
      </w:r>
      <w:bookmarkEnd w:id="1874"/>
      <w:r>
        <w:rPr>
          <w:color w:val="000000"/>
          <w:spacing w:val="0"/>
          <w:w w:val="100"/>
          <w:position w:val="0"/>
        </w:rPr>
        <w:t>、关联交易情况</w:t>
      </w:r>
      <w:bookmarkEnd w:id="1872"/>
      <w:bookmarkEnd w:id="1873"/>
      <w:bookmarkEnd w:id="1875"/>
    </w:p>
    <w:p>
      <w:pPr>
        <w:pStyle w:val="Style35"/>
        <w:keepNext/>
        <w:keepLines/>
        <w:widowControl w:val="0"/>
        <w:shd w:val="clear" w:color="auto" w:fill="auto"/>
        <w:bidi w:val="0"/>
        <w:spacing w:before="0" w:after="100" w:line="240" w:lineRule="auto"/>
        <w:ind w:left="0" w:right="0" w:firstLine="0"/>
        <w:jc w:val="left"/>
      </w:pPr>
      <w:bookmarkStart w:id="1872" w:name="bookmark1872"/>
      <w:bookmarkStart w:id="1873" w:name="bookmark1873"/>
      <w:bookmarkStart w:id="1876" w:name="bookmark1876"/>
      <w:r>
        <w:rPr>
          <w:color w:val="000000"/>
          <w:spacing w:val="0"/>
          <w:w w:val="100"/>
          <w:position w:val="0"/>
        </w:rPr>
        <w:t>(1).</w:t>
      </w:r>
      <w:r>
        <w:rPr>
          <w:color w:val="000000"/>
          <w:spacing w:val="0"/>
          <w:w w:val="100"/>
          <w:position w:val="0"/>
        </w:rPr>
        <w:t>购销商品、提供和接受劳务的关联交易</w:t>
      </w:r>
      <w:bookmarkEnd w:id="1872"/>
      <w:bookmarkEnd w:id="1873"/>
      <w:bookmarkEnd w:id="187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0"/>
        <w:gridCol w:w="2160"/>
        <w:gridCol w:w="1891"/>
        <w:gridCol w:w="1546"/>
      </w:tblGrid>
      <w:tr>
        <w:trPr>
          <w:trHeight w:val="3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南昌昂坤半导体设备有限公司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采购商品及接受服务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9,969,654.97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昂坤视觉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采购商品及接受服务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1,020,170.02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上海集成电路研发中心有限公司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采购商品及接受服务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采购商品及接受服务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8,843,835.16</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上海微电子装备</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采购商品及接受服务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174,246.00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采购商品及接受服务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110,870.00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11,864,940.99</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9,053,835.16</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40"/>
        <w:gridCol w:w="2160"/>
        <w:gridCol w:w="1805"/>
        <w:gridCol w:w="1632"/>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上海华力集成电路有限公司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103,041,506.62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57,292,492.09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上海华力微电子有限公司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11,434,698.85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14,419,383.67</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华灿光电(浙江)有限公司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8,521,107.53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4,977,766.71</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4,830,782.75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2,821,299.43</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1,576,603.81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2,641,509.46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上海集成电路研发中心有限公司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544,743.00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6,710,905.78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睿励仪器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销售商品及提供服务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129,995,617.88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88,913,357.14</w:t>
            </w:r>
          </w:p>
        </w:tc>
      </w:tr>
    </w:tbl>
    <w:p>
      <w:pPr>
        <w:widowControl w:val="0"/>
        <w:spacing w:after="239" w:line="1" w:lineRule="exact"/>
      </w:pP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购销商品、提供和接受劳务的关联交易说明 口适用</w:t>
      </w:r>
      <w:r>
        <w:rPr>
          <w:rFonts w:ascii="Times New Roman" w:eastAsia="Times New Roman" w:hAnsi="Times New Roman" w:cs="Times New Roman"/>
          <w:color w:val="000000"/>
          <w:spacing w:val="0"/>
          <w:w w:val="100"/>
          <w:position w:val="0"/>
        </w:rPr>
        <w:t>J</w:t>
      </w:r>
      <w:r>
        <w:rPr>
          <w:color w:val="000000"/>
          <w:spacing w:val="0"/>
          <w:w w:val="100"/>
          <w:position w:val="0"/>
        </w:rPr>
        <w:t xml:space="preserve">不适用 </w:t>
      </w:r>
      <w:r>
        <w:rPr>
          <w:b/>
          <w:bCs/>
          <w:color w:val="000000"/>
          <w:spacing w:val="0"/>
          <w:w w:val="100"/>
          <w:position w:val="0"/>
        </w:rPr>
        <w:t>(2).</w:t>
      </w:r>
      <w:r>
        <w:rPr>
          <w:b/>
          <w:bCs/>
          <w:color w:val="000000"/>
          <w:spacing w:val="0"/>
          <w:w w:val="100"/>
          <w:position w:val="0"/>
        </w:rPr>
        <w:t xml:space="preserve">关联受托管理/承包及委托管理/出包情况 </w:t>
      </w: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67"/>
        </w:numPr>
        <w:shd w:val="clear" w:color="auto" w:fill="auto"/>
        <w:bidi w:val="0"/>
        <w:spacing w:before="0" w:after="100" w:line="269" w:lineRule="exact"/>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w:t>
      </w:r>
      <w:r>
        <w:rPr>
          <w:color w:val="000000"/>
          <w:spacing w:val="0"/>
          <w:w w:val="100"/>
          <w:position w:val="0"/>
        </w:rPr>
        <w:t>关联租赁情况</w:t>
      </w:r>
      <w:bookmarkEnd w:id="1877"/>
      <w:bookmarkEnd w:id="1878"/>
      <w:bookmarkEnd w:id="188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 本公司作为承租方:</w:t>
      </w:r>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0"/>
        <w:gridCol w:w="1531"/>
        <w:gridCol w:w="1978"/>
        <w:gridCol w:w="2088"/>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上期确认的租赁费</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上海华力集成电路制造有限公司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办公室租赁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32,736.00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32,736.00</w:t>
            </w:r>
          </w:p>
        </w:tc>
      </w:tr>
    </w:tbl>
    <w:p>
      <w:pPr>
        <w:widowControl w:val="0"/>
        <w:spacing w:after="219" w:line="1" w:lineRule="exact"/>
      </w:pP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关联租赁情况说明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459" w:val="left"/>
        </w:tabs>
        <w:bidi w:val="0"/>
        <w:spacing w:before="0" w:after="220" w:line="285" w:lineRule="exact"/>
        <w:ind w:left="0" w:right="0" w:firstLine="0"/>
        <w:jc w:val="left"/>
      </w:pPr>
      <w:bookmarkStart w:id="1881" w:name="bookmark1881"/>
      <w:bookmarkEnd w:id="1881"/>
      <w:r>
        <w:rPr>
          <w:b/>
          <w:bCs/>
          <w:color w:val="000000"/>
          <w:spacing w:val="0"/>
          <w:w w:val="100"/>
          <w:position w:val="0"/>
        </w:rPr>
        <w:t xml:space="preserve">.关联担保情况 </w:t>
      </w:r>
      <w:r>
        <w:rPr>
          <w:color w:val="000000"/>
          <w:spacing w:val="0"/>
          <w:w w:val="100"/>
          <w:position w:val="0"/>
        </w:rPr>
        <w:t>本公司作为担保方 口适用</w:t>
      </w:r>
      <w:r>
        <w:rPr>
          <w:rFonts w:ascii="Times New Roman" w:eastAsia="Times New Roman" w:hAnsi="Times New Roman" w:cs="Times New Roman"/>
          <w:color w:val="000000"/>
          <w:spacing w:val="0"/>
          <w:w w:val="100"/>
          <w:position w:val="0"/>
        </w:rPr>
        <w:t>J</w:t>
      </w:r>
      <w:r>
        <w:rPr>
          <w:color w:val="000000"/>
          <w:spacing w:val="0"/>
          <w:w w:val="100"/>
          <w:position w:val="0"/>
        </w:rPr>
        <w:t>不适用 本公司作为被担保方 口适用</w:t>
      </w:r>
      <w:r>
        <w:rPr>
          <w:rFonts w:ascii="Times New Roman" w:eastAsia="Times New Roman" w:hAnsi="Times New Roman" w:cs="Times New Roman"/>
          <w:color w:val="000000"/>
          <w:spacing w:val="0"/>
          <w:w w:val="100"/>
          <w:position w:val="0"/>
        </w:rPr>
        <w:t>J</w:t>
      </w:r>
      <w:r>
        <w:rPr>
          <w:color w:val="000000"/>
          <w:spacing w:val="0"/>
          <w:w w:val="100"/>
          <w:position w:val="0"/>
        </w:rPr>
        <w:t>不适用 关联担保情况说明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440" w:val="left"/>
        </w:tabs>
        <w:bidi w:val="0"/>
        <w:spacing w:before="0" w:after="0" w:line="341" w:lineRule="exact"/>
        <w:ind w:left="0" w:right="0" w:firstLine="0"/>
        <w:jc w:val="left"/>
      </w:pPr>
      <w:bookmarkStart w:id="1882" w:name="bookmark1882"/>
      <w:bookmarkEnd w:id="1882"/>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440" w:val="left"/>
        </w:tabs>
        <w:bidi w:val="0"/>
        <w:spacing w:before="0" w:after="340" w:line="341" w:lineRule="exact"/>
        <w:ind w:left="0" w:right="0" w:firstLine="0"/>
        <w:jc w:val="left"/>
      </w:pPr>
      <w:bookmarkStart w:id="1883" w:name="bookmark1883"/>
      <w:bookmarkEnd w:id="1883"/>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(7).</w:t>
      </w:r>
      <w:r>
        <w:rPr>
          <w:b/>
          <w:bCs/>
          <w:color w:val="000000"/>
          <w:spacing w:val="0"/>
          <w:w w:val="100"/>
          <w:position w:val="0"/>
        </w:rPr>
        <w:t>关键管理人员报酬</w:t>
      </w:r>
    </w:p>
    <w:p>
      <w:pPr>
        <w:pStyle w:val="Style22"/>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3197"/>
        <w:gridCol w:w="3202"/>
        <w:gridCol w:w="2438"/>
      </w:tblGrid>
      <w:tr>
        <w:trPr>
          <w:trHeight w:val="264"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5"/>
              <w:keepNext w:val="0"/>
              <w:keepLines w:val="0"/>
              <w:widowControl w:val="0"/>
              <w:shd w:val="clear" w:color="auto" w:fill="auto"/>
              <w:tabs>
                <w:tab w:pos="1205" w:val="left"/>
              </w:tabs>
              <w:bidi w:val="0"/>
              <w:spacing w:before="0" w:after="0" w:line="240" w:lineRule="auto"/>
              <w:ind w:left="0" w:right="0" w:firstLine="0"/>
              <w:jc w:val="left"/>
            </w:pPr>
            <w:r>
              <w:rPr>
                <w:color w:val="000000"/>
                <w:spacing w:val="0"/>
                <w:w w:val="100"/>
                <w:position w:val="0"/>
              </w:rPr>
              <w:t>息位：万元</w:t>
              <w:tab/>
              <w:t>币种：人民币</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关键管理人员工资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1,481.23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关键管理人员股份支付费用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1,4,81.23</w:t>
            </w:r>
          </w:p>
        </w:tc>
      </w:tr>
    </w:tbl>
    <w:p>
      <w:pPr>
        <w:widowControl w:val="0"/>
        <w:spacing w:after="339" w:line="1" w:lineRule="exact"/>
      </w:pPr>
    </w:p>
    <w:p>
      <w:pPr>
        <w:pStyle w:val="Style35"/>
        <w:keepNext/>
        <w:keepLines/>
        <w:widowControl w:val="0"/>
        <w:numPr>
          <w:ilvl w:val="0"/>
          <w:numId w:val="169"/>
        </w:numPr>
        <w:shd w:val="clear" w:color="auto" w:fill="auto"/>
        <w:bidi w:val="0"/>
        <w:spacing w:before="0" w:after="100" w:line="240" w:lineRule="auto"/>
        <w:ind w:left="0" w:right="0" w:firstLine="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w:t>
      </w:r>
      <w:r>
        <w:rPr>
          <w:color w:val="000000"/>
          <w:spacing w:val="0"/>
          <w:w w:val="100"/>
          <w:position w:val="0"/>
        </w:rPr>
        <w:t>其他关联交易</w:t>
      </w:r>
      <w:bookmarkEnd w:id="1884"/>
      <w:bookmarkEnd w:id="1885"/>
      <w:bookmarkEnd w:id="188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关联方股权交易请参见附注七</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35"/>
        <w:keepNext/>
        <w:keepLines/>
        <w:widowControl w:val="0"/>
        <w:shd w:val="clear" w:color="auto" w:fill="auto"/>
        <w:bidi w:val="0"/>
        <w:spacing w:before="0" w:after="10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6</w:t>
      </w:r>
      <w:bookmarkEnd w:id="1890"/>
      <w:r>
        <w:rPr>
          <w:color w:val="000000"/>
          <w:spacing w:val="0"/>
          <w:w w:val="100"/>
          <w:position w:val="0"/>
        </w:rPr>
        <w:t>、关联方应收应付款项</w:t>
      </w:r>
      <w:bookmarkEnd w:id="1888"/>
      <w:bookmarkEnd w:id="1889"/>
      <w:bookmarkEnd w:id="1891"/>
    </w:p>
    <w:p>
      <w:pPr>
        <w:pStyle w:val="Style35"/>
        <w:keepNext/>
        <w:keepLines/>
        <w:widowControl w:val="0"/>
        <w:shd w:val="clear" w:color="auto" w:fill="auto"/>
        <w:bidi w:val="0"/>
        <w:spacing w:before="0" w:after="100" w:line="240" w:lineRule="auto"/>
        <w:ind w:left="0" w:right="0" w:firstLine="0"/>
        <w:jc w:val="left"/>
      </w:pPr>
      <w:bookmarkStart w:id="1888" w:name="bookmark1888"/>
      <w:bookmarkStart w:id="1889" w:name="bookmark1889"/>
      <w:bookmarkStart w:id="1892" w:name="bookmark1892"/>
      <w:r>
        <w:rPr>
          <w:color w:val="000000"/>
          <w:spacing w:val="0"/>
          <w:w w:val="100"/>
          <w:position w:val="0"/>
        </w:rPr>
        <w:t>(1).</w:t>
      </w:r>
      <w:r>
        <w:rPr>
          <w:color w:val="000000"/>
          <w:spacing w:val="0"/>
          <w:w w:val="100"/>
          <w:position w:val="0"/>
        </w:rPr>
        <w:t>应收项目</w:t>
      </w:r>
      <w:bookmarkEnd w:id="1888"/>
      <w:bookmarkEnd w:id="1889"/>
      <w:bookmarkEnd w:id="189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2659"/>
        <w:gridCol w:w="1258"/>
        <w:gridCol w:w="1056"/>
        <w:gridCol w:w="1224"/>
        <w:gridCol w:w="1234"/>
      </w:tblGrid>
      <w:tr>
        <w:trPr>
          <w:trHeight w:val="22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账面余额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坏账准备</w:t>
            </w:r>
          </w:p>
        </w:tc>
      </w:tr>
      <w:tr>
        <w:trPr>
          <w:trHeight w:val="21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上海华力集成电路制造有限公司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44,900,606.03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989,149.80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34,890,395.22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959,485.87</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华灿光电</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浙江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20,891,004.54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460,223.92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35,831,042.77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985,353.68</w:t>
            </w:r>
          </w:p>
        </w:tc>
      </w:tr>
      <w:tr>
        <w:trPr>
          <w:trHeight w:val="2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华灿光电</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苏州</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1,914,529.91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1,914,529.91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1,914,529.91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1,906,488.88</w:t>
            </w:r>
          </w:p>
        </w:tc>
      </w:tr>
      <w:tr>
        <w:trPr>
          <w:trHeight w:val="2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上海华力微电子有限公司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1,433,459.33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31,578.77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3,084,016.29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274,870.04</w:t>
            </w:r>
          </w:p>
        </w:tc>
      </w:tr>
    </w:tbl>
    <w:p>
      <w:pPr>
        <w:spacing w:lineRule="exact" w:line="1"/>
        <w:rPr>
          <w:sz w:val="2"/>
          <w:szCs w:val="2"/>
        </w:rPr>
      </w:pPr>
      <w:r>
        <w:br w:type="page"/>
      </w:r>
    </w:p>
    <w:tbl>
      <w:tblPr>
        <w:tblOverlap w:val="never"/>
        <w:jc w:val="center"/>
        <w:tblLayout w:type="fixed"/>
      </w:tblPr>
      <w:tblGrid>
        <w:gridCol w:w="1406"/>
        <w:gridCol w:w="2659"/>
        <w:gridCol w:w="1258"/>
        <w:gridCol w:w="1056"/>
        <w:gridCol w:w="1224"/>
        <w:gridCol w:w="1234"/>
      </w:tblGrid>
      <w:tr>
        <w:trPr>
          <w:trHeight w:val="2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沈阳拓荆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170,928.18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288,673.19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7,938.51</w:t>
            </w:r>
          </w:p>
        </w:tc>
      </w:tr>
      <w:tr>
        <w:trPr>
          <w:trHeight w:val="21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上海芯元基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672,641.51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睿励仪器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南昌昂坤半导体设备有限公司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1,281,158.40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华灿光电(浙江)有限公司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10,453,858.06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24,563,933.20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893" w:name="bookmark1893"/>
      <w:bookmarkStart w:id="1894" w:name="bookmark1894"/>
      <w:bookmarkStart w:id="1895" w:name="bookmark1895"/>
      <w:r>
        <w:rPr>
          <w:color w:val="000000"/>
          <w:spacing w:val="0"/>
          <w:w w:val="100"/>
          <w:position w:val="0"/>
        </w:rPr>
        <w:t>(2).</w:t>
      </w:r>
      <w:r>
        <w:rPr>
          <w:color w:val="000000"/>
          <w:spacing w:val="0"/>
          <w:w w:val="100"/>
          <w:position w:val="0"/>
        </w:rPr>
        <w:t>应付项目</w:t>
      </w:r>
      <w:bookmarkEnd w:id="1893"/>
      <w:bookmarkEnd w:id="1894"/>
      <w:bookmarkEnd w:id="189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1"/>
        <w:gridCol w:w="2971"/>
        <w:gridCol w:w="2251"/>
        <w:gridCol w:w="2083"/>
      </w:tblGrid>
      <w:tr>
        <w:trPr>
          <w:trHeight w:val="2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期初账面余额</w:t>
            </w:r>
          </w:p>
        </w:tc>
      </w:tr>
      <w:tr>
        <w:trPr>
          <w:trHeight w:val="24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沈阳拓荆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249,966.00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沈阳拓荆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859,386.92</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上海芯元基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24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南昌昂坤半导体设备有限公司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2,156,056.52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上海华力集成电路制造有限公司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15,847,575.10</w:t>
            </w:r>
          </w:p>
        </w:tc>
      </w:tr>
    </w:tbl>
    <w:p>
      <w:pPr>
        <w:widowControl w:val="0"/>
        <w:spacing w:after="339" w:line="1" w:lineRule="exact"/>
      </w:pPr>
    </w:p>
    <w:p>
      <w:pPr>
        <w:pStyle w:val="Style35"/>
        <w:keepNext/>
        <w:keepLines/>
        <w:widowControl w:val="0"/>
        <w:shd w:val="clear" w:color="auto" w:fill="auto"/>
        <w:tabs>
          <w:tab w:pos="422" w:val="left"/>
        </w:tabs>
        <w:bidi w:val="0"/>
        <w:spacing w:before="0" w:after="10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7</w:t>
      </w:r>
      <w:bookmarkEnd w:id="1898"/>
      <w:r>
        <w:rPr>
          <w:color w:val="000000"/>
          <w:spacing w:val="0"/>
          <w:w w:val="100"/>
          <w:position w:val="0"/>
        </w:rPr>
        <w:t>、</w:t>
        <w:tab/>
        <w:t>关联方承诺</w:t>
      </w:r>
      <w:bookmarkEnd w:id="1896"/>
      <w:bookmarkEnd w:id="1897"/>
      <w:bookmarkEnd w:id="1899"/>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2" w:val="left"/>
        </w:tabs>
        <w:bidi w:val="0"/>
        <w:spacing w:before="0" w:after="10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sz w:val="20"/>
          <w:szCs w:val="20"/>
        </w:rPr>
        <w:t>8</w:t>
      </w:r>
      <w:bookmarkEnd w:id="1902"/>
      <w:r>
        <w:rPr>
          <w:color w:val="000000"/>
          <w:spacing w:val="0"/>
          <w:w w:val="100"/>
          <w:position w:val="0"/>
          <w:sz w:val="22"/>
          <w:szCs w:val="22"/>
        </w:rPr>
        <w:t>、</w:t>
        <w:tab/>
      </w:r>
      <w:r>
        <w:rPr>
          <w:color w:val="000000"/>
          <w:spacing w:val="0"/>
          <w:w w:val="100"/>
          <w:position w:val="0"/>
        </w:rPr>
        <w:t>其他</w:t>
      </w:r>
      <w:bookmarkEnd w:id="1900"/>
      <w:bookmarkEnd w:id="1901"/>
      <w:bookmarkEnd w:id="1903"/>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904" w:name="bookmark1904"/>
      <w:bookmarkStart w:id="1905" w:name="bookmark1905"/>
      <w:bookmarkStart w:id="1906" w:name="bookmark1906"/>
      <w:r>
        <w:rPr>
          <w:color w:val="000000"/>
          <w:spacing w:val="0"/>
          <w:w w:val="100"/>
          <w:position w:val="0"/>
        </w:rPr>
        <w:t>十三、股份支付</w:t>
      </w:r>
      <w:bookmarkEnd w:id="1904"/>
      <w:bookmarkEnd w:id="1905"/>
      <w:bookmarkEnd w:id="1906"/>
    </w:p>
    <w:p>
      <w:pPr>
        <w:pStyle w:val="Style35"/>
        <w:keepNext/>
        <w:keepLines/>
        <w:widowControl w:val="0"/>
        <w:shd w:val="clear" w:color="auto" w:fill="auto"/>
        <w:bidi w:val="0"/>
        <w:spacing w:before="0" w:after="100" w:line="240" w:lineRule="auto"/>
        <w:ind w:left="0" w:right="0" w:firstLine="0"/>
        <w:jc w:val="left"/>
      </w:pPr>
      <w:bookmarkStart w:id="1904" w:name="bookmark1904"/>
      <w:bookmarkStart w:id="1905" w:name="bookmark1905"/>
      <w:bookmarkStart w:id="1907" w:name="bookmark1907"/>
      <w:r>
        <w:rPr>
          <w:color w:val="000000"/>
          <w:spacing w:val="0"/>
          <w:w w:val="100"/>
          <w:position w:val="0"/>
        </w:rPr>
        <w:t>1、股份支付总体情况</w:t>
      </w:r>
      <w:bookmarkEnd w:id="1904"/>
      <w:bookmarkEnd w:id="1905"/>
      <w:bookmarkEnd w:id="190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8,286,690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191,200</w:t>
            </w:r>
          </w:p>
        </w:tc>
      </w:tr>
      <w:tr>
        <w:trPr>
          <w:trHeight w:val="55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r>
              <w:rPr>
                <w:color w:val="000000"/>
                <w:spacing w:val="0"/>
                <w:w w:val="100"/>
                <w:position w:val="0"/>
              </w:rPr>
              <w:t>年和</w:t>
            </w:r>
            <w:r>
              <w:rPr>
                <w:rFonts w:ascii="Times New Roman" w:eastAsia="Times New Roman" w:hAnsi="Times New Roman" w:cs="Times New Roman"/>
                <w:color w:val="000000"/>
                <w:spacing w:val="0"/>
                <w:w w:val="100"/>
                <w:position w:val="0"/>
              </w:rPr>
              <w:t>3.8</w:t>
            </w:r>
            <w:r>
              <w:rPr>
                <w:color w:val="000000"/>
                <w:spacing w:val="0"/>
                <w:w w:val="100"/>
                <w:position w:val="0"/>
              </w:rPr>
              <w:t>年</w:t>
            </w:r>
          </w:p>
        </w:tc>
      </w:tr>
      <w:tr>
        <w:trPr>
          <w:trHeight w:val="56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股票增值权行权价格的为</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股，剩余期 限为</w:t>
            </w:r>
            <w:r>
              <w:rPr>
                <w:rFonts w:ascii="Times New Roman" w:eastAsia="Times New Roman" w:hAnsi="Times New Roman" w:cs="Times New Roman"/>
                <w:color w:val="000000"/>
                <w:spacing w:val="0"/>
                <w:w w:val="100"/>
                <w:position w:val="0"/>
              </w:rPr>
              <w:t>3.5</w:t>
            </w:r>
            <w:r>
              <w:rPr>
                <w:color w:val="000000"/>
                <w:spacing w:val="0"/>
                <w:w w:val="100"/>
                <w:position w:val="0"/>
              </w:rPr>
              <w:t>年</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2、以权益结算的股份支付情况</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4301"/>
      </w:tblGrid>
      <w:tr>
        <w:trPr>
          <w:trHeight w:val="8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本集团考虑了授予日公司股票收盘价等因素 确定了授予日限制性股票的公允价值，分期 计入期间费用及资本公积。</w:t>
            </w:r>
          </w:p>
        </w:tc>
      </w:tr>
      <w:tr>
        <w:trPr>
          <w:trHeight w:val="82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激励对象自首次授予之日起</w:t>
            </w:r>
            <w:r>
              <w:rPr>
                <w:rFonts w:ascii="Times New Roman" w:eastAsia="Times New Roman" w:hAnsi="Times New Roman" w:cs="Times New Roman"/>
                <w:color w:val="000000"/>
                <w:spacing w:val="0"/>
                <w:w w:val="100"/>
                <w:position w:val="0"/>
              </w:rPr>
              <w:t>4</w:t>
            </w:r>
            <w:r>
              <w:rPr>
                <w:color w:val="000000"/>
                <w:spacing w:val="0"/>
                <w:w w:val="100"/>
                <w:position w:val="0"/>
              </w:rPr>
              <w:t>年内，每年归 属权益数量占授予权益总量的</w:t>
            </w:r>
            <w:r>
              <w:rPr>
                <w:rFonts w:ascii="Times New Roman" w:eastAsia="Times New Roman" w:hAnsi="Times New Roman" w:cs="Times New Roman"/>
                <w:color w:val="000000"/>
                <w:spacing w:val="0"/>
                <w:w w:val="100"/>
                <w:position w:val="0"/>
              </w:rPr>
              <w:t>25%</w:t>
            </w:r>
            <w:r>
              <w:rPr>
                <w:color w:val="000000"/>
                <w:spacing w:val="0"/>
                <w:w w:val="100"/>
                <w:position w:val="0"/>
              </w:rPr>
              <w:t>,且每次 权益归属以满足相应的归属条件为前提。</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118,028,102.87</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118,028,102.87</w:t>
            </w: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10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3</w:t>
      </w:r>
      <w:bookmarkEnd w:id="1910"/>
      <w:r>
        <w:rPr>
          <w:color w:val="000000"/>
          <w:spacing w:val="0"/>
          <w:w w:val="100"/>
          <w:position w:val="0"/>
        </w:rPr>
        <w:t>、以现金结算的股份支付情况</w:t>
      </w:r>
      <w:bookmarkEnd w:id="1908"/>
      <w:bookmarkEnd w:id="1909"/>
      <w:bookmarkEnd w:id="1911"/>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4301"/>
      </w:tblGrid>
      <w:tr>
        <w:trPr>
          <w:trHeight w:val="83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公司承担的、以股份或其他权益工具为基础计 算确定的负债的公允价值确定方法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本集团考虑了公司股票收盘价等因素确定了 资产负债表日股票增值权的公允价值，分期 计入期间费用。</w:t>
            </w: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负债中以现金结算的股份支付产生的累计负债 金额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5,562,380.31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本期以现金结算的股份支付而确认的费用总额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5,562,380.31</w:t>
            </w:r>
          </w:p>
        </w:tc>
      </w:tr>
    </w:tbl>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 无。</w:t>
      </w:r>
    </w:p>
    <w:p>
      <w:pPr>
        <w:widowControl w:val="0"/>
        <w:spacing w:after="339" w:line="1" w:lineRule="exact"/>
      </w:pPr>
    </w:p>
    <w:p>
      <w:pPr>
        <w:pStyle w:val="Style35"/>
        <w:keepNext/>
        <w:keepLines/>
        <w:widowControl w:val="0"/>
        <w:shd w:val="clear" w:color="auto" w:fill="auto"/>
        <w:tabs>
          <w:tab w:pos="420" w:val="left"/>
        </w:tabs>
        <w:bidi w:val="0"/>
        <w:spacing w:before="0" w:after="10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4</w:t>
      </w:r>
      <w:bookmarkEnd w:id="1914"/>
      <w:r>
        <w:rPr>
          <w:color w:val="000000"/>
          <w:spacing w:val="0"/>
          <w:w w:val="100"/>
          <w:position w:val="0"/>
        </w:rPr>
        <w:t>、</w:t>
        <w:tab/>
        <w:t>股份支付的修改、终止情况</w:t>
      </w:r>
      <w:bookmarkEnd w:id="1912"/>
      <w:bookmarkEnd w:id="1913"/>
      <w:bookmarkEnd w:id="191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0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5</w:t>
      </w:r>
      <w:bookmarkEnd w:id="1918"/>
      <w:r>
        <w:rPr>
          <w:color w:val="000000"/>
          <w:spacing w:val="0"/>
          <w:w w:val="100"/>
          <w:position w:val="0"/>
        </w:rPr>
        <w:t>、</w:t>
        <w:tab/>
        <w:t>其他</w:t>
      </w:r>
      <w:bookmarkEnd w:id="1916"/>
      <w:bookmarkEnd w:id="1917"/>
      <w:bookmarkEnd w:id="191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920" w:name="bookmark1920"/>
      <w:bookmarkStart w:id="1921" w:name="bookmark1921"/>
      <w:bookmarkStart w:id="1922" w:name="bookmark1922"/>
      <w:r>
        <w:rPr>
          <w:color w:val="000000"/>
          <w:spacing w:val="0"/>
          <w:w w:val="100"/>
          <w:position w:val="0"/>
        </w:rPr>
        <w:t>十四、承诺及或有事项</w:t>
      </w:r>
      <w:bookmarkEnd w:id="1920"/>
      <w:bookmarkEnd w:id="1921"/>
      <w:bookmarkEnd w:id="1922"/>
    </w:p>
    <w:p>
      <w:pPr>
        <w:pStyle w:val="Style35"/>
        <w:keepNext/>
        <w:keepLines/>
        <w:widowControl w:val="0"/>
        <w:shd w:val="clear" w:color="auto" w:fill="auto"/>
        <w:bidi w:val="0"/>
        <w:spacing w:before="0" w:after="100" w:line="240" w:lineRule="auto"/>
        <w:ind w:left="0" w:right="0" w:firstLine="0"/>
        <w:jc w:val="left"/>
      </w:pPr>
      <w:bookmarkStart w:id="1920" w:name="bookmark1920"/>
      <w:bookmarkStart w:id="1921" w:name="bookmark1921"/>
      <w:bookmarkStart w:id="1923" w:name="bookmark1923"/>
      <w:r>
        <w:rPr>
          <w:color w:val="000000"/>
          <w:spacing w:val="0"/>
          <w:w w:val="100"/>
          <w:position w:val="0"/>
        </w:rPr>
        <w:t>1、重要承诺事项</w:t>
      </w:r>
      <w:bookmarkEnd w:id="1920"/>
      <w:bookmarkEnd w:id="1921"/>
      <w:bookmarkEnd w:id="192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资本性承诺支出事项</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以下为资产负债表日，本公司已签约而尚不必在资产负债表上列示的资本性承诺:</w:t>
      </w:r>
    </w:p>
    <w:p>
      <w:pPr>
        <w:pStyle w:val="Style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房屋、建筑物及机器设备人民币</w:t>
      </w:r>
      <w:r>
        <w:rPr>
          <w:rFonts w:ascii="Times New Roman" w:eastAsia="Times New Roman" w:hAnsi="Times New Roman" w:cs="Times New Roman"/>
          <w:color w:val="000000"/>
          <w:spacing w:val="0"/>
          <w:w w:val="100"/>
          <w:position w:val="0"/>
        </w:rPr>
        <w:t>141,579,228.98</w:t>
      </w:r>
      <w:r>
        <w:rPr>
          <w:color w:val="000000"/>
          <w:spacing w:val="0"/>
          <w:w w:val="100"/>
          <w:position w:val="0"/>
        </w:rPr>
        <w:t>元</w:t>
      </w:r>
    </w:p>
    <w:p>
      <w:pPr>
        <w:pStyle w:val="Style22"/>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经营租赁承诺事项</w:t>
      </w:r>
    </w:p>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根据已签订的不可撤销的经营性租赁合同，本公司未来最低应支付租金汇总如下： 单位：元 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7,670,424.95</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4,010,572.56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二到三年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1,812,621.85</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9,169.91</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13,502,789.27</w:t>
            </w:r>
          </w:p>
        </w:tc>
      </w:tr>
    </w:tbl>
    <w:p>
      <w:pPr>
        <w:widowControl w:val="0"/>
        <w:spacing w:after="339" w:line="1" w:lineRule="exact"/>
      </w:pPr>
    </w:p>
    <w:p>
      <w:pPr>
        <w:pStyle w:val="Style35"/>
        <w:keepNext/>
        <w:keepLines/>
        <w:widowControl w:val="0"/>
        <w:shd w:val="clear" w:color="auto" w:fill="auto"/>
        <w:bidi w:val="0"/>
        <w:spacing w:before="0" w:after="100" w:line="240" w:lineRule="auto"/>
        <w:ind w:left="0" w:right="0" w:firstLine="0"/>
        <w:jc w:val="left"/>
      </w:pPr>
      <w:bookmarkStart w:id="1924" w:name="bookmark1924"/>
      <w:bookmarkStart w:id="1925" w:name="bookmark1925"/>
      <w:bookmarkStart w:id="1926" w:name="bookmark1926"/>
      <w:r>
        <w:rPr>
          <w:color w:val="000000"/>
          <w:spacing w:val="0"/>
          <w:w w:val="100"/>
          <w:position w:val="0"/>
        </w:rPr>
        <w:t>2、或有事项</w:t>
      </w:r>
      <w:bookmarkEnd w:id="1924"/>
      <w:bookmarkEnd w:id="1925"/>
      <w:bookmarkEnd w:id="1926"/>
    </w:p>
    <w:p>
      <w:pPr>
        <w:pStyle w:val="Style35"/>
        <w:keepNext/>
        <w:keepLines/>
        <w:widowControl w:val="0"/>
        <w:shd w:val="clear" w:color="auto" w:fill="auto"/>
        <w:bidi w:val="0"/>
        <w:spacing w:before="0" w:after="100" w:line="240" w:lineRule="auto"/>
        <w:ind w:left="0" w:right="0" w:firstLine="0"/>
        <w:jc w:val="left"/>
      </w:pPr>
      <w:bookmarkStart w:id="1924" w:name="bookmark1924"/>
      <w:bookmarkStart w:id="1925" w:name="bookmark1925"/>
      <w:bookmarkStart w:id="1927" w:name="bookmark1927"/>
      <w:r>
        <w:rPr>
          <w:color w:val="000000"/>
          <w:spacing w:val="0"/>
          <w:w w:val="100"/>
          <w:position w:val="0"/>
        </w:rPr>
        <w:t>(1).</w:t>
      </w:r>
      <w:r>
        <w:rPr>
          <w:color w:val="000000"/>
          <w:spacing w:val="0"/>
          <w:w w:val="100"/>
          <w:position w:val="0"/>
        </w:rPr>
        <w:t>资产负债表日存在的重要或有事项</w:t>
      </w:r>
      <w:bookmarkEnd w:id="1924"/>
      <w:bookmarkEnd w:id="1925"/>
      <w:bookmarkEnd w:id="1927"/>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336" w:lineRule="exact"/>
        <w:ind w:left="0" w:right="0" w:firstLine="0"/>
        <w:jc w:val="left"/>
      </w:pPr>
      <w:r>
        <w:rPr>
          <w:b/>
          <w:bCs/>
          <w:color w:val="000000"/>
          <w:spacing w:val="0"/>
          <w:w w:val="100"/>
          <w:position w:val="0"/>
        </w:rPr>
        <w:t>(2).</w:t>
      </w:r>
      <w:r>
        <w:rPr>
          <w:b/>
          <w:bCs/>
          <w:color w:val="000000"/>
          <w:spacing w:val="0"/>
          <w:w w:val="100"/>
          <w:position w:val="0"/>
        </w:rPr>
        <w:t xml:space="preserve">公司没有需要披露的重要或有事项，也应予以说明: </w:t>
      </w: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3</w:t>
      </w:r>
      <w:bookmarkEnd w:id="1930"/>
      <w:r>
        <w:rPr>
          <w:color w:val="000000"/>
          <w:spacing w:val="0"/>
          <w:w w:val="100"/>
          <w:position w:val="0"/>
        </w:rPr>
        <w:t>、其他</w:t>
      </w:r>
      <w:bookmarkEnd w:id="1928"/>
      <w:bookmarkEnd w:id="1929"/>
      <w:bookmarkEnd w:id="193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83" w:lineRule="exact"/>
        <w:ind w:left="0" w:right="0" w:firstLine="0"/>
        <w:jc w:val="left"/>
      </w:pPr>
      <w:r>
        <w:rPr>
          <w:b/>
          <w:bCs/>
          <w:color w:val="000000"/>
          <w:spacing w:val="0"/>
          <w:w w:val="100"/>
          <w:position w:val="0"/>
        </w:rPr>
        <w:t>十五、资产负债表日后事项</w:t>
      </w:r>
    </w:p>
    <w:p>
      <w:pPr>
        <w:pStyle w:val="Style2"/>
        <w:keepNext w:val="0"/>
        <w:keepLines w:val="0"/>
        <w:widowControl w:val="0"/>
        <w:shd w:val="clear" w:color="auto" w:fill="auto"/>
        <w:tabs>
          <w:tab w:pos="368" w:val="left"/>
        </w:tabs>
        <w:bidi w:val="0"/>
        <w:spacing w:before="0" w:after="0" w:line="276" w:lineRule="auto"/>
        <w:ind w:left="0" w:right="0" w:firstLine="0"/>
        <w:jc w:val="left"/>
      </w:pPr>
      <w:bookmarkStart w:id="1932" w:name="bookmark1932"/>
      <w:r>
        <w:rPr>
          <w:rFonts w:ascii="Calibri" w:eastAsia="Calibri" w:hAnsi="Calibri" w:cs="Calibri"/>
          <w:b/>
          <w:bCs/>
          <w:color w:val="000000"/>
          <w:spacing w:val="0"/>
          <w:w w:val="100"/>
          <w:position w:val="0"/>
          <w:sz w:val="20"/>
          <w:szCs w:val="20"/>
        </w:rPr>
        <w:t>1</w:t>
      </w:r>
      <w:bookmarkEnd w:id="1932"/>
      <w:r>
        <w:rPr>
          <w:b/>
          <w:bCs/>
          <w:color w:val="000000"/>
          <w:spacing w:val="0"/>
          <w:w w:val="100"/>
          <w:position w:val="0"/>
        </w:rPr>
        <w:t>、</w:t>
        <w:tab/>
        <w:t>重要的非调整事项</w:t>
      </w:r>
    </w:p>
    <w:p>
      <w:pPr>
        <w:pStyle w:val="Style2"/>
        <w:keepNext w:val="0"/>
        <w:keepLines w:val="0"/>
        <w:widowControl w:val="0"/>
        <w:shd w:val="clear" w:color="auto" w:fill="auto"/>
        <w:bidi w:val="0"/>
        <w:spacing w:before="0" w:after="10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3" w:val="left"/>
        </w:tabs>
        <w:bidi w:val="0"/>
        <w:spacing w:before="0" w:after="0" w:line="276" w:lineRule="auto"/>
        <w:ind w:left="0" w:right="0" w:firstLine="0"/>
        <w:jc w:val="left"/>
      </w:pPr>
      <w:bookmarkStart w:id="1933" w:name="bookmark1933"/>
      <w:r>
        <w:rPr>
          <w:rFonts w:ascii="Calibri" w:eastAsia="Calibri" w:hAnsi="Calibri" w:cs="Calibri"/>
          <w:b/>
          <w:bCs/>
          <w:color w:val="000000"/>
          <w:spacing w:val="0"/>
          <w:w w:val="100"/>
          <w:position w:val="0"/>
          <w:sz w:val="20"/>
          <w:szCs w:val="20"/>
        </w:rPr>
        <w:t>2</w:t>
      </w:r>
      <w:bookmarkEnd w:id="1933"/>
      <w:r>
        <w:rPr>
          <w:b/>
          <w:bCs/>
          <w:color w:val="000000"/>
          <w:spacing w:val="0"/>
          <w:w w:val="100"/>
          <w:position w:val="0"/>
        </w:rPr>
        <w:t>、</w:t>
        <w:tab/>
        <w:t>利润分配情况</w:t>
      </w:r>
    </w:p>
    <w:p>
      <w:pPr>
        <w:pStyle w:val="Style2"/>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3" w:val="left"/>
        </w:tabs>
        <w:bidi w:val="0"/>
        <w:spacing w:before="0" w:after="0" w:line="276" w:lineRule="auto"/>
        <w:ind w:left="0" w:right="0" w:firstLine="0"/>
        <w:jc w:val="left"/>
      </w:pPr>
      <w:bookmarkStart w:id="1934" w:name="bookmark1934"/>
      <w:r>
        <w:rPr>
          <w:rFonts w:ascii="Calibri" w:eastAsia="Calibri" w:hAnsi="Calibri" w:cs="Calibri"/>
          <w:b/>
          <w:bCs/>
          <w:color w:val="000000"/>
          <w:spacing w:val="0"/>
          <w:w w:val="100"/>
          <w:position w:val="0"/>
          <w:sz w:val="20"/>
          <w:szCs w:val="20"/>
        </w:rPr>
        <w:t>3</w:t>
      </w:r>
      <w:bookmarkEnd w:id="1934"/>
      <w:r>
        <w:rPr>
          <w:b/>
          <w:bCs/>
          <w:color w:val="000000"/>
          <w:spacing w:val="0"/>
          <w:w w:val="100"/>
          <w:position w:val="0"/>
        </w:rPr>
        <w:t>、</w:t>
        <w:tab/>
        <w:t>销售退回</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283" w:lineRule="exact"/>
        <w:ind w:left="0" w:right="0" w:firstLine="0"/>
        <w:jc w:val="left"/>
      </w:pPr>
      <w:bookmarkStart w:id="1935" w:name="bookmark1935"/>
      <w:r>
        <w:rPr>
          <w:rFonts w:ascii="Calibri" w:eastAsia="Calibri" w:hAnsi="Calibri" w:cs="Calibri"/>
          <w:b/>
          <w:bCs/>
          <w:color w:val="000000"/>
          <w:spacing w:val="0"/>
          <w:w w:val="100"/>
          <w:position w:val="0"/>
          <w:sz w:val="20"/>
          <w:szCs w:val="20"/>
        </w:rPr>
        <w:t>4</w:t>
      </w:r>
      <w:bookmarkEnd w:id="1935"/>
      <w:r>
        <w:rPr>
          <w:b/>
          <w:bCs/>
          <w:color w:val="000000"/>
          <w:spacing w:val="0"/>
          <w:w w:val="100"/>
          <w:position w:val="0"/>
        </w:rPr>
        <w:t>、</w:t>
        <w:tab/>
        <w:t>其他资产负债表日后事项说明</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3" w:val="left"/>
        </w:tabs>
        <w:bidi w:val="0"/>
        <w:spacing w:before="0" w:after="40" w:line="283" w:lineRule="exact"/>
        <w:ind w:left="0" w:right="0" w:firstLine="0"/>
        <w:jc w:val="left"/>
      </w:pPr>
      <w:bookmarkStart w:id="1936" w:name="bookmark1936"/>
      <w:r>
        <w:rPr>
          <w:b/>
          <w:bCs/>
          <w:color w:val="000000"/>
          <w:spacing w:val="0"/>
          <w:w w:val="100"/>
          <w:position w:val="0"/>
        </w:rPr>
        <w:t>1</w:t>
      </w:r>
      <w:bookmarkEnd w:id="1936"/>
      <w:r>
        <w:rPr>
          <w:b/>
          <w:bCs/>
          <w:color w:val="000000"/>
          <w:spacing w:val="0"/>
          <w:w w:val="100"/>
          <w:position w:val="0"/>
        </w:rPr>
        <w:t>、</w:t>
        <w:tab/>
        <w:t>前期会计差错更正</w:t>
      </w:r>
    </w:p>
    <w:p>
      <w:pPr>
        <w:pStyle w:val="Style2"/>
        <w:keepNext w:val="0"/>
        <w:keepLines w:val="0"/>
        <w:widowControl w:val="0"/>
        <w:numPr>
          <w:ilvl w:val="0"/>
          <w:numId w:val="171"/>
        </w:numPr>
        <w:shd w:val="clear" w:color="auto" w:fill="auto"/>
        <w:tabs>
          <w:tab w:pos="430" w:val="left"/>
        </w:tabs>
        <w:bidi w:val="0"/>
        <w:spacing w:before="0" w:after="40" w:line="283" w:lineRule="exact"/>
        <w:ind w:left="0" w:right="0" w:firstLine="0"/>
        <w:jc w:val="left"/>
      </w:pPr>
      <w:bookmarkStart w:id="1937" w:name="bookmark1937"/>
      <w:bookmarkEnd w:id="1937"/>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430" w:val="left"/>
        </w:tabs>
        <w:bidi w:val="0"/>
        <w:spacing w:before="0" w:after="40" w:line="283" w:lineRule="exact"/>
        <w:ind w:left="0" w:right="0" w:firstLine="0"/>
        <w:jc w:val="left"/>
      </w:pPr>
      <w:bookmarkStart w:id="1938" w:name="bookmark1938"/>
      <w:bookmarkEnd w:id="1938"/>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283" w:lineRule="exact"/>
        <w:ind w:left="0" w:right="0" w:firstLine="0"/>
        <w:jc w:val="left"/>
      </w:pPr>
      <w:bookmarkStart w:id="1939" w:name="bookmark1939"/>
      <w:r>
        <w:rPr>
          <w:b/>
          <w:bCs/>
          <w:color w:val="000000"/>
          <w:spacing w:val="0"/>
          <w:w w:val="100"/>
          <w:position w:val="0"/>
        </w:rPr>
        <w:t>2</w:t>
      </w:r>
      <w:bookmarkEnd w:id="1939"/>
      <w:r>
        <w:rPr>
          <w:b/>
          <w:bCs/>
          <w:color w:val="000000"/>
          <w:spacing w:val="0"/>
          <w:w w:val="100"/>
          <w:position w:val="0"/>
        </w:rPr>
        <w:t>、</w:t>
        <w:tab/>
        <w:t>债务重组</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283" w:lineRule="exact"/>
        <w:ind w:left="0" w:right="0" w:firstLine="0"/>
        <w:jc w:val="left"/>
      </w:pPr>
      <w:bookmarkStart w:id="1940" w:name="bookmark1940"/>
      <w:r>
        <w:rPr>
          <w:b/>
          <w:bCs/>
          <w:color w:val="000000"/>
          <w:spacing w:val="0"/>
          <w:w w:val="100"/>
          <w:position w:val="0"/>
        </w:rPr>
        <w:t>3</w:t>
      </w:r>
      <w:bookmarkEnd w:id="1940"/>
      <w:r>
        <w:rPr>
          <w:b/>
          <w:bCs/>
          <w:color w:val="000000"/>
          <w:spacing w:val="0"/>
          <w:w w:val="100"/>
          <w:position w:val="0"/>
        </w:rPr>
        <w:t>、</w:t>
        <w:tab/>
        <w:t>资产置换</w:t>
      </w:r>
    </w:p>
    <w:p>
      <w:pPr>
        <w:pStyle w:val="Style2"/>
        <w:keepNext w:val="0"/>
        <w:keepLines w:val="0"/>
        <w:widowControl w:val="0"/>
        <w:numPr>
          <w:ilvl w:val="0"/>
          <w:numId w:val="173"/>
        </w:numPr>
        <w:shd w:val="clear" w:color="auto" w:fill="auto"/>
        <w:tabs>
          <w:tab w:pos="430" w:val="left"/>
        </w:tabs>
        <w:bidi w:val="0"/>
        <w:spacing w:before="0" w:after="100" w:line="283" w:lineRule="exact"/>
        <w:ind w:left="0" w:right="0" w:firstLine="0"/>
        <w:jc w:val="left"/>
      </w:pPr>
      <w:bookmarkStart w:id="1941" w:name="bookmark1941"/>
      <w:bookmarkEnd w:id="1941"/>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40" w:line="283" w:lineRule="exact"/>
        <w:ind w:left="0" w:right="0" w:firstLine="0"/>
        <w:jc w:val="left"/>
      </w:pPr>
      <w:bookmarkStart w:id="1942" w:name="bookmark1942"/>
      <w:bookmarkEnd w:id="1942"/>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283" w:lineRule="exact"/>
        <w:ind w:left="0" w:right="0" w:firstLine="0"/>
        <w:jc w:val="left"/>
      </w:pPr>
      <w:bookmarkStart w:id="1943" w:name="bookmark1943"/>
      <w:r>
        <w:rPr>
          <w:b/>
          <w:bCs/>
          <w:color w:val="000000"/>
          <w:spacing w:val="0"/>
          <w:w w:val="100"/>
          <w:position w:val="0"/>
        </w:rPr>
        <w:t>4</w:t>
      </w:r>
      <w:bookmarkEnd w:id="1943"/>
      <w:r>
        <w:rPr>
          <w:b/>
          <w:bCs/>
          <w:color w:val="000000"/>
          <w:spacing w:val="0"/>
          <w:w w:val="100"/>
          <w:position w:val="0"/>
        </w:rPr>
        <w:t>、</w:t>
        <w:tab/>
        <w:t>年金计划</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283" w:lineRule="exact"/>
        <w:ind w:left="0" w:right="0" w:firstLine="0"/>
        <w:jc w:val="left"/>
      </w:pPr>
      <w:bookmarkStart w:id="1944" w:name="bookmark1944"/>
      <w:r>
        <w:rPr>
          <w:b/>
          <w:bCs/>
          <w:color w:val="000000"/>
          <w:spacing w:val="0"/>
          <w:w w:val="100"/>
          <w:position w:val="0"/>
        </w:rPr>
        <w:t>5</w:t>
      </w:r>
      <w:bookmarkEnd w:id="1944"/>
      <w:r>
        <w:rPr>
          <w:b/>
          <w:bCs/>
          <w:color w:val="000000"/>
          <w:spacing w:val="0"/>
          <w:w w:val="100"/>
          <w:position w:val="0"/>
        </w:rPr>
        <w:t>、</w:t>
        <w:tab/>
        <w:t>终止经营</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378" w:val="left"/>
        </w:tabs>
        <w:bidi w:val="0"/>
        <w:spacing w:before="0" w:after="40" w:line="283" w:lineRule="exact"/>
        <w:ind w:left="0" w:right="0" w:firstLine="0"/>
        <w:jc w:val="left"/>
      </w:pPr>
      <w:bookmarkStart w:id="1945" w:name="bookmark1945"/>
      <w:r>
        <w:rPr>
          <w:b/>
          <w:bCs/>
          <w:color w:val="000000"/>
          <w:spacing w:val="0"/>
          <w:w w:val="100"/>
          <w:position w:val="0"/>
        </w:rPr>
        <w:t>6</w:t>
      </w:r>
      <w:bookmarkEnd w:id="1945"/>
      <w:r>
        <w:rPr>
          <w:b/>
          <w:bCs/>
          <w:color w:val="000000"/>
          <w:spacing w:val="0"/>
          <w:w w:val="100"/>
          <w:position w:val="0"/>
        </w:rPr>
        <w:t>、</w:t>
        <w:tab/>
        <w:t>分部信息</w:t>
      </w:r>
    </w:p>
    <w:p>
      <w:pPr>
        <w:pStyle w:val="Style2"/>
        <w:keepNext w:val="0"/>
        <w:keepLines w:val="0"/>
        <w:widowControl w:val="0"/>
        <w:numPr>
          <w:ilvl w:val="0"/>
          <w:numId w:val="175"/>
        </w:numPr>
        <w:shd w:val="clear" w:color="auto" w:fill="auto"/>
        <w:tabs>
          <w:tab w:pos="430" w:val="left"/>
        </w:tabs>
        <w:bidi w:val="0"/>
        <w:spacing w:before="0" w:after="40" w:line="283" w:lineRule="exact"/>
        <w:ind w:left="0" w:right="0" w:firstLine="0"/>
        <w:jc w:val="left"/>
      </w:pPr>
      <w:bookmarkStart w:id="1946" w:name="bookmark1946"/>
      <w:bookmarkEnd w:id="1946"/>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40" w:line="283" w:lineRule="exact"/>
        <w:ind w:left="0" w:right="0" w:firstLine="0"/>
        <w:jc w:val="left"/>
      </w:pPr>
      <w:bookmarkStart w:id="1947" w:name="bookmark1947"/>
      <w:bookmarkEnd w:id="1947"/>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30" w:val="left"/>
        </w:tabs>
        <w:bidi w:val="0"/>
        <w:spacing w:before="0" w:after="100" w:line="283" w:lineRule="exact"/>
        <w:ind w:left="0" w:right="0" w:firstLine="0"/>
        <w:jc w:val="left"/>
      </w:pPr>
      <w:bookmarkStart w:id="1948" w:name="bookmark1948"/>
      <w:bookmarkEnd w:id="1948"/>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3" w:lineRule="exact"/>
        <w:ind w:left="0" w:right="0" w:firstLine="440"/>
        <w:jc w:val="left"/>
      </w:pPr>
      <w:r>
        <w:rPr>
          <w:color w:val="000000"/>
          <w:spacing w:val="0"/>
          <w:w w:val="100"/>
          <w:position w:val="0"/>
        </w:rPr>
        <w:t>本公司根据内部组织结构、管理要求以及内部报告制度将公司业务确定为一个经营分部进行 分析评价。</w:t>
      </w:r>
    </w:p>
    <w:p>
      <w:pPr>
        <w:pStyle w:val="Style2"/>
        <w:keepNext w:val="0"/>
        <w:keepLines w:val="0"/>
        <w:widowControl w:val="0"/>
        <w:numPr>
          <w:ilvl w:val="0"/>
          <w:numId w:val="175"/>
        </w:numPr>
        <w:shd w:val="clear" w:color="auto" w:fill="auto"/>
        <w:tabs>
          <w:tab w:pos="430" w:val="left"/>
        </w:tabs>
        <w:bidi w:val="0"/>
        <w:spacing w:before="0" w:after="100" w:line="283" w:lineRule="exact"/>
        <w:ind w:left="0" w:right="0" w:firstLine="0"/>
        <w:jc w:val="left"/>
      </w:pPr>
      <w:bookmarkStart w:id="1949" w:name="bookmark1949"/>
      <w:bookmarkEnd w:id="1949"/>
      <w:r>
        <w:rPr>
          <w:b/>
          <w:bCs/>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6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7</w:t>
      </w:r>
      <w:bookmarkEnd w:id="1952"/>
      <w:r>
        <w:rPr>
          <w:color w:val="000000"/>
          <w:spacing w:val="0"/>
          <w:w w:val="100"/>
          <w:position w:val="0"/>
        </w:rPr>
        <w:t>、</w:t>
        <w:tab/>
        <w:t>其他对投资者决策有影响的重要交易和事项</w:t>
      </w:r>
      <w:bookmarkEnd w:id="1950"/>
      <w:bookmarkEnd w:id="1951"/>
      <w:bookmarkEnd w:id="1953"/>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0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8</w:t>
      </w:r>
      <w:bookmarkEnd w:id="1956"/>
      <w:r>
        <w:rPr>
          <w:color w:val="000000"/>
          <w:spacing w:val="0"/>
          <w:w w:val="100"/>
          <w:position w:val="0"/>
        </w:rPr>
        <w:t>、</w:t>
        <w:tab/>
        <w:t>其他</w:t>
      </w:r>
      <w:bookmarkEnd w:id="1954"/>
      <w:bookmarkEnd w:id="1955"/>
      <w:bookmarkEnd w:id="1957"/>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409,099,783.63</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2,175,586.46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1,799,464.60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4,225,979.56</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417,300,814.25</w:t>
            </w:r>
          </w:p>
        </w:tc>
      </w:tr>
    </w:tbl>
    <w:p>
      <w:pPr>
        <w:widowControl w:val="0"/>
        <w:spacing w:after="319" w:line="1" w:lineRule="exact"/>
      </w:pPr>
    </w:p>
    <w:p>
      <w:pPr>
        <w:pStyle w:val="Style35"/>
        <w:keepNext/>
        <w:keepLines/>
        <w:widowControl w:val="0"/>
        <w:shd w:val="clear" w:color="auto" w:fill="auto"/>
        <w:bidi w:val="0"/>
        <w:spacing w:before="0" w:after="100" w:line="240" w:lineRule="auto"/>
        <w:ind w:left="0" w:right="0" w:firstLine="0"/>
        <w:jc w:val="left"/>
      </w:pPr>
      <w:bookmarkStart w:id="1958" w:name="bookmark1958"/>
      <w:bookmarkStart w:id="1959" w:name="bookmark1959"/>
      <w:bookmarkStart w:id="1960" w:name="bookmark1960"/>
      <w:r>
        <w:rPr>
          <w:color w:val="000000"/>
          <w:spacing w:val="0"/>
          <w:w w:val="100"/>
          <w:position w:val="0"/>
        </w:rPr>
        <w:t>(2).</w:t>
      </w:r>
      <w:r>
        <w:rPr>
          <w:color w:val="000000"/>
          <w:spacing w:val="0"/>
          <w:w w:val="100"/>
          <w:position w:val="0"/>
        </w:rPr>
        <w:t>按坏账计提方法分类披露</w:t>
      </w:r>
      <w:bookmarkEnd w:id="1958"/>
      <w:bookmarkEnd w:id="1959"/>
      <w:bookmarkEnd w:id="19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144,237,281.44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1,942,437.14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2,175,586.46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378,021.56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1,799,464.60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1,271,564.97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70.66%</w:t>
            </w: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4,225,979.56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4,225,979.56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152,438,312.06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7,818,003.23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本年度应收合并范围内款项金额为</w:t>
      </w:r>
      <w:r>
        <w:rPr>
          <w:rFonts w:ascii="Times New Roman" w:eastAsia="Times New Roman" w:hAnsi="Times New Roman" w:cs="Times New Roman"/>
          <w:color w:val="000000"/>
          <w:spacing w:val="0"/>
          <w:w w:val="100"/>
          <w:position w:val="0"/>
        </w:rPr>
        <w:t>264,862,502.19</w:t>
      </w:r>
      <w:r>
        <w:rPr>
          <w:color w:val="000000"/>
          <w:spacing w:val="0"/>
          <w:w w:val="100"/>
          <w:position w:val="0"/>
        </w:rPr>
        <w:t>元，整个存续期预期信用损失率为</w:t>
      </w:r>
      <w:r>
        <w:rPr>
          <w:rFonts w:ascii="Times New Roman" w:eastAsia="Times New Roman" w:hAnsi="Times New Roman" w:cs="Times New Roman"/>
          <w:color w:val="000000"/>
          <w:spacing w:val="0"/>
          <w:w w:val="100"/>
          <w:position w:val="0"/>
        </w:rPr>
        <w:t>0</w:t>
      </w:r>
      <w:r>
        <w:rPr>
          <w:color w:val="000000"/>
          <w:spacing w:val="0"/>
          <w:w w:val="100"/>
          <w:position w:val="0"/>
        </w:rPr>
        <w:t>,计 提坏账准备金额为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如按预期信用损失一般模型计提坏账准备，请参照其他应收款披露：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3"/>
        </w:numPr>
        <w:shd w:val="clear" w:color="auto" w:fill="auto"/>
        <w:bidi w:val="0"/>
        <w:spacing w:before="0" w:after="100" w:line="274" w:lineRule="exact"/>
        <w:ind w:left="0" w:right="0" w:firstLine="0"/>
        <w:jc w:val="left"/>
      </w:pPr>
      <w:bookmarkStart w:id="1961" w:name="bookmark1961"/>
      <w:bookmarkStart w:id="1962" w:name="bookmark1962"/>
      <w:bookmarkStart w:id="1963" w:name="bookmark1963"/>
      <w:bookmarkStart w:id="1964" w:name="bookmark1964"/>
      <w:bookmarkEnd w:id="1963"/>
      <w:r>
        <w:rPr>
          <w:color w:val="000000"/>
          <w:spacing w:val="0"/>
          <w:w w:val="100"/>
          <w:position w:val="0"/>
        </w:rPr>
        <w:t>.</w:t>
      </w:r>
      <w:r>
        <w:rPr>
          <w:color w:val="000000"/>
          <w:spacing w:val="0"/>
          <w:w w:val="100"/>
          <w:position w:val="0"/>
        </w:rPr>
        <w:t>坏账准备的情况</w:t>
      </w:r>
      <w:bookmarkEnd w:id="1961"/>
      <w:bookmarkEnd w:id="1962"/>
      <w:bookmarkEnd w:id="1964"/>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单位：元币种：人民币</w:t>
      </w:r>
    </w:p>
    <w:tbl>
      <w:tblPr>
        <w:tblOverlap w:val="never"/>
        <w:jc w:val="center"/>
        <w:tblLayout w:type="fixed"/>
      </w:tblPr>
      <w:tblGrid>
        <w:gridCol w:w="1402"/>
        <w:gridCol w:w="1330"/>
        <w:gridCol w:w="1267"/>
        <w:gridCol w:w="1166"/>
        <w:gridCol w:w="1171"/>
        <w:gridCol w:w="1166"/>
        <w:gridCol w:w="133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其他变动</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1402"/>
        <w:gridCol w:w="1330"/>
        <w:gridCol w:w="1267"/>
        <w:gridCol w:w="1166"/>
        <w:gridCol w:w="1171"/>
        <w:gridCol w:w="1166"/>
        <w:gridCol w:w="133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6,912,563.56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905,439.67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7,818,003.23</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6,912,563.56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905,439.67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7,818,003.23</w:t>
            </w:r>
          </w:p>
        </w:tc>
      </w:tr>
    </w:tbl>
    <w:p>
      <w:pPr>
        <w:widowControl w:val="0"/>
        <w:spacing w:after="239" w:line="1" w:lineRule="exact"/>
      </w:pP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其中本期坏账准备收回或转回金额重要的: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3"/>
        </w:numPr>
        <w:shd w:val="clear" w:color="auto" w:fill="auto"/>
        <w:tabs>
          <w:tab w:pos="430" w:val="left"/>
        </w:tabs>
        <w:bidi w:val="0"/>
        <w:spacing w:before="0" w:after="40" w:line="274" w:lineRule="exact"/>
        <w:ind w:left="0" w:right="0" w:firstLine="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w:t>
      </w:r>
      <w:r>
        <w:rPr>
          <w:color w:val="000000"/>
          <w:spacing w:val="0"/>
          <w:w w:val="100"/>
          <w:position w:val="0"/>
        </w:rPr>
        <w:t>本期实际核销的应收账款情况</w:t>
      </w:r>
      <w:bookmarkEnd w:id="1965"/>
      <w:bookmarkEnd w:id="1966"/>
      <w:bookmarkEnd w:id="1968"/>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3"/>
        </w:numPr>
        <w:shd w:val="clear" w:color="auto" w:fill="auto"/>
        <w:tabs>
          <w:tab w:pos="430" w:val="left"/>
        </w:tabs>
        <w:bidi w:val="0"/>
        <w:spacing w:before="0" w:after="100" w:line="274" w:lineRule="exact"/>
        <w:ind w:left="0" w:right="0" w:firstLine="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w:t>
      </w:r>
      <w:r>
        <w:rPr>
          <w:color w:val="000000"/>
          <w:spacing w:val="0"/>
          <w:w w:val="100"/>
          <w:position w:val="0"/>
        </w:rPr>
        <w:t>按欠款方归集的期末余额前五名的应收账款情况</w:t>
      </w:r>
      <w:bookmarkEnd w:id="1969"/>
      <w:bookmarkEnd w:id="1970"/>
      <w:bookmarkEnd w:id="1972"/>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日，按应收对象归集的期末余额前五名的应收款项合计人民币 </w:t>
      </w:r>
      <w:r>
        <w:rPr>
          <w:rFonts w:ascii="Times New Roman" w:eastAsia="Times New Roman" w:hAnsi="Times New Roman" w:cs="Times New Roman"/>
          <w:color w:val="000000"/>
          <w:spacing w:val="0"/>
          <w:w w:val="100"/>
          <w:position w:val="0"/>
        </w:rPr>
        <w:t>368,413,890.85</w:t>
      </w:r>
      <w:r>
        <w:rPr>
          <w:color w:val="000000"/>
          <w:spacing w:val="0"/>
          <w:w w:val="100"/>
          <w:position w:val="0"/>
        </w:rPr>
        <w:t>元，坏账准备金额合计人民币</w:t>
      </w:r>
      <w:r>
        <w:rPr>
          <w:rFonts w:ascii="Times New Roman" w:eastAsia="Times New Roman" w:hAnsi="Times New Roman" w:cs="Times New Roman"/>
          <w:color w:val="000000"/>
          <w:spacing w:val="0"/>
          <w:w w:val="100"/>
          <w:position w:val="0"/>
        </w:rPr>
        <w:t>2,077,116.61</w:t>
      </w:r>
      <w:r>
        <w:rPr>
          <w:color w:val="000000"/>
          <w:spacing w:val="0"/>
          <w:w w:val="100"/>
          <w:position w:val="0"/>
        </w:rPr>
        <w:t>元，占应收账款期末合计数的</w:t>
      </w:r>
      <w:r>
        <w:rPr>
          <w:rFonts w:ascii="Times New Roman" w:eastAsia="Times New Roman" w:hAnsi="Times New Roman" w:cs="Times New Roman"/>
          <w:color w:val="000000"/>
          <w:spacing w:val="0"/>
          <w:w w:val="100"/>
          <w:position w:val="0"/>
        </w:rPr>
        <w:t>88.28%</w:t>
      </w:r>
      <w:r>
        <w:rPr>
          <w:color w:val="000000"/>
          <w:spacing w:val="0"/>
          <w:w w:val="100"/>
          <w:position w:val="0"/>
        </w:rPr>
        <w:t>。</w:t>
      </w:r>
    </w:p>
    <w:p>
      <w:pPr>
        <w:pStyle w:val="Style35"/>
        <w:keepNext/>
        <w:keepLines/>
        <w:widowControl w:val="0"/>
        <w:numPr>
          <w:ilvl w:val="0"/>
          <w:numId w:val="173"/>
        </w:numPr>
        <w:shd w:val="clear" w:color="auto" w:fill="auto"/>
        <w:tabs>
          <w:tab w:pos="430" w:val="left"/>
        </w:tabs>
        <w:bidi w:val="0"/>
        <w:spacing w:before="0" w:after="40" w:line="274" w:lineRule="exact"/>
        <w:ind w:left="0" w:right="0" w:firstLine="0"/>
        <w:jc w:val="left"/>
      </w:pPr>
      <w:bookmarkStart w:id="1973" w:name="bookmark1973"/>
      <w:bookmarkStart w:id="1974" w:name="bookmark1974"/>
      <w:bookmarkStart w:id="1975" w:name="bookmark1975"/>
      <w:bookmarkStart w:id="1976" w:name="bookmark1976"/>
      <w:bookmarkEnd w:id="1975"/>
      <w:r>
        <w:rPr>
          <w:color w:val="000000"/>
          <w:spacing w:val="0"/>
          <w:w w:val="100"/>
          <w:position w:val="0"/>
        </w:rPr>
        <w:t>.</w:t>
      </w:r>
      <w:r>
        <w:rPr>
          <w:color w:val="000000"/>
          <w:spacing w:val="0"/>
          <w:w w:val="100"/>
          <w:position w:val="0"/>
        </w:rPr>
        <w:t>因金融资产转移而终止确认的应收账款</w:t>
      </w:r>
      <w:bookmarkEnd w:id="1973"/>
      <w:bookmarkEnd w:id="1974"/>
      <w:bookmarkEnd w:id="1976"/>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40" w:line="274" w:lineRule="exact"/>
        <w:ind w:left="0" w:right="0" w:firstLine="0"/>
        <w:jc w:val="left"/>
      </w:pPr>
      <w:bookmarkStart w:id="1977" w:name="bookmark1977"/>
      <w:bookmarkEnd w:id="1977"/>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74" w:lineRule="exact"/>
        <w:ind w:left="0" w:right="0" w:firstLine="0"/>
        <w:jc w:val="left"/>
      </w:pPr>
      <w:bookmarkStart w:id="1978" w:name="bookmark1978"/>
      <w:bookmarkStart w:id="1979" w:name="bookmark1979"/>
      <w:bookmarkStart w:id="1980" w:name="bookmark1980"/>
      <w:r>
        <w:rPr>
          <w:color w:val="000000"/>
          <w:spacing w:val="0"/>
          <w:w w:val="100"/>
          <w:position w:val="0"/>
        </w:rPr>
        <w:t>2、其他应收款</w:t>
      </w:r>
      <w:bookmarkEnd w:id="1978"/>
      <w:bookmarkEnd w:id="1979"/>
      <w:bookmarkEnd w:id="1980"/>
    </w:p>
    <w:p>
      <w:pPr>
        <w:pStyle w:val="Style35"/>
        <w:keepNext/>
        <w:keepLines/>
        <w:widowControl w:val="0"/>
        <w:shd w:val="clear" w:color="auto" w:fill="auto"/>
        <w:bidi w:val="0"/>
        <w:spacing w:before="0" w:after="100" w:line="274" w:lineRule="exact"/>
        <w:ind w:left="0" w:right="0" w:firstLine="0"/>
        <w:jc w:val="left"/>
      </w:pPr>
      <w:bookmarkStart w:id="1978" w:name="bookmark1978"/>
      <w:bookmarkStart w:id="1979" w:name="bookmark1979"/>
      <w:bookmarkStart w:id="1981" w:name="bookmark1981"/>
      <w:r>
        <w:rPr>
          <w:color w:val="000000"/>
          <w:spacing w:val="0"/>
          <w:w w:val="100"/>
          <w:position w:val="0"/>
        </w:rPr>
        <w:t>项目列示</w:t>
      </w:r>
      <w:bookmarkEnd w:id="1978"/>
      <w:bookmarkEnd w:id="1979"/>
      <w:bookmarkEnd w:id="1981"/>
    </w:p>
    <w:p>
      <w:pPr>
        <w:pStyle w:val="Style2"/>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1,858,454.66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6,261,760.59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35,320,499.66</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6,279,653.00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37,178,954.32</w:t>
            </w: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 xml:space="preserve">不适用 </w:t>
      </w:r>
      <w:r>
        <w:rPr>
          <w:b/>
          <w:bCs/>
          <w:color w:val="000000"/>
          <w:spacing w:val="0"/>
          <w:w w:val="100"/>
          <w:position w:val="0"/>
        </w:rPr>
        <w:t>应收利息</w:t>
      </w:r>
    </w:p>
    <w:p>
      <w:pPr>
        <w:pStyle w:val="Style2"/>
        <w:keepNext w:val="0"/>
        <w:keepLines w:val="0"/>
        <w:widowControl w:val="0"/>
        <w:numPr>
          <w:ilvl w:val="0"/>
          <w:numId w:val="177"/>
        </w:numPr>
        <w:shd w:val="clear" w:color="auto" w:fill="auto"/>
        <w:tabs>
          <w:tab w:pos="440" w:val="left"/>
        </w:tabs>
        <w:bidi w:val="0"/>
        <w:spacing w:before="0" w:after="0" w:line="331" w:lineRule="exact"/>
        <w:ind w:left="0" w:right="0" w:firstLine="0"/>
        <w:jc w:val="left"/>
      </w:pPr>
      <w:bookmarkStart w:id="1982" w:name="bookmark1982"/>
      <w:bookmarkEnd w:id="1982"/>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430" w:val="left"/>
        </w:tabs>
        <w:bidi w:val="0"/>
        <w:spacing w:before="0" w:after="40" w:line="331" w:lineRule="exact"/>
        <w:ind w:left="0" w:right="0" w:firstLine="0"/>
        <w:jc w:val="left"/>
      </w:pPr>
      <w:bookmarkStart w:id="1983" w:name="bookmark1983"/>
      <w:bookmarkEnd w:id="1983"/>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7"/>
        </w:numPr>
        <w:shd w:val="clear" w:color="auto" w:fill="auto"/>
        <w:bidi w:val="0"/>
        <w:spacing w:before="0" w:after="100" w:line="240" w:lineRule="auto"/>
        <w:ind w:left="0" w:right="0" w:firstLine="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w:t>
      </w:r>
      <w:r>
        <w:rPr>
          <w:color w:val="000000"/>
          <w:spacing w:val="0"/>
          <w:w w:val="100"/>
          <w:position w:val="0"/>
        </w:rPr>
        <w:t>坏账准备计提情况</w:t>
      </w:r>
      <w:bookmarkEnd w:id="1984"/>
      <w:bookmarkEnd w:id="1985"/>
      <w:bookmarkEnd w:id="198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6" w:lineRule="exact"/>
        <w:ind w:left="0" w:right="0" w:firstLine="0"/>
        <w:jc w:val="left"/>
      </w:pPr>
      <w:bookmarkStart w:id="1988" w:name="bookmark1988"/>
      <w:bookmarkStart w:id="1989" w:name="bookmark1989"/>
      <w:bookmarkStart w:id="1990" w:name="bookmark1990"/>
      <w:r>
        <w:rPr>
          <w:color w:val="000000"/>
          <w:spacing w:val="0"/>
          <w:w w:val="100"/>
          <w:position w:val="0"/>
        </w:rPr>
        <w:t>应收股利</w:t>
      </w:r>
      <w:bookmarkEnd w:id="1988"/>
      <w:bookmarkEnd w:id="1989"/>
      <w:bookmarkEnd w:id="1990"/>
    </w:p>
    <w:p>
      <w:pPr>
        <w:pStyle w:val="Style35"/>
        <w:keepNext/>
        <w:keepLines/>
        <w:widowControl w:val="0"/>
        <w:numPr>
          <w:ilvl w:val="0"/>
          <w:numId w:val="177"/>
        </w:numPr>
        <w:shd w:val="clear" w:color="auto" w:fill="auto"/>
        <w:tabs>
          <w:tab w:pos="430" w:val="left"/>
        </w:tabs>
        <w:bidi w:val="0"/>
        <w:spacing w:before="0" w:after="40" w:line="276" w:lineRule="exact"/>
        <w:ind w:left="0" w:right="0" w:firstLine="0"/>
        <w:jc w:val="left"/>
      </w:pPr>
      <w:bookmarkStart w:id="1988" w:name="bookmark1988"/>
      <w:bookmarkStart w:id="1989" w:name="bookmark1989"/>
      <w:bookmarkStart w:id="1991" w:name="bookmark1991"/>
      <w:bookmarkStart w:id="1992" w:name="bookmark1992"/>
      <w:bookmarkEnd w:id="1991"/>
      <w:r>
        <w:rPr>
          <w:color w:val="000000"/>
          <w:spacing w:val="0"/>
          <w:w w:val="100"/>
          <w:position w:val="0"/>
        </w:rPr>
        <w:t>.</w:t>
      </w:r>
      <w:r>
        <w:rPr>
          <w:color w:val="000000"/>
          <w:spacing w:val="0"/>
          <w:w w:val="100"/>
          <w:position w:val="0"/>
        </w:rPr>
        <w:t>应收股利</w:t>
      </w:r>
      <w:bookmarkEnd w:id="1988"/>
      <w:bookmarkEnd w:id="1989"/>
      <w:bookmarkEnd w:id="1992"/>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430" w:val="left"/>
        </w:tabs>
        <w:bidi w:val="0"/>
        <w:spacing w:before="0" w:after="40" w:line="276" w:lineRule="exact"/>
        <w:ind w:left="0" w:right="0" w:firstLine="0"/>
        <w:jc w:val="left"/>
      </w:pPr>
      <w:bookmarkStart w:id="1993" w:name="bookmark1993"/>
      <w:bookmarkEnd w:id="1993"/>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430" w:val="left"/>
        </w:tabs>
        <w:bidi w:val="0"/>
        <w:spacing w:before="0" w:after="40" w:line="276" w:lineRule="exact"/>
        <w:ind w:left="0" w:right="0" w:firstLine="0"/>
        <w:jc w:val="left"/>
      </w:pPr>
      <w:bookmarkStart w:id="1994" w:name="bookmark1994"/>
      <w:bookmarkEnd w:id="1994"/>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40" w:line="276" w:lineRule="exact"/>
        <w:ind w:left="0" w:right="0" w:firstLine="0"/>
        <w:jc w:val="left"/>
      </w:pPr>
      <w:bookmarkStart w:id="1995" w:name="bookmark1995"/>
      <w:bookmarkStart w:id="1996" w:name="bookmark1996"/>
      <w:bookmarkStart w:id="1997" w:name="bookmark1997"/>
      <w:r>
        <w:rPr>
          <w:color w:val="000000"/>
          <w:spacing w:val="0"/>
          <w:w w:val="100"/>
          <w:position w:val="0"/>
        </w:rPr>
        <w:t>其他应收款</w:t>
      </w:r>
      <w:bookmarkEnd w:id="1995"/>
      <w:bookmarkEnd w:id="1996"/>
      <w:bookmarkEnd w:id="1997"/>
    </w:p>
    <w:p>
      <w:pPr>
        <w:pStyle w:val="Style35"/>
        <w:keepNext/>
        <w:keepLines/>
        <w:widowControl w:val="0"/>
        <w:shd w:val="clear" w:color="auto" w:fill="auto"/>
        <w:bidi w:val="0"/>
        <w:spacing w:before="0" w:after="100" w:line="276" w:lineRule="exact"/>
        <w:ind w:left="0" w:right="0" w:firstLine="0"/>
        <w:jc w:val="both"/>
      </w:pPr>
      <w:bookmarkStart w:id="1995" w:name="bookmark1995"/>
      <w:bookmarkStart w:id="1996" w:name="bookmark1996"/>
      <w:bookmarkStart w:id="1998" w:name="bookmark1998"/>
      <w:r>
        <w:rPr>
          <w:color w:val="000000"/>
          <w:spacing w:val="0"/>
          <w:w w:val="100"/>
          <w:position w:val="0"/>
        </w:rPr>
        <w:t>(1).</w:t>
      </w:r>
      <w:r>
        <w:rPr>
          <w:color w:val="000000"/>
          <w:spacing w:val="0"/>
          <w:w w:val="100"/>
          <w:position w:val="0"/>
        </w:rPr>
        <w:t>按账龄披露</w:t>
      </w:r>
      <w:bookmarkEnd w:id="1995"/>
      <w:bookmarkEnd w:id="1996"/>
      <w:bookmarkEnd w:id="1998"/>
    </w:p>
    <w:p>
      <w:pPr>
        <w:pStyle w:val="Style2"/>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5,751,102.12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133,417.96</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274,446.48</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603,173.40</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6,762,139.96</w:t>
            </w:r>
          </w:p>
        </w:tc>
      </w:tr>
    </w:tbl>
    <w:p>
      <w:pPr>
        <w:widowControl w:val="0"/>
        <w:spacing w:after="579" w:line="1" w:lineRule="exact"/>
      </w:pPr>
    </w:p>
    <w:p>
      <w:pPr>
        <w:pStyle w:val="Style35"/>
        <w:keepNext/>
        <w:keepLines/>
        <w:widowControl w:val="0"/>
        <w:shd w:val="clear" w:color="auto" w:fill="auto"/>
        <w:bidi w:val="0"/>
        <w:spacing w:before="0" w:after="100" w:line="240" w:lineRule="auto"/>
        <w:ind w:left="0" w:right="0" w:firstLine="0"/>
        <w:jc w:val="both"/>
      </w:pPr>
      <w:bookmarkStart w:id="1999" w:name="bookmark1999"/>
      <w:bookmarkStart w:id="2000" w:name="bookmark2000"/>
      <w:bookmarkStart w:id="2001" w:name="bookmark2001"/>
      <w:r>
        <w:rPr>
          <w:color w:val="000000"/>
          <w:spacing w:val="0"/>
          <w:w w:val="100"/>
          <w:position w:val="0"/>
        </w:rPr>
        <w:t>(2).</w:t>
      </w:r>
      <w:r>
        <w:rPr>
          <w:color w:val="000000"/>
          <w:spacing w:val="0"/>
          <w:w w:val="100"/>
          <w:position w:val="0"/>
        </w:rPr>
        <w:t>按款项性质分类情况</w:t>
      </w:r>
      <w:bookmarkEnd w:id="1999"/>
      <w:bookmarkEnd w:id="2000"/>
      <w:bookmarkEnd w:id="2001"/>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3,096,415.01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33,603,615.02</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1,270,846.76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1,142,699.29</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预付测试款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应收利息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1,858,454.66</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365,943.70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297,274.50</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886,042.08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718,950.02</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6,762,139.96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37,620,993.49</w:t>
            </w:r>
          </w:p>
        </w:tc>
      </w:tr>
    </w:tbl>
    <w:p>
      <w:pPr>
        <w:widowControl w:val="0"/>
        <w:spacing w:after="319" w:line="1" w:lineRule="exact"/>
      </w:pPr>
    </w:p>
    <w:p>
      <w:pPr>
        <w:pStyle w:val="Style35"/>
        <w:keepNext/>
        <w:keepLines/>
        <w:widowControl w:val="0"/>
        <w:numPr>
          <w:ilvl w:val="0"/>
          <w:numId w:val="171"/>
        </w:numPr>
        <w:shd w:val="clear" w:color="auto" w:fill="auto"/>
        <w:bidi w:val="0"/>
        <w:spacing w:before="0" w:after="100" w:line="240" w:lineRule="auto"/>
        <w:ind w:left="0" w:right="0" w:firstLine="0"/>
        <w:jc w:val="both"/>
      </w:pPr>
      <w:bookmarkStart w:id="2002" w:name="bookmark2002"/>
      <w:bookmarkStart w:id="2003" w:name="bookmark2003"/>
      <w:bookmarkStart w:id="2004" w:name="bookmark2004"/>
      <w:bookmarkStart w:id="2005" w:name="bookmark2005"/>
      <w:bookmarkEnd w:id="2004"/>
      <w:r>
        <w:rPr>
          <w:color w:val="000000"/>
          <w:spacing w:val="0"/>
          <w:w w:val="100"/>
          <w:position w:val="0"/>
        </w:rPr>
        <w:t>.</w:t>
      </w:r>
      <w:r>
        <w:rPr>
          <w:color w:val="000000"/>
          <w:spacing w:val="0"/>
          <w:w w:val="100"/>
          <w:position w:val="0"/>
        </w:rPr>
        <w:t>坏账准备计提情况</w:t>
      </w:r>
      <w:bookmarkEnd w:id="2002"/>
      <w:bookmarkEnd w:id="2003"/>
      <w:bookmarkEnd w:id="2005"/>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670"/>
      </w:tblGrid>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期信用损失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用减值</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用减值</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112,126.21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329,912.96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442,039.17</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40,447.79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40,447.79</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152,574.00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329,912.96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482,486.96</w:t>
            </w:r>
          </w:p>
        </w:tc>
      </w:tr>
    </w:tbl>
    <w:p>
      <w:pPr>
        <w:widowControl w:val="0"/>
        <w:spacing w:after="239" w:line="1" w:lineRule="exact"/>
      </w:pPr>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对本期发生损失准备变动的其他应收款账面余额显著变动的情况说明: 口适用</w:t>
      </w:r>
      <w:r>
        <w:rPr>
          <w:rFonts w:ascii="Times New Roman" w:eastAsia="Times New Roman" w:hAnsi="Times New Roman" w:cs="Times New Roman"/>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1"/>
        </w:numPr>
        <w:shd w:val="clear" w:color="auto" w:fill="auto"/>
        <w:bidi w:val="0"/>
        <w:spacing w:before="0" w:after="100" w:line="278" w:lineRule="exact"/>
        <w:ind w:left="0" w:right="0" w:firstLine="0"/>
        <w:jc w:val="both"/>
      </w:pPr>
      <w:bookmarkStart w:id="2006" w:name="bookmark2006"/>
      <w:bookmarkStart w:id="2007" w:name="bookmark2007"/>
      <w:bookmarkStart w:id="2008" w:name="bookmark2008"/>
      <w:bookmarkStart w:id="2009" w:name="bookmark2009"/>
      <w:bookmarkEnd w:id="2008"/>
      <w:r>
        <w:rPr>
          <w:color w:val="000000"/>
          <w:spacing w:val="0"/>
          <w:w w:val="100"/>
          <w:position w:val="0"/>
        </w:rPr>
        <w:t>,</w:t>
      </w:r>
      <w:r>
        <w:rPr>
          <w:color w:val="000000"/>
          <w:spacing w:val="0"/>
          <w:w w:val="100"/>
          <w:position w:val="0"/>
        </w:rPr>
        <w:t>坏账准备的情况</w:t>
      </w:r>
      <w:bookmarkEnd w:id="2006"/>
      <w:bookmarkEnd w:id="2007"/>
      <w:bookmarkEnd w:id="2009"/>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186"/>
        <w:gridCol w:w="1282"/>
        <w:gridCol w:w="1186"/>
        <w:gridCol w:w="1262"/>
        <w:gridCol w:w="1253"/>
        <w:gridCol w:w="1262"/>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442,039.17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40,447.79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482,486.96</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442,039.17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40,447.79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482,486.96</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430" w:val="left"/>
        </w:tabs>
        <w:bidi w:val="0"/>
        <w:spacing w:before="0" w:after="100" w:line="240" w:lineRule="auto"/>
        <w:ind w:left="0" w:right="0" w:firstLine="0"/>
        <w:jc w:val="both"/>
      </w:pPr>
      <w:bookmarkStart w:id="2010" w:name="bookmark2010"/>
      <w:bookmarkEnd w:id="2010"/>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1"/>
        </w:numPr>
        <w:shd w:val="clear" w:color="auto" w:fill="auto"/>
        <w:tabs>
          <w:tab w:pos="430" w:val="left"/>
        </w:tabs>
        <w:bidi w:val="0"/>
        <w:spacing w:before="0" w:after="100" w:line="240" w:lineRule="auto"/>
        <w:ind w:left="0" w:right="0" w:firstLine="0"/>
        <w:jc w:val="both"/>
      </w:pPr>
      <w:bookmarkStart w:id="2011" w:name="bookmark2011"/>
      <w:bookmarkStart w:id="2012" w:name="bookmark2012"/>
      <w:bookmarkStart w:id="2013" w:name="bookmark2013"/>
      <w:bookmarkStart w:id="2014" w:name="bookmark2014"/>
      <w:bookmarkEnd w:id="2013"/>
      <w:r>
        <w:rPr>
          <w:color w:val="000000"/>
          <w:spacing w:val="0"/>
          <w:w w:val="100"/>
          <w:position w:val="0"/>
        </w:rPr>
        <w:t>.</w:t>
      </w:r>
      <w:r>
        <w:rPr>
          <w:color w:val="000000"/>
          <w:spacing w:val="0"/>
          <w:w w:val="100"/>
          <w:position w:val="0"/>
        </w:rPr>
        <w:t>按欠款方归集的期末余额前五名的其他应收款情况</w:t>
      </w:r>
      <w:bookmarkEnd w:id="2011"/>
      <w:bookmarkEnd w:id="2012"/>
      <w:bookmarkEnd w:id="2014"/>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800"/>
        <w:gridCol w:w="1354"/>
        <w:gridCol w:w="1075"/>
        <w:gridCol w:w="1891"/>
        <w:gridCol w:w="1277"/>
      </w:tblGrid>
      <w:tr>
        <w:trPr>
          <w:trHeight w:val="48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占其他应收款期末余 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坏账准备 期末余额</w:t>
            </w:r>
          </w:p>
        </w:tc>
      </w:tr>
      <w:tr>
        <w:trPr>
          <w:trHeight w:val="48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合并范围内关联方 代垫款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3,095,415.01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45.72%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940,933.80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9,409.34</w:t>
            </w:r>
          </w:p>
        </w:tc>
      </w:tr>
      <w:tr>
        <w:trPr>
          <w:trHeight w:val="24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672,641.51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6,726.42</w:t>
            </w:r>
          </w:p>
        </w:tc>
      </w:tr>
      <w:tr>
        <w:trPr>
          <w:trHeight w:val="24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329,912.96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329,912.96</w:t>
            </w:r>
          </w:p>
        </w:tc>
      </w:tr>
      <w:tr>
        <w:trPr>
          <w:trHeight w:val="2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6,163,903.28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91.04%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346,048.72</w:t>
            </w:r>
          </w:p>
        </w:tc>
      </w:tr>
    </w:tbl>
    <w:p>
      <w:pPr>
        <w:widowControl w:val="0"/>
        <w:spacing w:after="339" w:line="1" w:lineRule="exact"/>
      </w:pPr>
    </w:p>
    <w:p>
      <w:pPr>
        <w:pStyle w:val="Style35"/>
        <w:keepNext/>
        <w:keepLines/>
        <w:widowControl w:val="0"/>
        <w:numPr>
          <w:ilvl w:val="0"/>
          <w:numId w:val="171"/>
        </w:numPr>
        <w:shd w:val="clear" w:color="auto" w:fill="auto"/>
        <w:tabs>
          <w:tab w:pos="430" w:val="left"/>
        </w:tabs>
        <w:bidi w:val="0"/>
        <w:spacing w:before="0" w:after="100" w:line="240" w:lineRule="auto"/>
        <w:ind w:left="0" w:right="0" w:firstLine="0"/>
        <w:jc w:val="both"/>
      </w:pPr>
      <w:bookmarkStart w:id="2015" w:name="bookmark2015"/>
      <w:bookmarkStart w:id="2016" w:name="bookmark2016"/>
      <w:bookmarkStart w:id="2017" w:name="bookmark2017"/>
      <w:bookmarkStart w:id="2018" w:name="bookmark2018"/>
      <w:bookmarkEnd w:id="2017"/>
      <w:r>
        <w:rPr>
          <w:color w:val="000000"/>
          <w:spacing w:val="0"/>
          <w:w w:val="100"/>
          <w:position w:val="0"/>
        </w:rPr>
        <w:t>.</w:t>
      </w:r>
      <w:r>
        <w:rPr>
          <w:color w:val="000000"/>
          <w:spacing w:val="0"/>
          <w:w w:val="100"/>
          <w:position w:val="0"/>
        </w:rPr>
        <w:t>涉及政府补助的应收款项</w:t>
      </w:r>
      <w:bookmarkEnd w:id="2015"/>
      <w:bookmarkEnd w:id="2016"/>
      <w:bookmarkEnd w:id="2018"/>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numPr>
          <w:ilvl w:val="0"/>
          <w:numId w:val="171"/>
        </w:numPr>
        <w:shd w:val="clear" w:color="auto" w:fill="auto"/>
        <w:tabs>
          <w:tab w:pos="430" w:val="left"/>
        </w:tabs>
        <w:bidi w:val="0"/>
        <w:spacing w:before="0" w:after="100" w:line="240" w:lineRule="auto"/>
        <w:ind w:left="0" w:right="0" w:firstLine="0"/>
        <w:jc w:val="both"/>
      </w:pPr>
      <w:bookmarkStart w:id="2019" w:name="bookmark2019"/>
      <w:bookmarkStart w:id="2020" w:name="bookmark2020"/>
      <w:bookmarkStart w:id="2021" w:name="bookmark2021"/>
      <w:bookmarkStart w:id="2022" w:name="bookmark2022"/>
      <w:bookmarkEnd w:id="2021"/>
      <w:r>
        <w:rPr>
          <w:color w:val="000000"/>
          <w:spacing w:val="0"/>
          <w:w w:val="100"/>
          <w:position w:val="0"/>
        </w:rPr>
        <w:t>.</w:t>
      </w:r>
      <w:r>
        <w:rPr>
          <w:color w:val="000000"/>
          <w:spacing w:val="0"/>
          <w:w w:val="100"/>
          <w:position w:val="0"/>
        </w:rPr>
        <w:t>因金融资产转移而终止确认的其他应收款</w:t>
      </w:r>
      <w:bookmarkEnd w:id="2019"/>
      <w:bookmarkEnd w:id="2020"/>
      <w:bookmarkEnd w:id="2022"/>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r>
        <w:br w:type="page"/>
      </w:r>
    </w:p>
    <w:p>
      <w:pPr>
        <w:pStyle w:val="Style35"/>
        <w:keepNext/>
        <w:keepLines/>
        <w:widowControl w:val="0"/>
        <w:numPr>
          <w:ilvl w:val="0"/>
          <w:numId w:val="171"/>
        </w:numPr>
        <w:shd w:val="clear" w:color="auto" w:fill="auto"/>
        <w:bidi w:val="0"/>
        <w:spacing w:before="0" w:after="100" w:line="240" w:lineRule="auto"/>
        <w:ind w:left="0" w:right="0" w:firstLine="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w:t>
      </w:r>
      <w:r>
        <w:rPr>
          <w:color w:val="000000"/>
          <w:spacing w:val="0"/>
          <w:w w:val="100"/>
          <w:position w:val="0"/>
        </w:rPr>
        <w:t>转移其他应收款且继续涉入形成的资产、负债金额</w:t>
      </w:r>
      <w:bookmarkEnd w:id="2023"/>
      <w:bookmarkEnd w:id="2024"/>
      <w:bookmarkEnd w:id="2026"/>
    </w:p>
    <w:p>
      <w:pPr>
        <w:pStyle w:val="Style2"/>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10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3</w:t>
      </w:r>
      <w:bookmarkEnd w:id="2029"/>
      <w:r>
        <w:rPr>
          <w:color w:val="000000"/>
          <w:spacing w:val="0"/>
          <w:w w:val="100"/>
          <w:position w:val="0"/>
        </w:rPr>
        <w:t>、长期股权投资</w:t>
      </w:r>
      <w:bookmarkEnd w:id="2027"/>
      <w:bookmarkEnd w:id="2028"/>
      <w:bookmarkEnd w:id="203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64"/>
        <w:gridCol w:w="1526"/>
        <w:gridCol w:w="1426"/>
        <w:gridCol w:w="1531"/>
        <w:gridCol w:w="1517"/>
        <w:gridCol w:w="437"/>
        <w:gridCol w:w="1536"/>
      </w:tblGrid>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对子公 司投资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338,877,034.78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338,877,034.78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126,682,767.10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126,682,767.10</w:t>
            </w:r>
          </w:p>
        </w:tc>
      </w:tr>
      <w:tr>
        <w:trPr>
          <w:trHeight w:val="109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对联 营、合 营企业 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435,239,091.51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10,969,154.22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424,269,937.29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168,929,494.97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168,929,494.97</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774,116,126.29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10,969,154.22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763,146,972.07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295,612,262.07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295,612,262.07</w:t>
            </w:r>
          </w:p>
        </w:tc>
      </w:tr>
    </w:tbl>
    <w:p>
      <w:pPr>
        <w:widowControl w:val="0"/>
        <w:spacing w:after="27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本公司不存在长期投资变现的重大限制。</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对子公司投资</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1507"/>
        <w:gridCol w:w="1531"/>
        <w:gridCol w:w="1526"/>
        <w:gridCol w:w="912"/>
        <w:gridCol w:w="1526"/>
        <w:gridCol w:w="917"/>
        <w:gridCol w:w="917"/>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元币种</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人民币</w:t>
            </w:r>
          </w:p>
        </w:tc>
      </w:tr>
      <w:tr>
        <w:trPr>
          <w:trHeight w:val="8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减值准 备期末 余额</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中微临港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中微国际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86,332,767.10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19,907,851.79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106,240,618.89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中微厦门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1,155,219.12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21,155,219.12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2,174,347.03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18,674,347.03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115,743.60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2,965,743.60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中微南昌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3,841,106.14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4,841,106.14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126,682,767.10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212,194,267.68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338,877,034.78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71" w:right="1185" w:bottom="1491" w:left="1706" w:header="0" w:footer="3" w:gutter="0"/>
          <w:cols w:space="720"/>
          <w:noEndnote/>
          <w:rtlGutter w:val="0"/>
          <w:docGrid w:linePitch="360"/>
        </w:sectPr>
      </w:pPr>
    </w:p>
    <w:p>
      <w:pPr>
        <w:pStyle w:val="Style35"/>
        <w:keepNext/>
        <w:keepLines/>
        <w:widowControl w:val="0"/>
        <w:shd w:val="clear" w:color="auto" w:fill="auto"/>
        <w:bidi w:val="0"/>
        <w:spacing w:before="0" w:after="120" w:line="240" w:lineRule="auto"/>
        <w:ind w:left="0" w:right="0" w:firstLine="0"/>
        <w:jc w:val="left"/>
      </w:pPr>
      <w:bookmarkStart w:id="2031" w:name="bookmark2031"/>
      <w:bookmarkStart w:id="2032" w:name="bookmark2032"/>
      <w:bookmarkStart w:id="2033" w:name="bookmark2033"/>
      <w:r>
        <w:rPr>
          <w:color w:val="000000"/>
          <w:spacing w:val="0"/>
          <w:w w:val="100"/>
          <w:position w:val="0"/>
        </w:rPr>
        <w:t>(2).</w:t>
      </w:r>
      <w:r>
        <w:rPr>
          <w:color w:val="000000"/>
          <w:spacing w:val="0"/>
          <w:w w:val="100"/>
          <w:position w:val="0"/>
        </w:rPr>
        <w:t>对联营、合营企业投资</w:t>
      </w:r>
      <w:bookmarkEnd w:id="2031"/>
      <w:bookmarkEnd w:id="2032"/>
      <w:bookmarkEnd w:id="203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72"/>
        <w:gridCol w:w="1157"/>
        <w:gridCol w:w="1166"/>
        <w:gridCol w:w="1027"/>
        <w:gridCol w:w="1205"/>
        <w:gridCol w:w="1080"/>
        <w:gridCol w:w="1090"/>
        <w:gridCol w:w="1200"/>
        <w:gridCol w:w="1190"/>
        <w:gridCol w:w="1157"/>
        <w:gridCol w:w="1181"/>
        <w:gridCol w:w="1138"/>
      </w:tblGrid>
      <w:tr>
        <w:trPr>
          <w:trHeight w:val="21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197" w:lineRule="exact"/>
              <w:ind w:left="480" w:right="0" w:firstLine="0"/>
              <w:jc w:val="left"/>
              <w:rPr>
                <w:sz w:val="15"/>
                <w:szCs w:val="15"/>
              </w:rPr>
            </w:pPr>
            <w:r>
              <w:rPr>
                <w:color w:val="000000"/>
                <w:spacing w:val="0"/>
                <w:w w:val="100"/>
                <w:position w:val="0"/>
                <w:sz w:val="15"/>
                <w:szCs w:val="15"/>
              </w:rPr>
              <w:t>投资 单位</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期末</w:t>
            </w:r>
          </w:p>
          <w:p>
            <w:pPr>
              <w:pStyle w:val="Style25"/>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减值准备期末 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其他综合收 益调整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其他权益变 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宣告发放现金 股利或利润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gridSpan w:val="1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2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沈阳拓荆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153,380,438.20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-6,380,076.84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8,400,099.60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3,149,781.89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158,550,242.85</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上海创徒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3,808,873.37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3,709,502.35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-99,371.02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上海芯元基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8,740,183.40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3,709,502.35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-344,290.03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12,105,395.72</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洪朴科技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-2,995,212.38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874,880.08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25,879,667.70</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Solayer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46,533,547.00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-7,529,566.18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10,969,154.22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-300,195.48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27,734,631.12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10,969,154.22</w:t>
            </w:r>
          </w:p>
        </w:tc>
      </w:tr>
      <w:tr>
        <w:trPr>
          <w:trHeight w:val="2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中欣晶圆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199,999,999.90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199,999,999.90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168,929,494.97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275,243,049.25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3,709,502.35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-17,348,516.45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8,400,099.60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10,969,154.22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3,724,466.49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424,269,937.29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10,969,154.22</w:t>
            </w:r>
          </w:p>
        </w:tc>
      </w:tr>
      <w:tr>
        <w:trPr>
          <w:trHeight w:val="21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168,929,494.97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275,243,049.25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3,709,502.35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-17,348,516.45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8,400,099.60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10,969,154.22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3,724,466.49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424,269,937.29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10,969,154.22</w:t>
            </w:r>
          </w:p>
        </w:tc>
      </w:tr>
    </w:tbl>
    <w:p>
      <w:pPr>
        <w:widowControl w:val="0"/>
        <w:spacing w:after="519" w:line="1" w:lineRule="exact"/>
      </w:pPr>
    </w:p>
    <w:p>
      <w:pPr>
        <w:pStyle w:val="Style2"/>
        <w:keepNext w:val="0"/>
        <w:keepLines w:val="0"/>
        <w:widowControl w:val="0"/>
        <w:shd w:val="clear" w:color="auto" w:fill="auto"/>
        <w:bidi w:val="0"/>
        <w:spacing w:before="0" w:after="3180" w:line="269" w:lineRule="exact"/>
        <w:ind w:left="0" w:right="0" w:firstLine="0"/>
        <w:jc w:val="left"/>
      </w:pPr>
      <w:r>
        <w:rPr>
          <w:color w:val="000000"/>
          <w:spacing w:val="0"/>
          <w:w w:val="100"/>
          <w:position w:val="0"/>
        </w:rPr>
        <w:t>其他说明: 无。</w:t>
      </w:r>
    </w:p>
    <w:p>
      <w:pPr>
        <w:pStyle w:val="Style45"/>
        <w:keepNext w:val="0"/>
        <w:keepLines w:val="0"/>
        <w:widowControl w:val="0"/>
        <w:shd w:val="clear" w:color="auto" w:fill="auto"/>
        <w:bidi w:val="0"/>
        <w:spacing w:before="0" w:after="320" w:line="240" w:lineRule="auto"/>
        <w:ind w:left="0" w:right="0" w:firstLine="0"/>
        <w:jc w:val="center"/>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2132" w:right="1542" w:bottom="1190" w:left="1422" w:header="0" w:footer="762" w:gutter="0"/>
          <w:cols w:space="720"/>
          <w:noEndnote/>
          <w:rtlGutter w:val="0"/>
          <w:docGrid w:linePitch="360"/>
        </w:sectPr>
      </w:pPr>
      <w:r>
        <w:rPr>
          <w:color w:val="000000"/>
          <w:spacing w:val="0"/>
          <w:w w:val="100"/>
          <w:position w:val="0"/>
        </w:rPr>
        <w:t xml:space="preserve">190 </w:t>
      </w:r>
      <w:r>
        <w:rPr>
          <w:b w:val="0"/>
          <w:bCs w:val="0"/>
          <w:color w:val="000000"/>
          <w:spacing w:val="0"/>
          <w:w w:val="100"/>
          <w:position w:val="0"/>
        </w:rPr>
        <w:t xml:space="preserve">/ </w:t>
      </w:r>
      <w:r>
        <w:rPr>
          <w:color w:val="000000"/>
          <w:spacing w:val="0"/>
          <w:w w:val="100"/>
          <w:position w:val="0"/>
        </w:rPr>
        <w:t>193</w:t>
      </w:r>
    </w:p>
    <w:p>
      <w:pPr>
        <w:pStyle w:val="Style35"/>
        <w:keepNext/>
        <w:keepLines/>
        <w:widowControl w:val="0"/>
        <w:shd w:val="clear" w:color="auto" w:fill="auto"/>
        <w:bidi w:val="0"/>
        <w:spacing w:before="0" w:after="10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4</w:t>
      </w:r>
      <w:bookmarkEnd w:id="2036"/>
      <w:r>
        <w:rPr>
          <w:color w:val="000000"/>
          <w:spacing w:val="0"/>
          <w:w w:val="100"/>
          <w:position w:val="0"/>
        </w:rPr>
        <w:t>、营业收入和营业成本</w:t>
      </w:r>
      <w:bookmarkEnd w:id="2034"/>
      <w:bookmarkEnd w:id="2035"/>
      <w:bookmarkEnd w:id="2037"/>
    </w:p>
    <w:p>
      <w:pPr>
        <w:pStyle w:val="Style35"/>
        <w:keepNext/>
        <w:keepLines/>
        <w:widowControl w:val="0"/>
        <w:shd w:val="clear" w:color="auto" w:fill="auto"/>
        <w:bidi w:val="0"/>
        <w:spacing w:before="0" w:after="100" w:line="240" w:lineRule="auto"/>
        <w:ind w:left="0" w:right="0" w:firstLine="0"/>
        <w:jc w:val="left"/>
      </w:pPr>
      <w:bookmarkStart w:id="2034" w:name="bookmark2034"/>
      <w:bookmarkStart w:id="2035" w:name="bookmark2035"/>
      <w:bookmarkStart w:id="2038" w:name="bookmark2038"/>
      <w:r>
        <w:rPr>
          <w:color w:val="000000"/>
          <w:spacing w:val="0"/>
          <w:w w:val="100"/>
          <w:position w:val="0"/>
        </w:rPr>
        <w:t>(1).</w:t>
      </w:r>
      <w:r>
        <w:rPr>
          <w:color w:val="000000"/>
          <w:spacing w:val="0"/>
          <w:w w:val="100"/>
          <w:position w:val="0"/>
        </w:rPr>
        <w:t>营业收入和营业成本情况</w:t>
      </w:r>
      <w:bookmarkEnd w:id="2034"/>
      <w:bookmarkEnd w:id="2035"/>
      <w:bookmarkEnd w:id="203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690"/>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1,987,682,271.30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1,309,891,197.97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1,710,712,555.78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1,151,155,993.28</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1,987,682,271.30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1,309,891,197.97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1,710,712,555.78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1,151,155,993.28</w:t>
            </w:r>
          </w:p>
        </w:tc>
      </w:tr>
    </w:tbl>
    <w:p>
      <w:pPr>
        <w:widowControl w:val="0"/>
        <w:spacing w:after="339" w:line="1" w:lineRule="exact"/>
      </w:pPr>
    </w:p>
    <w:p>
      <w:pPr>
        <w:pStyle w:val="Style35"/>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w:t>
      </w:r>
      <w:r>
        <w:rPr>
          <w:color w:val="000000"/>
          <w:spacing w:val="0"/>
          <w:w w:val="100"/>
          <w:position w:val="0"/>
        </w:rPr>
        <w:t>合同产生的收入的情况</w:t>
      </w:r>
      <w:bookmarkEnd w:id="2039"/>
      <w:bookmarkEnd w:id="2040"/>
      <w:bookmarkEnd w:id="204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30" w:val="left"/>
        </w:tabs>
        <w:bidi w:val="0"/>
        <w:spacing w:before="0" w:after="100" w:line="240" w:lineRule="auto"/>
        <w:ind w:left="0" w:right="0" w:firstLine="0"/>
        <w:jc w:val="left"/>
      </w:pPr>
      <w:bookmarkStart w:id="2043" w:name="bookmark2043"/>
      <w:bookmarkEnd w:id="2043"/>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30" w:val="left"/>
        </w:tabs>
        <w:bidi w:val="0"/>
        <w:spacing w:before="0" w:after="100" w:line="240" w:lineRule="auto"/>
        <w:ind w:left="0" w:right="0" w:firstLine="0"/>
        <w:jc w:val="left"/>
      </w:pPr>
      <w:bookmarkStart w:id="2044" w:name="bookmark2044"/>
      <w:bookmarkEnd w:id="2044"/>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10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5</w:t>
      </w:r>
      <w:bookmarkEnd w:id="2047"/>
      <w:r>
        <w:rPr>
          <w:color w:val="000000"/>
          <w:spacing w:val="0"/>
          <w:w w:val="100"/>
          <w:position w:val="0"/>
        </w:rPr>
        <w:t>、投资收益</w:t>
      </w:r>
      <w:bookmarkEnd w:id="2045"/>
      <w:bookmarkEnd w:id="2046"/>
      <w:bookmarkEnd w:id="204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-17,348,516.45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-12,566,282.74</w:t>
            </w:r>
          </w:p>
        </w:tc>
      </w:tr>
      <w:tr>
        <w:trPr>
          <w:trHeight w:val="55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42,100,898.91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13,341,965.66</w:t>
            </w: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24,752,382.46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775,682.92</w:t>
            </w:r>
          </w:p>
        </w:tc>
      </w:tr>
    </w:tbl>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pStyle w:val="Style35"/>
        <w:keepNext/>
        <w:keepLines/>
        <w:widowControl w:val="0"/>
        <w:shd w:val="clear" w:color="auto" w:fill="auto"/>
        <w:bidi w:val="0"/>
        <w:spacing w:before="0" w:after="0" w:line="278" w:lineRule="exact"/>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6</w:t>
      </w:r>
      <w:bookmarkEnd w:id="2051"/>
      <w:r>
        <w:rPr>
          <w:color w:val="000000"/>
          <w:spacing w:val="0"/>
          <w:w w:val="100"/>
          <w:position w:val="0"/>
        </w:rPr>
        <w:t>、其他</w:t>
      </w:r>
      <w:bookmarkEnd w:id="2049"/>
      <w:bookmarkEnd w:id="2050"/>
      <w:bookmarkEnd w:id="2052"/>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bidi w:val="0"/>
        <w:spacing w:before="0" w:after="0" w:line="278" w:lineRule="exact"/>
        <w:ind w:left="0" w:right="0" w:firstLine="0"/>
        <w:jc w:val="left"/>
      </w:pPr>
      <w:bookmarkStart w:id="2053" w:name="bookmark2053"/>
      <w:bookmarkStart w:id="2054" w:name="bookmark2054"/>
      <w:bookmarkStart w:id="2055" w:name="bookmark2055"/>
      <w:r>
        <w:rPr>
          <w:color w:val="000000"/>
          <w:spacing w:val="0"/>
          <w:w w:val="100"/>
          <w:position w:val="0"/>
        </w:rPr>
        <w:t>十八、补充资料</w:t>
      </w:r>
      <w:bookmarkEnd w:id="2053"/>
      <w:bookmarkEnd w:id="2054"/>
      <w:bookmarkEnd w:id="2055"/>
    </w:p>
    <w:p>
      <w:pPr>
        <w:pStyle w:val="Style35"/>
        <w:keepNext/>
        <w:keepLines/>
        <w:widowControl w:val="0"/>
        <w:shd w:val="clear" w:color="auto" w:fill="auto"/>
        <w:bidi w:val="0"/>
        <w:spacing w:before="0" w:after="100" w:line="278" w:lineRule="exact"/>
        <w:ind w:left="0" w:right="0" w:firstLine="0"/>
        <w:jc w:val="left"/>
      </w:pPr>
      <w:bookmarkStart w:id="2053" w:name="bookmark2053"/>
      <w:bookmarkStart w:id="2054" w:name="bookmark2054"/>
      <w:bookmarkStart w:id="2056" w:name="bookmark2056"/>
      <w:r>
        <w:rPr>
          <w:color w:val="000000"/>
          <w:spacing w:val="0"/>
          <w:w w:val="100"/>
          <w:position w:val="0"/>
        </w:rPr>
        <w:t>1、当期非经常性损益明细表</w:t>
      </w:r>
      <w:bookmarkEnd w:id="2053"/>
      <w:bookmarkEnd w:id="2054"/>
      <w:bookmarkEnd w:id="2056"/>
    </w:p>
    <w:p>
      <w:pPr>
        <w:pStyle w:val="Style2"/>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1853"/>
        <w:gridCol w:w="2448"/>
      </w:tblGrid>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计入当期损益的政府补助(与企业业务密切相 关，按照国家统一标准定额或定量享受的政府 补助除外)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253,376,660.22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44,363,246.80</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除同公司正常经营业务相关的有效套期保值业 务外，持有交易性金融资产、衍生金融资产、 交易性金融负债、衍生金融负债产生的公允价 值变动损益，以及处置交易性金融资产、衍生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257,464,331.96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36"/>
        <w:gridCol w:w="1853"/>
        <w:gridCol w:w="2448"/>
      </w:tblGrid>
      <w:tr>
        <w:trPr>
          <w:trHeight w:val="5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金融资产、交易性金融负债、衍生金融负债和 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-2,126,544.01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-84,155,468.79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468,879,766.54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非经常性损益明细表编制基础</w:t>
      </w:r>
    </w:p>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根据中国证券监督管理委员会《公开发行证券的公司信息披露解释性公告第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 益</w:t>
      </w:r>
      <w:r>
        <w:rPr>
          <w:rFonts w:ascii="Times New Roman" w:eastAsia="Times New Roman" w:hAnsi="Times New Roman" w:cs="Times New Roman"/>
          <w:color w:val="000000"/>
          <w:spacing w:val="0"/>
          <w:w w:val="100"/>
          <w:position w:val="0"/>
        </w:rPr>
        <w:t>［2008］</w:t>
      </w:r>
      <w:r>
        <w:rPr>
          <w:color w:val="000000"/>
          <w:spacing w:val="0"/>
          <w:w w:val="100"/>
          <w:position w:val="0"/>
        </w:rPr>
        <w:t>》的规定，非经常性损益是指与公司正常经营业务无直接关系，以及虽与正常经营业务 相关，但由于其性质特殊和偶发性，影响报表使用人对公司经营业绩和盈利能力作出正确判断的 各项交易和事项产生的损益。</w:t>
      </w: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 中列举的非经常性损益项目界定为经常性损益的项目，应说明原因。</w:t>
      </w:r>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2、净资产收益率及每股收益</w:t>
      </w:r>
    </w:p>
    <w:p>
      <w:pPr>
        <w:pStyle w:val="Style22"/>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56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bl>
    <w:p>
      <w:pPr>
        <w:widowControl w:val="0"/>
        <w:spacing w:after="339" w:line="1" w:lineRule="exact"/>
      </w:pPr>
    </w:p>
    <w:p>
      <w:pPr>
        <w:pStyle w:val="Style35"/>
        <w:keepNext/>
        <w:keepLines/>
        <w:widowControl w:val="0"/>
        <w:shd w:val="clear" w:color="auto" w:fill="auto"/>
        <w:tabs>
          <w:tab w:pos="420" w:val="left"/>
        </w:tabs>
        <w:bidi w:val="0"/>
        <w:spacing w:before="0" w:after="100" w:line="240" w:lineRule="auto"/>
        <w:ind w:left="0" w:right="0" w:firstLine="0"/>
        <w:jc w:val="both"/>
      </w:pPr>
      <w:bookmarkStart w:id="2057" w:name="bookmark2057"/>
      <w:bookmarkStart w:id="2058" w:name="bookmark2058"/>
      <w:bookmarkStart w:id="2059" w:name="bookmark2059"/>
      <w:bookmarkStart w:id="2060" w:name="bookmark2060"/>
      <w:r>
        <w:rPr>
          <w:color w:val="000000"/>
          <w:spacing w:val="0"/>
          <w:w w:val="100"/>
          <w:position w:val="0"/>
        </w:rPr>
        <w:t>3</w:t>
      </w:r>
      <w:bookmarkEnd w:id="2059"/>
      <w:r>
        <w:rPr>
          <w:color w:val="000000"/>
          <w:spacing w:val="0"/>
          <w:w w:val="100"/>
          <w:position w:val="0"/>
        </w:rPr>
        <w:t>、</w:t>
        <w:tab/>
        <w:t>境内外会计准则下会计数据差异</w:t>
      </w:r>
      <w:bookmarkEnd w:id="2057"/>
      <w:bookmarkEnd w:id="2058"/>
      <w:bookmarkEnd w:id="2060"/>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35"/>
        <w:keepNext/>
        <w:keepLines/>
        <w:widowControl w:val="0"/>
        <w:shd w:val="clear" w:color="auto" w:fill="auto"/>
        <w:tabs>
          <w:tab w:pos="420" w:val="left"/>
        </w:tabs>
        <w:bidi w:val="0"/>
        <w:spacing w:before="0" w:after="100" w:line="240" w:lineRule="auto"/>
        <w:ind w:left="0" w:right="0" w:firstLine="0"/>
        <w:jc w:val="both"/>
      </w:pPr>
      <w:bookmarkStart w:id="2061" w:name="bookmark2061"/>
      <w:bookmarkStart w:id="2062" w:name="bookmark2062"/>
      <w:bookmarkStart w:id="2063" w:name="bookmark2063"/>
      <w:bookmarkStart w:id="2064" w:name="bookmark2064"/>
      <w:r>
        <w:rPr>
          <w:color w:val="000000"/>
          <w:spacing w:val="0"/>
          <w:w w:val="100"/>
          <w:position w:val="0"/>
        </w:rPr>
        <w:t>4</w:t>
      </w:r>
      <w:bookmarkEnd w:id="2063"/>
      <w:r>
        <w:rPr>
          <w:color w:val="000000"/>
          <w:spacing w:val="0"/>
          <w:w w:val="100"/>
          <w:position w:val="0"/>
        </w:rPr>
        <w:t>、</w:t>
        <w:tab/>
        <w:t>其他</w:t>
      </w:r>
      <w:bookmarkEnd w:id="2061"/>
      <w:bookmarkEnd w:id="2062"/>
      <w:bookmarkEnd w:id="2064"/>
    </w:p>
    <w:p>
      <w:pPr>
        <w:pStyle w:val="Style2"/>
        <w:keepNext w:val="0"/>
        <w:keepLines w:val="0"/>
        <w:widowControl w:val="0"/>
        <w:shd w:val="clear" w:color="auto" w:fill="auto"/>
        <w:bidi w:val="0"/>
        <w:spacing w:before="0" w:after="260" w:line="240" w:lineRule="auto"/>
        <w:ind w:left="0" w:right="0" w:firstLine="0"/>
        <w:jc w:val="both"/>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499" w:right="1256" w:bottom="1469" w:left="1770" w:header="0" w:footer="3" w:gutter="0"/>
          <w:cols w:space="720"/>
          <w:noEndnote/>
          <w:rtlGutter w:val="0"/>
          <w:docGrid w:linePitch="360"/>
        </w:sectPr>
      </w:pPr>
      <w:r>
        <w:rPr>
          <w:color w:val="000000"/>
          <w:spacing w:val="0"/>
          <w:w w:val="100"/>
          <w:position w:val="0"/>
        </w:rPr>
        <w:t xml:space="preserve">口适用 </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40" w:line="240" w:lineRule="auto"/>
        <w:ind w:left="0" w:right="0" w:firstLine="0"/>
        <w:jc w:val="center"/>
      </w:pPr>
      <w:bookmarkStart w:id="2065" w:name="bookmark2065"/>
      <w:bookmarkStart w:id="2066" w:name="bookmark2066"/>
      <w:bookmarkStart w:id="2067" w:name="bookmark2067"/>
      <w:r>
        <w:rPr>
          <w:rFonts w:ascii="SimSun" w:eastAsia="SimSun" w:hAnsi="SimSun" w:cs="SimSun"/>
          <w:color w:val="000000"/>
          <w:spacing w:val="0"/>
          <w:w w:val="100"/>
          <w:position w:val="0"/>
        </w:rPr>
        <w:t>第十二节备查文件目录</w:t>
      </w:r>
      <w:bookmarkEnd w:id="2065"/>
      <w:bookmarkEnd w:id="2066"/>
      <w:bookmarkEnd w:id="2067"/>
    </w:p>
    <w:tbl>
      <w:tblPr>
        <w:tblOverlap w:val="never"/>
        <w:jc w:val="center"/>
        <w:tblLayout w:type="fixed"/>
      </w:tblPr>
      <w:tblGrid>
        <w:gridCol w:w="2280"/>
        <w:gridCol w:w="6557"/>
      </w:tblGrid>
      <w:tr>
        <w:trPr>
          <w:trHeight w:val="5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bookmarkStart w:id="2068" w:name="bookmark2068"/>
            <w:r>
              <w:rPr>
                <w:color w:val="000000"/>
                <w:spacing w:val="0"/>
                <w:w w:val="100"/>
                <w:position w:val="0"/>
              </w:rPr>
              <w:t>备查文件目录</w:t>
            </w:r>
            <w:bookmarkEnd w:id="2068"/>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载有公司法定代表人、主管会计工作负责人、会计机构负责人签名并 盖章的财务报告。</w:t>
            </w:r>
          </w:p>
        </w:tc>
      </w:tr>
      <w:tr>
        <w:trPr>
          <w:trHeight w:val="28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报告期内在中国证监会指定网站上公开披露过的所有公司文件的正文 及公告的原稿。</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w:t>
      </w:r>
    </w:p>
    <w:p>
      <w:pPr>
        <w:widowControl w:val="0"/>
        <w:spacing w:after="99" w:line="1" w:lineRule="exact"/>
      </w:pPr>
    </w:p>
    <w:p>
      <w:pPr>
        <w:pStyle w:val="Style2"/>
        <w:keepNext w:val="0"/>
        <w:keepLines w:val="0"/>
        <w:widowControl w:val="0"/>
        <w:shd w:val="clear" w:color="auto" w:fill="auto"/>
        <w:bidi w:val="0"/>
        <w:spacing w:before="0" w:after="44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522" w:right="1259" w:bottom="1522" w:left="17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3753485</wp:posOffset>
              </wp:positionH>
              <wp:positionV relativeFrom="page">
                <wp:posOffset>9849485</wp:posOffset>
              </wp:positionV>
              <wp:extent cx="377825" cy="97790"/>
              <wp:wrapNone/>
              <wp:docPr id="5" name="Shape 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31" type="#_x0000_t202" style="position:absolute;margin-left:295.55000000000001pt;margin-top:775.55000000000007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3753485</wp:posOffset>
              </wp:positionH>
              <wp:positionV relativeFrom="page">
                <wp:posOffset>9849485</wp:posOffset>
              </wp:positionV>
              <wp:extent cx="377825" cy="97790"/>
              <wp:wrapNone/>
              <wp:docPr id="65" name="Shape 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91" type="#_x0000_t202" style="position:absolute;margin-left:295.55000000000001pt;margin-top:775.55000000000007pt;width:29.75pt;height:7.7000000000000002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3753485</wp:posOffset>
              </wp:positionH>
              <wp:positionV relativeFrom="page">
                <wp:posOffset>9849485</wp:posOffset>
              </wp:positionV>
              <wp:extent cx="377825" cy="97790"/>
              <wp:wrapNone/>
              <wp:docPr id="76" name="Shape 7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02" type="#_x0000_t202" style="position:absolute;margin-left:295.55000000000001pt;margin-top:775.55000000000007pt;width:29.75pt;height:7.7000000000000002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3753485</wp:posOffset>
              </wp:positionH>
              <wp:positionV relativeFrom="page">
                <wp:posOffset>9849485</wp:posOffset>
              </wp:positionV>
              <wp:extent cx="377825" cy="97790"/>
              <wp:wrapNone/>
              <wp:docPr id="81" name="Shape 8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07" type="#_x0000_t202" style="position:absolute;margin-left:295.55000000000001pt;margin-top:775.55000000000007pt;width:29.75pt;height:7.7000000000000002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3753485</wp:posOffset>
              </wp:positionH>
              <wp:positionV relativeFrom="page">
                <wp:posOffset>9849485</wp:posOffset>
              </wp:positionV>
              <wp:extent cx="377825" cy="97790"/>
              <wp:wrapNone/>
              <wp:docPr id="92" name="Shape 9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18" type="#_x0000_t202" style="position:absolute;margin-left:295.55000000000001pt;margin-top:775.55000000000007pt;width:29.75pt;height:7.7000000000000002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3753485</wp:posOffset>
              </wp:positionH>
              <wp:positionV relativeFrom="page">
                <wp:posOffset>9849485</wp:posOffset>
              </wp:positionV>
              <wp:extent cx="377825" cy="97790"/>
              <wp:wrapNone/>
              <wp:docPr id="97" name="Shape 9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23" type="#_x0000_t202" style="position:absolute;margin-left:295.55000000000001pt;margin-top:775.55000000000007pt;width:29.75pt;height:7.7000000000000002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5129530</wp:posOffset>
              </wp:positionH>
              <wp:positionV relativeFrom="page">
                <wp:posOffset>6678930</wp:posOffset>
              </wp:positionV>
              <wp:extent cx="374650" cy="97790"/>
              <wp:wrapNone/>
              <wp:docPr id="102" name="Shape 10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28" type="#_x0000_t202" style="position:absolute;margin-left:403.90000000000003pt;margin-top:525.89999999999998pt;width:29.5pt;height:7.7000000000000002pt;z-index:-1887440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3753485</wp:posOffset>
              </wp:positionH>
              <wp:positionV relativeFrom="page">
                <wp:posOffset>9849485</wp:posOffset>
              </wp:positionV>
              <wp:extent cx="377825" cy="97790"/>
              <wp:wrapNone/>
              <wp:docPr id="10" name="Shape 1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36" type="#_x0000_t202" style="position:absolute;margin-left:295.55000000000001pt;margin-top:775.55000000000007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5129530</wp:posOffset>
              </wp:positionH>
              <wp:positionV relativeFrom="page">
                <wp:posOffset>6678930</wp:posOffset>
              </wp:positionV>
              <wp:extent cx="374650" cy="97790"/>
              <wp:wrapNone/>
              <wp:docPr id="107" name="Shape 10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33" type="#_x0000_t202" style="position:absolute;margin-left:403.90000000000003pt;margin-top:525.89999999999998pt;width:29.5pt;height:7.7000000000000002pt;z-index:-1887439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3753485</wp:posOffset>
              </wp:positionH>
              <wp:positionV relativeFrom="page">
                <wp:posOffset>9849485</wp:posOffset>
              </wp:positionV>
              <wp:extent cx="377825" cy="97790"/>
              <wp:wrapNone/>
              <wp:docPr id="112" name="Shape 11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38" type="#_x0000_t202" style="position:absolute;margin-left:295.55000000000001pt;margin-top:775.55000000000007pt;width:29.75pt;height:7.7000000000000002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3753485</wp:posOffset>
              </wp:positionH>
              <wp:positionV relativeFrom="page">
                <wp:posOffset>9849485</wp:posOffset>
              </wp:positionV>
              <wp:extent cx="377825" cy="97790"/>
              <wp:wrapNone/>
              <wp:docPr id="117" name="Shape 11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43" type="#_x0000_t202" style="position:absolute;margin-left:295.55000000000001pt;margin-top:775.55000000000007pt;width:29.75pt;height:7.7000000000000002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5129530</wp:posOffset>
              </wp:positionH>
              <wp:positionV relativeFrom="page">
                <wp:posOffset>6678930</wp:posOffset>
              </wp:positionV>
              <wp:extent cx="374650" cy="97790"/>
              <wp:wrapNone/>
              <wp:docPr id="122" name="Shape 12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48" type="#_x0000_t202" style="position:absolute;margin-left:403.90000000000003pt;margin-top:525.89999999999998pt;width:29.5pt;height:7.7000000000000002pt;z-index:-1887439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5129530</wp:posOffset>
              </wp:positionH>
              <wp:positionV relativeFrom="page">
                <wp:posOffset>6678930</wp:posOffset>
              </wp:positionV>
              <wp:extent cx="374650" cy="97790"/>
              <wp:wrapNone/>
              <wp:docPr id="127" name="Shape 12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53" type="#_x0000_t202" style="position:absolute;margin-left:403.90000000000003pt;margin-top:525.89999999999998pt;width:29.5pt;height:7.7000000000000002pt;z-index:-1887439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3754755</wp:posOffset>
              </wp:positionH>
              <wp:positionV relativeFrom="page">
                <wp:posOffset>9808845</wp:posOffset>
              </wp:positionV>
              <wp:extent cx="377825" cy="97790"/>
              <wp:wrapNone/>
              <wp:docPr id="132" name="Shape 13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58" type="#_x0000_t202" style="position:absolute;margin-left:295.65000000000003pt;margin-top:772.35000000000002pt;width:29.75pt;height:7.7000000000000002pt;z-index:-1887439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3754755</wp:posOffset>
              </wp:positionH>
              <wp:positionV relativeFrom="page">
                <wp:posOffset>9808845</wp:posOffset>
              </wp:positionV>
              <wp:extent cx="377825" cy="97790"/>
              <wp:wrapNone/>
              <wp:docPr id="137" name="Shape 1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63" type="#_x0000_t202" style="position:absolute;margin-left:295.65000000000003pt;margin-top:772.35000000000002pt;width:29.75pt;height:7.7000000000000002pt;z-index:-18874397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5129530</wp:posOffset>
              </wp:positionH>
              <wp:positionV relativeFrom="page">
                <wp:posOffset>6678930</wp:posOffset>
              </wp:positionV>
              <wp:extent cx="374650" cy="97790"/>
              <wp:wrapNone/>
              <wp:docPr id="142" name="Shape 14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68" type="#_x0000_t202" style="position:absolute;margin-left:403.90000000000003pt;margin-top:525.89999999999998pt;width:29.5pt;height:7.7000000000000002pt;z-index:-18874397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5129530</wp:posOffset>
              </wp:positionH>
              <wp:positionV relativeFrom="page">
                <wp:posOffset>6678930</wp:posOffset>
              </wp:positionV>
              <wp:extent cx="374650" cy="97790"/>
              <wp:wrapNone/>
              <wp:docPr id="147" name="Shape 14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73" type="#_x0000_t202" style="position:absolute;margin-left:403.90000000000003pt;margin-top:525.89999999999998pt;width:29.5pt;height:7.7000000000000002pt;z-index:-18874396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3754755</wp:posOffset>
              </wp:positionH>
              <wp:positionV relativeFrom="page">
                <wp:posOffset>9808845</wp:posOffset>
              </wp:positionV>
              <wp:extent cx="377825" cy="97790"/>
              <wp:wrapNone/>
              <wp:docPr id="152" name="Shape 15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78" type="#_x0000_t202" style="position:absolute;margin-left:295.65000000000003pt;margin-top:772.35000000000002pt;width:29.75pt;height:7.7000000000000002pt;z-index:-18874396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5129530</wp:posOffset>
              </wp:positionH>
              <wp:positionV relativeFrom="page">
                <wp:posOffset>6678930</wp:posOffset>
              </wp:positionV>
              <wp:extent cx="374650" cy="97790"/>
              <wp:wrapNone/>
              <wp:docPr id="157" name="Shape 15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83" type="#_x0000_t202" style="position:absolute;margin-left:403.90000000000003pt;margin-top:525.89999999999998pt;width:29.5pt;height:7.7000000000000002pt;z-index:-18874395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3754755</wp:posOffset>
              </wp:positionH>
              <wp:positionV relativeFrom="page">
                <wp:posOffset>9808845</wp:posOffset>
              </wp:positionV>
              <wp:extent cx="377825" cy="97790"/>
              <wp:wrapNone/>
              <wp:docPr id="168" name="Shape 16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94" type="#_x0000_t202" style="position:absolute;margin-left:295.65000000000003pt;margin-top:772.35000000000002pt;width:29.75pt;height:7.7000000000000002pt;z-index:-18874395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3754755</wp:posOffset>
              </wp:positionH>
              <wp:positionV relativeFrom="page">
                <wp:posOffset>9808845</wp:posOffset>
              </wp:positionV>
              <wp:extent cx="377825" cy="97790"/>
              <wp:wrapNone/>
              <wp:docPr id="173" name="Shape 17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199" type="#_x0000_t202" style="position:absolute;margin-left:295.65000000000003pt;margin-top:772.35000000000002pt;width:29.75pt;height:7.7000000000000002pt;z-index:-18874394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5130800</wp:posOffset>
              </wp:positionH>
              <wp:positionV relativeFrom="page">
                <wp:posOffset>6678295</wp:posOffset>
              </wp:positionV>
              <wp:extent cx="374650" cy="97790"/>
              <wp:wrapNone/>
              <wp:docPr id="178" name="Shape 17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04" type="#_x0000_t202" style="position:absolute;margin-left:404.pt;margin-top:525.85000000000002pt;width:29.5pt;height:7.7000000000000002pt;z-index:-18874394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5130800</wp:posOffset>
              </wp:positionH>
              <wp:positionV relativeFrom="page">
                <wp:posOffset>6678295</wp:posOffset>
              </wp:positionV>
              <wp:extent cx="374650" cy="97790"/>
              <wp:wrapNone/>
              <wp:docPr id="183" name="Shape 18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09" type="#_x0000_t202" style="position:absolute;margin-left:404.pt;margin-top:525.85000000000002pt;width:29.5pt;height:7.7000000000000002pt;z-index:-18874393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3732530</wp:posOffset>
              </wp:positionH>
              <wp:positionV relativeFrom="page">
                <wp:posOffset>9824085</wp:posOffset>
              </wp:positionV>
              <wp:extent cx="429895" cy="97790"/>
              <wp:wrapNone/>
              <wp:docPr id="188" name="Shape 18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14" type="#_x0000_t202" style="position:absolute;margin-left:293.90000000000003pt;margin-top:773.55000000000007pt;width:33.850000000000001pt;height:7.7000000000000002pt;z-index:-18874393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3732530</wp:posOffset>
              </wp:positionH>
              <wp:positionV relativeFrom="page">
                <wp:posOffset>9824085</wp:posOffset>
              </wp:positionV>
              <wp:extent cx="429895" cy="97790"/>
              <wp:wrapNone/>
              <wp:docPr id="193" name="Shape 19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19" type="#_x0000_t202" style="position:absolute;margin-left:293.90000000000003pt;margin-top:773.55000000000007pt;width:33.850000000000001pt;height:7.7000000000000002pt;z-index:-18874393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5192395</wp:posOffset>
              </wp:positionH>
              <wp:positionV relativeFrom="page">
                <wp:posOffset>6675755</wp:posOffset>
              </wp:positionV>
              <wp:extent cx="429895" cy="97790"/>
              <wp:wrapNone/>
              <wp:docPr id="208" name="Shape 2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34" type="#_x0000_t202" style="position:absolute;margin-left:408.85000000000002pt;margin-top:525.64999999999998pt;width:33.850000000000001pt;height:7.7000000000000002pt;z-index:-18874392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5192395</wp:posOffset>
              </wp:positionH>
              <wp:positionV relativeFrom="page">
                <wp:posOffset>6675755</wp:posOffset>
              </wp:positionV>
              <wp:extent cx="429895" cy="97790"/>
              <wp:wrapNone/>
              <wp:docPr id="213" name="Shape 21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39" type="#_x0000_t202" style="position:absolute;margin-left:408.85000000000002pt;margin-top:525.64999999999998pt;width:33.850000000000001pt;height:7.7000000000000002pt;z-index:-18874392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3732530</wp:posOffset>
              </wp:positionH>
              <wp:positionV relativeFrom="page">
                <wp:posOffset>9824085</wp:posOffset>
              </wp:positionV>
              <wp:extent cx="429895" cy="97790"/>
              <wp:wrapNone/>
              <wp:docPr id="218" name="Shape 21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44" type="#_x0000_t202" style="position:absolute;margin-left:293.90000000000003pt;margin-top:773.55000000000007pt;width:33.850000000000001pt;height:7.7000000000000002pt;z-index:-18874391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3732530</wp:posOffset>
              </wp:positionH>
              <wp:positionV relativeFrom="page">
                <wp:posOffset>9824085</wp:posOffset>
              </wp:positionV>
              <wp:extent cx="429895" cy="97790"/>
              <wp:wrapNone/>
              <wp:docPr id="223" name="Shape 22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49" type="#_x0000_t202" style="position:absolute;margin-left:293.90000000000003pt;margin-top:773.55000000000007pt;width:33.850000000000001pt;height:7.7000000000000002pt;z-index:-18874391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3732530</wp:posOffset>
              </wp:positionH>
              <wp:positionV relativeFrom="page">
                <wp:posOffset>9824085</wp:posOffset>
              </wp:positionV>
              <wp:extent cx="429895" cy="97790"/>
              <wp:wrapNone/>
              <wp:docPr id="234" name="Shape 23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60" type="#_x0000_t202" style="position:absolute;margin-left:293.90000000000003pt;margin-top:773.55000000000007pt;width:33.850000000000001pt;height:7.7000000000000002pt;z-index:-18874390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3732530</wp:posOffset>
              </wp:positionH>
              <wp:positionV relativeFrom="page">
                <wp:posOffset>9824085</wp:posOffset>
              </wp:positionV>
              <wp:extent cx="429895" cy="97790"/>
              <wp:wrapNone/>
              <wp:docPr id="239" name="Shape 23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65" type="#_x0000_t202" style="position:absolute;margin-left:293.90000000000003pt;margin-top:773.55000000000007pt;width:33.850000000000001pt;height:7.7000000000000002pt;z-index:-18874390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3732530</wp:posOffset>
              </wp:positionH>
              <wp:positionV relativeFrom="page">
                <wp:posOffset>9824085</wp:posOffset>
              </wp:positionV>
              <wp:extent cx="429895" cy="97790"/>
              <wp:wrapNone/>
              <wp:docPr id="250" name="Shape 25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76" type="#_x0000_t202" style="position:absolute;margin-left:293.90000000000003pt;margin-top:773.55000000000007pt;width:33.850000000000001pt;height:7.7000000000000002pt;z-index:-18874389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3753485</wp:posOffset>
              </wp:positionH>
              <wp:positionV relativeFrom="page">
                <wp:posOffset>9849485</wp:posOffset>
              </wp:positionV>
              <wp:extent cx="377825" cy="97790"/>
              <wp:wrapNone/>
              <wp:docPr id="21" name="Shape 2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47" type="#_x0000_t202" style="position:absolute;margin-left:295.55000000000001pt;margin-top:775.55000000000007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3732530</wp:posOffset>
              </wp:positionH>
              <wp:positionV relativeFrom="page">
                <wp:posOffset>9824085</wp:posOffset>
              </wp:positionV>
              <wp:extent cx="429895" cy="97790"/>
              <wp:wrapNone/>
              <wp:docPr id="255" name="Shape 25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81" type="#_x0000_t202" style="position:absolute;margin-left:293.90000000000003pt;margin-top:773.55000000000007pt;width:33.850000000000001pt;height:7.7000000000000002pt;z-index:-18874389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3732530</wp:posOffset>
              </wp:positionH>
              <wp:positionV relativeFrom="page">
                <wp:posOffset>9824085</wp:posOffset>
              </wp:positionV>
              <wp:extent cx="429895" cy="97790"/>
              <wp:wrapNone/>
              <wp:docPr id="266" name="Shape 26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92" type="#_x0000_t202" style="position:absolute;margin-left:293.90000000000003pt;margin-top:773.55000000000007pt;width:33.850000000000001pt;height:7.7000000000000002pt;z-index:-18874388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3732530</wp:posOffset>
              </wp:positionH>
              <wp:positionV relativeFrom="page">
                <wp:posOffset>9824085</wp:posOffset>
              </wp:positionV>
              <wp:extent cx="429895" cy="97790"/>
              <wp:wrapNone/>
              <wp:docPr id="271" name="Shape 27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297" type="#_x0000_t202" style="position:absolute;margin-left:293.90000000000003pt;margin-top:773.55000000000007pt;width:33.850000000000001pt;height:7.7000000000000002pt;z-index:-18874387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3753485</wp:posOffset>
              </wp:positionH>
              <wp:positionV relativeFrom="page">
                <wp:posOffset>9849485</wp:posOffset>
              </wp:positionV>
              <wp:extent cx="377825" cy="97790"/>
              <wp:wrapNone/>
              <wp:docPr id="26" name="Shape 2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52" type="#_x0000_t202" style="position:absolute;margin-left:295.55000000000001pt;margin-top:775.55000000000007pt;width:29.75pt;height:7.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3753485</wp:posOffset>
              </wp:positionH>
              <wp:positionV relativeFrom="page">
                <wp:posOffset>9849485</wp:posOffset>
              </wp:positionV>
              <wp:extent cx="377825" cy="97790"/>
              <wp:wrapNone/>
              <wp:docPr id="31" name="Shape 3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57" type="#_x0000_t202" style="position:absolute;margin-left:295.55000000000001pt;margin-top:775.55000000000007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3753485</wp:posOffset>
              </wp:positionH>
              <wp:positionV relativeFrom="page">
                <wp:posOffset>9849485</wp:posOffset>
              </wp:positionV>
              <wp:extent cx="377825" cy="97790"/>
              <wp:wrapNone/>
              <wp:docPr id="60" name="Shape 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wps:txbx>
                    <wps:bodyPr wrap="none" lIns="0" tIns="0" rIns="0" bIns="0">
                      <a:spAutoFit/>
                    </wps:bodyPr>
                  </wps:wsp>
                </a:graphicData>
              </a:graphic>
            </wp:anchor>
          </w:drawing>
        </mc:Choice>
        <mc:Fallback>
          <w:pict>
            <v:shape id="_x0000_s1086" type="#_x0000_t202" style="position:absolute;margin-left:295.55000000000001pt;margin-top:775.55000000000007pt;width:29.75pt;height:7.7000000000000002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3524885</wp:posOffset>
              </wp:positionH>
              <wp:positionV relativeFrom="page">
                <wp:posOffset>540385</wp:posOffset>
              </wp:positionV>
              <wp:extent cx="819785" cy="106680"/>
              <wp:wrapNone/>
              <wp:docPr id="2" name="Shape 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77.55000000000001pt;margin-top:42.55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4" name="Shape 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3524885</wp:posOffset>
              </wp:positionH>
              <wp:positionV relativeFrom="page">
                <wp:posOffset>540385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8" type="#_x0000_t202" style="position:absolute;margin-left:277.55000000000001pt;margin-top:42.550000000000004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3526155</wp:posOffset>
              </wp:positionH>
              <wp:positionV relativeFrom="page">
                <wp:posOffset>443230</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3" type="#_x0000_t202" style="position:absolute;margin-left:277.65000000000003pt;margin-top:34.899999999999999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9" name="Shape 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3526155</wp:posOffset>
              </wp:positionH>
              <wp:positionV relativeFrom="page">
                <wp:posOffset>443230</wp:posOffset>
              </wp:positionV>
              <wp:extent cx="819785" cy="106680"/>
              <wp:wrapNone/>
              <wp:docPr id="70" name="Shape 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277.65000000000003pt;margin-top:34.899999999999999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3524885</wp:posOffset>
              </wp:positionH>
              <wp:positionV relativeFrom="page">
                <wp:posOffset>540385</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9" type="#_x0000_t202" style="position:absolute;margin-left:277.55000000000001pt;margin-top:42.550000000000004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3524885</wp:posOffset>
              </wp:positionH>
              <wp:positionV relativeFrom="page">
                <wp:posOffset>540385</wp:posOffset>
              </wp:positionV>
              <wp:extent cx="819785" cy="106680"/>
              <wp:wrapNone/>
              <wp:docPr id="78" name="Shape 7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4" type="#_x0000_t202" style="position:absolute;margin-left:277.55000000000001pt;margin-top:42.550000000000004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80" name="Shape 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3526155</wp:posOffset>
              </wp:positionH>
              <wp:positionV relativeFrom="page">
                <wp:posOffset>443230</wp:posOffset>
              </wp:positionV>
              <wp:extent cx="819785" cy="106680"/>
              <wp:wrapNone/>
              <wp:docPr id="83" name="Shape 8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9" type="#_x0000_t202" style="position:absolute;margin-left:277.65000000000003pt;margin-top:34.899999999999999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5" name="Shape 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3526155</wp:posOffset>
              </wp:positionH>
              <wp:positionV relativeFrom="page">
                <wp:posOffset>443230</wp:posOffset>
              </wp:positionV>
              <wp:extent cx="819785" cy="106680"/>
              <wp:wrapNone/>
              <wp:docPr id="86" name="Shape 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2" type="#_x0000_t202" style="position:absolute;margin-left:277.65000000000003pt;margin-top:34.899999999999999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8" name="Shape 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3524885</wp:posOffset>
              </wp:positionH>
              <wp:positionV relativeFrom="page">
                <wp:posOffset>540385</wp:posOffset>
              </wp:positionV>
              <wp:extent cx="819785" cy="106680"/>
              <wp:wrapNone/>
              <wp:docPr id="89" name="Shape 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5" type="#_x0000_t202" style="position:absolute;margin-left:277.55000000000001pt;margin-top:42.550000000000004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91" name="Shape 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3524885</wp:posOffset>
              </wp:positionH>
              <wp:positionV relativeFrom="page">
                <wp:posOffset>540385</wp:posOffset>
              </wp:positionV>
              <wp:extent cx="819785" cy="106680"/>
              <wp:wrapNone/>
              <wp:docPr id="94" name="Shape 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0" type="#_x0000_t202" style="position:absolute;margin-left:277.55000000000001pt;margin-top:42.550000000000004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96" name="Shape 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4900930</wp:posOffset>
              </wp:positionH>
              <wp:positionV relativeFrom="page">
                <wp:posOffset>534670</wp:posOffset>
              </wp:positionV>
              <wp:extent cx="816610" cy="106680"/>
              <wp:wrapNone/>
              <wp:docPr id="99" name="Shape 9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5" type="#_x0000_t202" style="position:absolute;margin-left:385.90000000000003pt;margin-top:42.100000000000001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707390</wp:posOffset>
              </wp:positionV>
              <wp:extent cx="8839200" cy="0"/>
              <wp:wrapNone/>
              <wp:docPr id="101" name="Shape 10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049999999999997pt;margin-top:55.700000000000003pt;width:69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3524885</wp:posOffset>
              </wp:positionH>
              <wp:positionV relativeFrom="page">
                <wp:posOffset>540385</wp:posOffset>
              </wp:positionV>
              <wp:extent cx="819785" cy="106680"/>
              <wp:wrapNone/>
              <wp:docPr id="7" name="Shape 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3" type="#_x0000_t202" style="position:absolute;margin-left:277.55000000000001pt;margin-top:42.550000000000004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9" name="Shape 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4900930</wp:posOffset>
              </wp:positionH>
              <wp:positionV relativeFrom="page">
                <wp:posOffset>534670</wp:posOffset>
              </wp:positionV>
              <wp:extent cx="816610" cy="106680"/>
              <wp:wrapNone/>
              <wp:docPr id="104" name="Shape 10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0" type="#_x0000_t202" style="position:absolute;margin-left:385.90000000000003pt;margin-top:42.100000000000001pt;width:64.29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707390</wp:posOffset>
              </wp:positionV>
              <wp:extent cx="8839200" cy="0"/>
              <wp:wrapNone/>
              <wp:docPr id="106" name="Shape 10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049999999999997pt;margin-top:55.700000000000003pt;width:696.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3524885</wp:posOffset>
              </wp:positionH>
              <wp:positionV relativeFrom="page">
                <wp:posOffset>540385</wp:posOffset>
              </wp:positionV>
              <wp:extent cx="819785" cy="106680"/>
              <wp:wrapNone/>
              <wp:docPr id="109" name="Shape 1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5" type="#_x0000_t202" style="position:absolute;margin-left:277.55000000000001pt;margin-top:42.550000000000004pt;width:64.54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111" name="Shape 1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3524885</wp:posOffset>
              </wp:positionH>
              <wp:positionV relativeFrom="page">
                <wp:posOffset>540385</wp:posOffset>
              </wp:positionV>
              <wp:extent cx="819785" cy="106680"/>
              <wp:wrapNone/>
              <wp:docPr id="114" name="Shape 1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0" type="#_x0000_t202" style="position:absolute;margin-left:277.55000000000001pt;margin-top:42.550000000000004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116" name="Shape 1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4900930</wp:posOffset>
              </wp:positionH>
              <wp:positionV relativeFrom="page">
                <wp:posOffset>534670</wp:posOffset>
              </wp:positionV>
              <wp:extent cx="816610" cy="106680"/>
              <wp:wrapNone/>
              <wp:docPr id="119" name="Shape 1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5" type="#_x0000_t202" style="position:absolute;margin-left:385.90000000000003pt;margin-top:42.100000000000001pt;width:64.2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707390</wp:posOffset>
              </wp:positionV>
              <wp:extent cx="8839200" cy="0"/>
              <wp:wrapNone/>
              <wp:docPr id="121" name="Shape 12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049999999999997pt;margin-top:55.700000000000003pt;width:696.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4900930</wp:posOffset>
              </wp:positionH>
              <wp:positionV relativeFrom="page">
                <wp:posOffset>534670</wp:posOffset>
              </wp:positionV>
              <wp:extent cx="816610" cy="106680"/>
              <wp:wrapNone/>
              <wp:docPr id="124" name="Shape 1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0" type="#_x0000_t202" style="position:absolute;margin-left:385.90000000000003pt;margin-top:42.100000000000001pt;width:64.29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707390</wp:posOffset>
              </wp:positionV>
              <wp:extent cx="8839200" cy="0"/>
              <wp:wrapNone/>
              <wp:docPr id="126" name="Shape 12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049999999999997pt;margin-top:55.700000000000003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3526155</wp:posOffset>
              </wp:positionH>
              <wp:positionV relativeFrom="page">
                <wp:posOffset>564515</wp:posOffset>
              </wp:positionV>
              <wp:extent cx="819785" cy="106680"/>
              <wp:wrapNone/>
              <wp:docPr id="129" name="Shape 1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5" type="#_x0000_t202" style="position:absolute;margin-left:277.65000000000003pt;margin-top:44.450000000000003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1" name="Shape 1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3526155</wp:posOffset>
              </wp:positionH>
              <wp:positionV relativeFrom="page">
                <wp:posOffset>564515</wp:posOffset>
              </wp:positionV>
              <wp:extent cx="819785" cy="106680"/>
              <wp:wrapNone/>
              <wp:docPr id="134" name="Shape 1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0" type="#_x0000_t202" style="position:absolute;margin-left:277.65000000000003pt;margin-top:44.450000000000003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6" name="Shape 13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4900930</wp:posOffset>
              </wp:positionH>
              <wp:positionV relativeFrom="page">
                <wp:posOffset>534670</wp:posOffset>
              </wp:positionV>
              <wp:extent cx="816610" cy="106680"/>
              <wp:wrapNone/>
              <wp:docPr id="139" name="Shape 1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5" type="#_x0000_t202" style="position:absolute;margin-left:385.90000000000003pt;margin-top:42.100000000000001pt;width:64.29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707390</wp:posOffset>
              </wp:positionV>
              <wp:extent cx="8839200" cy="0"/>
              <wp:wrapNone/>
              <wp:docPr id="141" name="Shape 14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049999999999997pt;margin-top:55.700000000000003pt;width:696.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4900930</wp:posOffset>
              </wp:positionH>
              <wp:positionV relativeFrom="page">
                <wp:posOffset>534670</wp:posOffset>
              </wp:positionV>
              <wp:extent cx="816610" cy="106680"/>
              <wp:wrapNone/>
              <wp:docPr id="144" name="Shape 14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0" type="#_x0000_t202" style="position:absolute;margin-left:385.90000000000003pt;margin-top:42.100000000000001pt;width:64.29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707390</wp:posOffset>
              </wp:positionV>
              <wp:extent cx="8839200" cy="0"/>
              <wp:wrapNone/>
              <wp:docPr id="146" name="Shape 14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049999999999997pt;margin-top:55.700000000000003pt;width:696.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3526155</wp:posOffset>
              </wp:positionH>
              <wp:positionV relativeFrom="page">
                <wp:posOffset>564515</wp:posOffset>
              </wp:positionV>
              <wp:extent cx="819785" cy="106680"/>
              <wp:wrapNone/>
              <wp:docPr id="149" name="Shape 1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5" type="#_x0000_t202" style="position:absolute;margin-left:277.65000000000003pt;margin-top:44.450000000000003pt;width:64.54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51" name="Shape 15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3526155</wp:posOffset>
              </wp:positionH>
              <wp:positionV relativeFrom="page">
                <wp:posOffset>443230</wp:posOffset>
              </wp:positionV>
              <wp:extent cx="819785" cy="106680"/>
              <wp:wrapNone/>
              <wp:docPr id="12" name="Shape 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8" type="#_x0000_t202" style="position:absolute;margin-left:277.65000000000003pt;margin-top:34.899999999999999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4" name="Shape 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4900930</wp:posOffset>
              </wp:positionH>
              <wp:positionV relativeFrom="page">
                <wp:posOffset>534670</wp:posOffset>
              </wp:positionV>
              <wp:extent cx="816610" cy="106680"/>
              <wp:wrapNone/>
              <wp:docPr id="154" name="Shape 15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0" type="#_x0000_t202" style="position:absolute;margin-left:385.90000000000003pt;margin-top:42.100000000000001pt;width:64.29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889635</wp:posOffset>
              </wp:positionH>
              <wp:positionV relativeFrom="page">
                <wp:posOffset>707390</wp:posOffset>
              </wp:positionV>
              <wp:extent cx="8839200" cy="0"/>
              <wp:wrapNone/>
              <wp:docPr id="156" name="Shape 15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049999999999997pt;margin-top:55.700000000000003pt;width:696.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3526155</wp:posOffset>
              </wp:positionH>
              <wp:positionV relativeFrom="page">
                <wp:posOffset>564515</wp:posOffset>
              </wp:positionV>
              <wp:extent cx="819785" cy="106680"/>
              <wp:wrapNone/>
              <wp:docPr id="159" name="Shape 15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5" type="#_x0000_t202" style="position:absolute;margin-left:277.65000000000003pt;margin-top:44.450000000000003pt;width:64.54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1" name="Shape 16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3526155</wp:posOffset>
              </wp:positionH>
              <wp:positionV relativeFrom="page">
                <wp:posOffset>564515</wp:posOffset>
              </wp:positionV>
              <wp:extent cx="819785" cy="106680"/>
              <wp:wrapNone/>
              <wp:docPr id="162" name="Shape 1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8" type="#_x0000_t202" style="position:absolute;margin-left:277.65000000000003pt;margin-top:44.450000000000003pt;width:64.54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4" name="Shape 1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3526155</wp:posOffset>
              </wp:positionH>
              <wp:positionV relativeFrom="page">
                <wp:posOffset>564515</wp:posOffset>
              </wp:positionV>
              <wp:extent cx="819785" cy="106680"/>
              <wp:wrapNone/>
              <wp:docPr id="165" name="Shape 1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1" type="#_x0000_t202" style="position:absolute;margin-left:277.65000000000003pt;margin-top:44.450000000000003pt;width:64.549999999999997pt;height:8.4000000000000004pt;z-index:-18874395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7" name="Shape 1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3526155</wp:posOffset>
              </wp:positionH>
              <wp:positionV relativeFrom="page">
                <wp:posOffset>564515</wp:posOffset>
              </wp:positionV>
              <wp:extent cx="819785" cy="106680"/>
              <wp:wrapNone/>
              <wp:docPr id="170" name="Shape 1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6" type="#_x0000_t202" style="position:absolute;margin-left:277.65000000000003pt;margin-top:44.450000000000003pt;width:64.549999999999997pt;height:8.4000000000000004pt;z-index:-18874394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72" name="Shape 1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4902200</wp:posOffset>
              </wp:positionH>
              <wp:positionV relativeFrom="page">
                <wp:posOffset>521970</wp:posOffset>
              </wp:positionV>
              <wp:extent cx="816610" cy="106680"/>
              <wp:wrapNone/>
              <wp:docPr id="175" name="Shape 1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1" type="#_x0000_t202" style="position:absolute;margin-left:386.pt;margin-top:41.100000000000001pt;width:64.299999999999997pt;height:8.4000000000000004pt;z-index:-18874394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8839200" cy="0"/>
              <wp:wrapNone/>
              <wp:docPr id="177" name="Shape 17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696.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4902200</wp:posOffset>
              </wp:positionH>
              <wp:positionV relativeFrom="page">
                <wp:posOffset>521970</wp:posOffset>
              </wp:positionV>
              <wp:extent cx="816610" cy="106680"/>
              <wp:wrapNone/>
              <wp:docPr id="180" name="Shape 1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6" type="#_x0000_t202" style="position:absolute;margin-left:386.pt;margin-top:41.100000000000001pt;width:64.299999999999997pt;height:8.4000000000000004pt;z-index:-18874394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8839200" cy="0"/>
              <wp:wrapNone/>
              <wp:docPr id="182" name="Shape 18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696.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3528060</wp:posOffset>
              </wp:positionH>
              <wp:positionV relativeFrom="page">
                <wp:posOffset>535305</wp:posOffset>
              </wp:positionV>
              <wp:extent cx="819785" cy="106680"/>
              <wp:wrapNone/>
              <wp:docPr id="185" name="Shape 1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1" type="#_x0000_t202" style="position:absolute;margin-left:277.80000000000001pt;margin-top:42.149999999999999pt;width:64.549999999999997pt;height:8.4000000000000004pt;z-index:-18874393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187" name="Shape 18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3528060</wp:posOffset>
              </wp:positionH>
              <wp:positionV relativeFrom="page">
                <wp:posOffset>535305</wp:posOffset>
              </wp:positionV>
              <wp:extent cx="819785" cy="106680"/>
              <wp:wrapNone/>
              <wp:docPr id="190" name="Shape 1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6" type="#_x0000_t202" style="position:absolute;margin-left:277.80000000000001pt;margin-top:42.149999999999999pt;width:64.549999999999997pt;height:8.4000000000000004pt;z-index:-18874393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192" name="Shape 1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4988560</wp:posOffset>
              </wp:positionH>
              <wp:positionV relativeFrom="page">
                <wp:posOffset>561340</wp:posOffset>
              </wp:positionV>
              <wp:extent cx="819785" cy="106680"/>
              <wp:wrapNone/>
              <wp:docPr id="205" name="Shape 2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1" type="#_x0000_t202" style="position:absolute;margin-left:392.80000000000001pt;margin-top:44.200000000000003pt;width:64.549999999999997pt;height:8.4000000000000004pt;z-index:-18874392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707390</wp:posOffset>
              </wp:positionV>
              <wp:extent cx="8836025" cy="0"/>
              <wp:wrapNone/>
              <wp:docPr id="207" name="Shape 20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200000000000003pt;margin-top:55.700000000000003pt;width:69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3526155</wp:posOffset>
              </wp:positionH>
              <wp:positionV relativeFrom="page">
                <wp:posOffset>443230</wp:posOffset>
              </wp:positionV>
              <wp:extent cx="819785" cy="106680"/>
              <wp:wrapNone/>
              <wp:docPr id="15" name="Shape 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1" type="#_x0000_t202" style="position:absolute;margin-left:277.65000000000003pt;margin-top:34.899999999999999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7" name="Shape 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4988560</wp:posOffset>
              </wp:positionH>
              <wp:positionV relativeFrom="page">
                <wp:posOffset>561340</wp:posOffset>
              </wp:positionV>
              <wp:extent cx="819785" cy="106680"/>
              <wp:wrapNone/>
              <wp:docPr id="210" name="Shape 2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6" type="#_x0000_t202" style="position:absolute;margin-left:392.80000000000001pt;margin-top:44.200000000000003pt;width:64.549999999999997pt;height:8.4000000000000004pt;z-index:-18874392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707390</wp:posOffset>
              </wp:positionV>
              <wp:extent cx="8836025" cy="0"/>
              <wp:wrapNone/>
              <wp:docPr id="212" name="Shape 2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200000000000003pt;margin-top:55.700000000000003pt;width:695.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3528060</wp:posOffset>
              </wp:positionH>
              <wp:positionV relativeFrom="page">
                <wp:posOffset>535305</wp:posOffset>
              </wp:positionV>
              <wp:extent cx="819785" cy="106680"/>
              <wp:wrapNone/>
              <wp:docPr id="215" name="Shape 2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1" type="#_x0000_t202" style="position:absolute;margin-left:277.80000000000001pt;margin-top:42.149999999999999pt;width:64.549999999999997pt;height:8.4000000000000004pt;z-index:-18874392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17" name="Shape 2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3528060</wp:posOffset>
              </wp:positionH>
              <wp:positionV relativeFrom="page">
                <wp:posOffset>535305</wp:posOffset>
              </wp:positionV>
              <wp:extent cx="819785" cy="106680"/>
              <wp:wrapNone/>
              <wp:docPr id="220" name="Shape 2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6" type="#_x0000_t202" style="position:absolute;margin-left:277.80000000000001pt;margin-top:42.149999999999999pt;width:64.549999999999997pt;height:8.4000000000000004pt;z-index:-18874391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22" name="Shape 2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3197860</wp:posOffset>
              </wp:positionH>
              <wp:positionV relativeFrom="page">
                <wp:posOffset>564515</wp:posOffset>
              </wp:positionV>
              <wp:extent cx="816610" cy="106680"/>
              <wp:wrapNone/>
              <wp:docPr id="225" name="Shape 22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1" type="#_x0000_t202" style="position:absolute;margin-left:251.80000000000001pt;margin-top:44.450000000000003pt;width:64.299999999999997pt;height:8.4000000000000004pt;z-index:-18874391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27" name="Shape 22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3197860</wp:posOffset>
              </wp:positionH>
              <wp:positionV relativeFrom="page">
                <wp:posOffset>564515</wp:posOffset>
              </wp:positionV>
              <wp:extent cx="816610" cy="106680"/>
              <wp:wrapNone/>
              <wp:docPr id="228" name="Shape 22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4" type="#_x0000_t202" style="position:absolute;margin-left:251.80000000000001pt;margin-top:44.450000000000003pt;width:64.29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30" name="Shape 2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3528060</wp:posOffset>
              </wp:positionH>
              <wp:positionV relativeFrom="page">
                <wp:posOffset>535305</wp:posOffset>
              </wp:positionV>
              <wp:extent cx="819785" cy="106680"/>
              <wp:wrapNone/>
              <wp:docPr id="231" name="Shape 23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7" type="#_x0000_t202" style="position:absolute;margin-left:277.80000000000001pt;margin-top:42.149999999999999pt;width:64.549999999999997pt;height:8.4000000000000004pt;z-index:-18874390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33" name="Shape 2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3528060</wp:posOffset>
              </wp:positionH>
              <wp:positionV relativeFrom="page">
                <wp:posOffset>535305</wp:posOffset>
              </wp:positionV>
              <wp:extent cx="819785" cy="106680"/>
              <wp:wrapNone/>
              <wp:docPr id="236" name="Shape 2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2" type="#_x0000_t202" style="position:absolute;margin-left:277.80000000000001pt;margin-top:42.149999999999999pt;width:64.549999999999997pt;height:8.4000000000000004pt;z-index:-18874390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38" name="Shape 2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4956810</wp:posOffset>
              </wp:positionH>
              <wp:positionV relativeFrom="page">
                <wp:posOffset>561340</wp:posOffset>
              </wp:positionV>
              <wp:extent cx="819785" cy="106680"/>
              <wp:wrapNone/>
              <wp:docPr id="241" name="Shape 2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7" type="#_x0000_t202" style="position:absolute;margin-left:390.30000000000001pt;margin-top:44.200000000000003pt;width:64.549999999999997pt;height:8.4000000000000004pt;z-index:-18874390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43" name="Shape 2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4956810</wp:posOffset>
              </wp:positionH>
              <wp:positionV relativeFrom="page">
                <wp:posOffset>561340</wp:posOffset>
              </wp:positionV>
              <wp:extent cx="819785" cy="106680"/>
              <wp:wrapNone/>
              <wp:docPr id="244" name="Shape 2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0" type="#_x0000_t202" style="position:absolute;margin-left:390.30000000000001pt;margin-top:44.200000000000003pt;width:64.54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46" name="Shape 24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3528060</wp:posOffset>
              </wp:positionH>
              <wp:positionV relativeFrom="page">
                <wp:posOffset>535305</wp:posOffset>
              </wp:positionV>
              <wp:extent cx="819785" cy="106680"/>
              <wp:wrapNone/>
              <wp:docPr id="247" name="Shape 2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3" type="#_x0000_t202" style="position:absolute;margin-left:277.80000000000001pt;margin-top:42.149999999999999pt;width:64.549999999999997pt;height:8.4000000000000004pt;z-index:-18874389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49" name="Shape 24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3524885</wp:posOffset>
              </wp:positionH>
              <wp:positionV relativeFrom="page">
                <wp:posOffset>540385</wp:posOffset>
              </wp:positionV>
              <wp:extent cx="819785" cy="106680"/>
              <wp:wrapNone/>
              <wp:docPr id="18" name="Shape 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4" type="#_x0000_t202" style="position:absolute;margin-left:277.55000000000001pt;margin-top:42.550000000000004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20" name="Shape 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3528060</wp:posOffset>
              </wp:positionH>
              <wp:positionV relativeFrom="page">
                <wp:posOffset>535305</wp:posOffset>
              </wp:positionV>
              <wp:extent cx="819785" cy="106680"/>
              <wp:wrapNone/>
              <wp:docPr id="252" name="Shape 2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8" type="#_x0000_t202" style="position:absolute;margin-left:277.80000000000001pt;margin-top:42.149999999999999pt;width:64.549999999999997pt;height:8.4000000000000004pt;z-index:-188743893;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54" name="Shape 2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4904740</wp:posOffset>
              </wp:positionH>
              <wp:positionV relativeFrom="page">
                <wp:posOffset>561340</wp:posOffset>
              </wp:positionV>
              <wp:extent cx="816610" cy="106680"/>
              <wp:wrapNone/>
              <wp:docPr id="257" name="Shape 25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3" type="#_x0000_t202" style="position:absolute;margin-left:386.19999999999999pt;margin-top:44.200000000000003pt;width:64.299999999999997pt;height:8.4000000000000004pt;z-index:-188743889;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59" name="Shape 25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4904740</wp:posOffset>
              </wp:positionH>
              <wp:positionV relativeFrom="page">
                <wp:posOffset>561340</wp:posOffset>
              </wp:positionV>
              <wp:extent cx="816610" cy="106680"/>
              <wp:wrapNone/>
              <wp:docPr id="260" name="Shape 2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6" type="#_x0000_t202" style="position:absolute;margin-left:386.19999999999999pt;margin-top:44.200000000000003pt;width:64.29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62" name="Shape 26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3528060</wp:posOffset>
              </wp:positionH>
              <wp:positionV relativeFrom="page">
                <wp:posOffset>535305</wp:posOffset>
              </wp:positionV>
              <wp:extent cx="819785" cy="106680"/>
              <wp:wrapNone/>
              <wp:docPr id="263" name="Shape 26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9" type="#_x0000_t202" style="position:absolute;margin-left:277.80000000000001pt;margin-top:42.149999999999999pt;width:64.549999999999997pt;height:8.4000000000000004pt;z-index:-188743885;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65" name="Shape 2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3528060</wp:posOffset>
              </wp:positionH>
              <wp:positionV relativeFrom="page">
                <wp:posOffset>535305</wp:posOffset>
              </wp:positionV>
              <wp:extent cx="819785" cy="106680"/>
              <wp:wrapNone/>
              <wp:docPr id="268" name="Shape 2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4" type="#_x0000_t202" style="position:absolute;margin-left:277.80000000000001pt;margin-top:42.149999999999999pt;width:64.549999999999997pt;height:8.4000000000000004pt;z-index:-188743881;mso-wrap-style:none;mso-wrap-distance-left:0;mso-wrap-distance-right:0;mso-position-horizontal-relative:page;mso-position-vertical-relative:page" wrapcoords="0 0"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710565</wp:posOffset>
              </wp:positionV>
              <wp:extent cx="5635625" cy="0"/>
              <wp:wrapNone/>
              <wp:docPr id="270" name="Shape 27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95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3524885</wp:posOffset>
              </wp:positionH>
              <wp:positionV relativeFrom="page">
                <wp:posOffset>540385</wp:posOffset>
              </wp:positionV>
              <wp:extent cx="819785" cy="106680"/>
              <wp:wrapNone/>
              <wp:docPr id="23" name="Shape 2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9" type="#_x0000_t202" style="position:absolute;margin-left:277.55000000000001pt;margin-top:42.550000000000004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25" name="Shape 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3524885</wp:posOffset>
              </wp:positionH>
              <wp:positionV relativeFrom="page">
                <wp:posOffset>540385</wp:posOffset>
              </wp:positionV>
              <wp:extent cx="819785" cy="106680"/>
              <wp:wrapNone/>
              <wp:docPr id="28" name="Shape 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4" type="#_x0000_t202" style="position:absolute;margin-left:277.55000000000001pt;margin-top:42.550000000000004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30" name="Shape 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3526155</wp:posOffset>
              </wp:positionH>
              <wp:positionV relativeFrom="page">
                <wp:posOffset>443230</wp:posOffset>
              </wp:positionV>
              <wp:extent cx="819785" cy="106680"/>
              <wp:wrapNone/>
              <wp:docPr id="33" name="Shape 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9" type="#_x0000_t202" style="position:absolute;margin-left:277.65000000000003pt;margin-top:34.899999999999999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3524885</wp:posOffset>
              </wp:positionH>
              <wp:positionV relativeFrom="page">
                <wp:posOffset>540385</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3" type="#_x0000_t202" style="position:absolute;margin-left:277.55000000000001pt;margin-top:42.550000000000004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1116965</wp:posOffset>
              </wp:positionH>
              <wp:positionV relativeFrom="page">
                <wp:posOffset>716280</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50000000000003pt;margin-top:56.399999999999999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3"/>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正文文本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3)_"/>
    <w:basedOn w:val="DefaultParagraphFont"/>
    <w:link w:val="Style45"/>
    <w:rPr>
      <w:rFonts w:ascii="Calibri" w:eastAsia="Calibri" w:hAnsi="Calibri" w:cs="Calibri"/>
      <w:b/>
      <w:bCs/>
      <w:i w:val="0"/>
      <w:iCs w:val="0"/>
      <w:smallCaps w:val="0"/>
      <w:strike w:val="0"/>
      <w:sz w:val="18"/>
      <w:szCs w:val="18"/>
      <w:u w:val="none"/>
      <w:shd w:val="clear" w:color="auto" w:fill="auto"/>
    </w:rPr>
  </w:style>
  <w:style w:type="character" w:customStyle="1" w:styleId="CharStyle59">
    <w:name w:val="正文文本 (2)_"/>
    <w:basedOn w:val="DefaultParagraphFont"/>
    <w:link w:val="Style5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3">
    <w:name w:val="图片标题_"/>
    <w:basedOn w:val="DefaultParagraphFont"/>
    <w:link w:val="Style62"/>
    <w:rPr>
      <w:rFonts w:ascii="SimSun" w:eastAsia="SimSun" w:hAnsi="SimSun" w:cs="SimSun"/>
      <w:b w:val="0"/>
      <w:bCs w:val="0"/>
      <w:i w:val="0"/>
      <w:iCs w:val="0"/>
      <w:smallCaps w:val="0"/>
      <w:strike w:val="0"/>
      <w:sz w:val="20"/>
      <w:szCs w:val="20"/>
      <w:u w:val="none"/>
      <w:shd w:val="clear" w:color="auto" w:fill="auto"/>
    </w:rPr>
  </w:style>
  <w:style w:type="character" w:customStyle="1" w:styleId="CharStyle81">
    <w:name w:val="页眉或页脚_"/>
    <w:basedOn w:val="DefaultParagraphFont"/>
    <w:link w:val="Style80"/>
    <w:rPr>
      <w:rFonts w:ascii="SimSun" w:eastAsia="SimSun" w:hAnsi="SimSun" w:cs="SimSun"/>
      <w:b w:val="0"/>
      <w:bCs w:val="0"/>
      <w:i w:val="0"/>
      <w:iCs w:val="0"/>
      <w:smallCaps w:val="0"/>
      <w:strike w:val="0"/>
      <w:sz w:val="17"/>
      <w:szCs w:val="17"/>
      <w:u w:val="none"/>
      <w:shd w:val="clear" w:color="auto" w:fill="auto"/>
    </w:rPr>
  </w:style>
  <w:style w:type="character" w:customStyle="1" w:styleId="CharStyle86">
    <w:name w:val="其他 (3)_"/>
    <w:basedOn w:val="DefaultParagraphFont"/>
    <w:link w:val="Style85"/>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w:basedOn w:val="Normal"/>
    <w:link w:val="CharStyle3"/>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其他"/>
    <w:basedOn w:val="Normal"/>
    <w:link w:val="CharStyle26"/>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正文文本 (4)"/>
    <w:basedOn w:val="Normal"/>
    <w:link w:val="CharStyle30"/>
    <w:pPr>
      <w:widowControl w:val="0"/>
      <w:shd w:val="clear" w:color="auto" w:fill="auto"/>
      <w:spacing w:after="280"/>
      <w:ind w:firstLine="420"/>
    </w:pPr>
    <w:rPr>
      <w:rFonts w:ascii="SimSun" w:eastAsia="SimSun" w:hAnsi="SimSun" w:cs="SimSun"/>
      <w:b/>
      <w:bCs/>
      <w:i w:val="0"/>
      <w:iCs w:val="0"/>
      <w:smallCaps w:val="0"/>
      <w:strike w:val="0"/>
      <w:u w:val="none"/>
      <w:shd w:val="clear" w:color="auto" w:fill="auto"/>
    </w:rPr>
  </w:style>
  <w:style w:type="paragraph" w:customStyle="1" w:styleId="Style35">
    <w:name w:val="标题 #3"/>
    <w:basedOn w:val="Normal"/>
    <w:link w:val="CharStyle36"/>
    <w:pPr>
      <w:widowControl w:val="0"/>
      <w:shd w:val="clear" w:color="auto" w:fill="auto"/>
      <w:spacing w:line="403" w:lineRule="auto"/>
      <w:ind w:firstLine="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3)"/>
    <w:basedOn w:val="Normal"/>
    <w:link w:val="CharStyle46"/>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8">
    <w:name w:val="正文文本 (2)"/>
    <w:basedOn w:val="Normal"/>
    <w:link w:val="CharStyle59"/>
    <w:pPr>
      <w:widowControl w:val="0"/>
      <w:shd w:val="clear" w:color="auto" w:fill="auto"/>
      <w:spacing w:after="440" w:line="408" w:lineRule="exact"/>
      <w:ind w:firstLine="2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2">
    <w:name w:val="图片标题"/>
    <w:basedOn w:val="Normal"/>
    <w:link w:val="CharStyle63"/>
    <w:pPr>
      <w:widowControl w:val="0"/>
      <w:shd w:val="clear" w:color="auto" w:fill="auto"/>
      <w:spacing w:line="173" w:lineRule="exact"/>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80">
    <w:name w:val="页眉或页脚"/>
    <w:basedOn w:val="Normal"/>
    <w:link w:val="CharStyle8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5">
    <w:name w:val="其他 (3)"/>
    <w:basedOn w:val="Normal"/>
    <w:link w:val="CharStyle86"/>
    <w:pPr>
      <w:widowControl w:val="0"/>
      <w:shd w:val="clear" w:color="auto" w:fill="auto"/>
      <w:spacing w:before="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header" Target="header44.xml"/><Relationship Id="rId104" Type="http://schemas.openxmlformats.org/officeDocument/2006/relationships/footer" Target="footer44.xml"/><Relationship Id="rId105" Type="http://schemas.openxmlformats.org/officeDocument/2006/relationships/header" Target="header45.xml"/><Relationship Id="rId106" Type="http://schemas.openxmlformats.org/officeDocument/2006/relationships/footer" Target="footer45.xml"/><Relationship Id="rId107" Type="http://schemas.openxmlformats.org/officeDocument/2006/relationships/header" Target="header46.xml"/><Relationship Id="rId108" Type="http://schemas.openxmlformats.org/officeDocument/2006/relationships/footer" Target="footer46.xml"/><Relationship Id="rId109" Type="http://schemas.openxmlformats.org/officeDocument/2006/relationships/header" Target="header47.xml"/><Relationship Id="rId110" Type="http://schemas.openxmlformats.org/officeDocument/2006/relationships/footer" Target="footer47.xml"/><Relationship Id="rId111" Type="http://schemas.openxmlformats.org/officeDocument/2006/relationships/header" Target="header48.xml"/><Relationship Id="rId112" Type="http://schemas.openxmlformats.org/officeDocument/2006/relationships/footer" Target="footer48.xml"/><Relationship Id="rId113" Type="http://schemas.openxmlformats.org/officeDocument/2006/relationships/header" Target="header49.xml"/><Relationship Id="rId114" Type="http://schemas.openxmlformats.org/officeDocument/2006/relationships/footer" Target="footer49.xml"/><Relationship Id="rId115" Type="http://schemas.openxmlformats.org/officeDocument/2006/relationships/header" Target="header50.xml"/><Relationship Id="rId116" Type="http://schemas.openxmlformats.org/officeDocument/2006/relationships/footer" Target="footer50.xml"/><Relationship Id="rId117" Type="http://schemas.openxmlformats.org/officeDocument/2006/relationships/header" Target="header51.xml"/><Relationship Id="rId118" Type="http://schemas.openxmlformats.org/officeDocument/2006/relationships/footer" Target="footer51.xml"/><Relationship Id="rId119" Type="http://schemas.openxmlformats.org/officeDocument/2006/relationships/header" Target="header52.xml"/><Relationship Id="rId120" Type="http://schemas.openxmlformats.org/officeDocument/2006/relationships/footer" Target="footer52.xml"/><Relationship Id="rId121" Type="http://schemas.openxmlformats.org/officeDocument/2006/relationships/header" Target="header53.xml"/><Relationship Id="rId122" Type="http://schemas.openxmlformats.org/officeDocument/2006/relationships/footer" Target="footer53.xml"/><Relationship Id="rId123" Type="http://schemas.openxmlformats.org/officeDocument/2006/relationships/header" Target="header54.xml"/><Relationship Id="rId124" Type="http://schemas.openxmlformats.org/officeDocument/2006/relationships/footer" Target="footer54.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