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FC3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Cover Letter</w:t>
      </w:r>
    </w:p>
    <w:p w14:paraId="385CCDB8">
      <w:pPr>
        <w:rPr>
          <w:rFonts w:hint="default"/>
        </w:rPr>
      </w:pPr>
    </w:p>
    <w:p w14:paraId="6FC53FB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Dear Editors and Reviewers,</w:t>
      </w:r>
    </w:p>
    <w:p w14:paraId="2A78AC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Fonts w:hint="default" w:ascii="Times New Roman Regular" w:hAnsi="Times New Roman Regular" w:eastAsia="宋体" w:cs="Times New Roman Regular"/>
          <w:color w:val="000000"/>
          <w:kern w:val="0"/>
          <w:sz w:val="21"/>
          <w:szCs w:val="21"/>
          <w:lang w:val="en-US" w:eastAsia="zh-CN" w:bidi="ar"/>
        </w:rPr>
        <w:t>We are writing to resubmit our revised manuscript entitled “FCPC: A Dissimilarity-Aware Plug-and-Play Federated Learning Framework for Non-IID IoT Systems”</w:t>
      </w:r>
      <w:r>
        <w:rPr>
          <w:rFonts w:hint="default" w:ascii="Times New Roman Regular" w:hAnsi="Times New Roman Regular" w:eastAsia="宋体" w:cs="Times New Roman Regular"/>
          <w:b/>
          <w:bCs/>
          <w:color w:val="000000"/>
          <w:kern w:val="0"/>
          <w:sz w:val="21"/>
          <w:szCs w:val="21"/>
          <w:lang w:val="en-US" w:eastAsia="zh-CN" w:bidi="ar"/>
        </w:rPr>
        <w:t xml:space="preserve"> (Original Manuscript ID: </w:t>
      </w:r>
      <w:r>
        <w:rPr>
          <w:rFonts w:hint="default" w:ascii="Times New Roman Bold" w:hAnsi="Times New Roman Bold" w:eastAsia="宋体" w:cs="Times New Roman Bold"/>
          <w:b/>
          <w:bCs/>
          <w:color w:val="000000"/>
          <w:kern w:val="0"/>
          <w:sz w:val="21"/>
          <w:szCs w:val="21"/>
          <w:lang w:val="en-US" w:eastAsia="zh-CN" w:bidi="ar"/>
        </w:rPr>
        <w:t>TII-25-7503</w:t>
      </w:r>
      <w:r>
        <w:rPr>
          <w:rFonts w:hint="default" w:ascii="Times New Roman Regular" w:hAnsi="Times New Roman Regular" w:eastAsia="宋体" w:cs="Times New Roman Regular"/>
          <w:b/>
          <w:bCs/>
          <w:color w:val="000000"/>
          <w:kern w:val="0"/>
          <w:sz w:val="21"/>
          <w:szCs w:val="21"/>
          <w:lang w:val="en-US" w:eastAsia="zh-CN" w:bidi="ar"/>
        </w:rPr>
        <w:t>) t</w:t>
      </w:r>
      <w:r>
        <w:rPr>
          <w:rFonts w:hint="default" w:ascii="Times New Roman Regular" w:hAnsi="Times New Roman Regular" w:eastAsia="宋体" w:cs="Times New Roman Regular"/>
          <w:color w:val="000000"/>
          <w:kern w:val="0"/>
          <w:sz w:val="21"/>
          <w:szCs w:val="21"/>
          <w:lang w:val="en-US" w:eastAsia="zh-CN" w:bidi="ar"/>
        </w:rPr>
        <w:t xml:space="preserve">o the IEEE Transactions on Industrial Informatics. We sincerely appreciate the Associate Editor and reviewers for their careful review and constructive comments, which have been instrumental in enhancing the theoretical rigor, experimental completeness, and practical relevance of our work. We have addressed all the raised concerns through in-depth revisions, and the details are elaborated in the accompanying point-by-point response document. </w:t>
      </w:r>
    </w:p>
    <w:p w14:paraId="763CDA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6B1D14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Below is a summary of the major revisions and new contributions:</w:t>
      </w:r>
    </w:p>
    <w:p w14:paraId="7ED7858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1. Theoretical Foundations Strengthened</w:t>
      </w:r>
    </w:p>
    <w:p w14:paraId="24AC7B8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Supplemented rigorous theoretical derivation for the weighting parameter λ (λ=0.3) in the JSDN index (Appendix II), justifying its rationality from three core perspectives: JSDN as a proxy for gradient divergence, the dominance of label skew over quantity skew, and implicit adaptability in extreme skew scenarios. This replaces the previous empirical selection with solid theoretical support.</w:t>
      </w:r>
    </w:p>
    <w:p w14:paraId="5034C49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Added a comprehensive complexity analysis of the FCPC framework, including computational, communication, and storage overhead comparisons with baseline methods (FedAvg, FedProx, MOON). The analysis confirms FCPC’s lightweight characteristics, making it suitable for resource-constrained IoT edge environments.</w:t>
      </w:r>
    </w:p>
    <w:p w14:paraId="58F182C6">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Included detailed convergence analysis of the FCPC framework in Appendix I, verifying its theoretical stability and convergence rate modulation by JSDN pairing efficiency.</w:t>
      </w:r>
    </w:p>
    <w:p w14:paraId="07C2A32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Regular" w:hAnsi="Times New Roman Regular" w:cs="Times New Roman Regular"/>
          <w:color w:val="000000"/>
          <w:sz w:val="21"/>
          <w:szCs w:val="21"/>
        </w:rPr>
      </w:pPr>
    </w:p>
    <w:p w14:paraId="07561BB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2. Experimental Validity Enhanced</w:t>
      </w:r>
    </w:p>
    <w:p w14:paraId="08950BB2">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Expanded the experimental scope by incorporating the 2025 state-of-the-art baseline method FedCFA and extending the validation dataset to TinyImageNet. Experimental results demonstrate that FCPC outperforms existing mainstream methods by 2%-9.4% under strong heterogeneity, verifying its robustness across diverse scenarios.</w:t>
      </w:r>
    </w:p>
    <w:p w14:paraId="49CC56B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Designed three sets of ablation experiments</w:t>
      </w:r>
      <w:r>
        <w:rPr>
          <w:rFonts w:hint="eastAsia" w:ascii="Times New Roman Regular" w:hAnsi="Times New Roman Regular" w:cs="Times New Roman Regular"/>
          <w:color w:val="000000"/>
          <w:sz w:val="21"/>
          <w:szCs w:val="21"/>
          <w:lang w:val="en-US" w:eastAsia="zh-CN"/>
        </w:rPr>
        <w:t xml:space="preserve"> </w:t>
      </w:r>
      <w:r>
        <w:rPr>
          <w:rFonts w:hint="default" w:ascii="Times New Roman Regular" w:hAnsi="Times New Roman Regular" w:cs="Times New Roman Regular"/>
          <w:color w:val="000000"/>
          <w:sz w:val="21"/>
          <w:szCs w:val="21"/>
        </w:rPr>
        <w:t>targeting the coefficient λ, coefficient β, and dissimilarity metrics, confirming the optimal parameter settings and the superiority of the JSDN index in quantifying dual-skewed non-IID data.</w:t>
      </w:r>
    </w:p>
    <w:p w14:paraId="622B81A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3. Algorithm Logic and Practicality Improved</w:t>
      </w:r>
    </w:p>
    <w:p w14:paraId="4AA5CEB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Clarified the rationality of the odd-client pairing strategy (Section V.B.2). From theoretical and practical perspectives, we explained that the client with the minimum JSDN value exhibits an “intermediate distribution” with weak mutual constraint effects, and discarding it ensures algorithm simplicity and robustness—critical for dynamic IoT systems. The theoretical analysis shows the accuracy loss is negligible (&lt;0.3%).</w:t>
      </w:r>
    </w:p>
    <w:p w14:paraId="1556B979">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Enhanced the practical application demonstration by detailing FCPC’s deployment in intelligent transportation systems</w:t>
      </w:r>
      <w:r>
        <w:rPr>
          <w:rFonts w:hint="eastAsia" w:ascii="Times New Roman Regular" w:hAnsi="Times New Roman Regular" w:cs="Times New Roman Regular"/>
          <w:color w:val="000000"/>
          <w:sz w:val="21"/>
          <w:szCs w:val="21"/>
          <w:lang w:val="en-US" w:eastAsia="zh-CN"/>
        </w:rPr>
        <w:t xml:space="preserve">, </w:t>
      </w:r>
      <w:r>
        <w:rPr>
          <w:rFonts w:hint="default" w:ascii="Times New Roman Regular" w:hAnsi="Times New Roman Regular" w:cs="Times New Roman Regular"/>
          <w:color w:val="000000"/>
          <w:sz w:val="21"/>
          <w:szCs w:val="21"/>
        </w:rPr>
        <w:t xml:space="preserve"> highlighting its plug-and-play nature for seamless integration into existing IoT infrastructures.</w:t>
      </w:r>
    </w:p>
    <w:p w14:paraId="4D413AD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360" w:leftChars="0" w:right="0" w:rightChars="0"/>
        <w:jc w:val="left"/>
        <w:textAlignment w:val="auto"/>
        <w:rPr>
          <w:rFonts w:hint="default" w:ascii="Times New Roman Bold" w:hAnsi="Times New Roman Bold" w:cs="Times New Roman Bold"/>
          <w:b/>
          <w:bCs/>
          <w:color w:val="000000"/>
          <w:sz w:val="21"/>
          <w:szCs w:val="21"/>
        </w:rPr>
      </w:pPr>
    </w:p>
    <w:p w14:paraId="01D6B88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4. Structure and Content Optimized</w:t>
      </w:r>
    </w:p>
    <w:p w14:paraId="4A75C8BB">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Rewrote the abstract and conclusion to emphasize the work’s practical significance and engineering value, clearly highlighting performance improvements over baselines (e.g., 63.17% top-1 accuracy on CIFAR-10 under α=0.05, 9.4 percentage points higher than FedAvg).</w:t>
      </w:r>
    </w:p>
    <w:p w14:paraId="17C4957C">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Revised the Related Work section by adding a “Summary and Differentiation” subsection, incorporating latest research (e.g., TFL-DT) and systematically analyzing existing research gaps to better highlight FCPC’s innovations.</w:t>
      </w:r>
    </w:p>
    <w:p w14:paraId="6721CE8A">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Added a dedicated “Future Work” subsection in the conclusion, proposing three forward-looking research directions: adaptive dynamic parameter tuning, extension to broader heterogeneity types (e.g., feature skew), and validation in cross-silo industrial FL scenarios.</w:t>
      </w:r>
    </w:p>
    <w:p w14:paraId="42A4825F">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Thoroughly polished the manuscript for grammatical accuracy, standardized professional terms, redrew figures to improve resolution and color clarity, and strictly controlled the length within 10 pages.</w:t>
      </w:r>
    </w:p>
    <w:p w14:paraId="2CCC96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5. Research Transparency Ensured</w:t>
      </w:r>
    </w:p>
    <w:p w14:paraId="446CC9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We fully recognize the importance of research reproducibility. To safeguard the integrity of the work before formal publication, we plan to make the complete experimental code, environment configuration documents, and reproduction guidelines publicly available on GitHub immediately upon the acceptance of this manuscript.</w:t>
      </w:r>
    </w:p>
    <w:p w14:paraId="399B000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Fonts w:hint="default" w:ascii="Times New Roman Regular" w:hAnsi="Times New Roman Regular" w:eastAsia="宋体" w:cs="Times New Roman Regular"/>
          <w:color w:val="000000"/>
          <w:kern w:val="0"/>
          <w:sz w:val="21"/>
          <w:szCs w:val="21"/>
          <w:lang w:val="en-US" w:eastAsia="zh-CN" w:bidi="ar"/>
        </w:rPr>
        <w:t>In the revised manuscript, key modifications and additions are highlighted in red to facilitate review (we have avoided using track changes to ensure readability). A detailed point-by-point response to all reviewers’ comments is provided as a separate document. We believe the revised manuscript has significantly addressed the previous concerns and now meets the publication standards of the IEEE Transactions on Industrial Informatics. We look forward to your further consideration.</w:t>
      </w:r>
    </w:p>
    <w:p w14:paraId="779401F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bookmarkStart w:id="0" w:name="_GoBack"/>
      <w:bookmarkEnd w:id="0"/>
    </w:p>
    <w:p w14:paraId="197FDE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Times New Roman Regular" w:hAnsi="Times New Roman Regular" w:eastAsia="宋体" w:cs="Times New Roman Regular"/>
          <w:color w:val="000000"/>
          <w:kern w:val="0"/>
          <w:sz w:val="21"/>
          <w:szCs w:val="21"/>
          <w:lang w:val="en-US" w:eastAsia="zh-CN" w:bidi="ar"/>
        </w:rPr>
      </w:pPr>
      <w:r>
        <w:rPr>
          <w:rFonts w:hint="default" w:ascii="Times New Roman Regular" w:hAnsi="Times New Roman Regular" w:eastAsia="宋体" w:cs="Times New Roman Regular"/>
          <w:color w:val="000000"/>
          <w:kern w:val="0"/>
          <w:sz w:val="21"/>
          <w:szCs w:val="21"/>
          <w:lang w:val="en-US" w:eastAsia="zh-CN" w:bidi="ar"/>
        </w:rPr>
        <w:t>Sincerely,</w:t>
      </w:r>
      <w:r>
        <w:rPr>
          <w:rFonts w:hint="eastAsia" w:ascii="Times New Roman Regular" w:hAnsi="Times New Roman Regular" w:eastAsia="宋体" w:cs="Times New Roman Regular"/>
          <w:color w:val="000000"/>
          <w:kern w:val="0"/>
          <w:sz w:val="21"/>
          <w:szCs w:val="21"/>
          <w:lang w:val="en-US" w:eastAsia="zh-CN" w:bidi="ar"/>
        </w:rPr>
        <w:t xml:space="preserve"> </w:t>
      </w:r>
    </w:p>
    <w:p w14:paraId="3922DA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Fonts w:hint="eastAsia" w:ascii="Times New Roman Regular" w:hAnsi="Times New Roman Regular" w:eastAsia="宋体" w:cs="Times New Roman Regular"/>
          <w:color w:val="000000"/>
          <w:kern w:val="0"/>
          <w:sz w:val="21"/>
          <w:szCs w:val="21"/>
          <w:lang w:val="en-US" w:eastAsia="zh-CN" w:bidi="ar"/>
        </w:rPr>
        <w:t>Yanming</w:t>
      </w:r>
      <w:r>
        <w:rPr>
          <w:rFonts w:hint="default" w:ascii="Times New Roman Regular" w:hAnsi="Times New Roman Regular" w:eastAsia="宋体" w:cs="Times New Roman Regular"/>
          <w:color w:val="000000"/>
          <w:kern w:val="0"/>
          <w:sz w:val="21"/>
          <w:szCs w:val="21"/>
          <w:lang w:val="en-US" w:eastAsia="zh-CN" w:bidi="ar"/>
        </w:rPr>
        <w:t xml:space="preserve"> Chen</w:t>
      </w:r>
    </w:p>
    <w:p w14:paraId="31D9BEE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1"/>
          <w:szCs w:val="21"/>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A90E8"/>
    <w:multiLevelType w:val="multilevel"/>
    <w:tmpl w:val="BBDA90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7C8391"/>
    <w:multiLevelType w:val="multilevel"/>
    <w:tmpl w:val="BF7C83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FD8B30"/>
    <w:multiLevelType w:val="multilevel"/>
    <w:tmpl w:val="FEFD8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B5C4652"/>
    <w:multiLevelType w:val="multilevel"/>
    <w:tmpl w:val="7B5C4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FF80EF"/>
    <w:rsid w:val="3F9DAD86"/>
    <w:rsid w:val="7DB714E6"/>
    <w:rsid w:val="DD3F3686"/>
    <w:rsid w:val="DFFF80EF"/>
    <w:rsid w:val="FFFD9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2026-01-22T04:09:00Z</dcterms:created>
  <dc:creator>mi</dc:creator>
  <cp:lastModifiedBy>mi</cp:lastModifiedBy>
  <dcterms:modified xsi:type="dcterms:W3CDTF">2026-01-23T15:06:23Z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FBE70D7F5C8D7391E8C1706942E605F3_41</vt:lpwstr>
  </property>
  <property fmtid="{D5CDD505-2E9C-101B-9397-08002B2CF9AE}" pid="4" name="CWMe6d6ae50f6c311f0bb4291653b429065">
    <vt:lpwstr>CWMzLfTvegHbHD4KUToQRHWsHdMJL4id5iB5uVcvMso7CqHBE/6ZLXBhMnN3Xl3ikHbYAVa4Li2PRz6edRgI3cKoQ==</vt:lpwstr>
  </property>
</Properties>
</file>