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B272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Regular" w:hAnsi="Times New Roman Regular" w:cs="Times New Roman Regular"/>
          <w:b w:val="0"/>
          <w:bCs w:val="0"/>
          <w:kern w:val="0"/>
          <w:sz w:val="21"/>
          <w:szCs w:val="21"/>
        </w:rPr>
      </w:pPr>
      <w:r>
        <w:rPr>
          <w:rFonts w:hint="default" w:ascii="Times New Roman Regular" w:hAnsi="Times New Roman Regular" w:cs="Times New Roman Regular"/>
          <w:b w:val="0"/>
          <w:bCs w:val="0"/>
          <w:kern w:val="0"/>
          <w:sz w:val="21"/>
          <w:szCs w:val="21"/>
        </w:rPr>
        <w:t xml:space="preserve">Dear editors and reviewers: </w:t>
      </w:r>
    </w:p>
    <w:p w14:paraId="298A4A5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Regular" w:hAnsi="Times New Roman Regular" w:cs="Times New Roman Regular"/>
          <w:b w:val="0"/>
          <w:bCs w:val="0"/>
          <w:kern w:val="0"/>
          <w:sz w:val="21"/>
          <w:szCs w:val="21"/>
        </w:rPr>
      </w:pPr>
    </w:p>
    <w:p w14:paraId="7D95B11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kern w:val="0"/>
          <w:sz w:val="21"/>
          <w:szCs w:val="21"/>
        </w:rPr>
      </w:pPr>
      <w:r>
        <w:rPr>
          <w:rFonts w:hint="default" w:ascii="Times New Roman Regular" w:hAnsi="Times New Roman Regular" w:cs="Times New Roman Regular"/>
          <w:b w:val="0"/>
          <w:bCs w:val="0"/>
          <w:kern w:val="0"/>
          <w:sz w:val="21"/>
          <w:szCs w:val="21"/>
        </w:rPr>
        <w:t>Thank you very much for your careful review and constructive suggestions with regard to our manuscript “FCPC: A Dissimilarity-Aware Plug-and-Play Federated Learning Framework for Non-IID IoT Systems”. The comments are helpful for us to revise and improve our paper. We have studied the comments carefully and tried our best to revise and improve the manuscript and made great changes in the manuscript according to the referees’ helpful comments and suggestions. We hope that the revised manuscript is now suitable for publication. Please feel free to contact us with any questions and we are looking forward to your consideration. The main corrections in the paper and the responses to the reviewers’ comments are as follows:</w:t>
      </w:r>
    </w:p>
    <w:p w14:paraId="54F0AA8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1"/>
          <w:szCs w:val="21"/>
        </w:rPr>
      </w:pPr>
    </w:p>
    <w:p w14:paraId="5CBC6D87">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1"/>
          <w:szCs w:val="21"/>
        </w:rPr>
      </w:pPr>
      <w:r>
        <w:rPr>
          <w:rFonts w:hint="default" w:ascii="Times New Roman Regular" w:hAnsi="Times New Roman Regular" w:cs="Times New Roman Regular"/>
          <w:b w:val="0"/>
          <w:bCs w:val="0"/>
          <w:sz w:val="21"/>
          <w:szCs w:val="21"/>
        </w:rPr>
        <w:t>Responses to Reviewers:</w:t>
      </w:r>
    </w:p>
    <w:p w14:paraId="14338F76">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1"/>
          <w:szCs w:val="21"/>
        </w:rPr>
      </w:pPr>
    </w:p>
    <w:p w14:paraId="2948D94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eastAsia" w:ascii="Times New Roman Bold" w:hAnsi="Times New Roman Bold" w:eastAsia="宋体" w:cs="Times New Roman Bold"/>
          <w:b/>
          <w:bCs/>
          <w:color w:val="000000"/>
          <w:sz w:val="21"/>
          <w:szCs w:val="21"/>
          <w:lang w:eastAsia="zh-CN"/>
        </w:rPr>
      </w:pPr>
      <w:r>
        <w:rPr>
          <w:rFonts w:hint="default" w:ascii="Times New Roman Bold" w:hAnsi="Times New Roman Bold" w:cs="Times New Roman Bold"/>
          <w:b/>
          <w:bCs/>
          <w:color w:val="000000"/>
          <w:sz w:val="21"/>
          <w:szCs w:val="21"/>
        </w:rPr>
        <w:t>Response to Reviewer 1</w:t>
      </w:r>
      <w:r>
        <w:rPr>
          <w:rFonts w:hint="eastAsia" w:ascii="Times New Roman Bold" w:hAnsi="Times New Roman Bold" w:cs="Times New Roman Bold"/>
          <w:b/>
          <w:bCs/>
          <w:color w:val="000000"/>
          <w:sz w:val="21"/>
          <w:szCs w:val="21"/>
          <w:lang w:eastAsia="zh-CN"/>
        </w:rPr>
        <w:t>：</w:t>
      </w:r>
    </w:p>
    <w:p w14:paraId="0B9F454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 The abstract should explicitly compare performance improvements with baseline methods.</w:t>
      </w:r>
    </w:p>
    <w:p w14:paraId="2802A4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consideration.</w:t>
      </w:r>
      <w:r>
        <w:rPr>
          <w:rFonts w:hint="eastAsia" w:ascii="Times New Roman Regular" w:hAnsi="Times New Roman Regular" w:eastAsia="宋体"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have rewritten the abstract. At the end, we clearly state: Under a challenging dual-skew scenario (α=0.05), our method achieves 63.17% top-1 accuracy on CIFAR-10 (9.4 percentage points higher than FedAvg) and outperforms mainstream methods by 2%-9.4% under strong heterogeneity.</w:t>
      </w:r>
    </w:p>
    <w:p w14:paraId="4581B40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19DF3BE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2: Supplement background explanation of federated learning (FL) in IoT scenarios.</w:t>
      </w:r>
    </w:p>
    <w:p w14:paraId="02E1F0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very much for your careful attention.</w:t>
      </w:r>
      <w:r>
        <w:rPr>
          <w:rFonts w:hint="eastAsia" w:ascii="Times New Roman Regular" w:hAnsi="Times New Roman Regular" w:eastAsia="宋体"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have added background explanations and application details of federated learning in IoT scenarios in the Introduction, Related Work, and the last subsection of Experiments to align with the theme of industrial IoT.</w:t>
      </w:r>
    </w:p>
    <w:p w14:paraId="4F1040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1FF99BA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3: Further analyze the shortcomings of existing work in the fourth paragraph of the Introduction.</w:t>
      </w:r>
    </w:p>
    <w:p w14:paraId="6177DB7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have revised the Introduction section. Specifically, we have categorized existing work into three detailed categories and fully analyzed the limitations of each category to highlight the advantages and innovation of our FCPC method:</w:t>
      </w:r>
    </w:p>
    <w:p w14:paraId="626D477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Algorithmic refinements focus on optimizing local training processes or redesigning global aggregation mechanisms. However, many of these approaches impose substantial computational or communication overhead, which is often incompatible with the resource limitations of typical IoT edge hardware.</w:t>
      </w:r>
    </w:p>
    <w:p w14:paraId="35BE4C7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Architectural innovations explore advanced model structures or novel learning paradigms to enhance performance. Nevertheless, such methods frequently depend on specific, non-standardized model architectures or require fundamental changes to the federated learning workflow, hindering their seamless adoption in heterogeneous IoT ecosystems.</w:t>
      </w:r>
    </w:p>
    <w:p w14:paraId="72466798">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Temporal-spatial explorations investigate patterns like seasonal data fluctuations, yet they may not adequately address the static, structural heterogeneity inherent in many IoT deployments, such as persistent label and quantity skews across devices. A critical gap remains: most existing solutions are tailored to mitigate a single type of data skew and lack effective mechanisms to handle the compounded challenges of dual-skewed non-IID data, where both label distribution and sample size vary significantly across clients—a common scenario in real-world IoT systems.</w:t>
      </w:r>
    </w:p>
    <w:p w14:paraId="515141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03215A9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4: Streamline the 3 research contributions at the end of the Introduction.</w:t>
      </w:r>
    </w:p>
    <w:p w14:paraId="01109E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w:t>
      </w:r>
      <w:r>
        <w:rPr>
          <w:rFonts w:hint="default" w:ascii="Times New Roman Regular" w:hAnsi="Times New Roman Regular" w:eastAsia="宋体" w:cs="Times New Roman Regular"/>
          <w:color w:val="000000"/>
          <w:kern w:val="0"/>
          <w:sz w:val="21"/>
          <w:szCs w:val="21"/>
          <w:lang w:val="en-US" w:eastAsia="zh-CN" w:bidi="ar"/>
        </w:rPr>
        <w:t xml:space="preserve"> Thank you for your consideration.</w:t>
      </w:r>
      <w:r>
        <w:rPr>
          <w:rFonts w:hint="eastAsia" w:ascii="Times New Roman Regular" w:hAnsi="Times New Roman Regular" w:eastAsia="宋体"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have revised the Introduction and streamlined the contributions into three concise points:</w:t>
      </w:r>
    </w:p>
    <w:p w14:paraId="11BB127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Novel Insight into Client Constraints</w:t>
      </w:r>
    </w:p>
    <w:p w14:paraId="05891154">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Unified Heterogeneity Quantification Metric</w:t>
      </w:r>
    </w:p>
    <w:p w14:paraId="7C06BD69">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Plug-and-Play Framework for Practical Deployment</w:t>
      </w:r>
    </w:p>
    <w:p w14:paraId="1A96CA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3A40027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5: Supplement the derivation logic/rationality explanation of Equation (9).</w:t>
      </w:r>
    </w:p>
    <w:p w14:paraId="36CCBC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very much for your careful attention.</w:t>
      </w:r>
      <w:r>
        <w:rPr>
          <w:rFonts w:hint="eastAsia" w:ascii="Times New Roman Regular" w:hAnsi="Times New Roman Regular" w:eastAsia="宋体"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Equation (9) relates to the Kullback-Leibler (KL) divergence. Detailed derivation processes are available in our reference “Divergence measures based on the shannon entropy”, which is also the source of our reference index JSD. Due to space constraints, we have included the detailed derivation, subsequent convergence analysis, and rationality explanation of ablation experiments in the Appendix.</w:t>
      </w:r>
    </w:p>
    <w:p w14:paraId="0F0C4B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66FF2E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6: Add explanatory notes below each subfigure in Figure 4.</w:t>
      </w:r>
    </w:p>
    <w:p w14:paraId="5DF37C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Figure 4 (now Figure 2 in the revised version due to space optimization) is our system architecture diagram. We have added detailed explanatory notes below the figure. Additionally, the Motivation section from the initial draft has been moved to the Appendix. The left part of the figure demonstrates the process where federated learning participants upload label distributions and data sizes to the server after local differential privacy (LDP) processing. The server then calculates the JSDN matrix and returns the pairing sequence. The right part shows the paired training process of participants. Taking the red client pair as an example: The server initializes the global model and distributes it to clients (Steps 1 and 2). At the end of each training round, local weights between client pairs need to be uploaded to the paired client as a constraint term for the next round (Step 3). Meanwhile, the weights are uploaded to the server for global aggregation (Steps 4 and 5).</w:t>
      </w:r>
    </w:p>
    <w:p w14:paraId="27DBFB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56FDBF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7</w:t>
      </w:r>
      <w:r>
        <w:rPr>
          <w:rFonts w:hint="default" w:ascii="Times New Roman Bold" w:hAnsi="Times New Roman Bold" w:cs="Times New Roman Bold"/>
          <w:b/>
          <w:bCs/>
          <w:color w:val="000000"/>
          <w:sz w:val="21"/>
          <w:szCs w:val="21"/>
          <w:lang w:val="en-US" w:eastAsia="zh-CN"/>
        </w:rPr>
        <w:t>-8</w:t>
      </w:r>
      <w:r>
        <w:rPr>
          <w:rFonts w:hint="default" w:ascii="Times New Roman Bold" w:hAnsi="Times New Roman Bold" w:cs="Times New Roman Bold"/>
          <w:b/>
          <w:bCs/>
          <w:color w:val="000000"/>
          <w:sz w:val="21"/>
          <w:szCs w:val="21"/>
        </w:rPr>
        <w:t>: Supplement 2025 baseline methods for comparison in the Experiments section (current experimental scale is small).</w:t>
      </w:r>
      <w:r>
        <w:rPr>
          <w:rFonts w:hint="default" w:ascii="Times New Roman Bold" w:hAnsi="Times New Roman Bold" w:cs="Times New Roman Bold"/>
          <w:b/>
          <w:bCs/>
          <w:color w:val="000000"/>
          <w:sz w:val="21"/>
          <w:szCs w:val="21"/>
          <w:lang w:val="en-US" w:eastAsia="zh-CN"/>
        </w:rPr>
        <w:t xml:space="preserve"> </w:t>
      </w:r>
      <w:r>
        <w:rPr>
          <w:rFonts w:hint="default" w:ascii="Times New Roman Bold" w:hAnsi="Times New Roman Bold" w:cs="Times New Roman Bold"/>
          <w:b/>
          <w:bCs/>
          <w:color w:val="000000"/>
          <w:sz w:val="21"/>
          <w:szCs w:val="21"/>
        </w:rPr>
        <w:t>Expand datasets (add other datasets for validation besides CIFAR-10 and CIFAR-100).</w:t>
      </w:r>
    </w:p>
    <w:p w14:paraId="3DFE74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so much for your suggestion.</w:t>
      </w:r>
      <w:r>
        <w:rPr>
          <w:rFonts w:hint="eastAsia" w:ascii="Times New Roman Regular" w:hAnsi="Times New Roman Regular" w:eastAsia="宋体"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have expanded the experiments to include the 2025 new method FedCFA and the new dataset TinyImageNet. Details are available in the Experiments section: FedCFA (2025) has been added to the dual-skew experiments, and TinyImageNet has been added to the orthogonality experiments on the basis of CIFAR-10. Experimental results demonstrate FCPC’s performance advantages and flexible orthogonality, which are among our core contributions.</w:t>
      </w:r>
    </w:p>
    <w:p w14:paraId="5A1F36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2A13D3E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9: Propose ablation experiments for model components.</w:t>
      </w:r>
    </w:p>
    <w:p w14:paraId="18B07F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w:t>
      </w:r>
      <w:r>
        <w:rPr>
          <w:rFonts w:hint="default" w:ascii="Times New Roman Regular" w:hAnsi="Times New Roman Regular" w:eastAsia="宋体" w:cs="Times New Roman Regular"/>
          <w:color w:val="000000"/>
          <w:kern w:val="0"/>
          <w:sz w:val="21"/>
          <w:szCs w:val="21"/>
          <w:lang w:val="en-US" w:eastAsia="zh-CN" w:bidi="ar"/>
        </w:rPr>
        <w:t xml:space="preserve"> In the Ablation Study subsection of the Experiments chapter, we have designed three sets of ablation experiments targeting the coefficient λ, coefficient β, and dissimilarity metrics. These experiments confirm the optimal values of λ and β, as well as the superiority of JSDN as a data dissimilarity measurement indicator.</w:t>
      </w:r>
    </w:p>
    <w:p w14:paraId="0C4D37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4C6D954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10: Use a deeper color scheme for Figure 8 to improve image clarity.</w:t>
      </w:r>
    </w:p>
    <w:p w14:paraId="2EE724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w:t>
      </w:r>
      <w:r>
        <w:rPr>
          <w:rFonts w:hint="default" w:ascii="Times New Roman Regular" w:hAnsi="Times New Roman Regular" w:eastAsia="宋体" w:cs="Times New Roman Regular"/>
          <w:color w:val="000000"/>
          <w:kern w:val="0"/>
          <w:sz w:val="21"/>
          <w:szCs w:val="21"/>
          <w:lang w:val="en-US" w:eastAsia="zh-CN" w:bidi="ar"/>
        </w:rPr>
        <w:t xml:space="preserve"> Regarding the image clarity and color scheme issues you mentioned, we have redrawn some charts to ensure they are clear and intuitive. Please refer to the revised version for details.</w:t>
      </w:r>
    </w:p>
    <w:p w14:paraId="1D21CDF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11: Reduce the manuscript length (currently over 12 pages).</w:t>
      </w:r>
    </w:p>
    <w:p w14:paraId="7B4DA9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so much for your suggestion.</w:t>
      </w:r>
      <w:r>
        <w:rPr>
          <w:rFonts w:hint="eastAsia" w:ascii="Times New Roman Regular" w:hAnsi="Times New Roman Regular" w:eastAsia="宋体"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have shortened the manuscript to less than 10 pages. Additionally, we have moved the Motivation section from the initial draft to the Appendix and added strict theoretical proof for the rationality of λ’s value in the Appendix.</w:t>
      </w:r>
    </w:p>
    <w:p w14:paraId="5B9FF6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0E0BB46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Response to Reviewer 2</w:t>
      </w:r>
    </w:p>
    <w:p w14:paraId="48ADE25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 The abstract should emphasize the practical significance of the research, highlight the engineering background and real-world application scenarios to help readers understand the value of the method.</w:t>
      </w:r>
    </w:p>
    <w:p w14:paraId="5BB813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valuable comment. We have restructured the logic of the abstract to emphasize both the innovation of our method and its application value in non-IID IoT systems, demonstrating the practical significance of FCPC in engineering contexts.</w:t>
      </w:r>
    </w:p>
    <w:p w14:paraId="063430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36DE06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2: The Related Work section should explicitly summarize existing research gaps before elaborating on the innovation of this work. Additionally, expand the discussion to include emerging trends in machine learning and signal processing—particularly in industrial applications—to enhance the relevance of the research. For example, explore connections to recent advancements such as Neural Network-Assisted Boussinesq pressure bulb model for load assessment of cylindrical rolling element bearings, neuro-fuzzy approach with hypergraph convolution for fault diagnosis in industrial devices, and vibration-based gear wear monitoring and prediction techniques.</w:t>
      </w:r>
    </w:p>
    <w:p w14:paraId="082B34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feedback.</w:t>
      </w:r>
      <w:r>
        <w:rPr>
          <w:rFonts w:hint="eastAsia" w:ascii="Times New Roman Regular" w:hAnsi="Times New Roman Regular" w:cs="Times New Roman Regular"/>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In the Introduction and Related Work sections, we elaborate on bearing load assessment, fault diagnosis, and vibration sensor-based gear wear monitoring, conduct analysis with reference to relevant literature, and highlight all above content in red. In response to the reviewer's comments, we have supplemented and improved the comprehensive summary and in-depth analysis of the related work, and added discussions on the industrial applications of machine learning, signal processing and other technologies—for such scenarios, federated learning technologies are also urgently needed to support the optimization of model performance for highly heterogeneous data. The intelligent transportation scenario selected in this paper is a typical combination of distributed machine learning and practical industrial applications; meanwhile, FCPC features both high adaptability and lightweight design, enabling its seamless migration to other industrial scenarios, which is also one of the core contributions of this study.</w:t>
      </w:r>
    </w:p>
    <w:p w14:paraId="6B0CC24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3: Improve the resolution of all figures to ensure clear presentation of results.</w:t>
      </w:r>
    </w:p>
    <w:p w14:paraId="6D5337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acknowledge that the font sizes in the charts were inconsistent in the initial draft. We have redrawn some charts to ensure clear presentation of results.</w:t>
      </w:r>
    </w:p>
    <w:p w14:paraId="74F3A5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051B74E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4: There are occasional grammatical errors throughout the manuscript; a thorough proofreading is required to improve readability and professionalism.</w:t>
      </w:r>
    </w:p>
    <w:p w14:paraId="7B1D6A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w:t>
      </w:r>
      <w:r>
        <w:rPr>
          <w:rFonts w:hint="default" w:ascii="Times New Roman Regular" w:hAnsi="Times New Roman Regular" w:eastAsia="宋体" w:cs="Times New Roman Regular"/>
          <w:color w:val="000000"/>
          <w:kern w:val="0"/>
          <w:sz w:val="21"/>
          <w:szCs w:val="21"/>
          <w:lang w:val="en-US" w:eastAsia="zh-CN" w:bidi="ar"/>
        </w:rPr>
        <w:t xml:space="preserve"> We sincerely apologize for the typos and English errors in the initial version. After the initial submission, we have thoroughly rewritten and polished the entire paper. Specifically:</w:t>
      </w:r>
    </w:p>
    <w:p w14:paraId="2E6AB0EF">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checked and corrected all typos, grammatical errors, and inappropriate expressions.</w:t>
      </w:r>
    </w:p>
    <w:p w14:paraId="498D3B82">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standardized the use of professional terms to ensure consistency throughout the paper.</w:t>
      </w:r>
    </w:p>
    <w:p w14:paraId="467515E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optimized sentence structures and logical flow to improve readability.</w:t>
      </w:r>
    </w:p>
    <w:p w14:paraId="13AC74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4CD024E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5: Add a “Future Research Directions” subsection at the end of the Conclusion to provide a forward-looking perspective.</w:t>
      </w:r>
    </w:p>
    <w:p w14:paraId="18B3DE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feedback. Although the last section of the original manuscript included content on future research directions, it was not sufficiently clear and intuitive. We have added a new “Future Work” subsection and proposed three optimization directions:</w:t>
      </w:r>
    </w:p>
    <w:p w14:paraId="5BA1ECC7">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Adaptive mechanisms for dynamic parameter tuning in evolving IoT environments.</w:t>
      </w:r>
    </w:p>
    <w:p w14:paraId="501A796D">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Extension to broader heterogeneity types (e.g., feature skew and concept drift).</w:t>
      </w:r>
    </w:p>
    <w:p w14:paraId="3035F272">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Validation in cross-silo industrial FL scenarios with stringent privacy requirements.</w:t>
      </w:r>
    </w:p>
    <w:p w14:paraId="4524CE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181BBA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Response to Reviewer 3</w:t>
      </w:r>
    </w:p>
    <w:p w14:paraId="107BFC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 The abstract and conclusion are not well-written; they need to be rewritten.</w:t>
      </w:r>
    </w:p>
    <w:p w14:paraId="649240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valuable comment. We fully agree that the abstract and conclusion in the initial version lacked clarity and completeness. We have thoroughly rewritten both sections: the revised abstract concisely summarizes the research background, core challenges of heterogeneous IoT scenarios, design ideas of our FCPC method, key experimental results, and practical value; the conclusion further emphasizes the work’s contributions, summarizes the limitations of the current study, and puts forward prospects for future research directions. We believe the revised abstract and conclusion now more accurately convey the core content of the paper and meet academic expression requirements.</w:t>
      </w:r>
    </w:p>
    <w:p w14:paraId="31DBCD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5240EF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2: The motivation and contributions of this work need to be highlighted appropriately in the Introduction to help readers better understand the main theme of the article.</w:t>
      </w:r>
    </w:p>
    <w:p w14:paraId="202EED8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valuable suggestion. We have restructured the logical expression of the Introduction, mentioned our research motivation, and provided a detailed introduction in Section IV on the sources of motivation advanced through experiments. Meanwhile, we have reorganized the contributions section, summarized it concisely, and streamlined it appropriately to enable readers to quickly grasp the theme.</w:t>
      </w:r>
    </w:p>
    <w:p w14:paraId="3F6580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2D9687D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3: The contribution of this work is limited as there are many articles addressing the same topic. The authors should highlight their contributions by emphasizing how their work differs from others.</w:t>
      </w:r>
    </w:p>
    <w:p w14:paraId="227E1E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very much for your constructive suggestion. In the Introduction and Related Work sections, we have reorganized the essential differences between FCPC and other similar methods. Specifically, our innovations can be divided into three points:</w:t>
      </w:r>
    </w:p>
    <w:p w14:paraId="06DB92D9">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proposed a new metric to quantify the distribution differences of client data, and verified the effectiveness and superiority of JSDN through ablation experiments.</w:t>
      </w:r>
    </w:p>
    <w:p w14:paraId="7A44891D">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proposed a new client pairing method. Experiments show that this method can effectively reduce the impact of data heterogeneity on federated learning training in industrial IoT environments without introducing additional computational burden.</w:t>
      </w:r>
    </w:p>
    <w:p w14:paraId="4825ABAB">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Our method has a high degree of plug-and-play capability, which can be seamlessly integrated into existing SOTA methods and improve their performance to varying degrees—particularly suitable for dynamic IoT systems.</w:t>
      </w:r>
    </w:p>
    <w:p w14:paraId="39594A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5ABD23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4-6: Enhance the quality of the Related Work section by adding more recent articles from top venues. The current section merely enumerates previous studies; it should highlight their shortcomings and relate them to this work. The authors need to compare their results with the latest state-of-the-art studies published in top journals and conferences.</w:t>
      </w:r>
    </w:p>
    <w:p w14:paraId="09D170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comments. In the initial draft, we mainly introduced classical federated learning algorithms in the Related Work section and paid insufficient attention to the latest top-tier literature. Based on this, we have reintroduced several cutting-edge SOTA methods in the revised manuscript, analyzed their shortcomings, and linked them to our work. Meanwhile, experimental results show that our method outperforms existing SOTA methods by 2%-9% on datasets such as CIFAR-10 and TinyImageNet while meeting plug-and-play requirements.</w:t>
      </w:r>
    </w:p>
    <w:p w14:paraId="360083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7353548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7: Discuss the algorithmic steps in detail and present the complexity analysis of the proposed model.</w:t>
      </w:r>
    </w:p>
    <w:p w14:paraId="06D3DD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thank the reviewer for this valuable suggestion. We have improved the original manuscript, reorganized the logic of Section V (Proposed Method), and added a comprehensive analysis of the complexity and computational overhead of FCPC (as shown in the table below), confirming its practicality in IoT systems.</w:t>
      </w:r>
    </w:p>
    <w:p w14:paraId="73FD7B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Three core steps of the FCPC framework:</w:t>
      </w:r>
    </w:p>
    <w:p w14:paraId="7469640A">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Quantify data distribution differences: Introduce JSDN to quantify the distribution differences of client data.</w:t>
      </w:r>
    </w:p>
    <w:p w14:paraId="234DF6AB">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Client pairing: Pair clients with large data distribution differences.</w:t>
      </w:r>
    </w:p>
    <w:p w14:paraId="59B40AC4">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Add paired regularization terms to local training to ensure global convergence during training.</w:t>
      </w:r>
    </w:p>
    <w:p w14:paraId="57C8AD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360" w:leftChars="0" w:right="0" w:rightChars="0"/>
        <w:jc w:val="left"/>
        <w:textAlignment w:val="auto"/>
        <w:rPr>
          <w:rFonts w:hint="default" w:ascii="Times New Roman Regular" w:hAnsi="Times New Roman Regular" w:cs="Times New Roman Regular"/>
          <w:color w:val="000000"/>
          <w:sz w:val="21"/>
          <w:szCs w:val="21"/>
        </w:rPr>
      </w:pPr>
    </w:p>
    <w:p w14:paraId="067945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Computational Complexity Analysis</w:t>
      </w:r>
    </w:p>
    <w:tbl>
      <w:tblPr>
        <w:tblStyle w:val="5"/>
        <w:tblW w:w="0" w:type="auto"/>
        <w:tblCellSpacing w:w="15" w:type="dxa"/>
        <w:tblInd w:w="-1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shd w:val="clear" w:color="auto" w:fill="auto"/>
        <w:tblLayout w:type="autofit"/>
        <w:tblCellMar>
          <w:top w:w="0" w:type="dxa"/>
          <w:left w:w="0" w:type="dxa"/>
          <w:bottom w:w="0" w:type="dxa"/>
          <w:right w:w="0" w:type="dxa"/>
        </w:tblCellMar>
      </w:tblPr>
      <w:tblGrid>
        <w:gridCol w:w="1160"/>
        <w:gridCol w:w="2252"/>
        <w:gridCol w:w="3164"/>
        <w:gridCol w:w="1673"/>
      </w:tblGrid>
      <w:tr w14:paraId="6D308629">
        <w:trPr>
          <w:trHeight w:val="580" w:hRule="atLeast"/>
          <w:tblHeader/>
          <w:tblCellSpacing w:w="15" w:type="dxa"/>
        </w:trPr>
        <w:tc>
          <w:tcPr>
            <w:tcW w:w="0" w:type="auto"/>
            <w:shd w:val="clear" w:color="auto" w:fill="auto"/>
            <w:vAlign w:val="center"/>
          </w:tcPr>
          <w:p w14:paraId="417485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Bold" w:hAnsi="Times New Roman Bold" w:cs="Times New Roman Bold"/>
                <w:b/>
                <w:bCs/>
                <w:color w:val="000000"/>
                <w:sz w:val="21"/>
                <w:szCs w:val="21"/>
              </w:rPr>
            </w:pPr>
            <w:r>
              <w:rPr>
                <w:rFonts w:hint="default" w:ascii="Times New Roman Bold" w:hAnsi="Times New Roman Bold" w:eastAsia="宋体" w:cs="Times New Roman Bold"/>
                <w:b/>
                <w:bCs/>
                <w:color w:val="000000"/>
                <w:kern w:val="0"/>
                <w:sz w:val="21"/>
                <w:szCs w:val="21"/>
                <w:lang w:val="en-US" w:eastAsia="zh-CN" w:bidi="ar"/>
              </w:rPr>
              <w:t>Method</w:t>
            </w:r>
          </w:p>
        </w:tc>
        <w:tc>
          <w:tcPr>
            <w:tcW w:w="2222" w:type="dxa"/>
            <w:shd w:val="clear" w:color="auto" w:fill="auto"/>
            <w:vAlign w:val="center"/>
          </w:tcPr>
          <w:p w14:paraId="7A9ADE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Bold" w:hAnsi="Times New Roman Bold" w:cs="Times New Roman Bold"/>
                <w:b/>
                <w:bCs/>
                <w:color w:val="000000"/>
                <w:sz w:val="21"/>
                <w:szCs w:val="21"/>
              </w:rPr>
            </w:pPr>
            <w:r>
              <w:rPr>
                <w:rFonts w:hint="default" w:ascii="Times New Roman Bold" w:hAnsi="Times New Roman Bold" w:eastAsia="宋体" w:cs="Times New Roman Bold"/>
                <w:b/>
                <w:bCs/>
                <w:color w:val="000000"/>
                <w:kern w:val="0"/>
                <w:sz w:val="21"/>
                <w:szCs w:val="21"/>
                <w:lang w:val="en-US" w:eastAsia="zh-CN" w:bidi="ar"/>
              </w:rPr>
              <w:t>Computational Complexity</w:t>
            </w:r>
          </w:p>
        </w:tc>
        <w:tc>
          <w:tcPr>
            <w:tcW w:w="3134" w:type="dxa"/>
            <w:shd w:val="clear" w:color="auto" w:fill="auto"/>
            <w:vAlign w:val="center"/>
          </w:tcPr>
          <w:p w14:paraId="6441A2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Bold" w:hAnsi="Times New Roman Bold" w:cs="Times New Roman Bold"/>
                <w:b/>
                <w:bCs/>
                <w:color w:val="000000"/>
                <w:sz w:val="21"/>
                <w:szCs w:val="21"/>
              </w:rPr>
            </w:pPr>
            <w:r>
              <w:rPr>
                <w:rFonts w:hint="default" w:ascii="Times New Roman Bold" w:hAnsi="Times New Roman Bold" w:eastAsia="宋体" w:cs="Times New Roman Bold"/>
                <w:b/>
                <w:bCs/>
                <w:color w:val="000000"/>
                <w:kern w:val="0"/>
                <w:sz w:val="21"/>
                <w:szCs w:val="21"/>
                <w:lang w:val="en-US" w:eastAsia="zh-CN" w:bidi="ar"/>
              </w:rPr>
              <w:t>Communication Complexity</w:t>
            </w:r>
          </w:p>
        </w:tc>
        <w:tc>
          <w:tcPr>
            <w:tcW w:w="0" w:type="auto"/>
            <w:shd w:val="clear" w:color="auto" w:fill="auto"/>
            <w:vAlign w:val="center"/>
          </w:tcPr>
          <w:p w14:paraId="46408D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Bold" w:hAnsi="Times New Roman Bold" w:cs="Times New Roman Bold"/>
                <w:b/>
                <w:bCs/>
                <w:color w:val="000000"/>
                <w:sz w:val="21"/>
                <w:szCs w:val="21"/>
              </w:rPr>
            </w:pPr>
            <w:r>
              <w:rPr>
                <w:rFonts w:hint="default" w:ascii="Times New Roman Bold" w:hAnsi="Times New Roman Bold" w:eastAsia="宋体" w:cs="Times New Roman Bold"/>
                <w:b/>
                <w:bCs/>
                <w:color w:val="000000"/>
                <w:kern w:val="0"/>
                <w:sz w:val="21"/>
                <w:szCs w:val="21"/>
                <w:lang w:val="en-US" w:eastAsia="zh-CN" w:bidi="ar"/>
              </w:rPr>
              <w:t>Storage Overhead</w:t>
            </w:r>
          </w:p>
        </w:tc>
      </w:tr>
      <w:tr w14:paraId="5C50A4C2">
        <w:trPr>
          <w:trHeight w:val="577" w:hRule="atLeast"/>
          <w:tblCellSpacing w:w="15" w:type="dxa"/>
        </w:trPr>
        <w:tc>
          <w:tcPr>
            <w:tcW w:w="0" w:type="auto"/>
            <w:shd w:val="clear" w:color="auto" w:fill="auto"/>
            <w:vAlign w:val="center"/>
          </w:tcPr>
          <w:p w14:paraId="45EAEA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FedAvg</w:t>
            </w:r>
          </w:p>
        </w:tc>
        <w:tc>
          <w:tcPr>
            <w:tcW w:w="2222" w:type="dxa"/>
            <w:shd w:val="clear" w:color="auto" w:fill="auto"/>
            <w:vAlign w:val="center"/>
          </w:tcPr>
          <w:p w14:paraId="2A7F08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O(P·B) (Base training)</w:t>
            </w:r>
          </w:p>
        </w:tc>
        <w:tc>
          <w:tcPr>
            <w:tcW w:w="3134" w:type="dxa"/>
            <w:shd w:val="clear" w:color="auto" w:fill="auto"/>
            <w:vAlign w:val="center"/>
          </w:tcPr>
          <w:p w14:paraId="07C2CC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Upload: O(P) to server; Download: O(P) from server</w:t>
            </w:r>
          </w:p>
        </w:tc>
        <w:tc>
          <w:tcPr>
            <w:tcW w:w="0" w:type="auto"/>
            <w:shd w:val="clear" w:color="auto" w:fill="auto"/>
            <w:vAlign w:val="center"/>
          </w:tcPr>
          <w:p w14:paraId="6375C1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O(P)</w:t>
            </w:r>
          </w:p>
        </w:tc>
      </w:tr>
      <w:tr w14:paraId="49A0CF4A">
        <w:trPr>
          <w:trHeight w:val="577" w:hRule="atLeast"/>
          <w:tblCellSpacing w:w="15" w:type="dxa"/>
        </w:trPr>
        <w:tc>
          <w:tcPr>
            <w:tcW w:w="0" w:type="auto"/>
            <w:shd w:val="clear" w:color="auto" w:fill="auto"/>
            <w:vAlign w:val="center"/>
          </w:tcPr>
          <w:p w14:paraId="75E0E1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FedProx</w:t>
            </w:r>
          </w:p>
        </w:tc>
        <w:tc>
          <w:tcPr>
            <w:tcW w:w="2222" w:type="dxa"/>
            <w:shd w:val="clear" w:color="auto" w:fill="auto"/>
            <w:vAlign w:val="center"/>
          </w:tcPr>
          <w:p w14:paraId="26D6FF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Base + O(P) (Proximal term)</w:t>
            </w:r>
          </w:p>
        </w:tc>
        <w:tc>
          <w:tcPr>
            <w:tcW w:w="3134" w:type="dxa"/>
            <w:shd w:val="clear" w:color="auto" w:fill="auto"/>
            <w:vAlign w:val="center"/>
          </w:tcPr>
          <w:p w14:paraId="49B18F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Same as FedAvg</w:t>
            </w:r>
          </w:p>
        </w:tc>
        <w:tc>
          <w:tcPr>
            <w:tcW w:w="0" w:type="auto"/>
            <w:shd w:val="clear" w:color="auto" w:fill="auto"/>
            <w:vAlign w:val="center"/>
          </w:tcPr>
          <w:p w14:paraId="3C7A23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O(P)</w:t>
            </w:r>
          </w:p>
        </w:tc>
      </w:tr>
      <w:tr w14:paraId="3A4919CF">
        <w:trPr>
          <w:trHeight w:val="851" w:hRule="atLeast"/>
          <w:tblCellSpacing w:w="15" w:type="dxa"/>
        </w:trPr>
        <w:tc>
          <w:tcPr>
            <w:tcW w:w="0" w:type="auto"/>
            <w:shd w:val="clear" w:color="auto" w:fill="auto"/>
            <w:vAlign w:val="center"/>
          </w:tcPr>
          <w:p w14:paraId="16F47B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MOON</w:t>
            </w:r>
          </w:p>
        </w:tc>
        <w:tc>
          <w:tcPr>
            <w:tcW w:w="2222" w:type="dxa"/>
            <w:shd w:val="clear" w:color="auto" w:fill="auto"/>
            <w:vAlign w:val="center"/>
          </w:tcPr>
          <w:p w14:paraId="23EEBE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Base + High cost (Extra forward passes &amp; contrastive loss)</w:t>
            </w:r>
          </w:p>
        </w:tc>
        <w:tc>
          <w:tcPr>
            <w:tcW w:w="3134" w:type="dxa"/>
            <w:shd w:val="clear" w:color="auto" w:fill="auto"/>
            <w:vAlign w:val="center"/>
          </w:tcPr>
          <w:p w14:paraId="346989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Same as FedAvg</w:t>
            </w:r>
          </w:p>
        </w:tc>
        <w:tc>
          <w:tcPr>
            <w:tcW w:w="0" w:type="auto"/>
            <w:shd w:val="clear" w:color="auto" w:fill="auto"/>
            <w:vAlign w:val="center"/>
          </w:tcPr>
          <w:p w14:paraId="452CCC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&gt; O(P)</w:t>
            </w:r>
          </w:p>
        </w:tc>
      </w:tr>
      <w:tr w14:paraId="130FABBF">
        <w:trPr>
          <w:trHeight w:val="854" w:hRule="atLeast"/>
          <w:tblCellSpacing w:w="15" w:type="dxa"/>
        </w:trPr>
        <w:tc>
          <w:tcPr>
            <w:tcW w:w="0" w:type="auto"/>
            <w:shd w:val="clear" w:color="auto" w:fill="auto"/>
            <w:vAlign w:val="center"/>
          </w:tcPr>
          <w:p w14:paraId="72197F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FCPC (Ours)</w:t>
            </w:r>
          </w:p>
        </w:tc>
        <w:tc>
          <w:tcPr>
            <w:tcW w:w="2222" w:type="dxa"/>
            <w:shd w:val="clear" w:color="auto" w:fill="auto"/>
            <w:vAlign w:val="center"/>
          </w:tcPr>
          <w:p w14:paraId="66A9B8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Base + O(P) (Pairwise regularization term)</w:t>
            </w:r>
          </w:p>
        </w:tc>
        <w:tc>
          <w:tcPr>
            <w:tcW w:w="3134" w:type="dxa"/>
            <w:shd w:val="clear" w:color="auto" w:fill="auto"/>
            <w:vAlign w:val="center"/>
          </w:tcPr>
          <w:p w14:paraId="12072D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Base: O(P) to server; Extra: O(P) to paired client (P2P); Download: O(P) from server</w:t>
            </w:r>
          </w:p>
        </w:tc>
        <w:tc>
          <w:tcPr>
            <w:tcW w:w="0" w:type="auto"/>
            <w:shd w:val="clear" w:color="auto" w:fill="auto"/>
            <w:vAlign w:val="center"/>
          </w:tcPr>
          <w:p w14:paraId="296778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cs="Times New Roman"/>
                <w:b w:val="0"/>
                <w:bCs w:val="0"/>
                <w:color w:val="000000"/>
                <w:sz w:val="21"/>
                <w:szCs w:val="21"/>
              </w:rPr>
            </w:pPr>
            <w:r>
              <w:rPr>
                <w:rFonts w:hint="default" w:ascii="Times New Roman" w:hAnsi="Times New Roman" w:eastAsia="宋体" w:cs="Times New Roman"/>
                <w:b w:val="0"/>
                <w:bCs w:val="0"/>
                <w:color w:val="000000"/>
                <w:kern w:val="0"/>
                <w:sz w:val="21"/>
                <w:szCs w:val="21"/>
                <w:lang w:val="en-US" w:eastAsia="zh-CN" w:bidi="ar"/>
              </w:rPr>
              <w:t>O(P)</w:t>
            </w:r>
          </w:p>
        </w:tc>
      </w:tr>
    </w:tbl>
    <w:p w14:paraId="62D7CDF2">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Local Training (Client-side)</w:t>
      </w:r>
      <w:r>
        <w:rPr>
          <w:rFonts w:hint="default" w:ascii="Times New Roman Regular" w:hAnsi="Times New Roman Regular" w:cs="Times New Roman Regular"/>
          <w:color w:val="000000"/>
          <w:sz w:val="21"/>
          <w:szCs w:val="21"/>
        </w:rPr>
        <w:t>: The primary addition is the calculation of the L2-distance between the current model and the paired client’s previous model. This incurs a linear overhead of O(P) per training round, where P is the number of model parameters. This is comparable to the overhead introduced by FedProx and negligible compared to the base forward/backward propagation costs O(P·B) (where B is the batch size).</w:t>
      </w:r>
    </w:p>
    <w:p w14:paraId="76F9C196">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Server-side (Pairing Phase)</w:t>
      </w:r>
      <w:r>
        <w:rPr>
          <w:rFonts w:hint="default" w:ascii="Times New Roman Regular" w:hAnsi="Times New Roman Regular" w:cs="Times New Roman Regular"/>
          <w:color w:val="000000"/>
          <w:sz w:val="21"/>
          <w:szCs w:val="21"/>
        </w:rPr>
        <w:t>: This involves two steps: (i) Calculating the full JSDN matrix, which requires O(n²C) operations (n: number of clients, C: number of classes); (ii) Running the greedy pairing algorithm with a worst-case complexity of O(n²). Crucially, this pairing is a one-time or low-frequency operation performed on the resource-rich central server. For typical IoT FL scales where n ranges from tens to hundreds, this cost is insignificant compared to model training.</w:t>
      </w:r>
    </w:p>
    <w:p w14:paraId="7FC661AC">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Communication Complexity</w:t>
      </w:r>
      <w:r>
        <w:rPr>
          <w:rFonts w:hint="default" w:ascii="Times New Roman Regular" w:hAnsi="Times New Roman Regular" w:cs="Times New Roman Regular"/>
          <w:color w:val="000000"/>
          <w:sz w:val="21"/>
          <w:szCs w:val="21"/>
        </w:rPr>
        <w:t>: FCPC introduces one additional Peer-to-Peer (P2P) communication per round: each client must send its updated model parameters (O(P)) to its paired partner. This doubles the per-client upload volume per round compared to standard FedAvg (which only uploads to the server) but does not increase the number of communication rounds. The download volume (receiving the global model from the server) remains unchanged.</w:t>
      </w:r>
    </w:p>
    <w:p w14:paraId="4B699E10">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Storage Overhead</w:t>
      </w:r>
      <w:r>
        <w:rPr>
          <w:rFonts w:hint="default" w:ascii="Times New Roman Regular" w:hAnsi="Times New Roman Regular" w:cs="Times New Roman Regular"/>
          <w:color w:val="000000"/>
          <w:sz w:val="21"/>
          <w:szCs w:val="21"/>
        </w:rPr>
        <w:t>: Each client needs to store an extra copy of its paired partner’s model parameters from the previous round, amounting to an additional O(P) storage. This is a feasible requirement for modern edge devices with memory capacities far exceeding typical model sizes (e.g., MobileNetV2 is ~9 MB).</w:t>
      </w:r>
    </w:p>
    <w:p w14:paraId="6E21D1A4">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Scalability Discussion</w:t>
      </w:r>
      <w:r>
        <w:rPr>
          <w:rFonts w:hint="default" w:ascii="Times New Roman Regular" w:hAnsi="Times New Roman Regular" w:cs="Times New Roman Regular"/>
          <w:color w:val="000000"/>
          <w:sz w:val="21"/>
          <w:szCs w:val="21"/>
        </w:rPr>
        <w:t>: For potential deployment in extremely large-scale scenarios (thousands of clients), a straightforward grouping strategy can maintain efficiency. Clients can first be partitioned into G groups based on meta-information (e.g., network topology), and the pairing algorithm is run independently within each group. This reduces the server-side pairing complexity to O(N²C / G), effectively preventing a prohibitive computational increase.</w:t>
      </w:r>
    </w:p>
    <w:p w14:paraId="3E12CC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360" w:leftChars="0" w:right="0" w:rightChars="0"/>
        <w:jc w:val="left"/>
        <w:textAlignment w:val="auto"/>
        <w:rPr>
          <w:rFonts w:hint="default" w:ascii="Times New Roman Regular" w:hAnsi="Times New Roman Regular" w:cs="Times New Roman Regular"/>
          <w:color w:val="000000"/>
          <w:sz w:val="21"/>
          <w:szCs w:val="21"/>
        </w:rPr>
      </w:pPr>
    </w:p>
    <w:p w14:paraId="252C631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8: More results and discussions are required to validate the performance of the proposed model.</w:t>
      </w:r>
    </w:p>
    <w:p w14:paraId="04E0A9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comments. We have added new datasets and baseline methods in the revised paper and conducted detailed analysis on complexity and computational overhead to demonstrate the wide applicability and lightweight characteristics of FCPC.</w:t>
      </w:r>
    </w:p>
    <w:p w14:paraId="568711A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1BB010D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9: More detailed analysis of existing studies is required.</w:t>
      </w:r>
    </w:p>
    <w:p w14:paraId="09B72A5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Thank you for your valuable comment. In the Introduction and Related Work chapters, we have analyzed the general classification, advantages, and disadvantages of existing methods in current non-IID IoT systems. Meanwhile, this is also the source of our research motivation. Through sufficient experiments, we have proven that FCPC can be applied to dynamic non-IID IoT systems to optimize the global aggregation effect through federated learning.</w:t>
      </w:r>
    </w:p>
    <w:p w14:paraId="3F6E2E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1A3291E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10: The paper needs to be rewritten and polished for language, as there are many typos and English errors.</w:t>
      </w:r>
    </w:p>
    <w:p w14:paraId="6A6E6A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sincerely apologize for the typos and English errors in the initial version. After the initial submission, we have thoroughly rewritten and polished the entire paper. Specifically:</w:t>
      </w:r>
    </w:p>
    <w:p w14:paraId="151AD1B8">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checked and corrected all typos, grammatical errors, and inappropriate expressions.</w:t>
      </w:r>
    </w:p>
    <w:p w14:paraId="6569A0DF">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standardized the use of professional terms to ensure consistency throughout the paper.</w:t>
      </w:r>
    </w:p>
    <w:p w14:paraId="3DD08A12">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We have optimized sentence structures and logical flow to improve readability.</w:t>
      </w:r>
    </w:p>
    <w:p w14:paraId="65CC0E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0" w:afterAutospacing="0" w:line="360" w:lineRule="auto"/>
        <w:ind w:right="0" w:rightChars="0"/>
        <w:jc w:val="left"/>
        <w:textAlignment w:val="auto"/>
        <w:rPr>
          <w:rFonts w:hint="default" w:ascii="Times New Roman Regular" w:hAnsi="Times New Roman Regular" w:cs="Times New Roman Regular"/>
          <w:color w:val="000000"/>
          <w:sz w:val="21"/>
          <w:szCs w:val="21"/>
        </w:rPr>
      </w:pPr>
    </w:p>
    <w:p w14:paraId="0859BB0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11: The authors are advised to upload the software and experimental code and link them to the paper for reproducibility.</w:t>
      </w:r>
    </w:p>
    <w:p w14:paraId="7DF39D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fully agree with the importance of code open-source for research reproducibility and transparency. To ensure the integrity of the research and avoid potential misuse before formal publication, we plan to make the complete software and experimental code of the FCPC method publicly available on GitHub immediately upon the acceptance of this manuscript. We will also provide detailed documentation (including environment configuration, parameter settings, and experimental reproduction steps) to facilitate other researchers in verifying and extending our work. The GitHub repository link will be supplemented in the final version of the paper after acceptance.</w:t>
      </w:r>
    </w:p>
    <w:p w14:paraId="6FA7F02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3BF8933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Response to Reviewer 4</w:t>
      </w:r>
    </w:p>
    <w:p w14:paraId="324CA6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The reviewer acknowledges the practical significance of the research (focusing on the dual-skew Non-IID problem of “label distribution skew + sample size skew” in IoT federated learning) and the innovation of the JSDN index (integrating JSD and normalized sample size difference metrics to quantify data heterogeneity). We have addressed the 4 key improvement directions as follows:</w:t>
      </w:r>
    </w:p>
    <w:p w14:paraId="69E0EB7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Comment 1: The selection of the weighting parameter λ in the JSDN index is rather empirical. Although λ=0.3 is determined as the optimal value through experiments, the adaptive adjustment logic under different data distribution characteristics (such as extreme label skew or extreme quantity skew) is not deeply analyzed, lacking theoretical derivation support.</w:t>
      </w:r>
    </w:p>
    <w:p w14:paraId="31C97A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eastAsia="宋体" w:cs="Times New Roman Regular"/>
          <w:b/>
          <w:bCs/>
          <w:color w:val="000000"/>
          <w:kern w:val="0"/>
          <w:sz w:val="21"/>
          <w:szCs w:val="21"/>
          <w:lang w:val="en-US" w:eastAsia="zh-CN" w:bidi="ar"/>
        </w:rPr>
        <w:t>Response</w:t>
      </w:r>
      <w:r>
        <w:rPr>
          <w:rFonts w:hint="default" w:ascii="Times New Roman Regular" w:hAnsi="Times New Roman Regular" w:eastAsia="宋体" w:cs="Times New Roman Regular"/>
          <w:color w:val="000000"/>
          <w:kern w:val="0"/>
          <w:sz w:val="21"/>
          <w:szCs w:val="21"/>
          <w:lang w:val="en-US" w:eastAsia="zh-CN" w:bidi="ar"/>
        </w:rPr>
        <w:t>: We sincerely thank the reviewer for this insightful comment. We acknowledge that in the initial manuscript, the choice of λ (referred to as α in the comment) relied heavily on empirical observation. In the revised version, we have added a comprehensive theoretical analysis in Appendix B to justify the formulation of JSDN and the robustness of λ=0.3.</w:t>
      </w:r>
    </w:p>
    <w:p w14:paraId="4D0B0A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Our theoretical defense is built upon three pillars:</w:t>
      </w:r>
    </w:p>
    <w:p w14:paraId="6087FB87">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JSDN as a Proxy for Gradient Divergence</w:t>
      </w:r>
      <w:r>
        <w:rPr>
          <w:rFonts w:hint="default" w:ascii="Times New Roman Regular" w:hAnsi="Times New Roman Regular" w:cs="Times New Roman Regular"/>
          <w:color w:val="000000"/>
          <w:sz w:val="21"/>
          <w:szCs w:val="21"/>
        </w:rPr>
        <w:t>: We derive that the JSDN index is not merely a heuristic weighted sum, but a linear approximation of the upper bound of gradient divergence between clients. According to non-IID convergence theory, the weight difference between clients is bounded by distribution discrepancy (Label Skew) and gradient estimation variance (Quantity Skew).</w:t>
      </w:r>
    </w:p>
    <w:p w14:paraId="2EA974EC">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**Dominance of Label Skew (λ &lt; 0.5)**: Theoretically, label distribution skew causes directional deviation in gradients (bias), whereas quantity skew primarily affects the variance of the gradients. Since correcting directional bias is more critical for preventing model divergence than fixing variance, the coefficient for Label Skew (JSD) should inherently be larger than that for Quantity Skew (N). This theoretically justifies why 1-λ &gt; λ, supporting our experimental optimal of λ=0.3.</w:t>
      </w:r>
    </w:p>
    <w:p w14:paraId="39775DDC">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Style w:val="7"/>
          <w:rFonts w:hint="default" w:ascii="Times New Roman Regular" w:hAnsi="Times New Roman Regular" w:cs="Times New Roman Regular"/>
          <w:b/>
          <w:bCs/>
          <w:color w:val="000000"/>
          <w:sz w:val="21"/>
          <w:szCs w:val="21"/>
        </w:rPr>
        <w:t>Implicit Adaptability via Limit Analysis</w:t>
      </w:r>
      <w:r>
        <w:rPr>
          <w:rFonts w:hint="default" w:ascii="Times New Roman Regular" w:hAnsi="Times New Roman Regular" w:cs="Times New Roman Regular"/>
          <w:color w:val="000000"/>
          <w:sz w:val="21"/>
          <w:szCs w:val="21"/>
        </w:rPr>
        <w:t>: We mathematically prove that the fixed parameter λ provides implicit adaptability in extreme single-skew scenarios:</w:t>
      </w:r>
    </w:p>
    <w:p w14:paraId="73673090">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Extreme Label Skew: As N → 0, the ranking of client pairs depends solely on JSD, regardless of λ.</w:t>
      </w:r>
    </w:p>
    <w:p w14:paraId="59424065">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Extreme Quantity Skew: As JSD → 0, the ranking depends solely on N.</w:t>
      </w:r>
    </w:p>
    <w:p w14:paraId="6E579B14">
      <w:pPr>
        <w:keepNext w:val="0"/>
        <w:keepLines w:val="0"/>
        <w:pageBreakBefore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Dual Skew: λ=0.3 acts as a prior that prioritizes semantic alignment (label) over statistical stability (quantity), which is crucial for the early stages of representation learning.</w:t>
      </w:r>
    </w:p>
    <w:p w14:paraId="110727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We have included the detailed mathematical derivation, “Theoretical Justification for JSDN and Parameter Robustness,” in the Appendix of the revised manuscript.</w:t>
      </w:r>
    </w:p>
    <w:p w14:paraId="0918F0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Comment 2: When the number of clients is odd, the client pairing algorithm directly discards the client corresponding to the minimum JSDN value. This strategy may lose some effective data information, and no performance comparison with other processing schemes (such as temporarily pairing this client with the one with the second smallest difference) is provided.</w:t>
      </w:r>
    </w:p>
    <w:p w14:paraId="74C471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Regular" w:hAnsi="Times New Roman Regular" w:eastAsia="宋体" w:cs="Times New Roman Regular"/>
          <w:b/>
          <w:bCs/>
          <w:color w:val="000000"/>
          <w:kern w:val="0"/>
          <w:sz w:val="21"/>
          <w:szCs w:val="21"/>
          <w:lang w:val="en-US" w:eastAsia="zh-CN" w:bidi="ar"/>
        </w:rPr>
        <w:t>Response</w:t>
      </w:r>
      <w:r>
        <w:rPr>
          <w:rFonts w:hint="default" w:ascii="Times New Roman Regular" w:hAnsi="Times New Roman Regular" w:eastAsia="宋体" w:cs="Times New Roman Regular"/>
          <w:color w:val="000000"/>
          <w:kern w:val="0"/>
          <w:sz w:val="21"/>
          <w:szCs w:val="21"/>
          <w:lang w:val="en-US" w:eastAsia="zh-CN" w:bidi="ar"/>
        </w:rPr>
        <w:t xml:space="preserve">: </w:t>
      </w:r>
      <w:r>
        <w:rPr>
          <w:rFonts w:hint="eastAsia" w:ascii="Times New Roman Regular" w:hAnsi="Times New Roman Regular" w:eastAsia="宋体" w:cs="Times New Roman Regular"/>
          <w:color w:val="000000"/>
          <w:kern w:val="0"/>
          <w:sz w:val="21"/>
          <w:szCs w:val="21"/>
          <w:lang w:val="en-US" w:eastAsia="zh-CN" w:bidi="ar"/>
        </w:rPr>
        <w:t>T</w:t>
      </w:r>
      <w:r>
        <w:rPr>
          <w:rFonts w:hint="default" w:ascii="Times New Roman Regular" w:hAnsi="Times New Roman Regular" w:eastAsia="宋体" w:cs="Times New Roman Regular"/>
          <w:color w:val="000000"/>
          <w:kern w:val="0"/>
          <w:sz w:val="21"/>
          <w:szCs w:val="21"/>
          <w:lang w:val="en-US" w:eastAsia="zh-CN" w:bidi="ar"/>
        </w:rPr>
        <w:t>hank you for this insightful observation. We have carefully analyzed the rationality of the odd-client pairing strategy from both theoretical and practical perspectives, and the detailed explanation is as follows:</w:t>
      </w:r>
    </w:p>
    <w:p w14:paraId="06834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Fonts w:hint="default" w:ascii="Times New Roman Regular" w:hAnsi="Times New Roman Regular" w:eastAsia="宋体" w:cs="Times New Roman Regular"/>
          <w:color w:val="000000"/>
          <w:kern w:val="0"/>
          <w:sz w:val="21"/>
          <w:szCs w:val="21"/>
          <w:lang w:val="en-US" w:eastAsia="zh-CN" w:bidi="ar"/>
        </w:rPr>
        <w:t>First, the client corresponding to the minimum JSDN value is characterized by its "intermediate distribution" in the overall client group—its label distribution and data volume are highly representative of the average level of all clients, and the dissimilarity with other clients is significantly lower than that between other client pairs. According to the core design logic of FCPC (utilizing strong mutual constraints between highly dissimilar clients to mitigate dimensional collapse), this client’s constraint effect on other clients is inherently weak.</w:t>
      </w:r>
    </w:p>
    <w:p w14:paraId="6FDB2B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Fonts w:hint="default" w:ascii="Times New Roman Regular" w:hAnsi="Times New Roman Regular" w:eastAsia="宋体" w:cs="Times New Roman Regular"/>
          <w:color w:val="000000"/>
          <w:kern w:val="0"/>
          <w:sz w:val="21"/>
          <w:szCs w:val="21"/>
          <w:lang w:val="en-US" w:eastAsia="zh-CN" w:bidi="ar"/>
        </w:rPr>
        <w:t>Second, from a practical deployment perspective, IoT federated learning systems often involve dynamic client participation (e.g., devices going offline/online due to network or energy constraints). The strategy of discarding the client with the minimum JSDN value ensures the simplicity and robustness of the pairing algorithm, avoiding additional computational overhead and complexity caused by temporary pairing or triplet formation (which is crucial for resource-constrained IoT edge environments).</w:t>
      </w:r>
    </w:p>
    <w:p w14:paraId="481563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Fonts w:hint="default" w:ascii="Times New Roman Regular" w:hAnsi="Times New Roman Regular" w:eastAsia="宋体" w:cs="Times New Roman Regular"/>
          <w:color w:val="000000"/>
          <w:kern w:val="0"/>
          <w:sz w:val="21"/>
          <w:szCs w:val="21"/>
          <w:lang w:val="en-US" w:eastAsia="zh-CN" w:bidi="ar"/>
        </w:rPr>
        <w:t>Third, to address the concern of potential data loss, we have conducted theoretical analysis on the data contribution of this client: its data characteristics are already partially covered by other representative clients in the system, and the loss of its local data has a negligible impact on the global model performance (theoretical upper bound of accuracy loss &lt; 0.3%). In future work, we will further explore adaptive pairing strategies for dynamic client sets (including odd-numbered scenarios) to enhance the framework’s flexibility.</w:t>
      </w:r>
    </w:p>
    <w:p w14:paraId="586C20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4824B2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3411DB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3: The Related Work section should expand to include the latest research (such as TFL-DT, a trust evaluation scheme for federated learning in digital twin for mobile networks).</w:t>
      </w:r>
    </w:p>
    <w:p w14:paraId="2024CB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 xml:space="preserve">We sincerely appreciate your valuable review comments. In the original Related Work section, we mainly introduced several classical baseline methods in federated learning, aiming to help readers gain a deeper understanding of the practical implementation challenges of the non-IID problem in IoT and industrial scenarios. However, this writing approach to some extent resulted in the statement of related work failing to fully align with cutting-edge research findings, thereby weakening the clarity of research motivation and the differentiation of novelty between our work and existing studies. To address this issue, we have added a “Summary and Differentiation” subsection to the revised Related Work section. This subsection supplements </w:t>
      </w:r>
      <w:bookmarkStart w:id="0" w:name="_GoBack"/>
      <w:bookmarkEnd w:id="0"/>
      <w:r>
        <w:rPr>
          <w:rFonts w:hint="default" w:ascii="Times New Roman Regular" w:hAnsi="Times New Roman Regular" w:eastAsia="宋体" w:cs="Times New Roman Regular"/>
          <w:color w:val="000000"/>
          <w:kern w:val="0"/>
          <w:sz w:val="21"/>
          <w:szCs w:val="21"/>
          <w:lang w:val="en-US" w:eastAsia="zh-CN" w:bidi="ar"/>
        </w:rPr>
        <w:t>several state-of-the-art research achievements in this field in recent years (including TFL-DT), and systematically analyzes the limitations of these methods in addressing the non-IID problem in industrial IoT scenarios. Through this improvement, we clearly highlight the innovation and unique advantages of our proposed method.</w:t>
      </w:r>
    </w:p>
    <w:p w14:paraId="4759B0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1"/>
          <w:szCs w:val="21"/>
          <w:lang w:val="en-US" w:eastAsia="zh-CN" w:bidi="ar"/>
        </w:rPr>
      </w:pPr>
    </w:p>
    <w:p w14:paraId="109AD8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color w:val="000000"/>
          <w:sz w:val="21"/>
          <w:szCs w:val="21"/>
        </w:rPr>
      </w:pPr>
      <w:r>
        <w:rPr>
          <w:rFonts w:hint="default" w:ascii="Times New Roman Bold" w:hAnsi="Times New Roman Bold" w:cs="Times New Roman Bold"/>
          <w:b/>
          <w:bCs/>
          <w:color w:val="000000"/>
          <w:sz w:val="21"/>
          <w:szCs w:val="21"/>
        </w:rPr>
        <w:t>Comment 4: Feature distribution skew is not considered. The current model is only designed for dual skews of label and sample size; its generalization ability in scenarios with heterogeneous feature distribution needs to be verified.</w:t>
      </w:r>
    </w:p>
    <w:p w14:paraId="403B56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Style w:val="7"/>
          <w:rFonts w:hint="default" w:ascii="Times New Roman Bold" w:hAnsi="Times New Roman Bold" w:eastAsia="宋体" w:cs="Times New Roman Bold"/>
          <w:b/>
          <w:bCs/>
          <w:color w:val="000000"/>
          <w:kern w:val="0"/>
          <w:sz w:val="21"/>
          <w:szCs w:val="21"/>
          <w:lang w:val="en-US" w:eastAsia="zh-CN" w:bidi="ar"/>
        </w:rPr>
        <w:t>Response</w:t>
      </w:r>
      <w:r>
        <w:rPr>
          <w:rFonts w:hint="default" w:ascii="Times New Roman Bold" w:hAnsi="Times New Roman Bold" w:eastAsia="宋体" w:cs="Times New Roman Bold"/>
          <w:b/>
          <w:bCs/>
          <w:color w:val="000000"/>
          <w:kern w:val="0"/>
          <w:sz w:val="21"/>
          <w:szCs w:val="21"/>
          <w:lang w:val="en-US" w:eastAsia="zh-CN" w:bidi="ar"/>
        </w:rPr>
        <w:t xml:space="preserve">: </w:t>
      </w:r>
      <w:r>
        <w:rPr>
          <w:rFonts w:hint="default" w:ascii="Times New Roman Regular" w:hAnsi="Times New Roman Regular" w:eastAsia="宋体" w:cs="Times New Roman Regular"/>
          <w:color w:val="000000"/>
          <w:kern w:val="0"/>
          <w:sz w:val="21"/>
          <w:szCs w:val="21"/>
          <w:lang w:val="en-US" w:eastAsia="zh-CN" w:bidi="ar"/>
        </w:rPr>
        <w:t>We sincerely appreciate your valuable review comments. Your profound insights into the data heterogeneity problem in federated learning are highly recognized. As you indicated, feature skew is indeed a critical challenge among non-IID issues, which we have also identified in the early phase of our research. Nevertheless, compared with label skew and quantity skew, feature skew presents two additional obstacles:</w:t>
      </w:r>
    </w:p>
    <w:p w14:paraId="184093B5">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Feature skew has a relatively low occurrence ratio in practical federated learning application scenarios, leading to difficulties in constructing accurate real-world datasets.</w:t>
      </w:r>
    </w:p>
    <w:p w14:paraId="3091154B">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tabs>
          <w:tab w:val="left" w:pos="720"/>
          <w:tab w:val="clear" w:pos="1140"/>
        </w:tabs>
        <w:kinsoku/>
        <w:wordWrap/>
        <w:overflowPunct/>
        <w:topLinePunct w:val="0"/>
        <w:autoSpaceDE/>
        <w:autoSpaceDN/>
        <w:bidi w:val="0"/>
        <w:adjustRightInd/>
        <w:snapToGrid/>
        <w:spacing w:before="0" w:beforeAutospacing="0" w:after="0" w:afterAutospacing="0" w:line="360" w:lineRule="auto"/>
        <w:ind w:left="420" w:leftChars="0" w:right="0" w:hanging="36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cs="Times New Roman Regular"/>
          <w:color w:val="000000"/>
          <w:sz w:val="21"/>
          <w:szCs w:val="21"/>
        </w:rPr>
        <w:t>Quantifying feature skew is challenging, as it encompasses multiple dimensions including expression patterns in text datasets, shooting habits in image datasets, handwriting styles in handwritten datasets, and even image clarity. Although some existing studies simulate feature-heterogeneous datasets by introducing Gaussian noise to degrade image clarity, we argue that this is not the optimal solution for real-world deployments.</w:t>
      </w:r>
    </w:p>
    <w:p w14:paraId="46B204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1"/>
          <w:szCs w:val="21"/>
        </w:rPr>
      </w:pPr>
      <w:r>
        <w:rPr>
          <w:rFonts w:hint="default" w:ascii="Times New Roman Regular" w:hAnsi="Times New Roman Regular" w:eastAsia="宋体" w:cs="Times New Roman Regular"/>
          <w:color w:val="000000"/>
          <w:kern w:val="0"/>
          <w:sz w:val="21"/>
          <w:szCs w:val="21"/>
          <w:lang w:val="en-US" w:eastAsia="zh-CN" w:bidi="ar"/>
        </w:rPr>
        <w:t>Therefore, we are concurrently exploring the quantification method of feature skew and the construction of real-world datasets. A preliminary approach is to integrate feature skew into our proposed JSDN to develop a three-dimensional non-IID quantification framework, which is also one of our core future research directions. This aspect has been addressed in the “Future Work” section of the manuscript. We firmly believe that we will tackle this challenge in the near future.</w:t>
      </w:r>
    </w:p>
    <w:p w14:paraId="3847ECD0">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1"/>
          <w:szCs w:val="21"/>
        </w:rPr>
      </w:pPr>
    </w:p>
    <w:p w14:paraId="1816C49D">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79C40"/>
    <w:multiLevelType w:val="multilevel"/>
    <w:tmpl w:val="9FF79C40"/>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1">
    <w:nsid w:val="B0FE6B8E"/>
    <w:multiLevelType w:val="multilevel"/>
    <w:tmpl w:val="B0FE6B8E"/>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2">
    <w:nsid w:val="BDAC6ABC"/>
    <w:multiLevelType w:val="multilevel"/>
    <w:tmpl w:val="BDAC6ABC"/>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3">
    <w:nsid w:val="C6E6385C"/>
    <w:multiLevelType w:val="multilevel"/>
    <w:tmpl w:val="C6E6385C"/>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4">
    <w:nsid w:val="E7B7A6B4"/>
    <w:multiLevelType w:val="multilevel"/>
    <w:tmpl w:val="E7B7A6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F37A61"/>
    <w:multiLevelType w:val="multilevel"/>
    <w:tmpl w:val="E7F37A61"/>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6">
    <w:nsid w:val="EFFE678A"/>
    <w:multiLevelType w:val="multilevel"/>
    <w:tmpl w:val="EFFE678A"/>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7">
    <w:nsid w:val="FBBD52E7"/>
    <w:multiLevelType w:val="multilevel"/>
    <w:tmpl w:val="FBBD52E7"/>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8">
    <w:nsid w:val="FFBAD80C"/>
    <w:multiLevelType w:val="multilevel"/>
    <w:tmpl w:val="FFBAD8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9EEFC98"/>
    <w:multiLevelType w:val="multilevel"/>
    <w:tmpl w:val="79EEFC98"/>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num w:numId="1">
    <w:abstractNumId w:val="9"/>
  </w:num>
  <w:num w:numId="2">
    <w:abstractNumId w:val="2"/>
  </w:num>
  <w:num w:numId="3">
    <w:abstractNumId w:val="6"/>
  </w:num>
  <w:num w:numId="4">
    <w:abstractNumId w:val="1"/>
  </w:num>
  <w:num w:numId="5">
    <w:abstractNumId w:val="3"/>
  </w:num>
  <w:num w:numId="6">
    <w:abstractNumId w:val="7"/>
  </w:num>
  <w:num w:numId="7">
    <w:abstractNumId w:val="4"/>
  </w:num>
  <w:num w:numId="8">
    <w:abstractNumId w:val="5"/>
  </w:num>
  <w:num w:numId="9">
    <w:abstractNumId w:val="8"/>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C6D346D"/>
    <w:rsid w:val="EC6D346D"/>
    <w:rsid w:val="F67DB10C"/>
    <w:rsid w:val="FB80ABF3"/>
    <w:rsid w:val="FFBA3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2026-01-22T00:43:00Z</dcterms:created>
  <dc:creator>mi</dc:creator>
  <cp:lastModifiedBy>mi</cp:lastModifiedBy>
  <dcterms:modified xsi:type="dcterms:W3CDTF">2026-01-23T15:14:53Z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05CF01443AA74293BF917069FBAD51F0_41</vt:lpwstr>
  </property>
  <property fmtid="{D5CDD505-2E9C-101B-9397-08002B2CF9AE}" pid="4" name="CWM0e990e60f6c411f0bb4291653b429065">
    <vt:lpwstr>CWMAD1ftrclhSl6DJCbBZV28CpOF6/9O4riquJhWNLRoj2qnYtzNCTs3ENh6ZsVt9RPN6cvEy8jZxnZwumtsdu9lA==</vt:lpwstr>
  </property>
</Properties>
</file>