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Cao B-ng reviews China border relations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20191023</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内容：Hà N-I Equipping ethnic women with startup skills can accelerate gender equality and women's empowerment, experts said on Monday at a forum cohosted by the Institute for Studies of Society, Economy and Environment (ISEE) and the Canadianbased charity Artistri Sud. Speaking at the event, Hà Vi-t Quan, deputy head of the Committee for Ethnic Minority Affairs’ Department of International Cooperation, said ethnic minority groups accounted for 14 per cent of the country’s population, but were suffering from a wide range of structural inequalities in terms of work, income, education and healthcare service due to geographical disadvantages and differences in cultural practices. Gender inequality faced ethnic women at both family and personal levels, restricting them from raising opinions and taking leading positions, he said. If women were offered support and provided with the necessary skills, they could unleash their own potential, earn a sustainable livelihood and contribute to the common development of their communities. Nguy-n Th- Thu- Linh, director of the Centre for Community Empowerment (CECEM), said gender inequality in ethnic minority groups was not being addressed due to the ignorance of women's roles in society. Therefore, besides creating livelihoods, capacity building projects for ethnic women also needed to focus on community power and communitybased initiatives. Sùng Th- Lan, chairwoman of the M--ng Hoa Cooperative in Sapa Town, Lào Cai Province, said at first she and other fellow members were reluctant to launch a business, facing barriers set by their families and society. In 2017, the Centre for Social Initiatives Promotion (CSIP) helped them to overcome their initial difficulties, identify their strengths and develop business plans. The cooperative now duces fashion items using M-ng ethnic brocade, and homestay services. The businesses have helped to ensure livelihoods and reduce poverty. According to the latest data, ethnic minority groups account for 14.6 per cent of Vi-t Nam’s population and 63 per cent of the country’s poor households. 21 per cent of ethnic people aged from 15 years old are illiterate while only 6 per cent of them have ever received training. VNS proBlack offers CAO B-NG Cao B-ng People’s Committee yesterday held a meeting to review a decade of the implementation of three Vi-t Namchina border accords – a Protocol on Border Demarcation and Marker Planting, the Agreement on Border Management and the Agreement on Border Gates and Border Gate Management, signed in 2009. Out of the seven northern provinces sharing the border with China, Cao B-ng boasts the longest – nine districts with a combined total of 333.4km of borderline with China’s Guangxi Province. Since 2010, Cao B-ng authorities have handed out 10,000 pamphlets covering information regarding Vi-t Namchina border and related accords, held nearly 8,000 meetings with nearly 270,000 local people to raise awareness on the issues, and organised workshops for more than 172,000 students and 14,000 teachers and education officials in the province. Cao B-ng border guards have conducted nearly 6,400 rounds of patrols, involving more than 31,400 officers. Local authorities have handled 2,509 cases of border violations involving nearly 3,000 people. At the meeting, several shortcomings have been pointed out, including untimely information and the fact that as socioeconomic situation in the border region remains underdeveloped, local people’s observance of the border regulations remains low. Phùng Th- Long, deputy head of the Committee of National Border under the foreign ministry, expressed appreciation for the efforts Cao B-ng has made in recent times, but asked the province continue strengthening patrols along the border, educating officers on domestic laws and border regulations of both countries, and studying measures to develop the border economy. Chairman of Cao B-ng People’s Committee Hoàng Xuan ánh presented certificates of merit to 20 organisations and individuals in recognition of their contributions to the implementation of the three legal agreements concerning Vi-t Namchina border. VNS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