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F1FC" w14:textId="7DC87E3B" w:rsidR="00844809" w:rsidRPr="0068751E" w:rsidRDefault="008B127C">
      <w:pPr>
        <w:spacing w:before="1200" w:after="160"/>
        <w:jc w:val="center"/>
        <w:rPr>
          <w:rFonts w:ascii="STKaiti" w:eastAsia="STKaiti" w:hAnsi="STKaiti"/>
          <w:lang w:eastAsia="zh-CN"/>
        </w:rPr>
      </w:pPr>
      <w:r>
        <w:rPr>
          <w:rFonts w:ascii="STKaiti" w:eastAsia="STKaiti" w:hAnsi="STKaiti" w:hint="eastAsia"/>
          <w:b/>
          <w:color w:val="1F497D"/>
          <w:sz w:val="52"/>
          <w:lang w:eastAsia="zh-CN"/>
        </w:rPr>
        <w:t>波士顿咨询公司</w:t>
      </w:r>
    </w:p>
    <w:p w14:paraId="535248CE" w14:textId="77777777" w:rsidR="00844809" w:rsidRPr="0068751E" w:rsidRDefault="00000000">
      <w:pPr>
        <w:spacing w:before="80" w:after="80"/>
        <w:jc w:val="center"/>
        <w:rPr>
          <w:rFonts w:ascii="STKaiti" w:eastAsia="STKaiti" w:hAnsi="STKaiti"/>
        </w:rPr>
      </w:pPr>
      <w:r w:rsidRPr="0068751E">
        <w:rPr>
          <w:rFonts w:ascii="STKaiti" w:eastAsia="STKaiti" w:hAnsi="STKaiti"/>
          <w:color w:val="595959"/>
          <w:sz w:val="28"/>
        </w:rPr>
        <w:t>Industry / Project Investment Report</w:t>
      </w:r>
    </w:p>
    <w:p w14:paraId="47BF3D06" w14:textId="77777777" w:rsidR="0068751E" w:rsidRDefault="0068751E">
      <w:pPr>
        <w:spacing w:before="60" w:after="60"/>
        <w:jc w:val="center"/>
        <w:rPr>
          <w:rFonts w:ascii="IBM Plex Sans" w:eastAsia="Microsoft YaHei" w:hAnsi="IBM Plex Sans"/>
          <w:b/>
          <w:bCs/>
          <w:color w:val="EE6400"/>
          <w:w w:val="90"/>
        </w:rPr>
      </w:pPr>
    </w:p>
    <w:p w14:paraId="3BD45276" w14:textId="77777777" w:rsidR="0068751E" w:rsidRDefault="0068751E">
      <w:pPr>
        <w:spacing w:before="60" w:after="60"/>
        <w:jc w:val="center"/>
        <w:rPr>
          <w:rFonts w:ascii="IBM Plex Sans" w:eastAsia="Microsoft YaHei" w:hAnsi="IBM Plex Sans"/>
          <w:b/>
          <w:bCs/>
          <w:color w:val="EE6400"/>
          <w:w w:val="90"/>
        </w:rPr>
      </w:pPr>
    </w:p>
    <w:p w14:paraId="5D2BDB36" w14:textId="13734232" w:rsidR="00844809" w:rsidRPr="0068751E" w:rsidRDefault="00000000">
      <w:pPr>
        <w:spacing w:before="60" w:after="60"/>
        <w:jc w:val="center"/>
        <w:rPr>
          <w:rFonts w:ascii="STKaiti" w:eastAsia="STKaiti" w:hAnsi="STKaiti"/>
        </w:rPr>
      </w:pPr>
      <w:r w:rsidRPr="0068751E">
        <w:rPr>
          <w:rFonts w:ascii="STKaiti" w:eastAsia="STKaiti" w:hAnsi="STKaiti"/>
          <w:b/>
        </w:rPr>
        <w:t>项目名称：</w:t>
      </w:r>
      <w:r w:rsidRPr="0068751E">
        <w:rPr>
          <w:rFonts w:ascii="STKaiti" w:eastAsia="STKaiti" w:hAnsi="STKaiti"/>
        </w:rPr>
        <w:t>[项目名称]</w:t>
      </w:r>
    </w:p>
    <w:p w14:paraId="768599DB" w14:textId="77777777" w:rsidR="00844809" w:rsidRPr="0068751E" w:rsidRDefault="00000000">
      <w:pPr>
        <w:spacing w:before="60" w:after="60"/>
        <w:jc w:val="center"/>
        <w:rPr>
          <w:rFonts w:ascii="STKaiti" w:eastAsia="STKaiti" w:hAnsi="STKaiti"/>
        </w:rPr>
      </w:pPr>
      <w:r w:rsidRPr="0068751E">
        <w:rPr>
          <w:rFonts w:ascii="STKaiti" w:eastAsia="STKaiti" w:hAnsi="STKaiti"/>
          <w:b/>
        </w:rPr>
        <w:t>报告日期：</w:t>
      </w:r>
      <w:r w:rsidRPr="0068751E">
        <w:rPr>
          <w:rFonts w:ascii="STKaiti" w:eastAsia="STKaiti" w:hAnsi="STKaiti"/>
        </w:rPr>
        <w:t>[YYYY年MM月DD日]</w:t>
      </w:r>
    </w:p>
    <w:p w14:paraId="7E6C4E55" w14:textId="77777777" w:rsidR="00844809" w:rsidRPr="0068751E" w:rsidRDefault="00000000">
      <w:pPr>
        <w:spacing w:before="60" w:after="60"/>
        <w:jc w:val="center"/>
        <w:rPr>
          <w:rFonts w:ascii="STKaiti" w:eastAsia="STKaiti" w:hAnsi="STKaiti"/>
        </w:rPr>
      </w:pPr>
      <w:r w:rsidRPr="0068751E">
        <w:rPr>
          <w:rFonts w:ascii="STKaiti" w:eastAsia="STKaiti" w:hAnsi="STKaiti"/>
          <w:b/>
        </w:rPr>
        <w:t>报告撰写方：</w:t>
      </w:r>
      <w:r w:rsidRPr="0068751E">
        <w:rPr>
          <w:rFonts w:ascii="STKaiti" w:eastAsia="STKaiti" w:hAnsi="STKaiti"/>
        </w:rPr>
        <w:t>[机构/团队名称]</w:t>
      </w:r>
    </w:p>
    <w:p w14:paraId="1C0602C0" w14:textId="77777777" w:rsidR="00844809" w:rsidRPr="0068751E" w:rsidRDefault="00000000">
      <w:pPr>
        <w:spacing w:before="60" w:after="60"/>
        <w:jc w:val="center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b/>
          <w:lang w:eastAsia="zh-CN"/>
        </w:rPr>
        <w:t>报告版本：</w:t>
      </w:r>
      <w:r w:rsidRPr="0068751E">
        <w:rPr>
          <w:rFonts w:ascii="STKaiti" w:eastAsia="STKaiti" w:hAnsi="STKaiti"/>
          <w:lang w:eastAsia="zh-CN"/>
        </w:rPr>
        <w:t>V1.0  [草稿 / 终稿]</w:t>
      </w:r>
    </w:p>
    <w:p w14:paraId="2DA43A92" w14:textId="77777777" w:rsidR="00844809" w:rsidRPr="0068751E" w:rsidRDefault="00000000">
      <w:pPr>
        <w:spacing w:before="60" w:after="60"/>
        <w:jc w:val="center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b/>
          <w:lang w:eastAsia="zh-CN"/>
        </w:rPr>
        <w:t>密级：</w:t>
      </w:r>
      <w:r w:rsidRPr="0068751E">
        <w:rPr>
          <w:rFonts w:ascii="STKaiti" w:eastAsia="STKaiti" w:hAnsi="STKaiti"/>
          <w:lang w:eastAsia="zh-CN"/>
        </w:rPr>
        <w:t>□ 公开   □ 内部   □ 保密</w:t>
      </w:r>
    </w:p>
    <w:p w14:paraId="2A7D16ED" w14:textId="55FBE1EC" w:rsidR="0068751E" w:rsidRPr="0068751E" w:rsidRDefault="00000000" w:rsidP="0068751E">
      <w:pPr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lang w:eastAsia="zh-CN"/>
        </w:rPr>
        <w:br w:type="page"/>
      </w:r>
    </w:p>
    <w:sdt>
      <w:sdtPr>
        <w:rPr>
          <w:rFonts w:ascii="STKaiti" w:eastAsia="STKaiti" w:hAnsi="STKaiti" w:cstheme="minorBidi"/>
          <w:b w:val="0"/>
          <w:bCs w:val="0"/>
          <w:color w:val="auto"/>
          <w:sz w:val="22"/>
          <w:szCs w:val="22"/>
        </w:rPr>
        <w:id w:val="4734932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6112D5" w14:textId="1CA7B4F4" w:rsidR="0068751E" w:rsidRPr="0068751E" w:rsidRDefault="0068751E" w:rsidP="0068751E">
          <w:pPr>
            <w:pStyle w:val="Heading1"/>
            <w:spacing w:before="360" w:after="120"/>
            <w:rPr>
              <w:rFonts w:ascii="STKaiti" w:eastAsia="STKaiti" w:hAnsi="STKaiti"/>
              <w:lang w:eastAsia="zh-CN"/>
            </w:rPr>
          </w:pPr>
          <w:r w:rsidRPr="0068751E">
            <w:rPr>
              <w:rFonts w:ascii="STKaiti" w:eastAsia="STKaiti" w:hAnsi="STKaiti"/>
            </w:rPr>
            <w:t>Contents</w:t>
          </w:r>
        </w:p>
        <w:p w14:paraId="74FBDEE6" w14:textId="60192662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68751E">
            <w:rPr>
              <w:rFonts w:ascii="STKaiti" w:eastAsia="STKaiti" w:hAnsi="STKaiti"/>
            </w:rPr>
            <w:fldChar w:fldCharType="begin"/>
          </w:r>
          <w:r w:rsidRPr="0068751E">
            <w:rPr>
              <w:rFonts w:ascii="STKaiti" w:eastAsia="STKaiti" w:hAnsi="STKaiti"/>
            </w:rPr>
            <w:instrText xml:space="preserve"> TOC \o "1-3" \h \z \u </w:instrText>
          </w:r>
          <w:r w:rsidRPr="0068751E">
            <w:rPr>
              <w:rFonts w:ascii="STKaiti" w:eastAsia="STKaiti" w:hAnsi="STKaiti"/>
            </w:rPr>
            <w:fldChar w:fldCharType="separate"/>
          </w:r>
          <w:hyperlink w:anchor="_Toc23089620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免责声明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_Toc230896206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DA3161D" w14:textId="68F97EF4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0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目  录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_Toc230896207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4945157" w14:textId="759863BC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0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一、执行摘要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_Toc230896208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9016BB7" w14:textId="47EF5C1B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0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1.1  项目概述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_Toc230896209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68E4816" w14:textId="4A050940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1.2  核心投资逻辑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B705087" w14:textId="534025E8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1.3  主要财务指标一览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ECE3164" w14:textId="61B65BF7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1.4  主要风险与缓释措施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749CE2D" w14:textId="23A3951B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1.5  投资建议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777022" w14:textId="5C19F299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二、行业分析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215B5C0" w14:textId="4F4FEFA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2.1  行业定义与分类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5EA41B9" w14:textId="24FE6229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2.2  市场规模与增速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6E807D0" w14:textId="35F8AE1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7" w:history="1">
            <w:r w:rsidRPr="0068751E">
              <w:rPr>
                <w:rStyle w:val="Hyperlink"/>
                <w:rFonts w:ascii="STKaiti" w:eastAsia="STKaiti" w:hAnsi="STKaiti"/>
                <w:noProof/>
              </w:rPr>
              <w:t>2.2.1  全球市场规模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E808A7C" w14:textId="2F3F1F4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2.2.2  中国/目标市场规模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44D7B4E" w14:textId="39E5FDA8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1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2.3  行业驱动因素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_Toc230896219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B804B61" w14:textId="21339034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2.3.1  需求侧驱动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3D8C598" w14:textId="1173E22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2.3.2  供给侧驱动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E212DB7" w14:textId="0B9ABED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2.4  行业竞争格局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9E3829E" w14:textId="368AF802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2.4.1  主要参与者概览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816EFFF" w14:textId="54A5AAA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2.4.2  Porter 五力分析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301C236" w14:textId="3E44D650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2.4.3  行业集中度与护城河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5844A6A" w14:textId="02623AD6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2.5  政策与监管环境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F279234" w14:textId="4993D080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2.6  行业趋势与风险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C20E2F5" w14:textId="4D73E8CD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2.6.1  短期趋势（1-2年）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4AF9378" w14:textId="6D888DB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2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2.6.2  中长期趋势（3-5年）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_Toc230896229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4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EB91A7D" w14:textId="0312ECEB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2.6.3  行业系统性风险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E3A1A94" w14:textId="0FA1F66A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三、公司 / 项目基本情况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61A928F" w14:textId="14C84844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3.1  基本信息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47535EB" w14:textId="3FB62619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3.2  发展历程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FA23429" w14:textId="3F9A2BC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3.3  主营业务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CB80726" w14:textId="0E64D7B5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3.3.1  业务板块构成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AF71930" w14:textId="09C18AE1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3.3.2  核心产品 / 服务详述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48E4537" w14:textId="5F4F784D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3.3.3  商业模式与盈利机制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10235B6" w14:textId="1AA30D24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3.4  技术能力与知识产权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5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CD33BCB" w14:textId="2224753F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3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3.5  客户与合作伙伴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_Toc230896239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EA9A8D2" w14:textId="4116E018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3.6  管理团队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DBE6477" w14:textId="7DD69B3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3.7  组织架构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C2123E4" w14:textId="6E1E74E4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四、财务分析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E6AA2A3" w14:textId="7517C60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4.1  财务数据来源与质量说明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BEE4BFE" w14:textId="16D38E1E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4.2  历史财务表现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FE5FDA7" w14:textId="0B6EFFC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4.2.1  损益表分析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540DA37" w14:textId="0063506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4.2.2  资产负债表分析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400550F" w14:textId="7C926D37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4.2.3  现金流量表分析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6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BCBFB8F" w14:textId="57642151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4.2.4  核心财务比率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B7E985B" w14:textId="547414B0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4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4.3  财务预测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_Toc230896249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2A7BB32" w14:textId="3CA2009B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4.3.1  关键假设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7C5225E" w14:textId="08299E0A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4.3.2  基准情景预测（3-5年）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0C42248" w14:textId="0FF62F2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4.3.3  情景分析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F63C51F" w14:textId="055D985C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4.4  财务质量与会计风险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18E3378" w14:textId="187ABDC8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五、估值分析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75955B1" w14:textId="2C4619E2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5.1  估值方法选择依据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9392BA2" w14:textId="10098252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5.2  可比公司分析（Comps）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7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14BD8DE" w14:textId="41BA0DEE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5.3  DCF估值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CB8F97" w14:textId="577C55F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5.3.1  DCF核心假设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D5096FC" w14:textId="57209AEF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5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5.3.2  DCF估值结果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_Toc230896259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7BCF03A" w14:textId="14F93BD4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0" w:history="1">
            <w:r w:rsidRPr="0068751E">
              <w:rPr>
                <w:rStyle w:val="Hyperlink"/>
                <w:rFonts w:ascii="STKaiti" w:eastAsia="STKaiti" w:hAnsi="STKaiti"/>
                <w:noProof/>
              </w:rPr>
              <w:t>5.4  先例交易分析（Precedent Transactions）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658C120" w14:textId="15047408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1" w:history="1">
            <w:r w:rsidRPr="0068751E">
              <w:rPr>
                <w:rStyle w:val="Hyperlink"/>
                <w:rFonts w:ascii="STKaiti" w:eastAsia="STKaiti" w:hAnsi="STKaiti"/>
                <w:noProof/>
              </w:rPr>
              <w:t>5.5  估值汇总（Football Field）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F5E394" w14:textId="5404F39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5.6  本次交易估值判断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28A7BD" w14:textId="07F485F8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六、交易结构与投资条款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3B7EAFB" w14:textId="64609B8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6.1  交易概述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1BE79A0" w14:textId="1B22292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6.2  资金用途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8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34CABD0" w14:textId="3928F2A0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6.3  核心条款（Term Sheet关键条款）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F684FB5" w14:textId="19A5F38B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7" w:history="1">
            <w:r w:rsidRPr="0068751E">
              <w:rPr>
                <w:rStyle w:val="Hyperlink"/>
                <w:rFonts w:ascii="STKaiti" w:eastAsia="STKaiti" w:hAnsi="STKaiti"/>
                <w:noProof/>
              </w:rPr>
              <w:t>6.3.1  股权类条款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FC6CA6A" w14:textId="64EEFA32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6.3.2  治理类条款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850216B" w14:textId="2EC5CB38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6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6.3.3  对赌与业绩承诺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_Toc230896269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51EE8B4" w14:textId="4EC03F0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6.4  退出机制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DD20B45" w14:textId="3A96EFCE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6.5  税务与法律架构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E0733A8" w14:textId="3542150F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七、尽职调查情况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555627D" w14:textId="7007191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7.1  尽调范围与方法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7B0208F" w14:textId="2044BF4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7.2  财务尽调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ADE1545" w14:textId="78B97F7B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7.2.1  关键发现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4E2D3B3" w14:textId="1B6FB925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7.2.2  关注事项与处理建议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9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CE07FDA" w14:textId="363D2E6B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7.3  法律尽调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B95918F" w14:textId="51878BE9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7.3.1  关键发现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3FDD9BE" w14:textId="5B43CD3D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7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7.3.2  关注事项与处理建议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_Toc230896279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C9709BE" w14:textId="5EA0D4B0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7.4  业务与技术尽调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95D8EF3" w14:textId="03652208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7.4.1  关键发现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541BA58" w14:textId="33AAEBCE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7.4.2  关注事项与处理建议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596B968" w14:textId="0DF00F2D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7.5  环境、社会与治理（ESG）尽调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25392CA" w14:textId="33D5EA34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7.6  尽调遗留事项清单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B331836" w14:textId="34A0D4AE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八、风险因素与缓释措施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234BEBC" w14:textId="7AAF8B7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8.1  风险评估框架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C861A85" w14:textId="0928824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8.2  行业与市场风险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FB453A1" w14:textId="66EC19A0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8.2.1  市场需求波动风险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10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3F9364E" w14:textId="3642C02D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8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8.2.2  竞争加剧风险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_Toc230896289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AA5410D" w14:textId="7A418E3F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8.2.3  政策监管风险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0BD6D28" w14:textId="1BA5169B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8.3  公司经营风险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E1184C7" w14:textId="4E8F952E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8.3.1  技术迭代/研发失败风险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11F99D6" w14:textId="3A0E1818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8.3.2  关键人员流失风险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45D94E3" w14:textId="44C24DC7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8.3.3  客户集中度风险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25A2E6" w14:textId="3200555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8.3.4  供应链 / 原材料风险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FE75AF9" w14:textId="2D428DEE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8.4  财务风险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999E165" w14:textId="0A17EDC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8.4.1  流动性风险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F68987E" w14:textId="2E3775A0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8.4.2  汇率与利率风险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3AAEC11D" w14:textId="73CDA50A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29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8.4.3  财务造假风险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_Toc230896299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D3336DF" w14:textId="6E98AA3F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8.5  交易执行风险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0CCF1D7" w14:textId="28CCE623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8.5.1  估值泡沫与退出风险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1667D01" w14:textId="04251E9D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8.5.2  对赌/业绩不达标风险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3D6562B" w14:textId="61FC5596" w:rsidR="0068751E" w:rsidRPr="0068751E" w:rsidRDefault="0068751E">
          <w:pPr>
            <w:pStyle w:val="TOC3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8.5.3  交割条件未满足风险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0B4A26A" w14:textId="5F939282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8.6  宏观与地缘政治风险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11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CC77A7A" w14:textId="2FB78DF8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九、投资建议与决策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BB2561C" w14:textId="12051C8A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9.1  综合评分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039E79EE" w14:textId="3BAC9C1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9.2  核心投资逻辑再确认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1B8642B" w14:textId="7F46D792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9.3  投资建议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9E7B51D" w14:textId="475C7576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0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9.4  投资条款建议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_Toc230896309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91BFE2A" w14:textId="13230E06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0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9.5  投后管理计划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1F268ED" w14:textId="4DB1315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1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9.6  下一步行动计划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_Toc230896311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BB01381" w14:textId="0719DA7E" w:rsidR="0068751E" w:rsidRPr="0068751E" w:rsidRDefault="0068751E">
          <w:pPr>
            <w:pStyle w:val="TOC1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2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_Toc230896312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12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CE919AC" w14:textId="76F9BC4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3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附录A  财务报表（历史）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_Toc230896313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758AC535" w14:textId="5C8374F4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4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附录B  财务模型详细假设与预测表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_Toc230896314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67BC6768" w14:textId="12743F2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5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附录C  可比公司详细信息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_Toc230896315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41D7E303" w14:textId="6BFCE295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6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附录D  管理层简历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_Toc230896316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22CC8F4" w14:textId="4C8FCA13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7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附录E  尽调访谈记录摘要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_Toc230896317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B25EA77" w14:textId="41981471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8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附录F  法律尽调报告摘要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_Toc230896318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58A0CF6A" w14:textId="14E7AC7A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19" w:history="1">
            <w:r w:rsidRPr="0068751E">
              <w:rPr>
                <w:rStyle w:val="Hyperlink"/>
                <w:rFonts w:ascii="STKaiti" w:eastAsia="STKaiti" w:hAnsi="STKaiti"/>
                <w:noProof/>
                <w:lang w:eastAsia="zh-CN"/>
              </w:rPr>
              <w:t>附录G  专业术语对照表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_Toc230896319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2C41FCD6" w14:textId="568DD5EA" w:rsidR="0068751E" w:rsidRPr="0068751E" w:rsidRDefault="0068751E">
          <w:pPr>
            <w:pStyle w:val="TOC2"/>
            <w:tabs>
              <w:tab w:val="right" w:leader="dot" w:pos="8778"/>
            </w:tabs>
            <w:rPr>
              <w:rFonts w:ascii="STKaiti" w:eastAsia="STKaiti" w:hAnsi="STKait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896320" w:history="1">
            <w:r w:rsidRPr="0068751E">
              <w:rPr>
                <w:rStyle w:val="Hyperlink"/>
                <w:rFonts w:ascii="STKaiti" w:eastAsia="STKaiti" w:hAnsi="STKaiti"/>
                <w:noProof/>
              </w:rPr>
              <w:t>附录H  参考资料来源</w:t>
            </w:r>
            <w:r w:rsidRPr="0068751E">
              <w:rPr>
                <w:rFonts w:ascii="STKaiti" w:eastAsia="STKaiti" w:hAnsi="STKaiti"/>
                <w:noProof/>
                <w:webHidden/>
              </w:rPr>
              <w:tab/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begin"/>
            </w:r>
            <w:r w:rsidRPr="0068751E">
              <w:rPr>
                <w:rFonts w:ascii="STKaiti" w:eastAsia="STKaiti" w:hAnsi="STKaiti"/>
                <w:noProof/>
                <w:webHidden/>
              </w:rPr>
              <w:instrText xml:space="preserve"> PAGEREF _Toc230896320 \h </w:instrText>
            </w:r>
            <w:r w:rsidRPr="0068751E">
              <w:rPr>
                <w:rFonts w:ascii="STKaiti" w:eastAsia="STKaiti" w:hAnsi="STKaiti"/>
                <w:noProof/>
                <w:webHidden/>
              </w:rPr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separate"/>
            </w:r>
            <w:r w:rsidRPr="0068751E">
              <w:rPr>
                <w:rFonts w:ascii="STKaiti" w:eastAsia="STKaiti" w:hAnsi="STKaiti"/>
                <w:noProof/>
                <w:webHidden/>
              </w:rPr>
              <w:t>13</w:t>
            </w:r>
            <w:r w:rsidRPr="0068751E">
              <w:rPr>
                <w:rFonts w:ascii="STKaiti" w:eastAsia="STKaiti" w:hAnsi="STKaiti"/>
                <w:noProof/>
                <w:webHidden/>
              </w:rPr>
              <w:fldChar w:fldCharType="end"/>
            </w:r>
          </w:hyperlink>
        </w:p>
        <w:p w14:paraId="131C616E" w14:textId="1A544674" w:rsidR="0068751E" w:rsidRPr="0068751E" w:rsidRDefault="0068751E">
          <w:pPr>
            <w:rPr>
              <w:rFonts w:ascii="STKaiti" w:eastAsia="STKaiti" w:hAnsi="STKaiti"/>
            </w:rPr>
          </w:pPr>
          <w:r w:rsidRPr="0068751E">
            <w:rPr>
              <w:rFonts w:ascii="STKaiti" w:eastAsia="STKaiti" w:hAnsi="STKaiti"/>
              <w:b/>
              <w:bCs/>
              <w:noProof/>
            </w:rPr>
            <w:fldChar w:fldCharType="end"/>
          </w:r>
        </w:p>
      </w:sdtContent>
    </w:sdt>
    <w:p w14:paraId="3E839ED8" w14:textId="4510D949" w:rsidR="00844809" w:rsidRPr="0068751E" w:rsidRDefault="00844809" w:rsidP="0068751E">
      <w:pPr>
        <w:spacing w:after="80"/>
        <w:rPr>
          <w:rFonts w:ascii="STKaiti" w:eastAsia="STKaiti" w:hAnsi="STKaiti"/>
          <w:lang w:eastAsia="zh-CN"/>
        </w:rPr>
      </w:pPr>
    </w:p>
    <w:p w14:paraId="560F14A2" w14:textId="77777777" w:rsidR="00844809" w:rsidRPr="0068751E" w:rsidRDefault="00000000">
      <w:pPr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lang w:eastAsia="zh-CN"/>
        </w:rPr>
        <w:br w:type="page"/>
      </w:r>
    </w:p>
    <w:p w14:paraId="1B977C25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0" w:name="_Toc230896208"/>
      <w:r w:rsidRPr="0068751E">
        <w:rPr>
          <w:rFonts w:ascii="STKaiti" w:eastAsia="STKaiti" w:hAnsi="STKaiti"/>
          <w:color w:val="1F497D"/>
          <w:sz w:val="32"/>
          <w:lang w:eastAsia="zh-CN"/>
        </w:rPr>
        <w:lastRenderedPageBreak/>
        <w:t>一、执行摘要</w:t>
      </w:r>
      <w:bookmarkEnd w:id="0"/>
    </w:p>
    <w:p w14:paraId="1D82637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【撰写提示】全文精华浓缩，建议最后撰写。长度控制在 1-2 页。须覆盖：投资主题、核心结论、关键财务指标、主要风险与建议。决策层通常只读此部分。</w:t>
      </w:r>
    </w:p>
    <w:p w14:paraId="2E2FC0A0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" w:name="_Toc230896209"/>
      <w:r w:rsidRPr="0068751E">
        <w:rPr>
          <w:rFonts w:ascii="STKaiti" w:eastAsia="STKaiti" w:hAnsi="STKaiti"/>
          <w:color w:val="366092"/>
          <w:lang w:eastAsia="zh-CN"/>
        </w:rPr>
        <w:t>1.1  项目概述</w:t>
      </w:r>
      <w:bookmarkEnd w:id="1"/>
    </w:p>
    <w:p w14:paraId="78FD8A85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【撰写提示】用 3-5 句话介绍项目背景、投资标的类型（股权/债权/并购/项目）、拟投资金额及结构。</w:t>
      </w:r>
    </w:p>
    <w:p w14:paraId="31B80CB3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7CCBF69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2" w:name="_Toc230896210"/>
      <w:r w:rsidRPr="0068751E">
        <w:rPr>
          <w:rFonts w:ascii="STKaiti" w:eastAsia="STKaiti" w:hAnsi="STKaiti"/>
          <w:color w:val="366092"/>
          <w:lang w:eastAsia="zh-CN"/>
        </w:rPr>
        <w:t>1.2  核心投资逻辑</w:t>
      </w:r>
      <w:bookmarkEnd w:id="2"/>
    </w:p>
    <w:p w14:paraId="37BF9DE0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 xml:space="preserve">【撰写提示】提炼 3-5 条关键投资理由，逻辑链须清晰：行业 </w:t>
      </w:r>
      <w:r w:rsidRPr="0068751E">
        <w:rPr>
          <w:rFonts w:ascii="STKaiti" w:eastAsia="STKaiti" w:hAnsi="STKaiti"/>
          <w:i/>
          <w:color w:val="7F7F7F"/>
          <w:sz w:val="19"/>
        </w:rPr>
        <w:t>β</w:t>
      </w: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 xml:space="preserve"> → 公司 </w:t>
      </w:r>
      <w:r w:rsidRPr="0068751E">
        <w:rPr>
          <w:rFonts w:ascii="STKaiti" w:eastAsia="STKaiti" w:hAnsi="STKaiti"/>
          <w:i/>
          <w:color w:val="7F7F7F"/>
          <w:sz w:val="19"/>
        </w:rPr>
        <w:t>α</w:t>
      </w: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 xml:space="preserve"> → 估值安全边际。</w:t>
      </w:r>
    </w:p>
    <w:p w14:paraId="4D187C02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F5A2634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" w:name="_Toc230896211"/>
      <w:r w:rsidRPr="0068751E">
        <w:rPr>
          <w:rFonts w:ascii="STKaiti" w:eastAsia="STKaiti" w:hAnsi="STKaiti"/>
          <w:color w:val="366092"/>
          <w:lang w:eastAsia="zh-CN"/>
        </w:rPr>
        <w:t>1.3  主要财务指标一览</w:t>
      </w:r>
      <w:bookmarkEnd w:id="3"/>
    </w:p>
    <w:p w14:paraId="00786BB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【撰写提示】以表格形式列示：收入/净利润（历史 + 预测）、EBITDA、估值倍数（EV/EBITDA、P/E）、IRR/MOIC等，数据来源注明。</w:t>
      </w:r>
    </w:p>
    <w:p w14:paraId="26C80DC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[插入财务摘要表格]</w:t>
      </w:r>
    </w:p>
    <w:p w14:paraId="63C4CEFA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" w:name="_Toc230896212"/>
      <w:r w:rsidRPr="0068751E">
        <w:rPr>
          <w:rFonts w:ascii="STKaiti" w:eastAsia="STKaiti" w:hAnsi="STKaiti"/>
          <w:color w:val="366092"/>
          <w:lang w:eastAsia="zh-CN"/>
        </w:rPr>
        <w:t>1.4  主要风险与缓释措施</w:t>
      </w:r>
      <w:bookmarkEnd w:id="4"/>
    </w:p>
    <w:p w14:paraId="104529B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【撰写提示】列示 Top 3-5 风险，每条附缓释措施或监控指标，风险评级（高/中/低）。</w:t>
      </w:r>
    </w:p>
    <w:p w14:paraId="485D5DC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0E3FD34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5" w:name="_Toc230896213"/>
      <w:r w:rsidRPr="0068751E">
        <w:rPr>
          <w:rFonts w:ascii="STKaiti" w:eastAsia="STKaiti" w:hAnsi="STKaiti"/>
          <w:color w:val="366092"/>
          <w:lang w:eastAsia="zh-CN"/>
        </w:rPr>
        <w:t>1.5  投资建议</w:t>
      </w:r>
      <w:bookmarkEnd w:id="5"/>
    </w:p>
    <w:p w14:paraId="0575802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【撰写提示】明确给出结论：建议投资 / 审慎推进 / 暂缓，并说明前提条件及下一步行动。</w:t>
      </w:r>
    </w:p>
    <w:p w14:paraId="07C2C80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680057D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085F638E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4E7AFB94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6" w:name="_Toc230896214"/>
      <w:r w:rsidRPr="0068751E">
        <w:rPr>
          <w:rFonts w:ascii="STKaiti" w:eastAsia="STKaiti" w:hAnsi="STKaiti"/>
          <w:color w:val="1F497D"/>
          <w:sz w:val="32"/>
          <w:lang w:eastAsia="zh-CN"/>
        </w:rPr>
        <w:t>二、行业分析</w:t>
      </w:r>
      <w:bookmarkEnd w:id="6"/>
    </w:p>
    <w:p w14:paraId="5F12310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【撰写提示】本章建立行业视角，为项目估值和竞争力判断提供宏观支撑。建议辅以数据图表。</w:t>
      </w:r>
    </w:p>
    <w:p w14:paraId="57F0F38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" w:name="_Toc230896215"/>
      <w:r w:rsidRPr="0068751E">
        <w:rPr>
          <w:rFonts w:ascii="STKaiti" w:eastAsia="STKaiti" w:hAnsi="STKaiti"/>
          <w:color w:val="366092"/>
          <w:lang w:eastAsia="zh-CN"/>
        </w:rPr>
        <w:t>2.1  行业定义与分类</w:t>
      </w:r>
      <w:bookmarkEnd w:id="7"/>
    </w:p>
    <w:p w14:paraId="51BC3FAA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【撰写提示】明确行业边界：所属一级/二级行业分类（GICS/申万/中信等），核心产品/服务范围，上下游产业链定位。</w:t>
      </w:r>
    </w:p>
    <w:p w14:paraId="3DE335A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08CFEE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8" w:name="_Toc230896216"/>
      <w:r w:rsidRPr="0068751E">
        <w:rPr>
          <w:rFonts w:ascii="STKaiti" w:eastAsia="STKaiti" w:hAnsi="STKaiti"/>
          <w:color w:val="366092"/>
          <w:lang w:eastAsia="zh-CN"/>
        </w:rPr>
        <w:lastRenderedPageBreak/>
        <w:t>2.2  市场规模与增速</w:t>
      </w:r>
      <w:bookmarkEnd w:id="8"/>
    </w:p>
    <w:p w14:paraId="4C1CFF6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</w:rPr>
      </w:pPr>
      <w:bookmarkStart w:id="9" w:name="_Toc230896217"/>
      <w:r w:rsidRPr="0068751E">
        <w:rPr>
          <w:rFonts w:ascii="STKaiti" w:eastAsia="STKaiti" w:hAnsi="STKaiti"/>
          <w:color w:val="4F81BD"/>
        </w:rPr>
        <w:t>2.2.1  全球市场规模</w:t>
      </w:r>
      <w:bookmarkEnd w:id="9"/>
    </w:p>
    <w:p w14:paraId="0F7FC1F5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i/>
          <w:color w:val="7F7F7F"/>
          <w:sz w:val="19"/>
        </w:rPr>
        <w:t>【撰写提示】引用权威数据源（Frost &amp; Sullivan / IDC / Bloomberg等），说明历史规模（近3年）及预测（未来3-5年），附CAGR。</w:t>
      </w:r>
    </w:p>
    <w:p w14:paraId="334080D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[插入市场规模趋势图]</w:t>
      </w:r>
    </w:p>
    <w:p w14:paraId="4C9A76DD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0" w:name="_Toc230896218"/>
      <w:r w:rsidRPr="0068751E">
        <w:rPr>
          <w:rFonts w:ascii="STKaiti" w:eastAsia="STKaiti" w:hAnsi="STKaiti"/>
          <w:color w:val="4F81BD"/>
          <w:lang w:eastAsia="zh-CN"/>
        </w:rPr>
        <w:t>2.2.2  中国/目标市场规模</w:t>
      </w:r>
      <w:bookmarkEnd w:id="10"/>
    </w:p>
    <w:p w14:paraId="5CCEEB2D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【撰写提示】重点说明目标市场的规模、增速、渗透率。如有地区分拆，说明依据。</w:t>
      </w:r>
    </w:p>
    <w:p w14:paraId="092116F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57A8746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1" w:name="_Toc230896219"/>
      <w:r w:rsidRPr="0068751E">
        <w:rPr>
          <w:rFonts w:ascii="STKaiti" w:eastAsia="STKaiti" w:hAnsi="STKaiti"/>
          <w:color w:val="366092"/>
          <w:lang w:eastAsia="zh-CN"/>
        </w:rPr>
        <w:t>2.3  行业驱动因素</w:t>
      </w:r>
      <w:bookmarkEnd w:id="11"/>
    </w:p>
    <w:p w14:paraId="58A47334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2" w:name="_Toc230896220"/>
      <w:r w:rsidRPr="0068751E">
        <w:rPr>
          <w:rFonts w:ascii="STKaiti" w:eastAsia="STKaiti" w:hAnsi="STKaiti"/>
          <w:color w:val="4F81BD"/>
          <w:lang w:eastAsia="zh-CN"/>
        </w:rPr>
        <w:t>2.3.1  需求侧驱动</w:t>
      </w:r>
      <w:bookmarkEnd w:id="12"/>
    </w:p>
    <w:p w14:paraId="37E46583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【撰写提示】从政策、人口/消费升级、技术应用场景扩展等角度分析需求增长逻辑。</w:t>
      </w:r>
    </w:p>
    <w:p w14:paraId="5017215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2266DCC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3" w:name="_Toc230896221"/>
      <w:r w:rsidRPr="0068751E">
        <w:rPr>
          <w:rFonts w:ascii="STKaiti" w:eastAsia="STKaiti" w:hAnsi="STKaiti"/>
          <w:color w:val="4F81BD"/>
          <w:lang w:eastAsia="zh-CN"/>
        </w:rPr>
        <w:t>2.3.2  供给侧驱动</w:t>
      </w:r>
      <w:bookmarkEnd w:id="13"/>
    </w:p>
    <w:p w14:paraId="5F306D6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【撰写提示】成本曲线变化、技术迭代、产能扩张周期、供应链重构等。</w:t>
      </w:r>
    </w:p>
    <w:p w14:paraId="5FE2ABB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15E353E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4" w:name="_Toc230896222"/>
      <w:r w:rsidRPr="0068751E">
        <w:rPr>
          <w:rFonts w:ascii="STKaiti" w:eastAsia="STKaiti" w:hAnsi="STKaiti"/>
          <w:color w:val="366092"/>
          <w:lang w:eastAsia="zh-CN"/>
        </w:rPr>
        <w:t>2.4  行业竞争格局</w:t>
      </w:r>
      <w:bookmarkEnd w:id="14"/>
    </w:p>
    <w:p w14:paraId="4D1630B0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5" w:name="_Toc230896223"/>
      <w:r w:rsidRPr="0068751E">
        <w:rPr>
          <w:rFonts w:ascii="STKaiti" w:eastAsia="STKaiti" w:hAnsi="STKaiti"/>
          <w:color w:val="4F81BD"/>
          <w:lang w:eastAsia="zh-CN"/>
        </w:rPr>
        <w:t>2.4.1  主要参与者概览</w:t>
      </w:r>
      <w:bookmarkEnd w:id="15"/>
    </w:p>
    <w:p w14:paraId="6756A820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【撰写提示】列示行业 Top 5-10 参与者，市占率，商业模式对比。可用表格呈现。</w:t>
      </w:r>
    </w:p>
    <w:p w14:paraId="027CCBD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[插入竞争格局表格 / 市场份额图]</w:t>
      </w:r>
    </w:p>
    <w:p w14:paraId="08A3AB87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6" w:name="_Toc230896224"/>
      <w:r w:rsidRPr="0068751E">
        <w:rPr>
          <w:rFonts w:ascii="STKaiti" w:eastAsia="STKaiti" w:hAnsi="STKaiti"/>
          <w:color w:val="4F81BD"/>
          <w:lang w:eastAsia="zh-CN"/>
        </w:rPr>
        <w:t>2.4.2  Porter 五力分析</w:t>
      </w:r>
      <w:bookmarkEnd w:id="16"/>
    </w:p>
    <w:p w14:paraId="09F82008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【撰写提示】逐一评估：①供应商议价能力 ②买方议价能力 ③替代品威胁 ④新进入者威胁 ⑤行业内竞争，每条给出高/中/低评级与简述。</w:t>
      </w:r>
    </w:p>
    <w:p w14:paraId="0EF1900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42FA29B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17" w:name="_Toc230896225"/>
      <w:r w:rsidRPr="0068751E">
        <w:rPr>
          <w:rFonts w:ascii="STKaiti" w:eastAsia="STKaiti" w:hAnsi="STKaiti"/>
          <w:color w:val="4F81BD"/>
          <w:lang w:eastAsia="zh-CN"/>
        </w:rPr>
        <w:t>2.4.3  行业集中度与护城河</w:t>
      </w:r>
      <w:bookmarkEnd w:id="17"/>
    </w:p>
    <w:p w14:paraId="127DF87E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【撰写提示】说明 CR4/CR8，主要竞争维度（技术、渠道、规模、品牌），以及行业护城河特征。</w:t>
      </w:r>
    </w:p>
    <w:p w14:paraId="05B2A7A2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1D5AB9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8" w:name="_Toc230896226"/>
      <w:r w:rsidRPr="0068751E">
        <w:rPr>
          <w:rFonts w:ascii="STKaiti" w:eastAsia="STKaiti" w:hAnsi="STKaiti"/>
          <w:color w:val="366092"/>
          <w:lang w:eastAsia="zh-CN"/>
        </w:rPr>
        <w:t>2.5  政策与监管环境</w:t>
      </w:r>
      <w:bookmarkEnd w:id="18"/>
    </w:p>
    <w:p w14:paraId="6D25CE5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【撰写提示】梳理与行业相关的国内外重大政策（准入、补贴、限制、合规要求），评估政策对项目的影响（正面/负面/中性）。</w:t>
      </w:r>
    </w:p>
    <w:p w14:paraId="5E691EA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1C9675A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9" w:name="_Toc230896227"/>
      <w:r w:rsidRPr="0068751E">
        <w:rPr>
          <w:rFonts w:ascii="STKaiti" w:eastAsia="STKaiti" w:hAnsi="STKaiti"/>
          <w:color w:val="366092"/>
          <w:lang w:eastAsia="zh-CN"/>
        </w:rPr>
        <w:lastRenderedPageBreak/>
        <w:t>2.6  行业趋势与风险</w:t>
      </w:r>
      <w:bookmarkEnd w:id="19"/>
    </w:p>
    <w:p w14:paraId="268E9F25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0" w:name="_Toc230896228"/>
      <w:r w:rsidRPr="0068751E">
        <w:rPr>
          <w:rFonts w:ascii="STKaiti" w:eastAsia="STKaiti" w:hAnsi="STKaiti"/>
          <w:color w:val="4F81BD"/>
          <w:lang w:eastAsia="zh-CN"/>
        </w:rPr>
        <w:t>2.6.1  短期趋势（1-2年）</w:t>
      </w:r>
      <w:bookmarkEnd w:id="20"/>
    </w:p>
    <w:p w14:paraId="487C11CE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AC3E1A1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1" w:name="_Toc230896229"/>
      <w:r w:rsidRPr="0068751E">
        <w:rPr>
          <w:rFonts w:ascii="STKaiti" w:eastAsia="STKaiti" w:hAnsi="STKaiti"/>
          <w:color w:val="4F81BD"/>
          <w:lang w:eastAsia="zh-CN"/>
        </w:rPr>
        <w:t>2.6.2  中长期趋势（3-5年）</w:t>
      </w:r>
      <w:bookmarkEnd w:id="21"/>
    </w:p>
    <w:p w14:paraId="27B3B681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46D449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2" w:name="_Toc230896230"/>
      <w:r w:rsidRPr="0068751E">
        <w:rPr>
          <w:rFonts w:ascii="STKaiti" w:eastAsia="STKaiti" w:hAnsi="STKaiti"/>
          <w:color w:val="4F81BD"/>
          <w:lang w:eastAsia="zh-CN"/>
        </w:rPr>
        <w:t>2.6.3  行业系统性风险</w:t>
      </w:r>
      <w:bookmarkEnd w:id="22"/>
    </w:p>
    <w:p w14:paraId="5EEDF507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【撰写提示】周期性、技术颠覆、地缘政治、汇率等系统性风险。</w:t>
      </w:r>
    </w:p>
    <w:p w14:paraId="69DDFE02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4668539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6C117DCC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7613EDBF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23" w:name="_Toc230896231"/>
      <w:r w:rsidRPr="0068751E">
        <w:rPr>
          <w:rFonts w:ascii="STKaiti" w:eastAsia="STKaiti" w:hAnsi="STKaiti"/>
          <w:color w:val="1F497D"/>
          <w:sz w:val="32"/>
          <w:lang w:eastAsia="zh-CN"/>
        </w:rPr>
        <w:t>三、公司 / 项目基本情况</w:t>
      </w:r>
      <w:bookmarkEnd w:id="23"/>
    </w:p>
    <w:p w14:paraId="7594B54A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【撰写提示】对标的进行全面画像，回答"这是什么公司/项目"。</w:t>
      </w:r>
    </w:p>
    <w:p w14:paraId="64FBD04A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24" w:name="_Toc230896232"/>
      <w:r w:rsidRPr="0068751E">
        <w:rPr>
          <w:rFonts w:ascii="STKaiti" w:eastAsia="STKaiti" w:hAnsi="STKaiti"/>
          <w:color w:val="366092"/>
          <w:lang w:eastAsia="zh-CN"/>
        </w:rPr>
        <w:t>3.1  基本信息</w:t>
      </w:r>
      <w:bookmarkEnd w:id="24"/>
    </w:p>
    <w:p w14:paraId="2B72A33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【撰写提示】公司名称、注册地、成立时间、股权结构（含穿透图）、主要经营地、营业执照/资质情况。</w:t>
      </w:r>
    </w:p>
    <w:p w14:paraId="67EB4F63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[插入股权结构图]</w:t>
      </w:r>
    </w:p>
    <w:p w14:paraId="495178D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25" w:name="_Toc230896233"/>
      <w:r w:rsidRPr="0068751E">
        <w:rPr>
          <w:rFonts w:ascii="STKaiti" w:eastAsia="STKaiti" w:hAnsi="STKaiti"/>
          <w:color w:val="366092"/>
          <w:lang w:eastAsia="zh-CN"/>
        </w:rPr>
        <w:t>3.2  发展历程</w:t>
      </w:r>
      <w:bookmarkEnd w:id="25"/>
    </w:p>
    <w:p w14:paraId="5595647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【撰写提示】关键里程碑时间线：创立→产品推出→融资轮次→重大合同→转型节点，建议用时间轴图示。</w:t>
      </w:r>
    </w:p>
    <w:p w14:paraId="5F3CD278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[插入发展历程时间轴]</w:t>
      </w:r>
    </w:p>
    <w:p w14:paraId="3B63353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26" w:name="_Toc230896234"/>
      <w:r w:rsidRPr="0068751E">
        <w:rPr>
          <w:rFonts w:ascii="STKaiti" w:eastAsia="STKaiti" w:hAnsi="STKaiti"/>
          <w:color w:val="366092"/>
          <w:lang w:eastAsia="zh-CN"/>
        </w:rPr>
        <w:t>3.3  主营业务</w:t>
      </w:r>
      <w:bookmarkEnd w:id="26"/>
    </w:p>
    <w:p w14:paraId="67FE315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7" w:name="_Toc230896235"/>
      <w:r w:rsidRPr="0068751E">
        <w:rPr>
          <w:rFonts w:ascii="STKaiti" w:eastAsia="STKaiti" w:hAnsi="STKaiti"/>
          <w:color w:val="4F81BD"/>
          <w:lang w:eastAsia="zh-CN"/>
        </w:rPr>
        <w:t>3.3.1  业务板块构成</w:t>
      </w:r>
      <w:bookmarkEnd w:id="27"/>
    </w:p>
    <w:p w14:paraId="1DB88C36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【撰写提示】分业务条线描述产品/服务内容、客户类型、定价模式，附收入占比。</w:t>
      </w:r>
    </w:p>
    <w:p w14:paraId="4BE7BBC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141B71B3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8" w:name="_Toc230896236"/>
      <w:r w:rsidRPr="0068751E">
        <w:rPr>
          <w:rFonts w:ascii="STKaiti" w:eastAsia="STKaiti" w:hAnsi="STKaiti"/>
          <w:color w:val="4F81BD"/>
          <w:lang w:eastAsia="zh-CN"/>
        </w:rPr>
        <w:t>3.3.2  核心产品 / 服务详述</w:t>
      </w:r>
      <w:bookmarkEnd w:id="28"/>
    </w:p>
    <w:p w14:paraId="7BE5A08A" w14:textId="77777777" w:rsidR="00844809" w:rsidRPr="0068751E" w:rsidRDefault="00000000">
      <w:pPr>
        <w:pStyle w:val="Heading4"/>
        <w:spacing w:before="120" w:after="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000000"/>
          <w:sz w:val="21"/>
          <w:lang w:eastAsia="zh-CN"/>
        </w:rPr>
        <w:t>3.3.2.1  产品A</w:t>
      </w:r>
    </w:p>
    <w:p w14:paraId="334CB709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21169323" w14:textId="77777777" w:rsidR="00844809" w:rsidRPr="0068751E" w:rsidRDefault="00000000">
      <w:pPr>
        <w:pStyle w:val="Heading4"/>
        <w:spacing w:before="120" w:after="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000000"/>
          <w:sz w:val="21"/>
          <w:lang w:eastAsia="zh-CN"/>
        </w:rPr>
        <w:t>3.3.2.2  产品B</w:t>
      </w:r>
    </w:p>
    <w:p w14:paraId="7A17686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F0D0438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29" w:name="_Toc230896237"/>
      <w:r w:rsidRPr="0068751E">
        <w:rPr>
          <w:rFonts w:ascii="STKaiti" w:eastAsia="STKaiti" w:hAnsi="STKaiti"/>
          <w:color w:val="4F81BD"/>
          <w:lang w:eastAsia="zh-CN"/>
        </w:rPr>
        <w:lastRenderedPageBreak/>
        <w:t>3.3.3  商业模式与盈利机制</w:t>
      </w:r>
      <w:bookmarkEnd w:id="29"/>
    </w:p>
    <w:p w14:paraId="6167B93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【撰写提示】描述价值主张、客户获取方式、收入来源（一次性/订阅/许可/服务）、成本结构，可用画布图辅助。</w:t>
      </w:r>
    </w:p>
    <w:p w14:paraId="6339BAAA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8BAE85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0" w:name="_Toc230896238"/>
      <w:r w:rsidRPr="0068751E">
        <w:rPr>
          <w:rFonts w:ascii="STKaiti" w:eastAsia="STKaiti" w:hAnsi="STKaiti"/>
          <w:color w:val="366092"/>
          <w:lang w:eastAsia="zh-CN"/>
        </w:rPr>
        <w:t>3.4  技术能力与知识产权</w:t>
      </w:r>
      <w:bookmarkEnd w:id="30"/>
    </w:p>
    <w:p w14:paraId="75714B77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【撰写提示】核心技术路径、技术成熟度（TRL）、专利数量与质量、研发投入占比（R&amp;D/Revenue）、关键技术人员。</w:t>
      </w:r>
    </w:p>
    <w:p w14:paraId="166914F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855D73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1" w:name="_Toc230896239"/>
      <w:r w:rsidRPr="0068751E">
        <w:rPr>
          <w:rFonts w:ascii="STKaiti" w:eastAsia="STKaiti" w:hAnsi="STKaiti"/>
          <w:color w:val="366092"/>
          <w:lang w:eastAsia="zh-CN"/>
        </w:rPr>
        <w:t>3.5  客户与合作伙伴</w:t>
      </w:r>
      <w:bookmarkEnd w:id="31"/>
    </w:p>
    <w:p w14:paraId="702F3000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【撰写提示】Top 5-10 客户名称/类型、收入贡献比、合同期限；战略合作方；渠道合作方；供应商依赖情况。</w:t>
      </w:r>
    </w:p>
    <w:p w14:paraId="5D515EF8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15B52A6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2" w:name="_Toc230896240"/>
      <w:r w:rsidRPr="0068751E">
        <w:rPr>
          <w:rFonts w:ascii="STKaiti" w:eastAsia="STKaiti" w:hAnsi="STKaiti"/>
          <w:color w:val="366092"/>
          <w:lang w:eastAsia="zh-CN"/>
        </w:rPr>
        <w:t>3.6  管理团队</w:t>
      </w:r>
      <w:bookmarkEnd w:id="32"/>
    </w:p>
    <w:p w14:paraId="6227C6B8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【撰写提示】核心管理层简历（学历、从业经历、过往业绩）；股权激励情况；管理层稳定性评估；关键人风险。</w:t>
      </w:r>
    </w:p>
    <w:p w14:paraId="2AFF67DF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[插入管理团队简介表格]</w:t>
      </w:r>
    </w:p>
    <w:p w14:paraId="2340A67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3" w:name="_Toc230896241"/>
      <w:r w:rsidRPr="0068751E">
        <w:rPr>
          <w:rFonts w:ascii="STKaiti" w:eastAsia="STKaiti" w:hAnsi="STKaiti"/>
          <w:color w:val="366092"/>
          <w:lang w:eastAsia="zh-CN"/>
        </w:rPr>
        <w:t>3.7  组织架构</w:t>
      </w:r>
      <w:bookmarkEnd w:id="33"/>
    </w:p>
    <w:p w14:paraId="023FC00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【撰写提示】组织架构图，说明各业务单元、子公司关系，并标注主要经营实体。</w:t>
      </w:r>
    </w:p>
    <w:p w14:paraId="62B6DCB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[插入组织架构图]</w:t>
      </w:r>
    </w:p>
    <w:p w14:paraId="1C3DD184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0A9B838E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0B12A6D2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34" w:name="_Toc230896242"/>
      <w:r w:rsidRPr="0068751E">
        <w:rPr>
          <w:rFonts w:ascii="STKaiti" w:eastAsia="STKaiti" w:hAnsi="STKaiti"/>
          <w:color w:val="1F497D"/>
          <w:sz w:val="32"/>
          <w:lang w:eastAsia="zh-CN"/>
        </w:rPr>
        <w:t>四、财务分析</w:t>
      </w:r>
      <w:bookmarkEnd w:id="34"/>
    </w:p>
    <w:p w14:paraId="65967DA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【撰写提示】本章是投资决策的核心量化支撑。历史财务须经过质量审核，预测须有明确假设支撑。</w:t>
      </w:r>
    </w:p>
    <w:p w14:paraId="595F9F26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5" w:name="_Toc230896243"/>
      <w:r w:rsidRPr="0068751E">
        <w:rPr>
          <w:rFonts w:ascii="STKaiti" w:eastAsia="STKaiti" w:hAnsi="STKaiti"/>
          <w:color w:val="366092"/>
          <w:lang w:eastAsia="zh-CN"/>
        </w:rPr>
        <w:t>4.1  财务数据来源与质量说明</w:t>
      </w:r>
      <w:bookmarkEnd w:id="35"/>
    </w:p>
    <w:p w14:paraId="44695E14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【撰写提示】说明财务数据来源（审计报告/管理账）、审计师名称、审计意见类型，以及是否存在会计准则差异（GAAP/IFRS/中国准则）。</w:t>
      </w:r>
    </w:p>
    <w:p w14:paraId="194B06FA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E5752E6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36" w:name="_Toc230896244"/>
      <w:r w:rsidRPr="0068751E">
        <w:rPr>
          <w:rFonts w:ascii="STKaiti" w:eastAsia="STKaiti" w:hAnsi="STKaiti"/>
          <w:color w:val="366092"/>
          <w:lang w:eastAsia="zh-CN"/>
        </w:rPr>
        <w:lastRenderedPageBreak/>
        <w:t>4.2  历史财务表现</w:t>
      </w:r>
      <w:bookmarkEnd w:id="36"/>
    </w:p>
    <w:p w14:paraId="27143698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37" w:name="_Toc230896245"/>
      <w:r w:rsidRPr="0068751E">
        <w:rPr>
          <w:rFonts w:ascii="STKaiti" w:eastAsia="STKaiti" w:hAnsi="STKaiti"/>
          <w:color w:val="4F81BD"/>
          <w:lang w:eastAsia="zh-CN"/>
        </w:rPr>
        <w:t>4.2.1  损益表分析</w:t>
      </w:r>
      <w:bookmarkEnd w:id="37"/>
    </w:p>
    <w:p w14:paraId="4D7F349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【撰写提示】近3-5年：收入、毛利率、EBITDA、净利润，分析主要科目驱动因素及趋势异常。</w:t>
      </w:r>
    </w:p>
    <w:p w14:paraId="2410863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[插入损益表历史数据表格]</w:t>
      </w:r>
    </w:p>
    <w:p w14:paraId="28FA39F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38" w:name="_Toc230896246"/>
      <w:r w:rsidRPr="0068751E">
        <w:rPr>
          <w:rFonts w:ascii="STKaiti" w:eastAsia="STKaiti" w:hAnsi="STKaiti"/>
          <w:color w:val="4F81BD"/>
          <w:lang w:eastAsia="zh-CN"/>
        </w:rPr>
        <w:t>4.2.2  资产负债表分析</w:t>
      </w:r>
      <w:bookmarkEnd w:id="38"/>
    </w:p>
    <w:p w14:paraId="228E528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【撰写提示】总资产、净资产、有息负债、净现金/债务，关注资产质量（应收账款周转、存货）及杠杆水平。</w:t>
      </w:r>
    </w:p>
    <w:p w14:paraId="49000B49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[插入资产负债表摘要]</w:t>
      </w:r>
    </w:p>
    <w:p w14:paraId="21BDC2FE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39" w:name="_Toc230896247"/>
      <w:r w:rsidRPr="0068751E">
        <w:rPr>
          <w:rFonts w:ascii="STKaiti" w:eastAsia="STKaiti" w:hAnsi="STKaiti"/>
          <w:color w:val="4F81BD"/>
          <w:lang w:eastAsia="zh-CN"/>
        </w:rPr>
        <w:t>4.2.3  现金流量表分析</w:t>
      </w:r>
      <w:bookmarkEnd w:id="39"/>
    </w:p>
    <w:p w14:paraId="07EE4B17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【撰写提示】经营现金流（OCF）、资本开支（Capex）、自由现金流（FCF = OCF - Capex），分析现金生成能力与资本需求。</w:t>
      </w:r>
    </w:p>
    <w:p w14:paraId="5BC3696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[插入现金流摘要]</w:t>
      </w:r>
    </w:p>
    <w:p w14:paraId="72AF6929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40" w:name="_Toc230896248"/>
      <w:r w:rsidRPr="0068751E">
        <w:rPr>
          <w:rFonts w:ascii="STKaiti" w:eastAsia="STKaiti" w:hAnsi="STKaiti"/>
          <w:color w:val="4F81BD"/>
          <w:lang w:eastAsia="zh-CN"/>
        </w:rPr>
        <w:t>4.2.4  核心财务比率</w:t>
      </w:r>
      <w:bookmarkEnd w:id="40"/>
    </w:p>
    <w:p w14:paraId="4E62347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【撰写提示】盈利能力（毛利率/净利率/ROE/ROA）、偿债能力（资产负债率/净债务/EBITDA）、运营效率（应收周转天数/存货周转天数）。</w:t>
      </w:r>
    </w:p>
    <w:p w14:paraId="2882B848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[插入财务比率表格]</w:t>
      </w:r>
    </w:p>
    <w:p w14:paraId="39E464D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1" w:name="_Toc230896249"/>
      <w:r w:rsidRPr="0068751E">
        <w:rPr>
          <w:rFonts w:ascii="STKaiti" w:eastAsia="STKaiti" w:hAnsi="STKaiti"/>
          <w:color w:val="366092"/>
          <w:lang w:eastAsia="zh-CN"/>
        </w:rPr>
        <w:t>4.3  财务预测</w:t>
      </w:r>
      <w:bookmarkEnd w:id="41"/>
    </w:p>
    <w:p w14:paraId="09FD7F4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42" w:name="_Toc230896250"/>
      <w:r w:rsidRPr="0068751E">
        <w:rPr>
          <w:rFonts w:ascii="STKaiti" w:eastAsia="STKaiti" w:hAnsi="STKaiti"/>
          <w:color w:val="4F81BD"/>
          <w:lang w:eastAsia="zh-CN"/>
        </w:rPr>
        <w:t>4.3.1  关键假设</w:t>
      </w:r>
      <w:bookmarkEnd w:id="42"/>
    </w:p>
    <w:p w14:paraId="5D085AD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【撰写提示】收入增速假设（分业务线）、毛利率改善路径、费用率变化、Capex计划，须与业务逻辑相互印证，避免"拍脑袋"预测。</w:t>
      </w:r>
    </w:p>
    <w:p w14:paraId="249310EE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[插入假设参数表格]</w:t>
      </w:r>
    </w:p>
    <w:p w14:paraId="38FD2DDD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43" w:name="_Toc230896251"/>
      <w:r w:rsidRPr="0068751E">
        <w:rPr>
          <w:rFonts w:ascii="STKaiti" w:eastAsia="STKaiti" w:hAnsi="STKaiti"/>
          <w:color w:val="4F81BD"/>
          <w:lang w:eastAsia="zh-CN"/>
        </w:rPr>
        <w:t>4.3.2  基准情景预测（3-5年）</w:t>
      </w:r>
      <w:bookmarkEnd w:id="43"/>
    </w:p>
    <w:p w14:paraId="63D541FD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【撰写提示】展示未来3-5年损益表、现金流预测，附关键指标趋势图。</w:t>
      </w:r>
    </w:p>
    <w:p w14:paraId="0751646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[插入财务预测表格]</w:t>
      </w:r>
    </w:p>
    <w:p w14:paraId="58865115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44" w:name="_Toc230896252"/>
      <w:r w:rsidRPr="0068751E">
        <w:rPr>
          <w:rFonts w:ascii="STKaiti" w:eastAsia="STKaiti" w:hAnsi="STKaiti"/>
          <w:color w:val="4F81BD"/>
          <w:lang w:eastAsia="zh-CN"/>
        </w:rPr>
        <w:t>4.3.3  情景分析</w:t>
      </w:r>
      <w:bookmarkEnd w:id="44"/>
    </w:p>
    <w:p w14:paraId="33E18844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【撰写提示】乐观/基准/悲观三情景，说明各情景核心差异假设及对应的估值区间。</w:t>
      </w:r>
    </w:p>
    <w:p w14:paraId="6E357948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[插入情景分析对比表]</w:t>
      </w:r>
    </w:p>
    <w:p w14:paraId="147AC48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5" w:name="_Toc230896253"/>
      <w:r w:rsidRPr="0068751E">
        <w:rPr>
          <w:rFonts w:ascii="STKaiti" w:eastAsia="STKaiti" w:hAnsi="STKaiti"/>
          <w:color w:val="366092"/>
          <w:lang w:eastAsia="zh-CN"/>
        </w:rPr>
        <w:t>4.4  财务质量与会计风险</w:t>
      </w:r>
      <w:bookmarkEnd w:id="45"/>
    </w:p>
    <w:p w14:paraId="44D2552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【撰写提示】识别潜在财务风险：收入确认激进性、关联交易合理性、表外负债、商誉减值风险、应收账款集中度。</w:t>
      </w:r>
    </w:p>
    <w:p w14:paraId="541A429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E787664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3E629945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679EB5B8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46" w:name="_Toc230896254"/>
      <w:r w:rsidRPr="0068751E">
        <w:rPr>
          <w:rFonts w:ascii="STKaiti" w:eastAsia="STKaiti" w:hAnsi="STKaiti"/>
          <w:color w:val="1F497D"/>
          <w:sz w:val="32"/>
          <w:lang w:eastAsia="zh-CN"/>
        </w:rPr>
        <w:t>五、估值分析</w:t>
      </w:r>
      <w:bookmarkEnd w:id="46"/>
    </w:p>
    <w:p w14:paraId="4EAE42E3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【撰写提示】通过多种估值方法交叉验证，得出合理估值区间。建议至少使用2-3种方法，并说明主选方法依据。</w:t>
      </w:r>
    </w:p>
    <w:p w14:paraId="0E48DFA6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7" w:name="_Toc230896255"/>
      <w:r w:rsidRPr="0068751E">
        <w:rPr>
          <w:rFonts w:ascii="STKaiti" w:eastAsia="STKaiti" w:hAnsi="STKaiti"/>
          <w:color w:val="366092"/>
          <w:lang w:eastAsia="zh-CN"/>
        </w:rPr>
        <w:t>5.1  估值方法选择依据</w:t>
      </w:r>
      <w:bookmarkEnd w:id="47"/>
    </w:p>
    <w:p w14:paraId="1CB8AD56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【撰写提示】说明选用特定估值方法的理由（成熟盈利公司用DCF/EV倍数；高成长公司用PS/GMV；资产类项目用NAV）。</w:t>
      </w:r>
    </w:p>
    <w:p w14:paraId="73DE816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A1718F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8" w:name="_Toc230896256"/>
      <w:r w:rsidRPr="0068751E">
        <w:rPr>
          <w:rFonts w:ascii="STKaiti" w:eastAsia="STKaiti" w:hAnsi="STKaiti"/>
          <w:color w:val="366092"/>
          <w:lang w:eastAsia="zh-CN"/>
        </w:rPr>
        <w:t>5.2  可比公司分析（Comps）</w:t>
      </w:r>
      <w:bookmarkEnd w:id="48"/>
    </w:p>
    <w:p w14:paraId="2326BAB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i/>
          <w:color w:val="7F7F7F"/>
          <w:sz w:val="19"/>
        </w:rPr>
        <w:t>【撰写提示】筛选5-8家可比公司，对比EV/Revenue、EV/EBITDA、P/E等，说明公司相对可比同业的溢折价逻辑。</w:t>
      </w:r>
    </w:p>
    <w:p w14:paraId="1FD4D9CA" w14:textId="77777777" w:rsidR="00844809" w:rsidRPr="0068751E" w:rsidRDefault="00000000">
      <w:pPr>
        <w:spacing w:after="8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color w:val="B4B4B4"/>
          <w:sz w:val="21"/>
        </w:rPr>
        <w:t>[插入可比公司分析表格]</w:t>
      </w:r>
    </w:p>
    <w:p w14:paraId="43B3EAC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49" w:name="_Toc230896257"/>
      <w:r w:rsidRPr="0068751E">
        <w:rPr>
          <w:rFonts w:ascii="STKaiti" w:eastAsia="STKaiti" w:hAnsi="STKaiti"/>
          <w:color w:val="366092"/>
          <w:lang w:eastAsia="zh-CN"/>
        </w:rPr>
        <w:t>5.3  DCF估值</w:t>
      </w:r>
      <w:bookmarkEnd w:id="49"/>
    </w:p>
    <w:p w14:paraId="6842D0A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50" w:name="_Toc230896258"/>
      <w:r w:rsidRPr="0068751E">
        <w:rPr>
          <w:rFonts w:ascii="STKaiti" w:eastAsia="STKaiti" w:hAnsi="STKaiti"/>
          <w:color w:val="4F81BD"/>
          <w:lang w:eastAsia="zh-CN"/>
        </w:rPr>
        <w:t>5.3.1  DCF核心假设</w:t>
      </w:r>
      <w:bookmarkEnd w:id="50"/>
    </w:p>
    <w:p w14:paraId="664C4467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i/>
          <w:color w:val="7F7F7F"/>
          <w:sz w:val="19"/>
        </w:rPr>
        <w:t>【撰写提示】WACC构成（Beta取值依据、无风险利率、风险溢价）；终值增速（TV Growth Rate）；预测期设定（通常5-10年）。</w:t>
      </w:r>
    </w:p>
    <w:p w14:paraId="16E90F2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[插入WACC计算表格]</w:t>
      </w:r>
    </w:p>
    <w:p w14:paraId="05F79FBE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51" w:name="_Toc230896259"/>
      <w:r w:rsidRPr="0068751E">
        <w:rPr>
          <w:rFonts w:ascii="STKaiti" w:eastAsia="STKaiti" w:hAnsi="STKaiti"/>
          <w:color w:val="4F81BD"/>
          <w:lang w:eastAsia="zh-CN"/>
        </w:rPr>
        <w:t>5.3.2  DCF估值结果</w:t>
      </w:r>
      <w:bookmarkEnd w:id="51"/>
    </w:p>
    <w:p w14:paraId="07B7FB9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【撰写提示】展示各年FCF折现值、终值折现值、企业价值（EV）及权益价值，附敏感性分析（WACC vs g矩阵）。</w:t>
      </w:r>
    </w:p>
    <w:p w14:paraId="383A9E5A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[插入DCF结果及敏感性分析矩阵]</w:t>
      </w:r>
    </w:p>
    <w:p w14:paraId="3BD9B0C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</w:rPr>
      </w:pPr>
      <w:bookmarkStart w:id="52" w:name="_Toc230896260"/>
      <w:r w:rsidRPr="0068751E">
        <w:rPr>
          <w:rFonts w:ascii="STKaiti" w:eastAsia="STKaiti" w:hAnsi="STKaiti"/>
          <w:color w:val="366092"/>
        </w:rPr>
        <w:t>5.4  先例交易分析（Precedent Transactions）</w:t>
      </w:r>
      <w:bookmarkEnd w:id="52"/>
    </w:p>
    <w:p w14:paraId="295F59B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i/>
          <w:color w:val="7F7F7F"/>
          <w:sz w:val="19"/>
        </w:rPr>
        <w:t>【撰写提示】梳理近3-5年同行业可比并购交易，分析成交估值倍数，判断控制权溢价水平。</w:t>
      </w:r>
    </w:p>
    <w:p w14:paraId="4A02C89B" w14:textId="77777777" w:rsidR="00844809" w:rsidRPr="0068751E" w:rsidRDefault="00000000">
      <w:pPr>
        <w:spacing w:after="8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color w:val="B4B4B4"/>
          <w:sz w:val="21"/>
        </w:rPr>
        <w:t>[插入先例交易比较表格]</w:t>
      </w:r>
    </w:p>
    <w:p w14:paraId="67D6C271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</w:rPr>
      </w:pPr>
      <w:bookmarkStart w:id="53" w:name="_Toc230896261"/>
      <w:r w:rsidRPr="0068751E">
        <w:rPr>
          <w:rFonts w:ascii="STKaiti" w:eastAsia="STKaiti" w:hAnsi="STKaiti"/>
          <w:color w:val="366092"/>
        </w:rPr>
        <w:t>5.5  估值汇总（Football Field）</w:t>
      </w:r>
      <w:bookmarkEnd w:id="53"/>
    </w:p>
    <w:p w14:paraId="34EE449D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【撰写提示】将各方法估值区间汇总为"足球场图"，直观呈现估值区间及重叠区域，确定合理估值区间。</w:t>
      </w:r>
    </w:p>
    <w:p w14:paraId="33CB138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[插入估值足球场图]</w:t>
      </w:r>
    </w:p>
    <w:p w14:paraId="10B8E961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54" w:name="_Toc230896262"/>
      <w:r w:rsidRPr="0068751E">
        <w:rPr>
          <w:rFonts w:ascii="STKaiti" w:eastAsia="STKaiti" w:hAnsi="STKaiti"/>
          <w:color w:val="366092"/>
          <w:lang w:eastAsia="zh-CN"/>
        </w:rPr>
        <w:lastRenderedPageBreak/>
        <w:t>5.6  本次交易估值判断</w:t>
      </w:r>
      <w:bookmarkEnd w:id="54"/>
    </w:p>
    <w:p w14:paraId="20DDDEB8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【撰写提示】结合估值区间与拟投资价格，说明投资安全边际、溢价/折价幅度及合理性解释。</w:t>
      </w:r>
    </w:p>
    <w:p w14:paraId="7AB60052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33754EF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6CC21423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6C8B6F35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55" w:name="_Toc230896263"/>
      <w:r w:rsidRPr="0068751E">
        <w:rPr>
          <w:rFonts w:ascii="STKaiti" w:eastAsia="STKaiti" w:hAnsi="STKaiti"/>
          <w:color w:val="1F497D"/>
          <w:sz w:val="32"/>
          <w:lang w:eastAsia="zh-CN"/>
        </w:rPr>
        <w:t>六、交易结构与投资条款</w:t>
      </w:r>
      <w:bookmarkEnd w:id="55"/>
    </w:p>
    <w:p w14:paraId="3C36450E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【撰写提示】本章阐明资金如何进入、退出及保护投资人权益的关键条款安排。</w:t>
      </w:r>
    </w:p>
    <w:p w14:paraId="09040D3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56" w:name="_Toc230896264"/>
      <w:r w:rsidRPr="0068751E">
        <w:rPr>
          <w:rFonts w:ascii="STKaiti" w:eastAsia="STKaiti" w:hAnsi="STKaiti"/>
          <w:color w:val="366092"/>
          <w:lang w:eastAsia="zh-CN"/>
        </w:rPr>
        <w:t>6.1  交易概述</w:t>
      </w:r>
      <w:bookmarkEnd w:id="56"/>
    </w:p>
    <w:p w14:paraId="7B7BDCBB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【撰写提示】投资类型（新股/老股/PIPE/可转债等）、投资主体（GP/LP/直投）、投资金额、本次投后估值、拟持股比例。</w:t>
      </w:r>
    </w:p>
    <w:p w14:paraId="59CFE56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17A0507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57" w:name="_Toc230896265"/>
      <w:r w:rsidRPr="0068751E">
        <w:rPr>
          <w:rFonts w:ascii="STKaiti" w:eastAsia="STKaiti" w:hAnsi="STKaiti"/>
          <w:color w:val="366092"/>
          <w:lang w:eastAsia="zh-CN"/>
        </w:rPr>
        <w:t>6.2  资金用途</w:t>
      </w:r>
      <w:bookmarkEnd w:id="57"/>
    </w:p>
    <w:p w14:paraId="7C3B0FC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【撰写提示】明细列示本轮融资用途（研发/Capex/营销/补流等），须与商业计划相互印证，避免资金被挪用风险。</w:t>
      </w:r>
    </w:p>
    <w:p w14:paraId="00DA75B5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[插入资金用途明细表]</w:t>
      </w:r>
    </w:p>
    <w:p w14:paraId="57E25DD2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58" w:name="_Toc230896266"/>
      <w:r w:rsidRPr="0068751E">
        <w:rPr>
          <w:rFonts w:ascii="STKaiti" w:eastAsia="STKaiti" w:hAnsi="STKaiti"/>
          <w:color w:val="366092"/>
          <w:lang w:eastAsia="zh-CN"/>
        </w:rPr>
        <w:t>6.3  核心条款（Term Sheet关键条款）</w:t>
      </w:r>
      <w:bookmarkEnd w:id="58"/>
    </w:p>
    <w:p w14:paraId="22361C8E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</w:rPr>
      </w:pPr>
      <w:bookmarkStart w:id="59" w:name="_Toc230896267"/>
      <w:r w:rsidRPr="0068751E">
        <w:rPr>
          <w:rFonts w:ascii="STKaiti" w:eastAsia="STKaiti" w:hAnsi="STKaiti"/>
          <w:color w:val="4F81BD"/>
        </w:rPr>
        <w:t>6.3.1  股权类条款</w:t>
      </w:r>
      <w:bookmarkEnd w:id="59"/>
    </w:p>
    <w:p w14:paraId="10F23BA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</w:rPr>
      </w:pPr>
      <w:r w:rsidRPr="0068751E">
        <w:rPr>
          <w:rFonts w:ascii="STKaiti" w:eastAsia="STKaiti" w:hAnsi="STKaiti"/>
          <w:i/>
          <w:color w:val="7F7F7F"/>
          <w:sz w:val="19"/>
        </w:rPr>
        <w:t>【撰写提示】优先清算权（Liquidation Preference）、反稀释条款（Anti-dilution）、优先认购权（Pro-rata）、共同出售权（Tag-along）、拖带权（Drag-along）。</w:t>
      </w:r>
    </w:p>
    <w:p w14:paraId="37E7DEEC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55FC85E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60" w:name="_Toc230896268"/>
      <w:r w:rsidRPr="0068751E">
        <w:rPr>
          <w:rFonts w:ascii="STKaiti" w:eastAsia="STKaiti" w:hAnsi="STKaiti"/>
          <w:color w:val="4F81BD"/>
          <w:lang w:eastAsia="zh-CN"/>
        </w:rPr>
        <w:t>6.3.2  治理类条款</w:t>
      </w:r>
      <w:bookmarkEnd w:id="60"/>
    </w:p>
    <w:p w14:paraId="5696A6A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【撰写提示】董事会席位安排、否决权事项（Veto Rights）、信息披露权利、重大事项批准门槛。</w:t>
      </w:r>
    </w:p>
    <w:p w14:paraId="6C84FD3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4F3BE17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61" w:name="_Toc230896269"/>
      <w:r w:rsidRPr="0068751E">
        <w:rPr>
          <w:rFonts w:ascii="STKaiti" w:eastAsia="STKaiti" w:hAnsi="STKaiti"/>
          <w:color w:val="4F81BD"/>
          <w:lang w:eastAsia="zh-CN"/>
        </w:rPr>
        <w:t>6.3.3  对赌与业绩承诺</w:t>
      </w:r>
      <w:bookmarkEnd w:id="61"/>
    </w:p>
    <w:p w14:paraId="55D0435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【撰写提示】业绩承诺指标（收入/净利润/里程碑）、对赌期限、触发条件及补偿方式（现金/股权）、上限与下限约定。</w:t>
      </w:r>
    </w:p>
    <w:p w14:paraId="31B4F372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5EC19C9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62" w:name="_Toc230896270"/>
      <w:r w:rsidRPr="0068751E">
        <w:rPr>
          <w:rFonts w:ascii="STKaiti" w:eastAsia="STKaiti" w:hAnsi="STKaiti"/>
          <w:color w:val="366092"/>
          <w:lang w:eastAsia="zh-CN"/>
        </w:rPr>
        <w:lastRenderedPageBreak/>
        <w:t>6.4  退出机制</w:t>
      </w:r>
      <w:bookmarkEnd w:id="62"/>
    </w:p>
    <w:p w14:paraId="4DA5DE6E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【撰写提示】优先退出路径：IPO（A股/港股/美股）预期时间线；M&amp;A退出；回购条款（Redemption）。每条路径附可行性评估。</w:t>
      </w:r>
    </w:p>
    <w:p w14:paraId="6F52F47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C7905D1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63" w:name="_Toc230896271"/>
      <w:r w:rsidRPr="0068751E">
        <w:rPr>
          <w:rFonts w:ascii="STKaiti" w:eastAsia="STKaiti" w:hAnsi="STKaiti"/>
          <w:color w:val="366092"/>
          <w:lang w:eastAsia="zh-CN"/>
        </w:rPr>
        <w:t>6.5  税务与法律架构</w:t>
      </w:r>
      <w:bookmarkEnd w:id="63"/>
    </w:p>
    <w:p w14:paraId="29E1108C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【撰写提示】投资架构图（VIE/红筹/直投）；税务穿透分析；跨境资金安排；关键法律风险点。</w:t>
      </w:r>
    </w:p>
    <w:p w14:paraId="3A449ABC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[插入投资架构图]</w:t>
      </w:r>
    </w:p>
    <w:p w14:paraId="74F0E9E6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594A00F5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0713A022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64" w:name="_Toc230896272"/>
      <w:r w:rsidRPr="0068751E">
        <w:rPr>
          <w:rFonts w:ascii="STKaiti" w:eastAsia="STKaiti" w:hAnsi="STKaiti"/>
          <w:color w:val="1F497D"/>
          <w:sz w:val="32"/>
          <w:lang w:eastAsia="zh-CN"/>
        </w:rPr>
        <w:t>七、尽职调查情况</w:t>
      </w:r>
      <w:bookmarkEnd w:id="64"/>
    </w:p>
    <w:p w14:paraId="16F2E5C3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【撰写提示】记录尽调工作开展情况及关键发现，作为投资决策的重要支撑文件。</w:t>
      </w:r>
    </w:p>
    <w:p w14:paraId="7F652029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65" w:name="_Toc230896273"/>
      <w:r w:rsidRPr="0068751E">
        <w:rPr>
          <w:rFonts w:ascii="STKaiti" w:eastAsia="STKaiti" w:hAnsi="STKaiti"/>
          <w:color w:val="366092"/>
          <w:lang w:eastAsia="zh-CN"/>
        </w:rPr>
        <w:t>7.1  尽调范围与方法</w:t>
      </w:r>
      <w:bookmarkEnd w:id="65"/>
    </w:p>
    <w:p w14:paraId="658FB92E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【撰写提示】说明尽调覆盖领域（财务/法律/业务/技术/HR）、参与方（内部/外部中介）及时间安排。</w:t>
      </w:r>
    </w:p>
    <w:p w14:paraId="55C01651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524FDE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66" w:name="_Toc230896274"/>
      <w:r w:rsidRPr="0068751E">
        <w:rPr>
          <w:rFonts w:ascii="STKaiti" w:eastAsia="STKaiti" w:hAnsi="STKaiti"/>
          <w:color w:val="366092"/>
          <w:lang w:eastAsia="zh-CN"/>
        </w:rPr>
        <w:t>7.2  财务尽调</w:t>
      </w:r>
      <w:bookmarkEnd w:id="66"/>
    </w:p>
    <w:p w14:paraId="372CCCD9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67" w:name="_Toc230896275"/>
      <w:r w:rsidRPr="0068751E">
        <w:rPr>
          <w:rFonts w:ascii="STKaiti" w:eastAsia="STKaiti" w:hAnsi="STKaiti"/>
          <w:color w:val="4F81BD"/>
          <w:lang w:eastAsia="zh-CN"/>
        </w:rPr>
        <w:t>7.2.1  关键发现</w:t>
      </w:r>
      <w:bookmarkEnd w:id="67"/>
    </w:p>
    <w:p w14:paraId="4CBB837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0AE3B0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68" w:name="_Toc230896276"/>
      <w:r w:rsidRPr="0068751E">
        <w:rPr>
          <w:rFonts w:ascii="STKaiti" w:eastAsia="STKaiti" w:hAnsi="STKaiti"/>
          <w:color w:val="4F81BD"/>
          <w:lang w:eastAsia="zh-CN"/>
        </w:rPr>
        <w:t>7.2.2  关注事项与处理建议</w:t>
      </w:r>
      <w:bookmarkEnd w:id="68"/>
    </w:p>
    <w:p w14:paraId="471B3F21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7B51A8AE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69" w:name="_Toc230896277"/>
      <w:r w:rsidRPr="0068751E">
        <w:rPr>
          <w:rFonts w:ascii="STKaiti" w:eastAsia="STKaiti" w:hAnsi="STKaiti"/>
          <w:color w:val="366092"/>
          <w:lang w:eastAsia="zh-CN"/>
        </w:rPr>
        <w:t>7.3  法律尽调</w:t>
      </w:r>
      <w:bookmarkEnd w:id="69"/>
    </w:p>
    <w:p w14:paraId="06C1174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70" w:name="_Toc230896278"/>
      <w:r w:rsidRPr="0068751E">
        <w:rPr>
          <w:rFonts w:ascii="STKaiti" w:eastAsia="STKaiti" w:hAnsi="STKaiti"/>
          <w:color w:val="4F81BD"/>
          <w:lang w:eastAsia="zh-CN"/>
        </w:rPr>
        <w:t>7.3.1  关键发现</w:t>
      </w:r>
      <w:bookmarkEnd w:id="70"/>
    </w:p>
    <w:p w14:paraId="38A76A4B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【撰写提示】股权清晰性、重大合同风险、诉讼仲裁、知识产权权属、合规问题（反垄断/数据安全/劳动合规等）。</w:t>
      </w:r>
    </w:p>
    <w:p w14:paraId="09A5951E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0565985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71" w:name="_Toc230896279"/>
      <w:r w:rsidRPr="0068751E">
        <w:rPr>
          <w:rFonts w:ascii="STKaiti" w:eastAsia="STKaiti" w:hAnsi="STKaiti"/>
          <w:color w:val="4F81BD"/>
          <w:lang w:eastAsia="zh-CN"/>
        </w:rPr>
        <w:t>7.3.2  关注事项与处理建议</w:t>
      </w:r>
      <w:bookmarkEnd w:id="71"/>
    </w:p>
    <w:p w14:paraId="7BB510F0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C57CE4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2" w:name="_Toc230896280"/>
      <w:r w:rsidRPr="0068751E">
        <w:rPr>
          <w:rFonts w:ascii="STKaiti" w:eastAsia="STKaiti" w:hAnsi="STKaiti"/>
          <w:color w:val="366092"/>
          <w:lang w:eastAsia="zh-CN"/>
        </w:rPr>
        <w:lastRenderedPageBreak/>
        <w:t>7.4  业务与技术尽调</w:t>
      </w:r>
      <w:bookmarkEnd w:id="72"/>
    </w:p>
    <w:p w14:paraId="7F918D2C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73" w:name="_Toc230896281"/>
      <w:r w:rsidRPr="0068751E">
        <w:rPr>
          <w:rFonts w:ascii="STKaiti" w:eastAsia="STKaiti" w:hAnsi="STKaiti"/>
          <w:color w:val="4F81BD"/>
          <w:lang w:eastAsia="zh-CN"/>
        </w:rPr>
        <w:t>7.4.1  关键发现</w:t>
      </w:r>
      <w:bookmarkEnd w:id="73"/>
    </w:p>
    <w:p w14:paraId="0DE1DC48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【撰写提示】客户访谈结论、技术可行性验证、核心竞争力真实性评估、管理层背景核查结果。</w:t>
      </w:r>
    </w:p>
    <w:p w14:paraId="2CCC5D0C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71A5340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74" w:name="_Toc230896282"/>
      <w:r w:rsidRPr="0068751E">
        <w:rPr>
          <w:rFonts w:ascii="STKaiti" w:eastAsia="STKaiti" w:hAnsi="STKaiti"/>
          <w:color w:val="4F81BD"/>
          <w:lang w:eastAsia="zh-CN"/>
        </w:rPr>
        <w:t>7.4.2  关注事项与处理建议</w:t>
      </w:r>
      <w:bookmarkEnd w:id="74"/>
    </w:p>
    <w:p w14:paraId="07F89971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72339B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5" w:name="_Toc230896283"/>
      <w:r w:rsidRPr="0068751E">
        <w:rPr>
          <w:rFonts w:ascii="STKaiti" w:eastAsia="STKaiti" w:hAnsi="STKaiti"/>
          <w:color w:val="366092"/>
          <w:lang w:eastAsia="zh-CN"/>
        </w:rPr>
        <w:t>7.5  环境、社会与治理（ESG）尽调</w:t>
      </w:r>
      <w:bookmarkEnd w:id="75"/>
    </w:p>
    <w:p w14:paraId="4D6963F7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【撰写提示】对于制造业/资源类项目，须重点核查环保合规；治理层面关注内控有效性。</w:t>
      </w:r>
    </w:p>
    <w:p w14:paraId="5F2CCFB3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528DF1E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6" w:name="_Toc230896284"/>
      <w:r w:rsidRPr="0068751E">
        <w:rPr>
          <w:rFonts w:ascii="STKaiti" w:eastAsia="STKaiti" w:hAnsi="STKaiti"/>
          <w:color w:val="366092"/>
          <w:lang w:eastAsia="zh-CN"/>
        </w:rPr>
        <w:t>7.6  尽调遗留事项清单</w:t>
      </w:r>
      <w:bookmarkEnd w:id="76"/>
    </w:p>
    <w:p w14:paraId="1C045A9E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【撰写提示】列示尚未核实的事项、待获取文件、待完成访谈，明确责任方和完成时限。</w:t>
      </w:r>
    </w:p>
    <w:p w14:paraId="6E151545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[插入遗留事项追踪表]</w:t>
      </w:r>
    </w:p>
    <w:p w14:paraId="39DDE8E9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113CFB67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6B856034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77" w:name="_Toc230896285"/>
      <w:r w:rsidRPr="0068751E">
        <w:rPr>
          <w:rFonts w:ascii="STKaiti" w:eastAsia="STKaiti" w:hAnsi="STKaiti"/>
          <w:color w:val="1F497D"/>
          <w:sz w:val="32"/>
          <w:lang w:eastAsia="zh-CN"/>
        </w:rPr>
        <w:t>八、风险因素与缓释措施</w:t>
      </w:r>
      <w:bookmarkEnd w:id="77"/>
    </w:p>
    <w:p w14:paraId="76C8972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【撰写提示】系统梳理各类风险，评估概率与影响程度，并提出可操作的缓释措施。建议以风险矩阵图辅助呈现。</w:t>
      </w:r>
    </w:p>
    <w:p w14:paraId="085BEBD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8" w:name="_Toc230896286"/>
      <w:r w:rsidRPr="0068751E">
        <w:rPr>
          <w:rFonts w:ascii="STKaiti" w:eastAsia="STKaiti" w:hAnsi="STKaiti"/>
          <w:color w:val="366092"/>
          <w:lang w:eastAsia="zh-CN"/>
        </w:rPr>
        <w:t>8.1  风险评估框架</w:t>
      </w:r>
      <w:bookmarkEnd w:id="78"/>
    </w:p>
    <w:p w14:paraId="497473B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【撰写提示】说明风险分级标准（概率×影响度矩阵），区分高/中/低风险，并说明本报告的风险容忍边界。</w:t>
      </w:r>
    </w:p>
    <w:p w14:paraId="138946E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[插入风险评估矩阵]</w:t>
      </w:r>
    </w:p>
    <w:p w14:paraId="1471973C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79" w:name="_Toc230896287"/>
      <w:r w:rsidRPr="0068751E">
        <w:rPr>
          <w:rFonts w:ascii="STKaiti" w:eastAsia="STKaiti" w:hAnsi="STKaiti"/>
          <w:color w:val="366092"/>
          <w:lang w:eastAsia="zh-CN"/>
        </w:rPr>
        <w:t>8.2  行业与市场风险</w:t>
      </w:r>
      <w:bookmarkEnd w:id="79"/>
    </w:p>
    <w:p w14:paraId="64C39CAE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0" w:name="_Toc230896288"/>
      <w:r w:rsidRPr="0068751E">
        <w:rPr>
          <w:rFonts w:ascii="STKaiti" w:eastAsia="STKaiti" w:hAnsi="STKaiti"/>
          <w:color w:val="4F81BD"/>
          <w:lang w:eastAsia="zh-CN"/>
        </w:rPr>
        <w:t>8.2.1  市场需求波动风险</w:t>
      </w:r>
      <w:bookmarkEnd w:id="80"/>
    </w:p>
    <w:p w14:paraId="3F5EAEC8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【撰写提示】风险描述 | 发生概率（高/中/低）| 潜在影响 | 缓释措施 | 监控指标</w:t>
      </w:r>
    </w:p>
    <w:p w14:paraId="2E63F3E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B90455F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1" w:name="_Toc230896289"/>
      <w:r w:rsidRPr="0068751E">
        <w:rPr>
          <w:rFonts w:ascii="STKaiti" w:eastAsia="STKaiti" w:hAnsi="STKaiti"/>
          <w:color w:val="4F81BD"/>
          <w:lang w:eastAsia="zh-CN"/>
        </w:rPr>
        <w:t>8.2.2  竞争加剧风险</w:t>
      </w:r>
      <w:bookmarkEnd w:id="81"/>
    </w:p>
    <w:p w14:paraId="78C23BA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E777652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2" w:name="_Toc230896290"/>
      <w:r w:rsidRPr="0068751E">
        <w:rPr>
          <w:rFonts w:ascii="STKaiti" w:eastAsia="STKaiti" w:hAnsi="STKaiti"/>
          <w:color w:val="4F81BD"/>
          <w:lang w:eastAsia="zh-CN"/>
        </w:rPr>
        <w:lastRenderedPageBreak/>
        <w:t>8.2.3  政策监管风险</w:t>
      </w:r>
      <w:bookmarkEnd w:id="82"/>
    </w:p>
    <w:p w14:paraId="5802FCF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5B0172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83" w:name="_Toc230896291"/>
      <w:r w:rsidRPr="0068751E">
        <w:rPr>
          <w:rFonts w:ascii="STKaiti" w:eastAsia="STKaiti" w:hAnsi="STKaiti"/>
          <w:color w:val="366092"/>
          <w:lang w:eastAsia="zh-CN"/>
        </w:rPr>
        <w:t>8.3  公司经营风险</w:t>
      </w:r>
      <w:bookmarkEnd w:id="83"/>
    </w:p>
    <w:p w14:paraId="4F760C10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4" w:name="_Toc230896292"/>
      <w:r w:rsidRPr="0068751E">
        <w:rPr>
          <w:rFonts w:ascii="STKaiti" w:eastAsia="STKaiti" w:hAnsi="STKaiti"/>
          <w:color w:val="4F81BD"/>
          <w:lang w:eastAsia="zh-CN"/>
        </w:rPr>
        <w:t>8.3.1  技术迭代/研发失败风险</w:t>
      </w:r>
      <w:bookmarkEnd w:id="84"/>
    </w:p>
    <w:p w14:paraId="7EB99F2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21C4143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5" w:name="_Toc230896293"/>
      <w:r w:rsidRPr="0068751E">
        <w:rPr>
          <w:rFonts w:ascii="STKaiti" w:eastAsia="STKaiti" w:hAnsi="STKaiti"/>
          <w:color w:val="4F81BD"/>
          <w:lang w:eastAsia="zh-CN"/>
        </w:rPr>
        <w:t>8.3.2  关键人员流失风险</w:t>
      </w:r>
      <w:bookmarkEnd w:id="85"/>
    </w:p>
    <w:p w14:paraId="01007EEF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B125744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6" w:name="_Toc230896294"/>
      <w:r w:rsidRPr="0068751E">
        <w:rPr>
          <w:rFonts w:ascii="STKaiti" w:eastAsia="STKaiti" w:hAnsi="STKaiti"/>
          <w:color w:val="4F81BD"/>
          <w:lang w:eastAsia="zh-CN"/>
        </w:rPr>
        <w:t>8.3.3  客户集中度风险</w:t>
      </w:r>
      <w:bookmarkEnd w:id="86"/>
    </w:p>
    <w:p w14:paraId="59AA8745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7E1456EA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7" w:name="_Toc230896295"/>
      <w:r w:rsidRPr="0068751E">
        <w:rPr>
          <w:rFonts w:ascii="STKaiti" w:eastAsia="STKaiti" w:hAnsi="STKaiti"/>
          <w:color w:val="4F81BD"/>
          <w:lang w:eastAsia="zh-CN"/>
        </w:rPr>
        <w:t>8.3.4  供应链 / 原材料风险</w:t>
      </w:r>
      <w:bookmarkEnd w:id="87"/>
    </w:p>
    <w:p w14:paraId="6D57464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8308BAE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88" w:name="_Toc230896296"/>
      <w:r w:rsidRPr="0068751E">
        <w:rPr>
          <w:rFonts w:ascii="STKaiti" w:eastAsia="STKaiti" w:hAnsi="STKaiti"/>
          <w:color w:val="366092"/>
          <w:lang w:eastAsia="zh-CN"/>
        </w:rPr>
        <w:t>8.4  财务风险</w:t>
      </w:r>
      <w:bookmarkEnd w:id="88"/>
    </w:p>
    <w:p w14:paraId="096B635D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89" w:name="_Toc230896297"/>
      <w:r w:rsidRPr="0068751E">
        <w:rPr>
          <w:rFonts w:ascii="STKaiti" w:eastAsia="STKaiti" w:hAnsi="STKaiti"/>
          <w:color w:val="4F81BD"/>
          <w:lang w:eastAsia="zh-CN"/>
        </w:rPr>
        <w:t>8.4.1  流动性风险</w:t>
      </w:r>
      <w:bookmarkEnd w:id="89"/>
    </w:p>
    <w:p w14:paraId="77CF8F65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70BD00C3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90" w:name="_Toc230896298"/>
      <w:r w:rsidRPr="0068751E">
        <w:rPr>
          <w:rFonts w:ascii="STKaiti" w:eastAsia="STKaiti" w:hAnsi="STKaiti"/>
          <w:color w:val="4F81BD"/>
          <w:lang w:eastAsia="zh-CN"/>
        </w:rPr>
        <w:t>8.4.2  汇率与利率风险</w:t>
      </w:r>
      <w:bookmarkEnd w:id="90"/>
    </w:p>
    <w:p w14:paraId="1DD32869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8C20974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91" w:name="_Toc230896299"/>
      <w:r w:rsidRPr="0068751E">
        <w:rPr>
          <w:rFonts w:ascii="STKaiti" w:eastAsia="STKaiti" w:hAnsi="STKaiti"/>
          <w:color w:val="4F81BD"/>
          <w:lang w:eastAsia="zh-CN"/>
        </w:rPr>
        <w:t>8.4.3  财务造假风险</w:t>
      </w:r>
      <w:bookmarkEnd w:id="91"/>
    </w:p>
    <w:p w14:paraId="56F181A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0A07CDB2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92" w:name="_Toc230896300"/>
      <w:r w:rsidRPr="0068751E">
        <w:rPr>
          <w:rFonts w:ascii="STKaiti" w:eastAsia="STKaiti" w:hAnsi="STKaiti"/>
          <w:color w:val="366092"/>
          <w:lang w:eastAsia="zh-CN"/>
        </w:rPr>
        <w:t>8.5  交易执行风险</w:t>
      </w:r>
      <w:bookmarkEnd w:id="92"/>
    </w:p>
    <w:p w14:paraId="686AD9F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93" w:name="_Toc230896301"/>
      <w:r w:rsidRPr="0068751E">
        <w:rPr>
          <w:rFonts w:ascii="STKaiti" w:eastAsia="STKaiti" w:hAnsi="STKaiti"/>
          <w:color w:val="4F81BD"/>
          <w:lang w:eastAsia="zh-CN"/>
        </w:rPr>
        <w:t>8.5.1  估值泡沫与退出风险</w:t>
      </w:r>
      <w:bookmarkEnd w:id="93"/>
    </w:p>
    <w:p w14:paraId="6638AA53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26EB2AF0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94" w:name="_Toc230896302"/>
      <w:r w:rsidRPr="0068751E">
        <w:rPr>
          <w:rFonts w:ascii="STKaiti" w:eastAsia="STKaiti" w:hAnsi="STKaiti"/>
          <w:color w:val="4F81BD"/>
          <w:lang w:eastAsia="zh-CN"/>
        </w:rPr>
        <w:t>8.5.2  对赌/业绩不达标风险</w:t>
      </w:r>
      <w:bookmarkEnd w:id="94"/>
    </w:p>
    <w:p w14:paraId="26DB0B89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3C565226" w14:textId="77777777" w:rsidR="00844809" w:rsidRPr="0068751E" w:rsidRDefault="00000000">
      <w:pPr>
        <w:pStyle w:val="Heading3"/>
        <w:spacing w:before="160" w:after="60"/>
        <w:rPr>
          <w:rFonts w:ascii="STKaiti" w:eastAsia="STKaiti" w:hAnsi="STKaiti"/>
          <w:lang w:eastAsia="zh-CN"/>
        </w:rPr>
      </w:pPr>
      <w:bookmarkStart w:id="95" w:name="_Toc230896303"/>
      <w:r w:rsidRPr="0068751E">
        <w:rPr>
          <w:rFonts w:ascii="STKaiti" w:eastAsia="STKaiti" w:hAnsi="STKaiti"/>
          <w:color w:val="4F81BD"/>
          <w:lang w:eastAsia="zh-CN"/>
        </w:rPr>
        <w:t>8.5.3  交割条件未满足风险</w:t>
      </w:r>
      <w:bookmarkEnd w:id="95"/>
    </w:p>
    <w:p w14:paraId="569A4B4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7847BE7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96" w:name="_Toc230896304"/>
      <w:r w:rsidRPr="0068751E">
        <w:rPr>
          <w:rFonts w:ascii="STKaiti" w:eastAsia="STKaiti" w:hAnsi="STKaiti"/>
          <w:color w:val="366092"/>
          <w:lang w:eastAsia="zh-CN"/>
        </w:rPr>
        <w:t>8.6  宏观与地缘政治风险</w:t>
      </w:r>
      <w:bookmarkEnd w:id="96"/>
    </w:p>
    <w:p w14:paraId="73628783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【撰写提示】跨境项目须重点分析：制裁风险、技术出口管制、外汇管制、市场准入壁垒。</w:t>
      </w:r>
    </w:p>
    <w:p w14:paraId="25F593EB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5938646E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6371A36E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19979A24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97" w:name="_Toc230896305"/>
      <w:r w:rsidRPr="0068751E">
        <w:rPr>
          <w:rFonts w:ascii="STKaiti" w:eastAsia="STKaiti" w:hAnsi="STKaiti"/>
          <w:color w:val="1F497D"/>
          <w:sz w:val="32"/>
          <w:lang w:eastAsia="zh-CN"/>
        </w:rPr>
        <w:t>九、投资建议与决策</w:t>
      </w:r>
      <w:bookmarkEnd w:id="97"/>
    </w:p>
    <w:p w14:paraId="68010F1F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【撰写提示】本章汇总全文分析，给出明确、可执行的投资建议，并提出后续行动计划。</w:t>
      </w:r>
    </w:p>
    <w:p w14:paraId="0BAE135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98" w:name="_Toc230896306"/>
      <w:r w:rsidRPr="0068751E">
        <w:rPr>
          <w:rFonts w:ascii="STKaiti" w:eastAsia="STKaiti" w:hAnsi="STKaiti"/>
          <w:color w:val="366092"/>
          <w:lang w:eastAsia="zh-CN"/>
        </w:rPr>
        <w:t>9.1  综合评分</w:t>
      </w:r>
      <w:bookmarkEnd w:id="98"/>
    </w:p>
    <w:p w14:paraId="3029E7B3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【撰写提示】可选：采用加权评分模型，对行业、公司、财务、估值、团队等维度打分（1-5分），加权汇总形成综合得分，与同类项目比较。</w:t>
      </w:r>
    </w:p>
    <w:p w14:paraId="52AA7CBE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[插入综合评分矩阵]</w:t>
      </w:r>
    </w:p>
    <w:p w14:paraId="71806022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99" w:name="_Toc230896307"/>
      <w:r w:rsidRPr="0068751E">
        <w:rPr>
          <w:rFonts w:ascii="STKaiti" w:eastAsia="STKaiti" w:hAnsi="STKaiti"/>
          <w:color w:val="366092"/>
          <w:lang w:eastAsia="zh-CN"/>
        </w:rPr>
        <w:t>9.2  核心投资逻辑再确认</w:t>
      </w:r>
      <w:bookmarkEnd w:id="99"/>
    </w:p>
    <w:p w14:paraId="64F4F3C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【撰写提示】用3-5条简洁的要点重申本项目投资的根本逻辑，与执行摘要呼应。</w:t>
      </w:r>
    </w:p>
    <w:p w14:paraId="2438399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1C06F13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0" w:name="_Toc230896308"/>
      <w:r w:rsidRPr="0068751E">
        <w:rPr>
          <w:rFonts w:ascii="STKaiti" w:eastAsia="STKaiti" w:hAnsi="STKaiti"/>
          <w:color w:val="366092"/>
          <w:lang w:eastAsia="zh-CN"/>
        </w:rPr>
        <w:t>9.3  投资建议</w:t>
      </w:r>
      <w:bookmarkEnd w:id="100"/>
    </w:p>
    <w:p w14:paraId="5161634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【撰写提示】明确给出：□ 建议投资  □ 有条件投资  □ 暂缓投资  □ 否决。说明决策依据及必须满足的前提条件。</w:t>
      </w:r>
    </w:p>
    <w:p w14:paraId="202AD538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264275D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1" w:name="_Toc230896309"/>
      <w:r w:rsidRPr="0068751E">
        <w:rPr>
          <w:rFonts w:ascii="STKaiti" w:eastAsia="STKaiti" w:hAnsi="STKaiti"/>
          <w:color w:val="366092"/>
          <w:lang w:eastAsia="zh-CN"/>
        </w:rPr>
        <w:t>9.4  投资条款建议</w:t>
      </w:r>
      <w:bookmarkEnd w:id="101"/>
    </w:p>
    <w:p w14:paraId="5EAEE72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【撰写提示】建议的估值区间、投资金额、持股比例、关键保护性条款要点。</w:t>
      </w:r>
    </w:p>
    <w:p w14:paraId="76E5E821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6D071F97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2" w:name="_Toc230896310"/>
      <w:r w:rsidRPr="0068751E">
        <w:rPr>
          <w:rFonts w:ascii="STKaiti" w:eastAsia="STKaiti" w:hAnsi="STKaiti"/>
          <w:color w:val="366092"/>
          <w:lang w:eastAsia="zh-CN"/>
        </w:rPr>
        <w:t>9.5  投后管理计划</w:t>
      </w:r>
      <w:bookmarkEnd w:id="102"/>
    </w:p>
    <w:p w14:paraId="4553C962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【撰写提示】关键监控指标（KPI仪表盘）、董事会参与计划、增值服务资源对接、定期报告要求。</w:t>
      </w:r>
    </w:p>
    <w:p w14:paraId="3A61933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[请在此处填写内容]</w:t>
      </w:r>
    </w:p>
    <w:p w14:paraId="4C5A4E72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3" w:name="_Toc230896311"/>
      <w:r w:rsidRPr="0068751E">
        <w:rPr>
          <w:rFonts w:ascii="STKaiti" w:eastAsia="STKaiti" w:hAnsi="STKaiti"/>
          <w:color w:val="366092"/>
          <w:lang w:eastAsia="zh-CN"/>
        </w:rPr>
        <w:t>9.6  下一步行动计划</w:t>
      </w:r>
      <w:bookmarkEnd w:id="103"/>
    </w:p>
    <w:p w14:paraId="3F804999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【撰写提示】列示具体行动项、责任人、目标完成时间，可用甘特图辅助展示。</w:t>
      </w:r>
    </w:p>
    <w:p w14:paraId="379458C9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[插入行动计划甘特图/表格]</w:t>
      </w:r>
    </w:p>
    <w:p w14:paraId="511EE791" w14:textId="77777777" w:rsidR="00844809" w:rsidRPr="0068751E" w:rsidRDefault="00844809">
      <w:pPr>
        <w:pBdr>
          <w:bottom w:val="single" w:sz="4" w:space="1" w:color="C0C0C0"/>
        </w:pBdr>
        <w:spacing w:before="40" w:after="40"/>
        <w:rPr>
          <w:rFonts w:ascii="STKaiti" w:eastAsia="STKaiti" w:hAnsi="STKaiti"/>
          <w:lang w:eastAsia="zh-CN"/>
        </w:rPr>
      </w:pPr>
    </w:p>
    <w:p w14:paraId="29A689A2" w14:textId="77777777" w:rsidR="00844809" w:rsidRPr="0068751E" w:rsidRDefault="00844809">
      <w:pPr>
        <w:rPr>
          <w:rFonts w:ascii="STKaiti" w:eastAsia="STKaiti" w:hAnsi="STKaiti"/>
          <w:lang w:eastAsia="zh-CN"/>
        </w:rPr>
      </w:pPr>
    </w:p>
    <w:p w14:paraId="74FACB2A" w14:textId="77777777" w:rsidR="00844809" w:rsidRPr="0068751E" w:rsidRDefault="00000000">
      <w:pPr>
        <w:pStyle w:val="Heading1"/>
        <w:spacing w:before="360" w:after="120"/>
        <w:rPr>
          <w:rFonts w:ascii="STKaiti" w:eastAsia="STKaiti" w:hAnsi="STKaiti"/>
          <w:lang w:eastAsia="zh-CN"/>
        </w:rPr>
      </w:pPr>
      <w:bookmarkStart w:id="104" w:name="_Toc230896312"/>
      <w:r w:rsidRPr="0068751E">
        <w:rPr>
          <w:rFonts w:ascii="STKaiti" w:eastAsia="STKaiti" w:hAnsi="STKaiti"/>
          <w:color w:val="1F497D"/>
          <w:sz w:val="32"/>
          <w:lang w:eastAsia="zh-CN"/>
        </w:rPr>
        <w:lastRenderedPageBreak/>
        <w:t>附录</w:t>
      </w:r>
      <w:bookmarkEnd w:id="104"/>
    </w:p>
    <w:p w14:paraId="5450F6C1" w14:textId="77777777" w:rsidR="00844809" w:rsidRPr="0068751E" w:rsidRDefault="00000000">
      <w:pPr>
        <w:spacing w:before="40" w:after="12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i/>
          <w:color w:val="7F7F7F"/>
          <w:sz w:val="19"/>
          <w:lang w:eastAsia="zh-CN"/>
        </w:rPr>
        <w:t>【撰写提示】附录用于放置支撑性文件，正文应尽量精简，详细数据放入附录并在正文相应位置注明"见附录X"。</w:t>
      </w:r>
    </w:p>
    <w:p w14:paraId="4117248D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5" w:name="_Toc230896313"/>
      <w:r w:rsidRPr="0068751E">
        <w:rPr>
          <w:rFonts w:ascii="STKaiti" w:eastAsia="STKaiti" w:hAnsi="STKaiti"/>
          <w:color w:val="366092"/>
          <w:lang w:eastAsia="zh-CN"/>
        </w:rPr>
        <w:t>附录A  财务报表（历史）</w:t>
      </w:r>
      <w:bookmarkEnd w:id="105"/>
    </w:p>
    <w:p w14:paraId="2FE2184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[附原始财务报表或经审计财务数据]</w:t>
      </w:r>
    </w:p>
    <w:p w14:paraId="0FCA3A95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6" w:name="_Toc230896314"/>
      <w:r w:rsidRPr="0068751E">
        <w:rPr>
          <w:rFonts w:ascii="STKaiti" w:eastAsia="STKaiti" w:hAnsi="STKaiti"/>
          <w:color w:val="366092"/>
          <w:lang w:eastAsia="zh-CN"/>
        </w:rPr>
        <w:t>附录B  财务模型详细假设与预测表</w:t>
      </w:r>
      <w:bookmarkEnd w:id="106"/>
    </w:p>
    <w:p w14:paraId="5C3610F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[附详细三表预测模型]</w:t>
      </w:r>
    </w:p>
    <w:p w14:paraId="21368FDB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7" w:name="_Toc230896315"/>
      <w:r w:rsidRPr="0068751E">
        <w:rPr>
          <w:rFonts w:ascii="STKaiti" w:eastAsia="STKaiti" w:hAnsi="STKaiti"/>
          <w:color w:val="366092"/>
          <w:lang w:eastAsia="zh-CN"/>
        </w:rPr>
        <w:t>附录C  可比公司详细信息</w:t>
      </w:r>
      <w:bookmarkEnd w:id="107"/>
    </w:p>
    <w:p w14:paraId="45398526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[附可比公司基本资料及财务数据明细]</w:t>
      </w:r>
    </w:p>
    <w:p w14:paraId="4AB5CC4F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8" w:name="_Toc230896316"/>
      <w:r w:rsidRPr="0068751E">
        <w:rPr>
          <w:rFonts w:ascii="STKaiti" w:eastAsia="STKaiti" w:hAnsi="STKaiti"/>
          <w:color w:val="366092"/>
          <w:lang w:eastAsia="zh-CN"/>
        </w:rPr>
        <w:t>附录D  管理层简历</w:t>
      </w:r>
      <w:bookmarkEnd w:id="108"/>
    </w:p>
    <w:p w14:paraId="3B6BD3CF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[附核心管理层详细履历]</w:t>
      </w:r>
    </w:p>
    <w:p w14:paraId="32A96F43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09" w:name="_Toc230896317"/>
      <w:r w:rsidRPr="0068751E">
        <w:rPr>
          <w:rFonts w:ascii="STKaiti" w:eastAsia="STKaiti" w:hAnsi="STKaiti"/>
          <w:color w:val="366092"/>
          <w:lang w:eastAsia="zh-CN"/>
        </w:rPr>
        <w:t>附录E  尽调访谈记录摘要</w:t>
      </w:r>
      <w:bookmarkEnd w:id="109"/>
    </w:p>
    <w:p w14:paraId="291E269F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[附客户/供应商/管理层访谈纪要（脱敏版）]</w:t>
      </w:r>
    </w:p>
    <w:p w14:paraId="04BC6DF8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10" w:name="_Toc230896318"/>
      <w:r w:rsidRPr="0068751E">
        <w:rPr>
          <w:rFonts w:ascii="STKaiti" w:eastAsia="STKaiti" w:hAnsi="STKaiti"/>
          <w:color w:val="366092"/>
          <w:lang w:eastAsia="zh-CN"/>
        </w:rPr>
        <w:t>附录F  法律尽调报告摘要</w:t>
      </w:r>
      <w:bookmarkEnd w:id="110"/>
    </w:p>
    <w:p w14:paraId="4BD36C27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[由外部律所提供，附关键结论摘要]</w:t>
      </w:r>
    </w:p>
    <w:p w14:paraId="08E902B1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11" w:name="_Toc230896319"/>
      <w:r w:rsidRPr="0068751E">
        <w:rPr>
          <w:rFonts w:ascii="STKaiti" w:eastAsia="STKaiti" w:hAnsi="STKaiti"/>
          <w:color w:val="366092"/>
          <w:lang w:eastAsia="zh-CN"/>
        </w:rPr>
        <w:t>附录G  专业术语对照表</w:t>
      </w:r>
      <w:bookmarkEnd w:id="111"/>
    </w:p>
    <w:p w14:paraId="6E18F0B4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[IRR、MOIC、EBITDA、DCF、WACC、LBO等专业术语解释]</w:t>
      </w:r>
    </w:p>
    <w:p w14:paraId="4DD71044" w14:textId="77777777" w:rsidR="00844809" w:rsidRPr="0068751E" w:rsidRDefault="00000000">
      <w:pPr>
        <w:pStyle w:val="Heading2"/>
        <w:spacing w:before="240" w:after="80"/>
        <w:rPr>
          <w:rFonts w:ascii="STKaiti" w:eastAsia="STKaiti" w:hAnsi="STKaiti"/>
          <w:lang w:eastAsia="zh-CN"/>
        </w:rPr>
      </w:pPr>
      <w:bookmarkStart w:id="112" w:name="_Toc230896320"/>
      <w:r w:rsidRPr="0068751E">
        <w:rPr>
          <w:rFonts w:ascii="STKaiti" w:eastAsia="STKaiti" w:hAnsi="STKaiti"/>
          <w:color w:val="366092"/>
        </w:rPr>
        <w:t>附录H  参考资料来源</w:t>
      </w:r>
      <w:bookmarkEnd w:id="112"/>
    </w:p>
    <w:p w14:paraId="4E97E9AD" w14:textId="77777777" w:rsidR="00844809" w:rsidRPr="0068751E" w:rsidRDefault="00000000">
      <w:pPr>
        <w:spacing w:after="80"/>
        <w:ind w:left="340"/>
        <w:rPr>
          <w:rFonts w:ascii="STKaiti" w:eastAsia="STKaiti" w:hAnsi="STKaiti"/>
          <w:lang w:eastAsia="zh-CN"/>
        </w:rPr>
      </w:pPr>
      <w:r w:rsidRPr="0068751E">
        <w:rPr>
          <w:rFonts w:ascii="STKaiti" w:eastAsia="STKaiti" w:hAnsi="STKaiti"/>
          <w:color w:val="B4B4B4"/>
          <w:sz w:val="21"/>
          <w:lang w:eastAsia="zh-CN"/>
        </w:rPr>
        <w:t>[列示本报告引用的主要数据来源、研究报告、公告等]</w:t>
      </w:r>
    </w:p>
    <w:sectPr w:rsidR="00844809" w:rsidRPr="0068751E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TKaiti">
    <w:altName w:val="汉仪楷体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85815">
    <w:abstractNumId w:val="8"/>
  </w:num>
  <w:num w:numId="2" w16cid:durableId="1671252765">
    <w:abstractNumId w:val="6"/>
  </w:num>
  <w:num w:numId="3" w16cid:durableId="243540651">
    <w:abstractNumId w:val="5"/>
  </w:num>
  <w:num w:numId="4" w16cid:durableId="39525054">
    <w:abstractNumId w:val="4"/>
  </w:num>
  <w:num w:numId="5" w16cid:durableId="1703558189">
    <w:abstractNumId w:val="7"/>
  </w:num>
  <w:num w:numId="6" w16cid:durableId="1927181960">
    <w:abstractNumId w:val="3"/>
  </w:num>
  <w:num w:numId="7" w16cid:durableId="1734309624">
    <w:abstractNumId w:val="2"/>
  </w:num>
  <w:num w:numId="8" w16cid:durableId="130754059">
    <w:abstractNumId w:val="1"/>
  </w:num>
  <w:num w:numId="9" w16cid:durableId="193527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84"/>
    <w:rsid w:val="0029639D"/>
    <w:rsid w:val="00326F90"/>
    <w:rsid w:val="00565CAB"/>
    <w:rsid w:val="0068751E"/>
    <w:rsid w:val="006933CD"/>
    <w:rsid w:val="00844809"/>
    <w:rsid w:val="0089410C"/>
    <w:rsid w:val="008B12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597DE"/>
  <w14:defaultImageDpi w14:val="330"/>
  <w15:docId w15:val="{422C9D8E-4FF1-4C9D-89B1-137E2F1D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75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5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751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68751E"/>
    <w:pPr>
      <w:spacing w:after="100" w:line="278" w:lineRule="auto"/>
      <w:ind w:left="720"/>
    </w:pPr>
    <w:rPr>
      <w:kern w:val="2"/>
      <w:sz w:val="24"/>
      <w:szCs w:val="24"/>
      <w:lang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8751E"/>
    <w:pPr>
      <w:spacing w:after="100" w:line="278" w:lineRule="auto"/>
      <w:ind w:left="960"/>
    </w:pPr>
    <w:rPr>
      <w:kern w:val="2"/>
      <w:sz w:val="24"/>
      <w:szCs w:val="24"/>
      <w:lang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8751E"/>
    <w:pPr>
      <w:spacing w:after="100" w:line="278" w:lineRule="auto"/>
      <w:ind w:left="1200"/>
    </w:pPr>
    <w:rPr>
      <w:kern w:val="2"/>
      <w:sz w:val="24"/>
      <w:szCs w:val="24"/>
      <w:lang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8751E"/>
    <w:pPr>
      <w:spacing w:after="100" w:line="278" w:lineRule="auto"/>
      <w:ind w:left="1440"/>
    </w:pPr>
    <w:rPr>
      <w:kern w:val="2"/>
      <w:sz w:val="24"/>
      <w:szCs w:val="24"/>
      <w:lang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8751E"/>
    <w:pPr>
      <w:spacing w:after="100" w:line="278" w:lineRule="auto"/>
      <w:ind w:left="1680"/>
    </w:pPr>
    <w:rPr>
      <w:kern w:val="2"/>
      <w:sz w:val="24"/>
      <w:szCs w:val="24"/>
      <w:lang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8751E"/>
    <w:pPr>
      <w:spacing w:after="100" w:line="278" w:lineRule="auto"/>
      <w:ind w:left="1920"/>
    </w:pPr>
    <w:rPr>
      <w:kern w:val="2"/>
      <w:sz w:val="24"/>
      <w:szCs w:val="24"/>
      <w:lang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87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2300</Words>
  <Characters>13114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Xinrui</cp:lastModifiedBy>
  <cp:revision>6</cp:revision>
  <dcterms:created xsi:type="dcterms:W3CDTF">2013-12-23T23:15:00Z</dcterms:created>
  <dcterms:modified xsi:type="dcterms:W3CDTF">2026-05-29T16:18:00Z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a01438-abba-4ed6-99e0-3951a31b7aa1_Enabled">
    <vt:lpwstr>true</vt:lpwstr>
  </property>
  <property fmtid="{D5CDD505-2E9C-101B-9397-08002B2CF9AE}" pid="3" name="MSIP_Label_a3a01438-abba-4ed6-99e0-3951a31b7aa1_SetDate">
    <vt:lpwstr>2026-05-28T13:39:17Z</vt:lpwstr>
  </property>
  <property fmtid="{D5CDD505-2E9C-101B-9397-08002B2CF9AE}" pid="4" name="MSIP_Label_a3a01438-abba-4ed6-99e0-3951a31b7aa1_Method">
    <vt:lpwstr>Standard</vt:lpwstr>
  </property>
  <property fmtid="{D5CDD505-2E9C-101B-9397-08002B2CF9AE}" pid="5" name="MSIP_Label_a3a01438-abba-4ed6-99e0-3951a31b7aa1_Name">
    <vt:lpwstr>bcgCN_lbl_nonsensitive</vt:lpwstr>
  </property>
  <property fmtid="{D5CDD505-2E9C-101B-9397-08002B2CF9AE}" pid="6" name="MSIP_Label_a3a01438-abba-4ed6-99e0-3951a31b7aa1_SiteId">
    <vt:lpwstr>69c54104-2566-493f-94f9-63c84681f2a2</vt:lpwstr>
  </property>
  <property fmtid="{D5CDD505-2E9C-101B-9397-08002B2CF9AE}" pid="7" name="MSIP_Label_a3a01438-abba-4ed6-99e0-3951a31b7aa1_ActionId">
    <vt:lpwstr>cf8cb74f-d548-4a6e-80ba-0bc77476e7a4</vt:lpwstr>
  </property>
  <property fmtid="{D5CDD505-2E9C-101B-9397-08002B2CF9AE}" pid="8" name="MSIP_Label_a3a01438-abba-4ed6-99e0-3951a31b7aa1_ContentBits">
    <vt:lpwstr>0</vt:lpwstr>
  </property>
  <property fmtid="{D5CDD505-2E9C-101B-9397-08002B2CF9AE}" pid="9" name="MSIP_Label_a3a01438-abba-4ed6-99e0-3951a31b7aa1_Tag">
    <vt:lpwstr>10, 3, 0, 1</vt:lpwstr>
  </property>
  <property fmtid="{D5CDD505-2E9C-101B-9397-08002B2CF9AE}" pid="10" name="MSIP_Label_b0d5c4f4-7a29-4385-b7a5-afbe2154ae6f_Enabled">
    <vt:lpwstr>true</vt:lpwstr>
  </property>
  <property fmtid="{D5CDD505-2E9C-101B-9397-08002B2CF9AE}" pid="11" name="MSIP_Label_b0d5c4f4-7a29-4385-b7a5-afbe2154ae6f_SetDate">
    <vt:lpwstr>2026-05-29T16:18:24Z</vt:lpwstr>
  </property>
  <property fmtid="{D5CDD505-2E9C-101B-9397-08002B2CF9AE}" pid="12" name="MSIP_Label_b0d5c4f4-7a29-4385-b7a5-afbe2154ae6f_Method">
    <vt:lpwstr>Standard</vt:lpwstr>
  </property>
  <property fmtid="{D5CDD505-2E9C-101B-9397-08002B2CF9AE}" pid="13" name="MSIP_Label_b0d5c4f4-7a29-4385-b7a5-afbe2154ae6f_Name">
    <vt:lpwstr>Confidential</vt:lpwstr>
  </property>
  <property fmtid="{D5CDD505-2E9C-101B-9397-08002B2CF9AE}" pid="14" name="MSIP_Label_b0d5c4f4-7a29-4385-b7a5-afbe2154ae6f_SiteId">
    <vt:lpwstr>2dfb2f0b-4d21-4268-9559-72926144c918</vt:lpwstr>
  </property>
  <property fmtid="{D5CDD505-2E9C-101B-9397-08002B2CF9AE}" pid="15" name="MSIP_Label_b0d5c4f4-7a29-4385-b7a5-afbe2154ae6f_ActionId">
    <vt:lpwstr>d3dd702e-8e4c-4ceb-b569-022cf6f70f65</vt:lpwstr>
  </property>
  <property fmtid="{D5CDD505-2E9C-101B-9397-08002B2CF9AE}" pid="16" name="MSIP_Label_b0d5c4f4-7a29-4385-b7a5-afbe2154ae6f_ContentBits">
    <vt:lpwstr>0</vt:lpwstr>
  </property>
  <property fmtid="{D5CDD505-2E9C-101B-9397-08002B2CF9AE}" pid="17" name="MSIP_Label_b0d5c4f4-7a29-4385-b7a5-afbe2154ae6f_Tag">
    <vt:lpwstr>10, 3, 0, 1</vt:lpwstr>
  </property>
</Properties>
</file>