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83"/>
        <w:gridCol w:w="2154"/>
      </w:tblGrid>
      <w:tr w14:paraId="739BE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83" w:type="dxa"/>
            <w:tcMar>
              <w:top w:w="0" w:type="dxa"/>
              <w:left w:w="0" w:type="dxa"/>
              <w:bottom w:w="0" w:type="dxa"/>
              <w:right w:w="0" w:type="dxa"/>
            </w:tcMar>
            <w:vAlign w:val="top"/>
          </w:tcPr>
          <w:p w14:paraId="17167788">
            <w:pPr>
              <w:spacing w:after="2" w:line="240" w:lineRule="auto"/>
              <w:jc w:val="left"/>
            </w:pPr>
            <w:r>
              <w:rPr>
                <w:rFonts w:hint="eastAsia" w:ascii="微软雅黑" w:hAnsi="微软雅黑" w:eastAsia="微软雅黑"/>
                <w:b/>
                <w:sz w:val="48"/>
              </w:rPr>
              <w:t>张心怡</w:t>
            </w:r>
          </w:p>
          <w:p w14:paraId="3FDB21C9">
            <w:pPr>
              <w:tabs>
                <w:tab w:val="left" w:pos="3742"/>
              </w:tabs>
              <w:spacing w:after="40" w:line="240" w:lineRule="auto"/>
            </w:pPr>
            <w:r>
              <w:rPr>
                <w:rFonts w:hint="eastAsia" w:ascii="微软雅黑" w:hAnsi="微软雅黑" w:eastAsia="微软雅黑"/>
                <w:b w:val="0"/>
                <w:sz w:val="19"/>
              </w:rPr>
              <w:t>求职意向：项目经理 / PMO</w:t>
            </w:r>
            <w:r>
              <w:tab/>
            </w:r>
            <w:r>
              <w:rPr>
                <w:rFonts w:hint="eastAsia" w:ascii="微软雅黑" w:hAnsi="微软雅黑" w:eastAsia="微软雅黑"/>
                <w:b w:val="0"/>
                <w:sz w:val="19"/>
              </w:rPr>
              <w:t>电话：15086717332</w:t>
            </w:r>
          </w:p>
          <w:p w14:paraId="4A65ABFF">
            <w:pPr>
              <w:tabs>
                <w:tab w:val="left" w:pos="3742"/>
              </w:tabs>
              <w:spacing w:after="40"/>
            </w:pPr>
            <w:r>
              <w:rPr>
                <w:rFonts w:hint="eastAsia" w:ascii="微软雅黑" w:hAnsi="微软雅黑" w:eastAsia="微软雅黑"/>
                <w:b w:val="0"/>
                <w:sz w:val="19"/>
              </w:rPr>
              <w:t>政治面貌：中共党员</w:t>
            </w:r>
            <w:r>
              <w:tab/>
            </w:r>
            <w:r>
              <w:rPr>
                <w:rFonts w:hint="eastAsia" w:ascii="微软雅黑" w:hAnsi="微软雅黑" w:eastAsia="微软雅黑"/>
                <w:b w:val="0"/>
                <w:sz w:val="19"/>
              </w:rPr>
              <w:t>邮箱：815192770@qq.com</w:t>
            </w:r>
          </w:p>
          <w:p w14:paraId="7FB64392">
            <w:pPr>
              <w:tabs>
                <w:tab w:val="left" w:pos="3742"/>
              </w:tabs>
              <w:spacing w:after="40"/>
            </w:pPr>
            <w:r>
              <w:rPr>
                <w:rFonts w:hint="eastAsia" w:ascii="微软雅黑" w:hAnsi="微软雅黑" w:eastAsia="微软雅黑"/>
                <w:b w:val="0"/>
                <w:sz w:val="19"/>
              </w:rPr>
              <w:t>现居：深圳</w:t>
            </w:r>
          </w:p>
        </w:tc>
        <w:tc>
          <w:tcPr>
            <w:tcW w:w="2154" w:type="dxa"/>
            <w:tcMar>
              <w:top w:w="0" w:type="dxa"/>
              <w:left w:w="0" w:type="dxa"/>
              <w:bottom w:w="0" w:type="dxa"/>
              <w:right w:w="0" w:type="dxa"/>
            </w:tcMar>
            <w:vAlign w:val="top"/>
          </w:tcPr>
          <w:p w14:paraId="5A6EF373">
            <w:pPr>
              <w:jc w:val="right"/>
            </w:pPr>
            <w:r>
              <w:drawing>
                <wp:inline distT="0" distB="0" distL="114300" distR="114300">
                  <wp:extent cx="935990" cy="1248410"/>
                  <wp:effectExtent l="0" t="0" r="1651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936000" cy="1248488"/>
                          </a:xfrm>
                          <a:prstGeom prst="rect">
                            <a:avLst/>
                          </a:prstGeom>
                        </pic:spPr>
                      </pic:pic>
                    </a:graphicData>
                  </a:graphic>
                </wp:inline>
              </w:drawing>
            </w:r>
          </w:p>
        </w:tc>
      </w:tr>
    </w:tbl>
    <w:p w14:paraId="4BCF3D07">
      <w:pPr>
        <w:pBdr>
          <w:bottom w:val="single" w:color="999999" w:sz="4" w:space="2"/>
        </w:pBdr>
        <w:spacing w:before="60" w:after="4" w:line="276" w:lineRule="auto"/>
      </w:pPr>
      <w:r>
        <w:rPr>
          <w:rFonts w:hint="eastAsia" w:ascii="微软雅黑" w:hAnsi="微软雅黑" w:eastAsia="微软雅黑"/>
          <w:b/>
          <w:sz w:val="26"/>
        </w:rPr>
        <w:t>个人总结</w:t>
      </w:r>
    </w:p>
    <w:p w14:paraId="52E59EA7">
      <w:pPr>
        <w:spacing w:after="2" w:line="276" w:lineRule="auto"/>
      </w:pPr>
      <w:r>
        <w:rPr>
          <w:rFonts w:ascii="微软雅黑" w:hAnsi="微软雅黑" w:eastAsia="微软雅黑"/>
          <w:b w:val="0"/>
          <w:sz w:val="20"/>
        </w:rPr>
        <w:t xml:space="preserve">• </w:t>
      </w:r>
      <w:r>
        <w:rPr>
          <w:rFonts w:hint="eastAsia" w:ascii="微软雅黑" w:hAnsi="微软雅黑" w:eastAsia="微软雅黑"/>
          <w:b w:val="0"/>
          <w:sz w:val="20"/>
        </w:rPr>
        <w:t>5 年大型消费电子集团研发全链路经验，兼具体系搭建与项目交付双向能力</w:t>
      </w:r>
    </w:p>
    <w:p w14:paraId="14FC0774">
      <w:pPr>
        <w:spacing w:after="2" w:line="276" w:lineRule="auto"/>
        <w:rPr>
          <w:rFonts w:hint="eastAsia" w:ascii="微软雅黑" w:hAnsi="微软雅黑" w:eastAsia="微软雅黑"/>
          <w:b w:val="0"/>
          <w:sz w:val="20"/>
        </w:rPr>
      </w:pPr>
      <w:r>
        <w:rPr>
          <w:rFonts w:ascii="微软雅黑" w:hAnsi="微软雅黑" w:eastAsia="微软雅黑"/>
          <w:b w:val="0"/>
          <w:sz w:val="20"/>
        </w:rPr>
        <w:t xml:space="preserve">• </w:t>
      </w:r>
      <w:r>
        <w:rPr>
          <w:rFonts w:hint="eastAsia" w:ascii="微软雅黑" w:hAnsi="微软雅黑" w:eastAsia="微软雅黑"/>
          <w:b w:val="0"/>
          <w:sz w:val="20"/>
        </w:rPr>
        <w:t>擅长从管理痛点出发搭建标准化机制，打通跨部门、跨业务单元的数据与流程堵点，把模糊需求转化为可落地的节点</w:t>
      </w:r>
      <w:r>
        <w:rPr>
          <w:rFonts w:hint="eastAsia"/>
          <w:b w:val="0"/>
          <w:sz w:val="20"/>
          <w:lang w:eastAsia="zh-CN"/>
        </w:rPr>
        <w:t>，</w:t>
      </w:r>
      <w:r>
        <w:rPr>
          <w:rFonts w:hint="eastAsia" w:ascii="微软雅黑" w:hAnsi="微软雅黑" w:eastAsia="微软雅黑"/>
          <w:b w:val="0"/>
          <w:sz w:val="20"/>
        </w:rPr>
        <w:t>支撑高层决策与上级合规核查</w:t>
      </w:r>
    </w:p>
    <w:p w14:paraId="12002087">
      <w:pPr>
        <w:spacing w:after="2" w:line="276" w:lineRule="auto"/>
        <w:rPr>
          <w:rFonts w:hint="eastAsia" w:eastAsia="微软雅黑"/>
          <w:lang w:eastAsia="zh-CN"/>
        </w:rPr>
      </w:pPr>
      <w:r>
        <w:rPr>
          <w:rFonts w:ascii="微软雅黑" w:hAnsi="微软雅黑" w:eastAsia="微软雅黑"/>
          <w:b w:val="0"/>
          <w:sz w:val="20"/>
        </w:rPr>
        <w:t xml:space="preserve">• </w:t>
      </w:r>
      <w:r>
        <w:rPr>
          <w:rFonts w:hint="eastAsia" w:ascii="微软雅黑" w:hAnsi="微软雅黑" w:eastAsia="微软雅黑"/>
          <w:b w:val="0"/>
          <w:sz w:val="20"/>
        </w:rPr>
        <w:t>有</w:t>
      </w:r>
      <w:r>
        <w:rPr>
          <w:rFonts w:hint="eastAsia"/>
          <w:b w:val="0"/>
          <w:sz w:val="20"/>
          <w:lang w:val="en-US" w:eastAsia="zh-CN"/>
        </w:rPr>
        <w:t>重点项目周期操盘经验，</w:t>
      </w:r>
      <w:r>
        <w:rPr>
          <w:rFonts w:hint="eastAsia" w:ascii="微软雅黑" w:hAnsi="微软雅黑" w:eastAsia="微软雅黑"/>
          <w:b w:val="0"/>
          <w:sz w:val="20"/>
        </w:rPr>
        <w:t>能统筹跨主体协同、争取政策资源、交付项目成果，为业务端创造可量化价值</w:t>
      </w:r>
    </w:p>
    <w:p w14:paraId="4B967A9F">
      <w:pPr>
        <w:pBdr>
          <w:bottom w:val="single" w:color="999999" w:sz="4" w:space="2"/>
        </w:pBdr>
        <w:spacing w:before="60" w:after="4" w:line="276" w:lineRule="auto"/>
      </w:pPr>
      <w:r>
        <w:rPr>
          <w:rFonts w:hint="eastAsia" w:ascii="微软雅黑" w:hAnsi="微软雅黑" w:eastAsia="微软雅黑"/>
          <w:b/>
          <w:sz w:val="26"/>
        </w:rPr>
        <w:t>工作经历</w:t>
      </w:r>
    </w:p>
    <w:p w14:paraId="6FB28437">
      <w:pPr>
        <w:tabs>
          <w:tab w:val="right" w:pos="9638"/>
        </w:tabs>
        <w:spacing w:after="2" w:line="276" w:lineRule="auto"/>
      </w:pPr>
      <w:r>
        <w:rPr>
          <w:rFonts w:hint="eastAsia" w:ascii="微软雅黑" w:hAnsi="微软雅黑" w:eastAsia="微软雅黑"/>
          <w:b/>
          <w:sz w:val="21"/>
        </w:rPr>
        <w:t xml:space="preserve">康佳集团股份有限公司 </w:t>
      </w:r>
      <w:r>
        <w:rPr>
          <w:rFonts w:hint="eastAsia"/>
          <w:b/>
          <w:sz w:val="21"/>
          <w:lang w:val="en-US" w:eastAsia="zh-CN"/>
        </w:rPr>
        <w:t xml:space="preserve"> </w:t>
      </w:r>
      <w:r>
        <w:rPr>
          <w:rFonts w:hint="eastAsia" w:ascii="微软雅黑" w:hAnsi="微软雅黑" w:eastAsia="微软雅黑"/>
          <w:b/>
          <w:sz w:val="21"/>
        </w:rPr>
        <w:t xml:space="preserve">| </w:t>
      </w:r>
      <w:r>
        <w:rPr>
          <w:rFonts w:hint="eastAsia"/>
          <w:b/>
          <w:sz w:val="21"/>
          <w:lang w:val="en-US" w:eastAsia="zh-CN"/>
        </w:rPr>
        <w:t xml:space="preserve"> </w:t>
      </w:r>
      <w:r>
        <w:rPr>
          <w:rFonts w:hint="eastAsia" w:ascii="微软雅黑" w:hAnsi="微软雅黑" w:eastAsia="微软雅黑"/>
          <w:b/>
          <w:sz w:val="21"/>
        </w:rPr>
        <w:t>科技创新项目主管</w:t>
      </w:r>
      <w:r>
        <w:rPr>
          <w:rFonts w:hint="eastAsia"/>
          <w:b/>
          <w:sz w:val="21"/>
          <w:lang w:val="en-US" w:eastAsia="zh-CN"/>
        </w:rPr>
        <w:t xml:space="preserve"> </w:t>
      </w:r>
      <w:r>
        <w:rPr>
          <w:rFonts w:hint="eastAsia" w:ascii="微软雅黑" w:hAnsi="微软雅黑" w:eastAsia="微软雅黑"/>
          <w:b/>
          <w:sz w:val="21"/>
        </w:rPr>
        <w:t xml:space="preserve"> | </w:t>
      </w:r>
      <w:r>
        <w:rPr>
          <w:rFonts w:hint="eastAsia"/>
          <w:b/>
          <w:sz w:val="21"/>
          <w:lang w:val="en-US" w:eastAsia="zh-CN"/>
        </w:rPr>
        <w:t xml:space="preserve"> </w:t>
      </w:r>
      <w:r>
        <w:rPr>
          <w:rFonts w:hint="eastAsia" w:ascii="微软雅黑" w:hAnsi="微软雅黑" w:eastAsia="微软雅黑"/>
          <w:b/>
          <w:sz w:val="21"/>
        </w:rPr>
        <w:t>科技产业创新研究中心</w:t>
      </w:r>
      <w:r>
        <w:rPr>
          <w:rFonts w:hint="eastAsia"/>
          <w:b/>
          <w:sz w:val="21"/>
          <w:lang w:val="en-US" w:eastAsia="zh-CN"/>
        </w:rPr>
        <w:t xml:space="preserve"> </w:t>
      </w:r>
      <w:r>
        <w:tab/>
      </w:r>
      <w:r>
        <w:rPr>
          <w:rFonts w:ascii="微软雅黑" w:hAnsi="微软雅黑" w:eastAsia="微软雅黑"/>
          <w:b w:val="0"/>
          <w:sz w:val="21"/>
        </w:rPr>
        <w:t>2021.07 – 2026.04</w:t>
      </w:r>
    </w:p>
    <w:p w14:paraId="5BD7EE75">
      <w:pPr>
        <w:spacing w:before="4" w:after="2" w:line="276" w:lineRule="auto"/>
        <w:rPr>
          <w:rFonts w:hint="eastAsia" w:ascii="微软雅黑" w:hAnsi="微软雅黑" w:eastAsia="微软雅黑"/>
          <w:b/>
          <w:sz w:val="21"/>
          <w:lang w:eastAsia="zh-CN"/>
        </w:rPr>
      </w:pPr>
      <w:r>
        <w:rPr>
          <w:rFonts w:hint="eastAsia" w:ascii="微软雅黑" w:hAnsi="微软雅黑" w:eastAsia="微软雅黑"/>
          <w:b/>
          <w:sz w:val="21"/>
        </w:rPr>
        <w:t>集团研发PMO体系搭建与常态化运营</w:t>
      </w:r>
      <w:r>
        <w:rPr>
          <w:rFonts w:hint="eastAsia"/>
          <w:b/>
          <w:sz w:val="21"/>
          <w:lang w:eastAsia="zh-CN"/>
        </w:rPr>
        <w:t>：</w:t>
      </w:r>
      <w:r>
        <w:rPr>
          <w:rFonts w:hint="eastAsia" w:ascii="微软雅黑" w:hAnsi="微软雅黑" w:eastAsia="微软雅黑"/>
          <w:b w:val="0"/>
          <w:bCs/>
          <w:sz w:val="21"/>
          <w:u w:val="single"/>
          <w:lang w:val="en-US" w:eastAsia="zh-CN"/>
        </w:rPr>
        <w:t>覆盖全集团研发项目组合管理、经费管控、数据合规与战略专项落地，建成可追溯的常态化管理机制。</w:t>
      </w:r>
    </w:p>
    <w:p w14:paraId="5F80E0B2">
      <w:pPr>
        <w:spacing w:after="2" w:line="276" w:lineRule="auto"/>
        <w:rPr>
          <w:rFonts w:hint="default" w:ascii="微软雅黑" w:hAnsi="微软雅黑" w:eastAsia="微软雅黑"/>
          <w:b w:val="0"/>
          <w:color w:val="auto"/>
          <w:sz w:val="20"/>
          <w:lang w:val="en-US" w:eastAsia="zh-CN"/>
        </w:rPr>
      </w:pPr>
      <w:r>
        <w:rPr>
          <w:rFonts w:ascii="微软雅黑" w:hAnsi="微软雅黑" w:eastAsia="微软雅黑"/>
          <w:b w:val="0"/>
          <w:sz w:val="20"/>
        </w:rPr>
        <w:t xml:space="preserve">• </w:t>
      </w:r>
      <w:r>
        <w:rPr>
          <w:rFonts w:hint="eastAsia" w:ascii="微软雅黑" w:hAnsi="微软雅黑" w:eastAsia="微软雅黑"/>
          <w:b/>
          <w:sz w:val="20"/>
        </w:rPr>
        <w:t>研发管理体系搭建：</w:t>
      </w:r>
      <w:r>
        <w:rPr>
          <w:rFonts w:hint="eastAsia"/>
          <w:b/>
          <w:bCs/>
          <w:sz w:val="20"/>
          <w:u w:val="none"/>
          <w:lang w:val="en-US" w:eastAsia="zh-CN"/>
        </w:rPr>
        <w:t>研发项目</w:t>
      </w:r>
      <w:r>
        <w:rPr>
          <w:rFonts w:hint="eastAsia"/>
          <w:b w:val="0"/>
          <w:bCs w:val="0"/>
          <w:sz w:val="20"/>
          <w:u w:val="none"/>
          <w:lang w:val="en-US" w:eastAsia="zh-CN"/>
        </w:rPr>
        <w:t>方面</w:t>
      </w:r>
      <w:r>
        <w:rPr>
          <w:rFonts w:hint="eastAsia"/>
          <w:b w:val="0"/>
          <w:sz w:val="20"/>
          <w:u w:val="none"/>
          <w:lang w:val="en-US" w:eastAsia="zh-CN"/>
        </w:rPr>
        <w:t>，</w:t>
      </w:r>
      <w:r>
        <w:rPr>
          <w:rFonts w:hint="eastAsia" w:ascii="微软雅黑" w:hAnsi="微软雅黑" w:eastAsia="微软雅黑"/>
          <w:b w:val="0"/>
          <w:sz w:val="20"/>
        </w:rPr>
        <w:t>统筹</w:t>
      </w:r>
      <w:r>
        <w:rPr>
          <w:rFonts w:hint="eastAsia" w:ascii="微软雅黑" w:hAnsi="微软雅黑" w:eastAsia="微软雅黑"/>
          <w:b/>
          <w:bCs/>
          <w:sz w:val="20"/>
        </w:rPr>
        <w:t>20</w:t>
      </w:r>
      <w:r>
        <w:rPr>
          <w:rFonts w:hint="eastAsia"/>
          <w:b/>
          <w:bCs/>
          <w:sz w:val="20"/>
          <w:lang w:val="en-US" w:eastAsia="zh-CN"/>
        </w:rPr>
        <w:t>+</w:t>
      </w:r>
      <w:r>
        <w:rPr>
          <w:rFonts w:hint="eastAsia" w:ascii="微软雅黑" w:hAnsi="微软雅黑" w:eastAsia="微软雅黑"/>
          <w:b/>
          <w:bCs/>
          <w:sz w:val="20"/>
        </w:rPr>
        <w:t>家</w:t>
      </w:r>
      <w:r>
        <w:rPr>
          <w:rFonts w:hint="eastAsia"/>
          <w:b w:val="0"/>
          <w:sz w:val="20"/>
          <w:lang w:val="en-US" w:eastAsia="zh-CN"/>
        </w:rPr>
        <w:t>业务单元</w:t>
      </w:r>
      <w:r>
        <w:rPr>
          <w:rFonts w:hint="eastAsia" w:ascii="微软雅黑" w:hAnsi="微软雅黑" w:eastAsia="微软雅黑"/>
          <w:b w:val="0"/>
          <w:sz w:val="20"/>
        </w:rPr>
        <w:t>、</w:t>
      </w:r>
      <w:r>
        <w:rPr>
          <w:rFonts w:hint="eastAsia" w:ascii="微软雅黑" w:hAnsi="微软雅黑" w:eastAsia="微软雅黑"/>
          <w:b/>
          <w:bCs/>
          <w:sz w:val="20"/>
        </w:rPr>
        <w:t>100+个</w:t>
      </w:r>
      <w:r>
        <w:rPr>
          <w:rFonts w:hint="eastAsia" w:ascii="微软雅黑" w:hAnsi="微软雅黑" w:eastAsia="微软雅黑"/>
          <w:b w:val="0"/>
          <w:sz w:val="20"/>
        </w:rPr>
        <w:t>集团级研发项目的年度计划编制及管理，统一项目分类标准与产出目标；</w:t>
      </w:r>
      <w:r>
        <w:rPr>
          <w:rFonts w:hint="eastAsia"/>
          <w:b/>
          <w:bCs/>
          <w:sz w:val="20"/>
          <w:u w:val="none"/>
          <w:lang w:val="en-US" w:eastAsia="zh-CN"/>
        </w:rPr>
        <w:t>研发经费</w:t>
      </w:r>
      <w:r>
        <w:rPr>
          <w:rFonts w:hint="eastAsia"/>
          <w:b w:val="0"/>
          <w:sz w:val="20"/>
          <w:u w:val="none"/>
          <w:lang w:val="en-US" w:eastAsia="zh-CN"/>
        </w:rPr>
        <w:t>方面</w:t>
      </w:r>
      <w:r>
        <w:rPr>
          <w:rFonts w:hint="eastAsia"/>
          <w:b w:val="0"/>
          <w:sz w:val="20"/>
          <w:lang w:val="en-US" w:eastAsia="zh-CN"/>
        </w:rPr>
        <w:t>，</w:t>
      </w:r>
      <w:r>
        <w:rPr>
          <w:rFonts w:hint="eastAsia" w:ascii="微软雅黑" w:hAnsi="微软雅黑" w:eastAsia="微软雅黑"/>
          <w:b w:val="0"/>
          <w:sz w:val="20"/>
        </w:rPr>
        <w:t>搭建研发经费月度统计复核机制，</w:t>
      </w:r>
      <w:r>
        <w:rPr>
          <w:rFonts w:hint="eastAsia"/>
          <w:b w:val="0"/>
          <w:sz w:val="20"/>
          <w:lang w:val="en-US" w:eastAsia="zh-CN"/>
        </w:rPr>
        <w:t>月均审查</w:t>
      </w:r>
      <w:r>
        <w:rPr>
          <w:rFonts w:hint="eastAsia"/>
          <w:b/>
          <w:bCs/>
          <w:sz w:val="20"/>
          <w:lang w:val="en-US" w:eastAsia="zh-CN"/>
        </w:rPr>
        <w:t>千万元</w:t>
      </w:r>
      <w:r>
        <w:rPr>
          <w:rFonts w:hint="eastAsia"/>
          <w:b w:val="0"/>
          <w:color w:val="auto"/>
          <w:sz w:val="20"/>
          <w:lang w:val="en-US" w:eastAsia="zh-CN"/>
        </w:rPr>
        <w:t>研发费用；</w:t>
      </w:r>
      <w:r>
        <w:rPr>
          <w:rFonts w:hint="eastAsia" w:ascii="微软雅黑" w:hAnsi="微软雅黑" w:eastAsia="微软雅黑"/>
          <w:b w:val="0"/>
          <w:color w:val="auto"/>
          <w:sz w:val="20"/>
        </w:rPr>
        <w:t>深挖研发项目与经费两端脱节核心卡点，</w:t>
      </w:r>
      <w:r>
        <w:rPr>
          <w:rFonts w:hint="eastAsia"/>
          <w:b w:val="0"/>
          <w:color w:val="auto"/>
          <w:sz w:val="20"/>
          <w:lang w:val="en-US" w:eastAsia="zh-CN"/>
        </w:rPr>
        <w:t>推动形成投入-产出</w:t>
      </w:r>
      <w:r>
        <w:rPr>
          <w:rFonts w:hint="eastAsia" w:ascii="微软雅黑" w:hAnsi="微软雅黑" w:eastAsia="微软雅黑"/>
          <w:b w:val="0"/>
          <w:color w:val="auto"/>
          <w:sz w:val="20"/>
        </w:rPr>
        <w:t>一体化</w:t>
      </w:r>
      <w:r>
        <w:rPr>
          <w:rFonts w:hint="eastAsia"/>
          <w:b w:val="0"/>
          <w:color w:val="auto"/>
          <w:sz w:val="20"/>
          <w:lang w:val="en-US" w:eastAsia="zh-CN"/>
        </w:rPr>
        <w:t>闭环管理体系</w:t>
      </w:r>
      <w:r>
        <w:rPr>
          <w:rFonts w:hint="eastAsia" w:ascii="微软雅黑" w:hAnsi="微软雅黑" w:eastAsia="微软雅黑"/>
          <w:b w:val="0"/>
          <w:color w:val="auto"/>
          <w:sz w:val="20"/>
        </w:rPr>
        <w:t>思路。</w:t>
      </w:r>
    </w:p>
    <w:p w14:paraId="44C051BC">
      <w:pPr>
        <w:spacing w:after="2" w:line="276" w:lineRule="auto"/>
        <w:rPr>
          <w:rFonts w:ascii="微软雅黑" w:hAnsi="微软雅黑" w:eastAsia="微软雅黑"/>
          <w:b w:val="0"/>
          <w:sz w:val="20"/>
        </w:rPr>
      </w:pPr>
      <w:r>
        <w:rPr>
          <w:rFonts w:ascii="微软雅黑" w:hAnsi="微软雅黑" w:eastAsia="微软雅黑"/>
          <w:b w:val="0"/>
          <w:sz w:val="20"/>
        </w:rPr>
        <w:t xml:space="preserve">• </w:t>
      </w:r>
      <w:r>
        <w:rPr>
          <w:rFonts w:hint="eastAsia" w:ascii="微软雅黑" w:hAnsi="微软雅黑" w:eastAsia="微软雅黑"/>
          <w:b/>
          <w:sz w:val="20"/>
        </w:rPr>
        <w:t>研发数据治理</w:t>
      </w:r>
      <w:r>
        <w:rPr>
          <w:rFonts w:hint="eastAsia"/>
          <w:b/>
          <w:sz w:val="20"/>
          <w:lang w:val="en-US" w:eastAsia="zh-CN"/>
        </w:rPr>
        <w:t>与合规管控</w:t>
      </w:r>
      <w:r>
        <w:rPr>
          <w:rFonts w:hint="eastAsia" w:ascii="微软雅黑" w:hAnsi="微软雅黑" w:eastAsia="微软雅黑"/>
          <w:b/>
          <w:sz w:val="20"/>
        </w:rPr>
        <w:t>：</w:t>
      </w:r>
      <w:r>
        <w:rPr>
          <w:rFonts w:hint="eastAsia" w:ascii="微软雅黑" w:hAnsi="微软雅黑" w:eastAsia="微软雅黑"/>
          <w:b w:val="0"/>
          <w:sz w:val="20"/>
        </w:rPr>
        <w:t>针对管理口径不统一、数据</w:t>
      </w:r>
      <w:r>
        <w:rPr>
          <w:rFonts w:hint="eastAsia"/>
          <w:b w:val="0"/>
          <w:sz w:val="20"/>
          <w:lang w:val="en-US" w:eastAsia="zh-CN"/>
        </w:rPr>
        <w:t>未</w:t>
      </w:r>
      <w:r>
        <w:rPr>
          <w:rFonts w:hint="eastAsia" w:ascii="微软雅黑" w:hAnsi="微软雅黑" w:eastAsia="微软雅黑"/>
          <w:b w:val="0"/>
          <w:sz w:val="20"/>
        </w:rPr>
        <w:t>打通的</w:t>
      </w:r>
      <w:r>
        <w:rPr>
          <w:rFonts w:hint="eastAsia"/>
          <w:b w:val="0"/>
          <w:sz w:val="20"/>
          <w:lang w:val="en-US" w:eastAsia="zh-CN"/>
        </w:rPr>
        <w:t>长期</w:t>
      </w:r>
      <w:r>
        <w:rPr>
          <w:rFonts w:hint="eastAsia" w:ascii="微软雅黑" w:hAnsi="微软雅黑" w:eastAsia="微软雅黑"/>
          <w:b w:val="0"/>
          <w:sz w:val="20"/>
        </w:rPr>
        <w:t>痛点，组织近</w:t>
      </w:r>
      <w:r>
        <w:rPr>
          <w:rFonts w:hint="eastAsia" w:ascii="微软雅黑" w:hAnsi="微软雅黑" w:eastAsia="微软雅黑"/>
          <w:b/>
          <w:bCs/>
          <w:sz w:val="20"/>
        </w:rPr>
        <w:t>20</w:t>
      </w:r>
      <w:r>
        <w:rPr>
          <w:rFonts w:hint="eastAsia"/>
          <w:b/>
          <w:bCs/>
          <w:sz w:val="20"/>
          <w:lang w:val="en-US" w:eastAsia="zh-CN"/>
        </w:rPr>
        <w:t>+</w:t>
      </w:r>
      <w:r>
        <w:rPr>
          <w:rFonts w:hint="eastAsia" w:ascii="微软雅黑" w:hAnsi="微软雅黑" w:eastAsia="微软雅黑"/>
          <w:b/>
          <w:bCs/>
          <w:sz w:val="20"/>
        </w:rPr>
        <w:t>家</w:t>
      </w:r>
      <w:r>
        <w:rPr>
          <w:rFonts w:hint="eastAsia"/>
          <w:b w:val="0"/>
          <w:sz w:val="20"/>
          <w:lang w:eastAsia="zh-CN"/>
        </w:rPr>
        <w:t>业务单元</w:t>
      </w:r>
      <w:r>
        <w:rPr>
          <w:rFonts w:hint="eastAsia" w:ascii="微软雅黑" w:hAnsi="微软雅黑" w:eastAsia="微软雅黑"/>
          <w:b w:val="0"/>
          <w:sz w:val="20"/>
        </w:rPr>
        <w:t>、</w:t>
      </w:r>
      <w:r>
        <w:rPr>
          <w:rFonts w:hint="eastAsia" w:ascii="微软雅黑" w:hAnsi="微软雅黑" w:eastAsia="微软雅黑"/>
          <w:b/>
          <w:bCs/>
          <w:sz w:val="20"/>
        </w:rPr>
        <w:t>500+个</w:t>
      </w:r>
      <w:r>
        <w:rPr>
          <w:rFonts w:hint="eastAsia" w:ascii="微软雅黑" w:hAnsi="微软雅黑" w:eastAsia="微软雅黑"/>
          <w:b w:val="0"/>
          <w:sz w:val="20"/>
        </w:rPr>
        <w:t>跨年度课题补录入统，守住研发费用与财务账面一致的勾稽红线</w:t>
      </w:r>
      <w:r>
        <w:rPr>
          <w:rFonts w:hint="eastAsia"/>
          <w:b w:val="0"/>
          <w:sz w:val="20"/>
          <w:lang w:eastAsia="zh-CN"/>
        </w:rPr>
        <w:t>，</w:t>
      </w:r>
      <w:r>
        <w:rPr>
          <w:rFonts w:hint="eastAsia"/>
          <w:b w:val="0"/>
          <w:sz w:val="20"/>
          <w:lang w:val="en-US" w:eastAsia="zh-CN"/>
        </w:rPr>
        <w:t>支撑国资委央企巡视核查实现</w:t>
      </w:r>
      <w:r>
        <w:rPr>
          <w:rFonts w:hint="eastAsia"/>
          <w:b/>
          <w:bCs/>
          <w:sz w:val="20"/>
          <w:lang w:val="en-US" w:eastAsia="zh-CN"/>
        </w:rPr>
        <w:t>零问题</w:t>
      </w:r>
      <w:r>
        <w:rPr>
          <w:rFonts w:hint="eastAsia"/>
          <w:b w:val="0"/>
          <w:sz w:val="20"/>
          <w:lang w:val="en-US" w:eastAsia="zh-CN"/>
        </w:rPr>
        <w:t>反馈，</w:t>
      </w:r>
      <w:r>
        <w:rPr>
          <w:rFonts w:hint="eastAsia" w:ascii="微软雅黑" w:hAnsi="微软雅黑" w:eastAsia="微软雅黑"/>
          <w:b w:val="0"/>
          <w:sz w:val="20"/>
        </w:rPr>
        <w:t>建成集团首份</w:t>
      </w:r>
      <w:r>
        <w:rPr>
          <w:rFonts w:hint="eastAsia"/>
          <w:b w:val="0"/>
          <w:sz w:val="20"/>
          <w:lang w:val="en-US" w:eastAsia="zh-CN"/>
        </w:rPr>
        <w:t>口径一致、</w:t>
      </w:r>
      <w:r>
        <w:rPr>
          <w:rFonts w:hint="eastAsia" w:ascii="微软雅黑" w:hAnsi="微软雅黑" w:eastAsia="微软雅黑"/>
          <w:b w:val="0"/>
          <w:sz w:val="20"/>
        </w:rPr>
        <w:t>可核查可追溯的研发全景台账</w:t>
      </w:r>
      <w:r>
        <w:rPr>
          <w:rFonts w:hint="eastAsia"/>
          <w:b w:val="0"/>
          <w:sz w:val="20"/>
          <w:lang w:eastAsia="zh-CN"/>
        </w:rPr>
        <w:t>，</w:t>
      </w:r>
      <w:r>
        <w:rPr>
          <w:rFonts w:hint="eastAsia" w:ascii="微软雅黑" w:hAnsi="微软雅黑" w:eastAsia="微软雅黑"/>
          <w:b w:val="0"/>
          <w:sz w:val="20"/>
        </w:rPr>
        <w:t>支撑对上专项</w:t>
      </w:r>
      <w:r>
        <w:rPr>
          <w:rFonts w:hint="eastAsia"/>
          <w:b w:val="0"/>
          <w:sz w:val="20"/>
          <w:lang w:val="en-US" w:eastAsia="zh-CN"/>
        </w:rPr>
        <w:t>从研发到财务</w:t>
      </w:r>
      <w:r>
        <w:rPr>
          <w:rFonts w:hint="eastAsia" w:ascii="微软雅黑" w:hAnsi="微软雅黑" w:eastAsia="微软雅黑"/>
          <w:b w:val="0"/>
          <w:sz w:val="20"/>
        </w:rPr>
        <w:t>的多类数据快速调取与核对</w:t>
      </w:r>
      <w:r>
        <w:rPr>
          <w:rFonts w:hint="eastAsia"/>
          <w:b w:val="0"/>
          <w:sz w:val="20"/>
          <w:lang w:eastAsia="zh-CN"/>
        </w:rPr>
        <w:t>。</w:t>
      </w:r>
    </w:p>
    <w:p w14:paraId="1C5AC058">
      <w:pPr>
        <w:spacing w:after="2" w:line="276" w:lineRule="auto"/>
        <w:rPr>
          <w:rFonts w:hint="eastAsia"/>
          <w:b w:val="0"/>
          <w:sz w:val="20"/>
          <w:lang w:val="en-US" w:eastAsia="zh-CN"/>
        </w:rPr>
      </w:pPr>
      <w:r>
        <w:rPr>
          <w:rFonts w:ascii="微软雅黑" w:hAnsi="微软雅黑" w:eastAsia="微软雅黑"/>
          <w:b w:val="0"/>
          <w:sz w:val="20"/>
        </w:rPr>
        <w:t xml:space="preserve">• </w:t>
      </w:r>
      <w:r>
        <w:rPr>
          <w:rFonts w:hint="eastAsia"/>
          <w:b/>
          <w:bCs/>
          <w:sz w:val="20"/>
          <w:lang w:val="en-US" w:eastAsia="zh-CN"/>
        </w:rPr>
        <w:t>战略</w:t>
      </w:r>
      <w:r>
        <w:rPr>
          <w:rFonts w:hint="eastAsia" w:ascii="微软雅黑" w:hAnsi="微软雅黑" w:eastAsia="微软雅黑"/>
          <w:b/>
          <w:sz w:val="20"/>
        </w:rPr>
        <w:t>专项统筹与</w:t>
      </w:r>
      <w:r>
        <w:rPr>
          <w:rFonts w:hint="eastAsia"/>
          <w:b/>
          <w:sz w:val="20"/>
          <w:lang w:val="en-US" w:eastAsia="zh-CN"/>
        </w:rPr>
        <w:t>战略支撑</w:t>
      </w:r>
      <w:r>
        <w:rPr>
          <w:rFonts w:hint="eastAsia" w:ascii="微软雅黑" w:hAnsi="微软雅黑" w:eastAsia="微软雅黑"/>
          <w:b/>
          <w:sz w:val="20"/>
        </w:rPr>
        <w:t>：</w:t>
      </w:r>
      <w:r>
        <w:rPr>
          <w:rFonts w:hint="eastAsia"/>
          <w:b w:val="0"/>
          <w:bCs/>
          <w:sz w:val="20"/>
          <w:lang w:val="en-US" w:eastAsia="zh-CN"/>
        </w:rPr>
        <w:t>年均</w:t>
      </w:r>
      <w:r>
        <w:rPr>
          <w:rFonts w:hint="eastAsia" w:ascii="微软雅黑" w:hAnsi="微软雅黑" w:eastAsia="微软雅黑"/>
          <w:b w:val="0"/>
          <w:sz w:val="20"/>
        </w:rPr>
        <w:t>统筹</w:t>
      </w:r>
      <w:r>
        <w:rPr>
          <w:rFonts w:hint="eastAsia"/>
          <w:b/>
          <w:bCs/>
          <w:sz w:val="20"/>
          <w:lang w:val="en-US" w:eastAsia="zh-CN"/>
        </w:rPr>
        <w:t>3</w:t>
      </w:r>
      <w:r>
        <w:rPr>
          <w:rFonts w:hint="eastAsia" w:ascii="微软雅黑" w:hAnsi="微软雅黑" w:eastAsia="微软雅黑"/>
          <w:b/>
          <w:bCs/>
          <w:sz w:val="20"/>
        </w:rPr>
        <w:t>0+项</w:t>
      </w:r>
      <w:r>
        <w:rPr>
          <w:rFonts w:hint="eastAsia" w:ascii="微软雅黑" w:hAnsi="微软雅黑" w:eastAsia="微软雅黑"/>
          <w:b w:val="0"/>
          <w:sz w:val="20"/>
        </w:rPr>
        <w:t>重点专项行动</w:t>
      </w:r>
      <w:r>
        <w:rPr>
          <w:rFonts w:hint="eastAsia"/>
          <w:b w:val="0"/>
          <w:sz w:val="20"/>
          <w:lang w:eastAsia="zh-CN"/>
        </w:rPr>
        <w:t>，</w:t>
      </w:r>
      <w:r>
        <w:rPr>
          <w:rFonts w:hint="eastAsia"/>
          <w:b w:val="0"/>
          <w:sz w:val="20"/>
          <w:lang w:val="en-US" w:eastAsia="zh-CN"/>
        </w:rPr>
        <w:t>高效承接</w:t>
      </w:r>
      <w:r>
        <w:rPr>
          <w:rFonts w:hint="eastAsia" w:ascii="微软雅黑" w:hAnsi="微软雅黑" w:eastAsia="微软雅黑"/>
          <w:b w:val="0"/>
          <w:sz w:val="20"/>
        </w:rPr>
        <w:t>国资委及母公司</w:t>
      </w:r>
      <w:r>
        <w:rPr>
          <w:rFonts w:hint="eastAsia"/>
          <w:b w:val="0"/>
          <w:sz w:val="20"/>
          <w:lang w:val="en-US" w:eastAsia="zh-CN"/>
        </w:rPr>
        <w:t>下达的标准化任务并</w:t>
      </w:r>
      <w:r>
        <w:rPr>
          <w:rFonts w:hint="eastAsia" w:ascii="微软雅黑" w:hAnsi="微软雅黑" w:eastAsia="微软雅黑"/>
          <w:b w:val="0"/>
          <w:sz w:val="20"/>
        </w:rPr>
        <w:t>拆解落地</w:t>
      </w:r>
      <w:r>
        <w:rPr>
          <w:rFonts w:hint="eastAsia"/>
          <w:b w:val="0"/>
          <w:sz w:val="20"/>
          <w:lang w:val="en-US" w:eastAsia="zh-CN"/>
        </w:rPr>
        <w:t>。其中</w:t>
      </w:r>
      <w:r>
        <w:rPr>
          <w:rFonts w:hint="eastAsia" w:ascii="微软雅黑" w:hAnsi="微软雅黑" w:eastAsia="微软雅黑"/>
          <w:b w:val="0"/>
          <w:sz w:val="20"/>
        </w:rPr>
        <w:t>负责华润「十五五」科技规划重点技术布局，</w:t>
      </w:r>
      <w:r>
        <w:rPr>
          <w:rFonts w:hint="eastAsia"/>
          <w:b w:val="0"/>
          <w:sz w:val="20"/>
          <w:lang w:val="en-US" w:eastAsia="zh-CN"/>
        </w:rPr>
        <w:t>短期内</w:t>
      </w:r>
      <w:r>
        <w:rPr>
          <w:rFonts w:hint="eastAsia" w:ascii="微软雅黑" w:hAnsi="微软雅黑" w:eastAsia="微软雅黑"/>
          <w:b w:val="0"/>
          <w:sz w:val="20"/>
        </w:rPr>
        <w:t>统筹</w:t>
      </w:r>
      <w:r>
        <w:rPr>
          <w:rFonts w:hint="eastAsia"/>
          <w:b w:val="0"/>
          <w:bCs w:val="0"/>
          <w:sz w:val="20"/>
          <w:lang w:val="en-US" w:eastAsia="zh-CN"/>
        </w:rPr>
        <w:t>AI+医药、集成电路</w:t>
      </w:r>
      <w:r>
        <w:rPr>
          <w:rFonts w:hint="eastAsia"/>
          <w:b w:val="0"/>
          <w:sz w:val="20"/>
          <w:lang w:val="en-US" w:eastAsia="zh-CN"/>
        </w:rPr>
        <w:t>等</w:t>
      </w:r>
      <w:r>
        <w:rPr>
          <w:rFonts w:hint="eastAsia" w:ascii="微软雅黑" w:hAnsi="微软雅黑" w:eastAsia="微软雅黑"/>
          <w:b w:val="0"/>
          <w:sz w:val="20"/>
        </w:rPr>
        <w:t xml:space="preserve"> </w:t>
      </w:r>
      <w:r>
        <w:rPr>
          <w:rFonts w:hint="eastAsia" w:ascii="微软雅黑" w:hAnsi="微软雅黑" w:eastAsia="微软雅黑"/>
          <w:b/>
          <w:bCs/>
          <w:sz w:val="20"/>
        </w:rPr>
        <w:t>6 大</w:t>
      </w:r>
      <w:r>
        <w:rPr>
          <w:rFonts w:hint="eastAsia"/>
          <w:b w:val="0"/>
          <w:bCs w:val="0"/>
          <w:sz w:val="20"/>
          <w:lang w:val="en-US" w:eastAsia="zh-CN"/>
        </w:rPr>
        <w:t>领域</w:t>
      </w:r>
      <w:r>
        <w:rPr>
          <w:rFonts w:hint="eastAsia"/>
          <w:b w:val="0"/>
          <w:sz w:val="20"/>
          <w:lang w:val="en-US" w:eastAsia="zh-CN"/>
        </w:rPr>
        <w:t>及</w:t>
      </w:r>
      <w:r>
        <w:rPr>
          <w:rFonts w:hint="eastAsia" w:ascii="微软雅黑" w:hAnsi="微软雅黑" w:eastAsia="微软雅黑"/>
          <w:b/>
          <w:bCs/>
          <w:sz w:val="20"/>
        </w:rPr>
        <w:t>14 家</w:t>
      </w:r>
      <w:r>
        <w:rPr>
          <w:rFonts w:hint="eastAsia"/>
          <w:b w:val="0"/>
          <w:bCs w:val="0"/>
          <w:sz w:val="20"/>
          <w:lang w:val="en-US" w:eastAsia="zh-CN"/>
        </w:rPr>
        <w:t>兄弟</w:t>
      </w:r>
      <w:r>
        <w:rPr>
          <w:rFonts w:hint="eastAsia" w:ascii="微软雅黑" w:hAnsi="微软雅黑" w:eastAsia="微软雅黑"/>
          <w:b w:val="0"/>
          <w:sz w:val="20"/>
        </w:rPr>
        <w:t>单位 ，完成多源领域信息的结构化归并与体系重构</w:t>
      </w:r>
      <w:r>
        <w:rPr>
          <w:rFonts w:hint="eastAsia"/>
          <w:b w:val="0"/>
          <w:sz w:val="20"/>
          <w:lang w:eastAsia="zh-CN"/>
        </w:rPr>
        <w:t>；</w:t>
      </w:r>
      <w:r>
        <w:rPr>
          <w:rFonts w:hint="eastAsia" w:ascii="微软雅黑" w:hAnsi="微软雅黑" w:eastAsia="微软雅黑"/>
          <w:b w:val="0"/>
          <w:sz w:val="20"/>
        </w:rPr>
        <w:t>牵头</w:t>
      </w:r>
      <w:r>
        <w:rPr>
          <w:rFonts w:hint="eastAsia"/>
          <w:b w:val="0"/>
          <w:sz w:val="20"/>
          <w:lang w:val="en-US" w:eastAsia="zh-CN"/>
        </w:rPr>
        <w:t>央企改革深化提升行动专项，追踪跨度</w:t>
      </w:r>
      <w:r>
        <w:rPr>
          <w:rFonts w:hint="eastAsia"/>
          <w:b/>
          <w:bCs/>
          <w:sz w:val="20"/>
          <w:lang w:val="en-US" w:eastAsia="zh-CN"/>
        </w:rPr>
        <w:t>3年</w:t>
      </w:r>
      <w:r>
        <w:rPr>
          <w:rFonts w:hint="eastAsia"/>
          <w:b w:val="0"/>
          <w:sz w:val="20"/>
          <w:lang w:val="en-US" w:eastAsia="zh-CN"/>
        </w:rPr>
        <w:t>涵盖</w:t>
      </w:r>
      <w:r>
        <w:rPr>
          <w:rFonts w:hint="eastAsia"/>
          <w:b/>
          <w:bCs/>
          <w:sz w:val="20"/>
          <w:lang w:val="en-US" w:eastAsia="zh-CN"/>
        </w:rPr>
        <w:t>4大</w:t>
      </w:r>
      <w:r>
        <w:rPr>
          <w:rFonts w:hint="eastAsia"/>
          <w:b w:val="0"/>
          <w:sz w:val="20"/>
          <w:lang w:val="en-US" w:eastAsia="zh-CN"/>
        </w:rPr>
        <w:t>方向</w:t>
      </w:r>
      <w:r>
        <w:rPr>
          <w:rFonts w:hint="eastAsia"/>
          <w:b/>
          <w:bCs/>
          <w:sz w:val="20"/>
          <w:lang w:val="en-US" w:eastAsia="zh-CN"/>
        </w:rPr>
        <w:t>10项</w:t>
      </w:r>
      <w:r>
        <w:rPr>
          <w:rFonts w:hint="eastAsia"/>
          <w:b w:val="0"/>
          <w:sz w:val="20"/>
          <w:lang w:val="en-US" w:eastAsia="zh-CN"/>
        </w:rPr>
        <w:t>任务的落实落地。</w:t>
      </w:r>
    </w:p>
    <w:p w14:paraId="3E669FA9">
      <w:pPr>
        <w:spacing w:before="4" w:after="2" w:line="276" w:lineRule="auto"/>
        <w:rPr>
          <w:rFonts w:hint="eastAsia" w:ascii="微软雅黑" w:hAnsi="微软雅黑" w:eastAsia="微软雅黑"/>
          <w:b/>
          <w:sz w:val="21"/>
          <w:lang w:eastAsia="zh-CN"/>
        </w:rPr>
      </w:pPr>
      <w:r>
        <w:rPr>
          <w:rFonts w:hint="eastAsia" w:ascii="微软雅黑" w:hAnsi="微软雅黑" w:eastAsia="微软雅黑"/>
          <w:b/>
          <w:sz w:val="21"/>
        </w:rPr>
        <w:t>核心项目全周期操盘与价值闭环</w:t>
      </w:r>
      <w:r>
        <w:rPr>
          <w:rFonts w:hint="eastAsia"/>
          <w:b/>
          <w:sz w:val="21"/>
          <w:lang w:eastAsia="zh-CN"/>
        </w:rPr>
        <w:t>：</w:t>
      </w:r>
      <w:r>
        <w:rPr>
          <w:rFonts w:hint="eastAsia"/>
          <w:b w:val="0"/>
          <w:bCs/>
          <w:sz w:val="21"/>
          <w:u w:val="single"/>
          <w:lang w:eastAsia="zh-CN"/>
        </w:rPr>
        <w:t>牵头典型场景项目全流程管控，覆盖政府专项、内部自研降本、生态合作交付，实现进度、成本、质量目标对齐。</w:t>
      </w:r>
    </w:p>
    <w:p w14:paraId="6FCA7295">
      <w:pPr>
        <w:spacing w:before="4" w:after="2" w:line="276" w:lineRule="auto"/>
      </w:pPr>
      <w:r>
        <w:rPr>
          <w:rFonts w:ascii="微软雅黑" w:hAnsi="微软雅黑" w:eastAsia="微软雅黑"/>
          <w:b w:val="0"/>
          <w:sz w:val="20"/>
        </w:rPr>
        <w:t xml:space="preserve">• </w:t>
      </w:r>
      <w:r>
        <w:rPr>
          <w:rFonts w:hint="eastAsia" w:ascii="微软雅黑" w:hAnsi="微软雅黑" w:eastAsia="微软雅黑"/>
          <w:b/>
          <w:sz w:val="20"/>
        </w:rPr>
        <w:t>AI 超分辨率显示系统研发项目：</w:t>
      </w:r>
      <w:r>
        <w:rPr>
          <w:rFonts w:hint="eastAsia" w:ascii="微软雅黑" w:hAnsi="微软雅黑" w:eastAsia="微软雅黑"/>
          <w:b w:val="0"/>
          <w:sz w:val="20"/>
        </w:rPr>
        <w:t>牵头</w:t>
      </w:r>
      <w:r>
        <w:rPr>
          <w:rFonts w:hint="eastAsia"/>
          <w:b w:val="0"/>
          <w:sz w:val="20"/>
          <w:lang w:val="en-US" w:eastAsia="zh-CN"/>
        </w:rPr>
        <w:t>操盘</w:t>
      </w:r>
      <w:r>
        <w:rPr>
          <w:rFonts w:hint="eastAsia" w:ascii="微软雅黑" w:hAnsi="微软雅黑" w:eastAsia="微软雅黑"/>
          <w:b w:val="0"/>
          <w:sz w:val="20"/>
        </w:rPr>
        <w:t>深圳市技术攻关重点项目</w:t>
      </w:r>
      <w:r>
        <w:rPr>
          <w:rFonts w:hint="eastAsia"/>
          <w:b w:val="0"/>
          <w:sz w:val="20"/>
          <w:lang w:val="en-US" w:eastAsia="zh-CN"/>
        </w:rPr>
        <w:t>全生命周期管理</w:t>
      </w:r>
      <w:r>
        <w:rPr>
          <w:rFonts w:hint="eastAsia" w:ascii="微软雅黑" w:hAnsi="微软雅黑" w:eastAsia="微软雅黑"/>
          <w:b w:val="0"/>
          <w:sz w:val="20"/>
        </w:rPr>
        <w:t>（</w:t>
      </w:r>
      <w:r>
        <w:rPr>
          <w:rFonts w:hint="eastAsia" w:ascii="微软雅黑" w:hAnsi="微软雅黑" w:eastAsia="微软雅黑"/>
          <w:b/>
          <w:bCs/>
          <w:sz w:val="20"/>
        </w:rPr>
        <w:t>4 家</w:t>
      </w:r>
      <w:r>
        <w:rPr>
          <w:rFonts w:hint="eastAsia" w:ascii="微软雅黑" w:hAnsi="微软雅黑" w:eastAsia="微软雅黑"/>
          <w:b w:val="0"/>
          <w:sz w:val="20"/>
        </w:rPr>
        <w:t>联合</w:t>
      </w:r>
      <w:r>
        <w:rPr>
          <w:rFonts w:hint="eastAsia"/>
          <w:b w:val="0"/>
          <w:sz w:val="20"/>
          <w:lang w:val="en-US" w:eastAsia="zh-CN"/>
        </w:rPr>
        <w:t>单位</w:t>
      </w:r>
      <w:r>
        <w:rPr>
          <w:rFonts w:hint="eastAsia" w:ascii="微软雅黑" w:hAnsi="微软雅黑" w:eastAsia="微软雅黑"/>
          <w:b w:val="0"/>
          <w:sz w:val="20"/>
        </w:rPr>
        <w:t xml:space="preserve">、总投资 </w:t>
      </w:r>
      <w:r>
        <w:rPr>
          <w:rFonts w:hint="eastAsia" w:ascii="微软雅黑" w:hAnsi="微软雅黑" w:eastAsia="微软雅黑"/>
          <w:b/>
          <w:bCs/>
          <w:sz w:val="20"/>
        </w:rPr>
        <w:t>2060 万元</w:t>
      </w:r>
      <w:r>
        <w:rPr>
          <w:rFonts w:hint="eastAsia" w:ascii="微软雅黑" w:hAnsi="微软雅黑" w:eastAsia="微软雅黑"/>
          <w:b w:val="0"/>
          <w:sz w:val="20"/>
        </w:rPr>
        <w:t>）</w:t>
      </w:r>
      <w:r>
        <w:rPr>
          <w:rFonts w:hint="eastAsia"/>
          <w:b w:val="0"/>
          <w:sz w:val="20"/>
          <w:lang w:eastAsia="zh-CN"/>
        </w:rPr>
        <w:t>，主导研判专项政策导向与评审规则，</w:t>
      </w:r>
      <w:r>
        <w:rPr>
          <w:rFonts w:hint="eastAsia"/>
          <w:b w:val="0"/>
          <w:sz w:val="20"/>
          <w:lang w:val="en-US" w:eastAsia="zh-CN"/>
        </w:rPr>
        <w:t>统筹</w:t>
      </w:r>
      <w:r>
        <w:rPr>
          <w:rFonts w:hint="eastAsia"/>
          <w:b w:val="0"/>
          <w:sz w:val="20"/>
          <w:lang w:eastAsia="zh-CN"/>
        </w:rPr>
        <w:t>完成全链条申报工作，成功争取市区两级累计</w:t>
      </w:r>
      <w:r>
        <w:rPr>
          <w:rFonts w:hint="eastAsia"/>
          <w:b/>
          <w:bCs/>
          <w:sz w:val="20"/>
          <w:lang w:eastAsia="zh-CN"/>
        </w:rPr>
        <w:t>843.2 万元</w:t>
      </w:r>
      <w:r>
        <w:rPr>
          <w:rFonts w:hint="eastAsia"/>
          <w:b w:val="0"/>
          <w:sz w:val="20"/>
          <w:lang w:eastAsia="zh-CN"/>
        </w:rPr>
        <w:t>财政资助；搭建全周期项目台账跟踪进度、成本、交付物履约情况，落地固定跨单位例会+周报的进度同步机制，建立分级风险预警台账，实现联合单位协同透明化、可追溯管理；</w:t>
      </w:r>
      <w:r>
        <w:rPr>
          <w:rFonts w:hint="eastAsia"/>
          <w:b w:val="0"/>
          <w:sz w:val="20"/>
          <w:lang w:val="en-US" w:eastAsia="zh-CN"/>
        </w:rPr>
        <w:t>管控体系在</w:t>
      </w:r>
      <w:r>
        <w:rPr>
          <w:rFonts w:hint="eastAsia"/>
          <w:b w:val="0"/>
          <w:sz w:val="20"/>
          <w:lang w:eastAsia="zh-CN"/>
        </w:rPr>
        <w:t>中期移交后持续运行，支撑项目顺利通过多轮政府</w:t>
      </w:r>
      <w:r>
        <w:rPr>
          <w:rFonts w:hint="eastAsia"/>
          <w:b w:val="0"/>
          <w:sz w:val="20"/>
          <w:lang w:val="en-US" w:eastAsia="zh-CN"/>
        </w:rPr>
        <w:t>阶段性</w:t>
      </w:r>
      <w:r>
        <w:rPr>
          <w:rFonts w:hint="eastAsia"/>
          <w:b w:val="0"/>
          <w:sz w:val="20"/>
          <w:lang w:eastAsia="zh-CN"/>
        </w:rPr>
        <w:t>考核并完成正式结案</w:t>
      </w:r>
      <w:r>
        <w:rPr>
          <w:rFonts w:hint="eastAsia" w:ascii="微软雅黑" w:hAnsi="微软雅黑" w:eastAsia="微软雅黑"/>
          <w:b w:val="0"/>
          <w:sz w:val="20"/>
        </w:rPr>
        <w:t>。</w:t>
      </w:r>
    </w:p>
    <w:p w14:paraId="09488B65">
      <w:pPr>
        <w:spacing w:after="2" w:line="276" w:lineRule="auto"/>
      </w:pPr>
      <w:r>
        <w:rPr>
          <w:rFonts w:ascii="微软雅黑" w:hAnsi="微软雅黑" w:eastAsia="微软雅黑"/>
          <w:b w:val="0"/>
          <w:sz w:val="20"/>
        </w:rPr>
        <w:t xml:space="preserve">• </w:t>
      </w:r>
      <w:r>
        <w:rPr>
          <w:rFonts w:hint="eastAsia" w:ascii="微软雅黑" w:hAnsi="微软雅黑" w:eastAsia="微软雅黑"/>
          <w:b/>
          <w:sz w:val="20"/>
        </w:rPr>
        <w:t>远场语音自研替代项目：</w:t>
      </w:r>
      <w:r>
        <w:rPr>
          <w:rFonts w:hint="eastAsia" w:ascii="微软雅黑" w:hAnsi="微软雅黑" w:eastAsia="微软雅黑"/>
          <w:b w:val="0"/>
          <w:bCs/>
          <w:sz w:val="20"/>
        </w:rPr>
        <w:t>针对集团远场语音能力 100% 依赖第三方、年固定采购成本超 150 万的痛点</w:t>
      </w:r>
      <w:r>
        <w:rPr>
          <w:rFonts w:hint="eastAsia"/>
          <w:b w:val="0"/>
          <w:bCs/>
          <w:sz w:val="20"/>
          <w:lang w:eastAsia="zh-CN"/>
        </w:rPr>
        <w:t>，</w:t>
      </w:r>
      <w:r>
        <w:rPr>
          <w:rFonts w:hint="eastAsia"/>
          <w:b w:val="0"/>
          <w:sz w:val="20"/>
          <w:lang w:val="en-US" w:eastAsia="zh-CN"/>
        </w:rPr>
        <w:t>组织</w:t>
      </w:r>
      <w:r>
        <w:rPr>
          <w:rFonts w:hint="eastAsia"/>
          <w:b/>
          <w:bCs/>
          <w:sz w:val="20"/>
          <w:lang w:val="en-US" w:eastAsia="zh-CN"/>
        </w:rPr>
        <w:t>3家</w:t>
      </w:r>
      <w:r>
        <w:rPr>
          <w:rFonts w:hint="eastAsia"/>
          <w:b w:val="0"/>
          <w:bCs w:val="0"/>
          <w:sz w:val="20"/>
          <w:lang w:val="en-US" w:eastAsia="zh-CN"/>
        </w:rPr>
        <w:t>基础</w:t>
      </w:r>
      <w:r>
        <w:rPr>
          <w:rFonts w:hint="eastAsia"/>
          <w:b w:val="0"/>
          <w:sz w:val="20"/>
          <w:lang w:val="en-US" w:eastAsia="zh-CN"/>
        </w:rPr>
        <w:t>方案商比选及</w:t>
      </w:r>
      <w:r>
        <w:rPr>
          <w:rFonts w:hint="eastAsia"/>
          <w:b/>
          <w:bCs/>
          <w:sz w:val="20"/>
          <w:lang w:val="en-US" w:eastAsia="zh-CN"/>
        </w:rPr>
        <w:t>10+轮</w:t>
      </w:r>
      <w:r>
        <w:rPr>
          <w:rFonts w:hint="eastAsia"/>
          <w:b w:val="0"/>
          <w:sz w:val="20"/>
          <w:lang w:val="en-US" w:eastAsia="zh-CN"/>
        </w:rPr>
        <w:t xml:space="preserve">合同谈判，明确交付 SLA 与成本权责边界；统筹 </w:t>
      </w:r>
      <w:r>
        <w:rPr>
          <w:rFonts w:hint="eastAsia"/>
          <w:b/>
          <w:bCs/>
          <w:sz w:val="20"/>
          <w:lang w:val="en-US" w:eastAsia="zh-CN"/>
        </w:rPr>
        <w:t>15 人</w:t>
      </w:r>
      <w:r>
        <w:rPr>
          <w:rFonts w:hint="eastAsia"/>
          <w:b w:val="0"/>
          <w:sz w:val="20"/>
          <w:lang w:val="en-US" w:eastAsia="zh-CN"/>
        </w:rPr>
        <w:t>跨部门研发团队推进需求与功能落地，组织三轮系统测试闭环</w:t>
      </w:r>
      <w:r>
        <w:rPr>
          <w:rFonts w:hint="eastAsia"/>
          <w:b/>
          <w:bCs/>
          <w:sz w:val="20"/>
          <w:lang w:val="en-US" w:eastAsia="zh-CN"/>
        </w:rPr>
        <w:t>14 项</w:t>
      </w:r>
      <w:r>
        <w:rPr>
          <w:rFonts w:hint="eastAsia"/>
          <w:b w:val="0"/>
          <w:sz w:val="20"/>
          <w:lang w:val="en-US" w:eastAsia="zh-CN"/>
        </w:rPr>
        <w:t xml:space="preserve">核心遗留问题；项目预计实现年降本 </w:t>
      </w:r>
      <w:r>
        <w:rPr>
          <w:rFonts w:hint="eastAsia"/>
          <w:b/>
          <w:bCs/>
          <w:sz w:val="20"/>
          <w:lang w:val="en-US" w:eastAsia="zh-CN"/>
        </w:rPr>
        <w:t>37%</w:t>
      </w:r>
      <w:r>
        <w:rPr>
          <w:rFonts w:hint="eastAsia"/>
          <w:b w:val="0"/>
          <w:sz w:val="20"/>
          <w:lang w:val="en-US" w:eastAsia="zh-CN"/>
        </w:rPr>
        <w:t>，核心性能指标（唤醒率、卖场识别率）提升超</w:t>
      </w:r>
      <w:r>
        <w:rPr>
          <w:rFonts w:hint="eastAsia"/>
          <w:b/>
          <w:bCs/>
          <w:sz w:val="20"/>
          <w:lang w:val="en-US" w:eastAsia="zh-CN"/>
        </w:rPr>
        <w:t>30 %</w:t>
      </w:r>
      <w:r>
        <w:rPr>
          <w:rFonts w:hint="eastAsia"/>
          <w:b w:val="0"/>
          <w:sz w:val="20"/>
          <w:lang w:val="en-US" w:eastAsia="zh-CN"/>
        </w:rPr>
        <w:t>，性能远超原第三方方案。</w:t>
      </w:r>
    </w:p>
    <w:p w14:paraId="7C7631EB">
      <w:pPr>
        <w:spacing w:after="2" w:line="276" w:lineRule="auto"/>
      </w:pPr>
      <w:r>
        <w:rPr>
          <w:rFonts w:ascii="微软雅黑" w:hAnsi="微软雅黑" w:eastAsia="微软雅黑"/>
          <w:b w:val="0"/>
          <w:sz w:val="20"/>
        </w:rPr>
        <w:t xml:space="preserve">• </w:t>
      </w:r>
      <w:r>
        <w:rPr>
          <w:rFonts w:hint="eastAsia" w:ascii="微软雅黑" w:hAnsi="微软雅黑" w:eastAsia="微软雅黑"/>
          <w:b/>
          <w:sz w:val="20"/>
        </w:rPr>
        <w:t>智能冰箱研发项目：</w:t>
      </w:r>
      <w:r>
        <w:rPr>
          <w:rFonts w:hint="eastAsia" w:ascii="微软雅黑" w:hAnsi="微软雅黑" w:eastAsia="微软雅黑"/>
          <w:b w:val="0"/>
          <w:sz w:val="20"/>
        </w:rPr>
        <w:t>牵头完成招标书编制、合同签订及集团内部全流程审批，协调</w:t>
      </w:r>
      <w:r>
        <w:rPr>
          <w:rFonts w:hint="eastAsia"/>
          <w:b w:val="0"/>
          <w:sz w:val="20"/>
          <w:lang w:val="en-US" w:eastAsia="zh-CN"/>
        </w:rPr>
        <w:t>多个业务单元</w:t>
      </w:r>
      <w:r>
        <w:rPr>
          <w:rFonts w:hint="eastAsia" w:ascii="微软雅黑" w:hAnsi="微软雅黑" w:eastAsia="微软雅黑"/>
          <w:b w:val="0"/>
          <w:sz w:val="20"/>
        </w:rPr>
        <w:t>、外部供应商、</w:t>
      </w:r>
      <w:r>
        <w:rPr>
          <w:rFonts w:hint="eastAsia"/>
          <w:b w:val="0"/>
          <w:sz w:val="20"/>
          <w:lang w:val="en-US" w:eastAsia="zh-CN"/>
        </w:rPr>
        <w:t>甲方共三</w:t>
      </w:r>
      <w:r>
        <w:rPr>
          <w:rFonts w:hint="eastAsia" w:ascii="微软雅黑" w:hAnsi="微软雅黑" w:eastAsia="微软雅黑"/>
          <w:b w:val="0"/>
          <w:sz w:val="20"/>
        </w:rPr>
        <w:t>方的节奏对齐；对标集团考核规则独立申报创新共建产品业绩免考核政策并成功获批，为参与业务单位豁免考核额度</w:t>
      </w:r>
      <w:r>
        <w:rPr>
          <w:rFonts w:hint="eastAsia" w:ascii="微软雅黑" w:hAnsi="微软雅黑" w:eastAsia="微软雅黑"/>
          <w:b/>
          <w:bCs/>
          <w:sz w:val="20"/>
        </w:rPr>
        <w:t>317 万元</w:t>
      </w:r>
      <w:r>
        <w:rPr>
          <w:rFonts w:hint="eastAsia"/>
          <w:b w:val="0"/>
          <w:sz w:val="20"/>
          <w:lang w:eastAsia="zh-CN"/>
        </w:rPr>
        <w:t>；</w:t>
      </w:r>
      <w:r>
        <w:rPr>
          <w:rFonts w:hint="eastAsia" w:ascii="微软雅黑" w:hAnsi="微软雅黑" w:eastAsia="微软雅黑"/>
          <w:b w:val="0"/>
          <w:sz w:val="20"/>
        </w:rPr>
        <w:t xml:space="preserve">项目两款样机按期通过甲方终验，于中国移动全球合作伙伴大会首发，实现集团侧净收益约 </w:t>
      </w:r>
      <w:r>
        <w:rPr>
          <w:rFonts w:hint="eastAsia" w:ascii="微软雅黑" w:hAnsi="微软雅黑" w:eastAsia="微软雅黑"/>
          <w:b/>
          <w:bCs/>
          <w:sz w:val="20"/>
        </w:rPr>
        <w:t>60 万元</w:t>
      </w:r>
      <w:r>
        <w:rPr>
          <w:rFonts w:hint="eastAsia" w:ascii="微软雅黑" w:hAnsi="微软雅黑" w:eastAsia="微软雅黑"/>
          <w:b w:val="0"/>
          <w:sz w:val="20"/>
        </w:rPr>
        <w:t>。</w:t>
      </w:r>
    </w:p>
    <w:p w14:paraId="35788876">
      <w:pPr>
        <w:spacing w:before="4" w:after="2" w:line="276" w:lineRule="auto"/>
        <w:rPr>
          <w:rFonts w:hint="eastAsia" w:eastAsia="微软雅黑"/>
          <w:u w:val="single"/>
          <w:lang w:eastAsia="zh-CN"/>
        </w:rPr>
      </w:pPr>
      <w:r>
        <w:rPr>
          <w:rFonts w:hint="eastAsia" w:ascii="微软雅黑" w:hAnsi="微软雅黑" w:eastAsia="微软雅黑"/>
          <w:b/>
          <w:sz w:val="21"/>
        </w:rPr>
        <w:t>管理效能优化与决策支撑</w:t>
      </w:r>
      <w:r>
        <w:rPr>
          <w:rFonts w:hint="eastAsia"/>
          <w:b/>
          <w:sz w:val="21"/>
          <w:lang w:eastAsia="zh-CN"/>
        </w:rPr>
        <w:t>：</w:t>
      </w:r>
      <w:r>
        <w:rPr>
          <w:rFonts w:hint="eastAsia"/>
          <w:b w:val="0"/>
          <w:bCs/>
          <w:sz w:val="21"/>
          <w:u w:val="single"/>
          <w:lang w:eastAsia="zh-CN"/>
        </w:rPr>
        <w:t>从信息精简、技术协同两个维度补管理短板，为高层决策、业务协同提供可落地的抓手。</w:t>
      </w:r>
    </w:p>
    <w:p w14:paraId="7B13D9E6">
      <w:pPr>
        <w:spacing w:after="2" w:line="276" w:lineRule="auto"/>
        <w:rPr>
          <w:rFonts w:hint="eastAsia" w:ascii="微软雅黑" w:hAnsi="微软雅黑" w:eastAsia="微软雅黑"/>
          <w:b w:val="0"/>
          <w:sz w:val="20"/>
        </w:rPr>
      </w:pPr>
      <w:r>
        <w:rPr>
          <w:rFonts w:ascii="微软雅黑" w:hAnsi="微软雅黑" w:eastAsia="微软雅黑"/>
          <w:b w:val="0"/>
          <w:sz w:val="20"/>
        </w:rPr>
        <w:t xml:space="preserve">• </w:t>
      </w:r>
      <w:r>
        <w:rPr>
          <w:rFonts w:hint="eastAsia" w:ascii="微软雅黑" w:hAnsi="微软雅黑" w:eastAsia="微软雅黑"/>
          <w:b/>
          <w:sz w:val="20"/>
        </w:rPr>
        <w:t>集团科技情报体系</w:t>
      </w:r>
      <w:r>
        <w:rPr>
          <w:rFonts w:hint="eastAsia"/>
          <w:b/>
          <w:sz w:val="20"/>
          <w:lang w:val="en-US" w:eastAsia="zh-CN"/>
        </w:rPr>
        <w:t>搭建</w:t>
      </w:r>
      <w:r>
        <w:rPr>
          <w:rFonts w:hint="eastAsia" w:ascii="微软雅黑" w:hAnsi="微软雅黑" w:eastAsia="微软雅黑"/>
          <w:b/>
          <w:sz w:val="20"/>
        </w:rPr>
        <w:t>：</w:t>
      </w:r>
      <w:r>
        <w:rPr>
          <w:rFonts w:hint="eastAsia" w:ascii="微软雅黑" w:hAnsi="微软雅黑" w:eastAsia="微软雅黑"/>
          <w:b w:val="0"/>
          <w:sz w:val="20"/>
        </w:rPr>
        <w:t>面向集团总裁层设计情报采集框架与研判规则</w:t>
      </w:r>
      <w:r>
        <w:rPr>
          <w:rFonts w:hint="eastAsia"/>
          <w:b w:val="0"/>
          <w:sz w:val="20"/>
          <w:lang w:eastAsia="zh-CN"/>
        </w:rPr>
        <w:t>，</w:t>
      </w:r>
      <w:r>
        <w:rPr>
          <w:rFonts w:hint="eastAsia" w:ascii="微软雅黑" w:hAnsi="微软雅黑" w:eastAsia="微软雅黑"/>
          <w:b w:val="0"/>
          <w:sz w:val="20"/>
        </w:rPr>
        <w:t>联动技术团队搭建覆盖</w:t>
      </w:r>
      <w:r>
        <w:rPr>
          <w:rFonts w:hint="eastAsia" w:ascii="微软雅黑" w:hAnsi="微软雅黑" w:eastAsia="微软雅黑"/>
          <w:b/>
          <w:bCs/>
          <w:sz w:val="20"/>
        </w:rPr>
        <w:t>21个</w:t>
      </w:r>
      <w:r>
        <w:rPr>
          <w:rFonts w:hint="eastAsia" w:ascii="微软雅黑" w:hAnsi="微软雅黑" w:eastAsia="微软雅黑"/>
          <w:b w:val="0"/>
          <w:sz w:val="20"/>
        </w:rPr>
        <w:t>数据源、</w:t>
      </w:r>
      <w:r>
        <w:rPr>
          <w:rFonts w:hint="eastAsia" w:ascii="微软雅黑" w:hAnsi="微软雅黑" w:eastAsia="微软雅黑"/>
          <w:b/>
          <w:bCs/>
          <w:sz w:val="20"/>
        </w:rPr>
        <w:t>31 家</w:t>
      </w:r>
      <w:r>
        <w:rPr>
          <w:rFonts w:hint="eastAsia" w:ascii="微软雅黑" w:hAnsi="微软雅黑" w:eastAsia="微软雅黑"/>
          <w:b w:val="0"/>
          <w:sz w:val="20"/>
        </w:rPr>
        <w:t>核心竞对的分层关键词抓取体系</w:t>
      </w:r>
      <w:r>
        <w:rPr>
          <w:rFonts w:hint="eastAsia"/>
          <w:b w:val="0"/>
          <w:sz w:val="20"/>
          <w:lang w:eastAsia="zh-CN"/>
        </w:rPr>
        <w:t>；</w:t>
      </w:r>
      <w:r>
        <w:rPr>
          <w:rFonts w:hint="eastAsia" w:ascii="微软雅黑" w:hAnsi="微软雅黑" w:eastAsia="微软雅黑"/>
          <w:b w:val="0"/>
          <w:sz w:val="20"/>
        </w:rPr>
        <w:t>建立按四维标准的信息筛选机制，全年输出《科技简报》</w:t>
      </w:r>
      <w:r>
        <w:rPr>
          <w:rFonts w:hint="eastAsia" w:ascii="微软雅黑" w:hAnsi="微软雅黑" w:eastAsia="微软雅黑"/>
          <w:b/>
          <w:bCs/>
          <w:sz w:val="20"/>
        </w:rPr>
        <w:t>13 期</w:t>
      </w:r>
      <w:r>
        <w:rPr>
          <w:rFonts w:hint="eastAsia" w:ascii="微软雅黑" w:hAnsi="微软雅黑" w:eastAsia="微软雅黑"/>
          <w:b w:val="0"/>
          <w:sz w:val="20"/>
        </w:rPr>
        <w:t>，将系统</w:t>
      </w:r>
      <w:r>
        <w:rPr>
          <w:rFonts w:hint="eastAsia"/>
          <w:b w:val="0"/>
          <w:sz w:val="20"/>
          <w:lang w:val="en-US" w:eastAsia="zh-CN"/>
        </w:rPr>
        <w:t>月</w:t>
      </w:r>
      <w:r>
        <w:rPr>
          <w:rFonts w:hint="eastAsia" w:ascii="微软雅黑" w:hAnsi="微软雅黑" w:eastAsia="微软雅黑"/>
          <w:b w:val="0"/>
          <w:sz w:val="20"/>
        </w:rPr>
        <w:t>均抓取的约</w:t>
      </w:r>
      <w:r>
        <w:rPr>
          <w:rFonts w:hint="eastAsia" w:ascii="微软雅黑" w:hAnsi="微软雅黑" w:eastAsia="微软雅黑"/>
          <w:b/>
          <w:bCs/>
          <w:sz w:val="20"/>
        </w:rPr>
        <w:t>1</w:t>
      </w:r>
      <w:r>
        <w:rPr>
          <w:rFonts w:hint="eastAsia"/>
          <w:b/>
          <w:bCs/>
          <w:sz w:val="20"/>
          <w:lang w:val="en-US" w:eastAsia="zh-CN"/>
        </w:rPr>
        <w:t>00</w:t>
      </w:r>
      <w:r>
        <w:rPr>
          <w:rFonts w:hint="eastAsia" w:ascii="微软雅黑" w:hAnsi="微软雅黑" w:eastAsia="微软雅黑"/>
          <w:b/>
          <w:bCs/>
          <w:sz w:val="20"/>
        </w:rPr>
        <w:t>00条</w:t>
      </w:r>
      <w:r>
        <w:rPr>
          <w:rFonts w:hint="eastAsia" w:ascii="微软雅黑" w:hAnsi="微软雅黑" w:eastAsia="微软雅黑"/>
          <w:b w:val="0"/>
          <w:sz w:val="20"/>
        </w:rPr>
        <w:t>零散信息，浓缩为决策层</w:t>
      </w:r>
      <w:r>
        <w:rPr>
          <w:rFonts w:hint="eastAsia" w:ascii="微软雅黑" w:hAnsi="微软雅黑" w:eastAsia="微软雅黑"/>
          <w:b/>
          <w:bCs/>
          <w:sz w:val="20"/>
        </w:rPr>
        <w:t>1分钟</w:t>
      </w:r>
      <w:r>
        <w:rPr>
          <w:rFonts w:hint="eastAsia" w:ascii="微软雅黑" w:hAnsi="微软雅黑" w:eastAsia="微软雅黑"/>
          <w:b w:val="0"/>
          <w:sz w:val="20"/>
        </w:rPr>
        <w:t>可快速读完的核心参考；其中</w:t>
      </w:r>
      <w:r>
        <w:rPr>
          <w:rFonts w:hint="eastAsia"/>
          <w:b w:val="0"/>
          <w:sz w:val="20"/>
          <w:lang w:val="en-US" w:eastAsia="zh-CN"/>
        </w:rPr>
        <w:t>一期聚焦</w:t>
      </w:r>
      <w:r>
        <w:rPr>
          <w:rFonts w:hint="eastAsia" w:ascii="微软雅黑" w:hAnsi="微软雅黑" w:eastAsia="微软雅黑"/>
          <w:b w:val="0"/>
          <w:sz w:val="20"/>
        </w:rPr>
        <w:t>消费电子用户洞察，打通呼叫中心客诉、京东官旗评论</w:t>
      </w:r>
      <w:r>
        <w:rPr>
          <w:rFonts w:hint="eastAsia"/>
          <w:b w:val="0"/>
          <w:sz w:val="20"/>
          <w:lang w:val="en-US" w:eastAsia="zh-CN"/>
        </w:rPr>
        <w:t>等</w:t>
      </w:r>
      <w:r>
        <w:rPr>
          <w:rFonts w:hint="eastAsia" w:ascii="微软雅黑" w:hAnsi="微软雅黑" w:eastAsia="微软雅黑"/>
          <w:b w:val="0"/>
          <w:sz w:val="20"/>
        </w:rPr>
        <w:t>一线用户数据源，输出洞察结论直接支撑产品改进与客诉治理动作。</w:t>
      </w:r>
    </w:p>
    <w:p w14:paraId="25647FD5">
      <w:pPr>
        <w:spacing w:after="2" w:line="276" w:lineRule="auto"/>
      </w:pPr>
      <w:r>
        <w:rPr>
          <w:rFonts w:ascii="微软雅黑" w:hAnsi="微软雅黑" w:eastAsia="微软雅黑"/>
          <w:b w:val="0"/>
          <w:sz w:val="20"/>
        </w:rPr>
        <w:t xml:space="preserve">• </w:t>
      </w:r>
      <w:r>
        <w:rPr>
          <w:rFonts w:hint="eastAsia" w:ascii="微软雅黑" w:hAnsi="微软雅黑" w:eastAsia="微软雅黑"/>
          <w:b/>
          <w:sz w:val="20"/>
        </w:rPr>
        <w:t>PCB 业务技术路线</w:t>
      </w:r>
      <w:r>
        <w:rPr>
          <w:rFonts w:hint="eastAsia"/>
          <w:b/>
          <w:sz w:val="20"/>
          <w:lang w:val="en-US" w:eastAsia="zh-CN"/>
        </w:rPr>
        <w:t>搭建</w:t>
      </w:r>
      <w:r>
        <w:rPr>
          <w:rFonts w:hint="eastAsia" w:ascii="微软雅黑" w:hAnsi="微软雅黑" w:eastAsia="微软雅黑"/>
          <w:b/>
          <w:sz w:val="20"/>
        </w:rPr>
        <w:t>：</w:t>
      </w:r>
      <w:r>
        <w:rPr>
          <w:rFonts w:hint="eastAsia" w:ascii="微软雅黑" w:hAnsi="微软雅黑" w:eastAsia="微软雅黑"/>
          <w:b w:val="0"/>
          <w:bCs/>
          <w:sz w:val="20"/>
        </w:rPr>
        <w:t>针对集团 PCB 技术能力分散于</w:t>
      </w:r>
      <w:r>
        <w:rPr>
          <w:rFonts w:hint="eastAsia"/>
          <w:b w:val="0"/>
          <w:bCs/>
          <w:sz w:val="20"/>
          <w:lang w:val="en-US" w:eastAsia="zh-CN"/>
        </w:rPr>
        <w:t>不同</w:t>
      </w:r>
      <w:r>
        <w:rPr>
          <w:rFonts w:hint="eastAsia" w:ascii="微软雅黑" w:hAnsi="微软雅黑" w:eastAsia="微软雅黑"/>
          <w:b w:val="0"/>
          <w:bCs/>
          <w:sz w:val="20"/>
        </w:rPr>
        <w:t>业务单元、技术口径不统一的痛点</w:t>
      </w:r>
      <w:r>
        <w:rPr>
          <w:rFonts w:hint="eastAsia"/>
          <w:b w:val="0"/>
          <w:bCs/>
          <w:sz w:val="20"/>
          <w:lang w:eastAsia="zh-CN"/>
        </w:rPr>
        <w:t>，</w:t>
      </w:r>
      <w:r>
        <w:rPr>
          <w:rFonts w:hint="eastAsia" w:ascii="微软雅黑" w:hAnsi="微软雅黑" w:eastAsia="微软雅黑"/>
          <w:b w:val="0"/>
          <w:sz w:val="20"/>
        </w:rPr>
        <w:t>自主设计技术路线框架（</w:t>
      </w:r>
      <w:r>
        <w:rPr>
          <w:rFonts w:hint="eastAsia"/>
          <w:b w:val="0"/>
          <w:sz w:val="20"/>
          <w:lang w:val="en-US" w:eastAsia="zh-CN"/>
        </w:rPr>
        <w:t>覆盖</w:t>
      </w:r>
      <w:r>
        <w:rPr>
          <w:rFonts w:hint="eastAsia" w:ascii="微软雅黑" w:hAnsi="微软雅黑" w:eastAsia="微软雅黑"/>
          <w:b/>
          <w:bCs/>
          <w:sz w:val="20"/>
        </w:rPr>
        <w:t>19 个</w:t>
      </w:r>
      <w:r>
        <w:rPr>
          <w:rFonts w:hint="eastAsia" w:ascii="微软雅黑" w:hAnsi="微软雅黑" w:eastAsia="微软雅黑"/>
          <w:b w:val="0"/>
          <w:sz w:val="20"/>
        </w:rPr>
        <w:t>一级制程</w:t>
      </w:r>
      <w:r>
        <w:rPr>
          <w:rFonts w:hint="eastAsia"/>
          <w:b w:val="0"/>
          <w:sz w:val="20"/>
          <w:lang w:val="en-US" w:eastAsia="zh-CN"/>
        </w:rPr>
        <w:t>及对应</w:t>
      </w:r>
      <w:r>
        <w:rPr>
          <w:rFonts w:hint="eastAsia"/>
          <w:b w:val="0"/>
          <w:color w:val="auto"/>
          <w:sz w:val="20"/>
          <w:lang w:val="en-US" w:eastAsia="zh-CN"/>
        </w:rPr>
        <w:t>42个</w:t>
      </w:r>
      <w:r>
        <w:rPr>
          <w:rFonts w:hint="eastAsia" w:ascii="微软雅黑" w:hAnsi="微软雅黑" w:eastAsia="微软雅黑"/>
          <w:b w:val="0"/>
          <w:sz w:val="20"/>
        </w:rPr>
        <w:t>二级工序），统一技术术语与产品归类</w:t>
      </w:r>
      <w:r>
        <w:rPr>
          <w:rFonts w:hint="eastAsia"/>
          <w:b w:val="0"/>
          <w:sz w:val="20"/>
          <w:lang w:val="en-US" w:eastAsia="zh-CN"/>
        </w:rPr>
        <w:t>标准</w:t>
      </w:r>
      <w:r>
        <w:rPr>
          <w:rFonts w:hint="eastAsia" w:ascii="微软雅黑" w:hAnsi="微软雅黑" w:eastAsia="微软雅黑"/>
          <w:b w:val="0"/>
          <w:sz w:val="20"/>
        </w:rPr>
        <w:t>，</w:t>
      </w:r>
      <w:r>
        <w:rPr>
          <w:rFonts w:hint="eastAsia"/>
          <w:b w:val="0"/>
          <w:sz w:val="20"/>
          <w:lang w:val="en-US" w:eastAsia="zh-CN"/>
        </w:rPr>
        <w:t>迭代形成</w:t>
      </w:r>
      <w:r>
        <w:rPr>
          <w:rFonts w:hint="eastAsia" w:ascii="微软雅黑" w:hAnsi="微软雅黑" w:eastAsia="微软雅黑"/>
          <w:b w:val="0"/>
          <w:sz w:val="20"/>
        </w:rPr>
        <w:t>跨单元</w:t>
      </w:r>
      <w:r>
        <w:rPr>
          <w:rFonts w:hint="eastAsia"/>
          <w:b w:val="0"/>
          <w:sz w:val="20"/>
          <w:lang w:val="en-US" w:eastAsia="zh-CN"/>
        </w:rPr>
        <w:t>PCB</w:t>
      </w:r>
      <w:r>
        <w:rPr>
          <w:rFonts w:hint="eastAsia" w:ascii="微软雅黑" w:hAnsi="微软雅黑" w:eastAsia="微软雅黑"/>
          <w:b w:val="0"/>
          <w:sz w:val="20"/>
        </w:rPr>
        <w:t>能力矩阵；整套集团级技术路线获得一线团队认可，反向支撑创新点挖掘、项目立项与资金争取工作，为集团科技创新管理补上可落地的技术基底。</w:t>
      </w:r>
    </w:p>
    <w:p w14:paraId="3C2E87C7">
      <w:pPr>
        <w:pBdr>
          <w:bottom w:val="single" w:color="999999" w:sz="4" w:space="2"/>
        </w:pBdr>
        <w:spacing w:before="60" w:after="4" w:line="276" w:lineRule="auto"/>
      </w:pPr>
      <w:r>
        <w:rPr>
          <w:rFonts w:hint="eastAsia" w:ascii="微软雅黑" w:hAnsi="微软雅黑" w:eastAsia="微软雅黑"/>
          <w:b/>
          <w:sz w:val="26"/>
        </w:rPr>
        <w:t>教育背景</w:t>
      </w:r>
    </w:p>
    <w:p w14:paraId="275BA28F">
      <w:pPr>
        <w:tabs>
          <w:tab w:val="right" w:pos="9638"/>
        </w:tabs>
        <w:spacing w:after="2" w:line="276" w:lineRule="auto"/>
      </w:pPr>
      <w:r>
        <w:rPr>
          <w:rFonts w:hint="eastAsia" w:ascii="微软雅黑" w:hAnsi="微软雅黑" w:eastAsia="微软雅黑"/>
          <w:b/>
          <w:sz w:val="21"/>
        </w:rPr>
        <w:t>西北农林科技大学（985）</w:t>
      </w:r>
      <w:r>
        <w:rPr>
          <w:rFonts w:hint="eastAsia"/>
          <w:b/>
          <w:sz w:val="21"/>
          <w:lang w:val="en-US" w:eastAsia="zh-CN"/>
        </w:rPr>
        <w:t xml:space="preserve"> </w:t>
      </w:r>
      <w:r>
        <w:rPr>
          <w:rFonts w:hint="eastAsia" w:ascii="微软雅黑" w:hAnsi="微软雅黑" w:eastAsia="微软雅黑"/>
          <w:b/>
          <w:sz w:val="21"/>
        </w:rPr>
        <w:t xml:space="preserve"> | </w:t>
      </w:r>
      <w:r>
        <w:rPr>
          <w:rFonts w:hint="eastAsia"/>
          <w:b/>
          <w:sz w:val="21"/>
          <w:lang w:val="en-US" w:eastAsia="zh-CN"/>
        </w:rPr>
        <w:t xml:space="preserve"> </w:t>
      </w:r>
      <w:r>
        <w:rPr>
          <w:rFonts w:hint="eastAsia" w:ascii="微软雅黑" w:hAnsi="微软雅黑" w:eastAsia="微软雅黑"/>
          <w:b/>
          <w:sz w:val="21"/>
        </w:rPr>
        <w:t>本科</w:t>
      </w:r>
      <w:r>
        <w:rPr>
          <w:rFonts w:hint="eastAsia"/>
          <w:b/>
          <w:sz w:val="21"/>
          <w:lang w:val="en-US" w:eastAsia="zh-CN"/>
        </w:rPr>
        <w:t xml:space="preserve"> </w:t>
      </w:r>
      <w:r>
        <w:rPr>
          <w:rFonts w:hint="eastAsia" w:ascii="微软雅黑" w:hAnsi="微软雅黑" w:eastAsia="微软雅黑"/>
          <w:b/>
          <w:sz w:val="21"/>
        </w:rPr>
        <w:t xml:space="preserve"> |</w:t>
      </w:r>
      <w:r>
        <w:rPr>
          <w:rFonts w:hint="eastAsia"/>
          <w:b/>
          <w:sz w:val="21"/>
          <w:lang w:val="en-US" w:eastAsia="zh-CN"/>
        </w:rPr>
        <w:t xml:space="preserve"> </w:t>
      </w:r>
      <w:r>
        <w:rPr>
          <w:rFonts w:hint="eastAsia" w:ascii="微软雅黑" w:hAnsi="微软雅黑" w:eastAsia="微软雅黑"/>
          <w:b/>
          <w:sz w:val="21"/>
        </w:rPr>
        <w:t xml:space="preserve"> 电子信息工程</w:t>
      </w:r>
      <w:r>
        <w:tab/>
      </w:r>
      <w:r>
        <w:rPr>
          <w:rFonts w:ascii="微软雅黑" w:hAnsi="微软雅黑" w:eastAsia="微软雅黑"/>
          <w:b w:val="0"/>
          <w:sz w:val="21"/>
        </w:rPr>
        <w:t>2017.09 – 2021.06</w:t>
      </w:r>
    </w:p>
    <w:p w14:paraId="7DC857BB">
      <w:pPr>
        <w:spacing w:after="2" w:line="276" w:lineRule="auto"/>
        <w:rPr>
          <w:rFonts w:hint="eastAsia" w:eastAsia="微软雅黑"/>
          <w:lang w:eastAsia="zh-CN"/>
        </w:rPr>
      </w:pPr>
      <w:r>
        <w:rPr>
          <w:rFonts w:hint="eastAsia" w:ascii="微软雅黑" w:hAnsi="微软雅黑" w:eastAsia="微软雅黑"/>
          <w:b w:val="0"/>
          <w:sz w:val="20"/>
        </w:rPr>
        <w:t>• GPA 3.31/4.0（Top 15%），多次获专业奖学金；第一作者 SCIE 论文 1 篇（IF 12.7）；第二发明人实用新型专利 1 项</w:t>
      </w:r>
      <w:r>
        <w:rPr>
          <w:rFonts w:hint="eastAsia"/>
          <w:b w:val="0"/>
          <w:sz w:val="20"/>
          <w:lang w:eastAsia="zh-CN"/>
        </w:rPr>
        <w:t>。</w:t>
      </w:r>
    </w:p>
    <w:p w14:paraId="14CA1F01">
      <w:pPr>
        <w:pBdr>
          <w:bottom w:val="single" w:color="999999" w:sz="4" w:space="2"/>
        </w:pBdr>
        <w:spacing w:before="60" w:after="4" w:line="276" w:lineRule="auto"/>
      </w:pPr>
      <w:r>
        <w:rPr>
          <w:rFonts w:hint="eastAsia" w:ascii="微软雅黑" w:hAnsi="微软雅黑" w:eastAsia="微软雅黑"/>
          <w:b/>
          <w:sz w:val="26"/>
        </w:rPr>
        <w:t>技能证书</w:t>
      </w:r>
    </w:p>
    <w:p w14:paraId="4364CB22">
      <w:pPr>
        <w:spacing w:after="2" w:line="276" w:lineRule="auto"/>
      </w:pPr>
      <w:r>
        <w:rPr>
          <w:rFonts w:ascii="微软雅黑" w:hAnsi="微软雅黑" w:eastAsia="微软雅黑"/>
          <w:b w:val="0"/>
          <w:sz w:val="20"/>
        </w:rPr>
        <w:t xml:space="preserve">• </w:t>
      </w:r>
      <w:r>
        <w:rPr>
          <w:rFonts w:hint="eastAsia" w:ascii="微软雅黑" w:hAnsi="微软雅黑" w:eastAsia="微软雅黑"/>
          <w:b/>
          <w:sz w:val="20"/>
        </w:rPr>
        <w:t>项目管理</w:t>
      </w:r>
      <w:r>
        <w:rPr>
          <w:rFonts w:hint="eastAsia"/>
          <w:b/>
          <w:sz w:val="20"/>
          <w:lang w:val="en-US" w:eastAsia="zh-CN"/>
        </w:rPr>
        <w:t>能力</w:t>
      </w:r>
      <w:r>
        <w:rPr>
          <w:rFonts w:hint="eastAsia" w:ascii="微软雅黑" w:hAnsi="微软雅黑" w:eastAsia="微软雅黑"/>
          <w:b/>
          <w:sz w:val="20"/>
        </w:rPr>
        <w:t>：</w:t>
      </w:r>
      <w:r>
        <w:rPr>
          <w:rFonts w:hint="eastAsia" w:ascii="微软雅黑" w:hAnsi="微软雅黑" w:eastAsia="微软雅黑"/>
          <w:b w:val="0"/>
          <w:sz w:val="20"/>
        </w:rPr>
        <w:t>熟悉IPD集成产品研发框架，掌握研发项目里程碑拆解、进度跟踪、风险预警、需求与范围管控全流程方法；熟悉政府科技项目申报规则、研发经费合规管控要求，可独立推进合同谈判与变更流程，擅长跨业务单元、跨供应商、跨政企部门的多利益相关方协同。</w:t>
      </w:r>
    </w:p>
    <w:p w14:paraId="6033E634">
      <w:pPr>
        <w:spacing w:after="2" w:line="276" w:lineRule="auto"/>
        <w:rPr>
          <w:rFonts w:hint="eastAsia" w:ascii="微软雅黑" w:hAnsi="微软雅黑" w:eastAsia="微软雅黑"/>
          <w:b/>
          <w:sz w:val="20"/>
          <w:lang w:eastAsia="zh-CN"/>
        </w:rPr>
      </w:pPr>
      <w:r>
        <w:rPr>
          <w:rFonts w:ascii="微软雅黑" w:hAnsi="微软雅黑" w:eastAsia="微软雅黑"/>
          <w:b w:val="0"/>
          <w:sz w:val="20"/>
        </w:rPr>
        <w:t xml:space="preserve">• </w:t>
      </w:r>
      <w:r>
        <w:rPr>
          <w:rFonts w:hint="eastAsia" w:ascii="微软雅黑" w:hAnsi="微软雅黑" w:eastAsia="微软雅黑"/>
          <w:b/>
          <w:sz w:val="20"/>
        </w:rPr>
        <w:t>工具</w:t>
      </w:r>
      <w:r>
        <w:rPr>
          <w:rFonts w:hint="eastAsia"/>
          <w:b/>
          <w:sz w:val="20"/>
          <w:lang w:val="en-US" w:eastAsia="zh-CN"/>
        </w:rPr>
        <w:t>应用</w:t>
      </w:r>
      <w:r>
        <w:rPr>
          <w:rFonts w:hint="eastAsia" w:ascii="微软雅黑" w:hAnsi="微软雅黑" w:eastAsia="微软雅黑"/>
          <w:b/>
          <w:sz w:val="20"/>
        </w:rPr>
        <w:t>：</w:t>
      </w:r>
      <w:r>
        <w:rPr>
          <w:rFonts w:hint="eastAsia" w:ascii="微软雅黑" w:hAnsi="微软雅黑" w:eastAsia="微软雅黑"/>
          <w:b w:val="0"/>
          <w:bCs/>
          <w:sz w:val="20"/>
        </w:rPr>
        <w:t>熟练运用主流大模型与AI Agent工具搭建项目管理提效工作流，通过自动化流程完成项目文档初稿生成、跨渠道信息汇总整理、会议纪要结构化提取、进度数据整合，将重复性日常管理工作的效率提升；熟练使用Excel（函数/数据透视表）、PPT、Word完成项目汇报</w:t>
      </w:r>
      <w:r>
        <w:rPr>
          <w:rFonts w:hint="eastAsia"/>
          <w:b w:val="0"/>
          <w:bCs/>
          <w:sz w:val="20"/>
          <w:lang w:val="en-US" w:eastAsia="zh-CN"/>
        </w:rPr>
        <w:t>等</w:t>
      </w:r>
      <w:r>
        <w:rPr>
          <w:rFonts w:hint="eastAsia" w:ascii="微软雅黑" w:hAnsi="微软雅黑" w:eastAsia="微软雅黑"/>
          <w:b w:val="0"/>
          <w:bCs/>
          <w:sz w:val="20"/>
        </w:rPr>
        <w:t>文档输出。</w:t>
      </w:r>
    </w:p>
    <w:p w14:paraId="3FA5951E">
      <w:pPr>
        <w:spacing w:after="2" w:line="276" w:lineRule="auto"/>
        <w:rPr>
          <w:rFonts w:hint="eastAsia"/>
          <w:b w:val="0"/>
          <w:sz w:val="20"/>
          <w:lang w:eastAsia="zh-CN"/>
        </w:rPr>
      </w:pPr>
      <w:r>
        <w:rPr>
          <w:rFonts w:ascii="微软雅黑" w:hAnsi="微软雅黑" w:eastAsia="微软雅黑"/>
          <w:b w:val="0"/>
          <w:sz w:val="20"/>
        </w:rPr>
        <w:t xml:space="preserve">• </w:t>
      </w:r>
      <w:r>
        <w:rPr>
          <w:rFonts w:hint="eastAsia"/>
          <w:b/>
          <w:sz w:val="20"/>
          <w:lang w:val="en-US" w:eastAsia="zh-CN"/>
        </w:rPr>
        <w:t>资质证书</w:t>
      </w:r>
      <w:r>
        <w:rPr>
          <w:rFonts w:hint="eastAsia" w:ascii="微软雅黑" w:hAnsi="微软雅黑" w:eastAsia="微软雅黑"/>
          <w:b/>
          <w:sz w:val="20"/>
        </w:rPr>
        <w:t>：</w:t>
      </w:r>
      <w:r>
        <w:rPr>
          <w:rFonts w:hint="eastAsia" w:ascii="微软雅黑" w:hAnsi="微软雅黑" w:eastAsia="微软雅黑"/>
          <w:b w:val="0"/>
          <w:sz w:val="20"/>
        </w:rPr>
        <w:t>电子元器件助理工程师、英语 CET-6（537 分）、德语德福</w:t>
      </w:r>
      <w:r>
        <w:rPr>
          <w:rFonts w:hint="eastAsia"/>
          <w:b w:val="0"/>
          <w:sz w:val="20"/>
          <w:lang w:eastAsia="zh-CN"/>
        </w:rPr>
        <w:t>（</w:t>
      </w:r>
      <w:r>
        <w:rPr>
          <w:rFonts w:hint="eastAsia" w:ascii="微软雅黑" w:hAnsi="微软雅黑" w:eastAsia="微软雅黑"/>
          <w:b w:val="0"/>
          <w:sz w:val="20"/>
        </w:rPr>
        <w:t>14 分</w:t>
      </w:r>
      <w:r>
        <w:rPr>
          <w:rFonts w:hint="eastAsia"/>
          <w:b w:val="0"/>
          <w:sz w:val="20"/>
          <w:lang w:eastAsia="zh-CN"/>
        </w:rPr>
        <w:t>）</w:t>
      </w:r>
    </w:p>
    <w:p w14:paraId="4302BBBC">
      <w:pPr>
        <w:spacing w:after="2" w:line="276" w:lineRule="auto"/>
        <w:rPr>
          <w:rFonts w:hint="eastAsia"/>
          <w:b w:val="0"/>
          <w:sz w:val="20"/>
          <w:lang w:eastAsia="zh-CN"/>
        </w:rPr>
      </w:pPr>
    </w:p>
    <w:p w14:paraId="5F8DD1A6">
      <w:pPr>
        <w:spacing w:after="2" w:line="276" w:lineRule="auto"/>
        <w:rPr>
          <w:rFonts w:hint="default"/>
          <w:b w:val="0"/>
          <w:sz w:val="20"/>
          <w:lang w:val="en-US" w:eastAsia="zh-CN"/>
        </w:rPr>
      </w:pPr>
      <w:r>
        <w:rPr>
          <w:rFonts w:hint="eastAsia"/>
          <w:b w:val="0"/>
          <w:sz w:val="20"/>
          <w:lang w:val="en-US" w:eastAsia="zh-CN"/>
        </w:rPr>
        <w:t>个人网站：</w:t>
      </w:r>
      <w:bookmarkStart w:id="0" w:name="_GoBack"/>
      <w:bookmarkEnd w:id="0"/>
    </w:p>
    <w:sectPr>
      <w:pgSz w:w="12240" w:h="15840"/>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3A55AE"/>
    <w:rsid w:val="262B2929"/>
    <w:rsid w:val="486D24D6"/>
    <w:rsid w:val="4A5E0608"/>
    <w:rsid w:val="5E272791"/>
    <w:rsid w:val="62D60F4C"/>
    <w:rsid w:val="6DA00AD4"/>
    <w:rsid w:val="71C823A7"/>
    <w:rsid w:val="74C5589B"/>
    <w:rsid w:val="775C023F"/>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5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8"/>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3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6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3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4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4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55"/>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3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1"/>
    <w:unhideWhenUsed/>
    <w:uiPriority w:val="99"/>
    <w:pPr>
      <w:tabs>
        <w:tab w:val="center" w:pos="4680"/>
        <w:tab w:val="right" w:pos="9360"/>
      </w:tabs>
      <w:spacing w:after="0" w:line="240" w:lineRule="auto"/>
    </w:pPr>
  </w:style>
  <w:style w:type="paragraph" w:styleId="25">
    <w:name w:val="header"/>
    <w:basedOn w:val="1"/>
    <w:link w:val="139"/>
    <w:unhideWhenUsed/>
    <w:qFormat/>
    <w:uiPriority w:val="99"/>
    <w:pPr>
      <w:tabs>
        <w:tab w:val="center" w:pos="4680"/>
        <w:tab w:val="right" w:pos="9360"/>
      </w:tabs>
      <w:spacing w:after="0" w:line="240" w:lineRule="auto"/>
    </w:pPr>
  </w:style>
  <w:style w:type="paragraph" w:styleId="26">
    <w:name w:val="Subtitle"/>
    <w:basedOn w:val="1"/>
    <w:next w:val="1"/>
    <w:link w:val="15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59"/>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37">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8">
    <w:name w:val="Body Text 3 Char"/>
    <w:basedOn w:val="133"/>
    <w:link w:val="17"/>
    <w:qFormat/>
    <w:uiPriority w:val="99"/>
    <w:rPr>
      <w:sz w:val="16"/>
      <w:szCs w:val="16"/>
    </w:rPr>
  </w:style>
  <w:style w:type="character" w:customStyle="1" w:styleId="139">
    <w:name w:val="Header Char"/>
    <w:basedOn w:val="133"/>
    <w:link w:val="25"/>
    <w:qFormat/>
    <w:uiPriority w:val="99"/>
  </w:style>
  <w:style w:type="character" w:customStyle="1" w:styleId="14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41">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Intense Quote Char"/>
    <w:basedOn w:val="133"/>
    <w:link w:val="143"/>
    <w:qFormat/>
    <w:uiPriority w:val="30"/>
    <w:rPr>
      <w:b/>
      <w:bCs/>
      <w:i/>
      <w:iCs/>
      <w:color w:val="4F81BD" w:themeColor="accent1"/>
      <w14:textFill>
        <w14:solidFill>
          <w14:schemeClr w14:val="accent1"/>
        </w14:solidFill>
      </w14:textFill>
    </w:rPr>
  </w:style>
  <w:style w:type="paragraph" w:styleId="143">
    <w:name w:val="Intense Quote"/>
    <w:basedOn w:val="1"/>
    <w:next w:val="1"/>
    <w:link w:val="14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paragraph" w:customStyle="1" w:styleId="144">
    <w:name w:val="TOC Heading"/>
    <w:basedOn w:val="3"/>
    <w:next w:val="1"/>
    <w:semiHidden/>
    <w:unhideWhenUsed/>
    <w:qFormat/>
    <w:uiPriority w:val="39"/>
    <w:pPr>
      <w:outlineLvl w:val="9"/>
    </w:pPr>
  </w:style>
  <w:style w:type="character" w:customStyle="1" w:styleId="145">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46">
    <w:name w:val="List Paragraph"/>
    <w:basedOn w:val="1"/>
    <w:qFormat/>
    <w:uiPriority w:val="34"/>
    <w:pPr>
      <w:ind w:left="720"/>
      <w:contextualSpacing/>
    </w:pPr>
  </w:style>
  <w:style w:type="character" w:customStyle="1" w:styleId="147">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48">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9">
    <w:name w:val="Body Text Char"/>
    <w:basedOn w:val="133"/>
    <w:link w:val="19"/>
    <w:qFormat/>
    <w:uiPriority w:val="99"/>
  </w:style>
  <w:style w:type="character" w:customStyle="1" w:styleId="150">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51">
    <w:name w:val="Quote Char"/>
    <w:basedOn w:val="133"/>
    <w:link w:val="152"/>
    <w:qFormat/>
    <w:uiPriority w:val="29"/>
    <w:rPr>
      <w:i/>
      <w:iCs/>
      <w:color w:val="000000" w:themeColor="text1"/>
      <w14:textFill>
        <w14:solidFill>
          <w14:schemeClr w14:val="tx1"/>
        </w14:solidFill>
      </w14:textFill>
    </w:rPr>
  </w:style>
  <w:style w:type="paragraph" w:styleId="152">
    <w:name w:val="Quote"/>
    <w:basedOn w:val="1"/>
    <w:next w:val="1"/>
    <w:link w:val="151"/>
    <w:qFormat/>
    <w:uiPriority w:val="29"/>
    <w:rPr>
      <w:i/>
      <w:iCs/>
      <w:color w:val="000000" w:themeColor="text1"/>
      <w14:textFill>
        <w14:solidFill>
          <w14:schemeClr w14:val="tx1"/>
        </w14:solidFill>
      </w14:textFill>
    </w:rPr>
  </w:style>
  <w:style w:type="character" w:customStyle="1" w:styleId="153">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Macro Text Char"/>
    <w:basedOn w:val="133"/>
    <w:link w:val="2"/>
    <w:uiPriority w:val="99"/>
    <w:rPr>
      <w:rFonts w:ascii="Courier" w:hAnsi="Courier"/>
      <w:sz w:val="20"/>
      <w:szCs w:val="20"/>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Book Title"/>
    <w:basedOn w:val="133"/>
    <w:qFormat/>
    <w:uiPriority w:val="33"/>
    <w:rPr>
      <w:b/>
      <w:bCs/>
      <w:smallCaps/>
      <w:spacing w:val="5"/>
    </w:rPr>
  </w:style>
  <w:style w:type="paragraph" w:styleId="15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59">
    <w:name w:val="Body Text 2 Char"/>
    <w:basedOn w:val="133"/>
    <w:link w:val="28"/>
    <w:qFormat/>
    <w:uiPriority w:val="99"/>
  </w:style>
  <w:style w:type="character" w:customStyle="1" w:styleId="160">
    <w:name w:val="Subtle Reference"/>
    <w:basedOn w:val="133"/>
    <w:qFormat/>
    <w:uiPriority w:val="31"/>
    <w:rPr>
      <w:smallCaps/>
      <w:color w:val="C0504D" w:themeColor="accent2"/>
      <w:u w:val="single"/>
      <w14:textFill>
        <w14:solidFill>
          <w14:schemeClr w14:val="accent2"/>
        </w14:solidFill>
      </w14:textFill>
    </w:rPr>
  </w:style>
  <w:style w:type="character" w:customStyle="1" w:styleId="161">
    <w:name w:val="Footer Char"/>
    <w:basedOn w:val="133"/>
    <w:link w:val="24"/>
    <w:qFormat/>
    <w:uiPriority w:val="99"/>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4">
    <w:name w:val="Intense Emphasis"/>
    <w:basedOn w:val="133"/>
    <w:qFormat/>
    <w:uiPriority w:val="21"/>
    <w:rPr>
      <w:b/>
      <w:bCs/>
      <w:i/>
      <w:i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2487</Words>
  <Characters>2714</Characters>
  <TotalTime>59</TotalTime>
  <ScaleCrop>false</ScaleCrop>
  <LinksUpToDate>false</LinksUpToDate>
  <CharactersWithSpaces>2892</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2026-10-15T17:39:00Z</dcterms:created>
  <dc:creator>小张和小亮</dc:creator>
  <cp:lastModifiedBy>张心怡</cp:lastModifiedBy>
  <dcterms:modified xsi:type="dcterms:W3CDTF">2026-10-15T13:56:56Z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eyJoZGlkIjoiYjIxZTY2NWUxNDY2YTM0ZmMzOWMxNjFhMzg0NTViMTIiLCJ1c2VySWQiOiIzMTA4OTY1MTMifQ==</vt:lpwstr>
  </property>
  <property fmtid="{D5CDD505-2E9C-101B-9397-08002B2CF9AE}" pid="3" name="KSOProductBuildVer">
    <vt:lpwstr>2052-12.1.0.29161</vt:lpwstr>
  </property>
  <property fmtid="{D5CDD505-2E9C-101B-9397-08002B2CF9AE}" pid="4" name="ICV">
    <vt:lpwstr>0A79EC37DEC64B6996B2FD3033168038_12</vt:lpwstr>
  </property>
</Properties>
</file>