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YaHei" w:hAnsi="Microsoft YaHei" w:eastAsia="Microsoft YaHei"/>
          <w:b/>
          <w:color w:val="000000"/>
          <w:sz w:val="44"/>
        </w:rPr>
        <w:t>热带气旋轨迹预测模型训练报告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26575"/>
          <w:sz w:val="20"/>
        </w:rPr>
        <w:t>CNN-Cesium 项目竞赛技术材料  |  2026年9月28日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21"/>
        </w:rPr>
        <w:t>结论：在冻结的 2020-2025 年测试集上，匀速运动先验与 CNN 残差修正组合的路径 MAE 在 6-36 小时均低于 Persistence、匀速外推和直接输出轨迹的 CNN。三种随机种子复核方向一致。当前证据来自历史最佳路径数据，尚未接入 ERA5，也没有足够的同起报官方预报样本，因此结论只适用于本测试集。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72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316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训练 / 验证 / 测试台风</w:t>
            </w:r>
          </w:p>
        </w:tc>
        <w:tc>
          <w:tcPr>
            <w:tcW w:type="dxa" w:w="151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测试窗口</w:t>
            </w:r>
          </w:p>
        </w:tc>
        <w:tc>
          <w:tcPr>
            <w:tcW w:type="dxa" w:w="3600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核心发现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1945-2025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1,687 / 94 / 154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1,670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残差 CNN 六个时效均优于匀速基线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color w:val="0F766E"/>
          <w:sz w:val="22"/>
        </w:rPr>
        <w:t>数据质量和适用范围</w:t>
      </w:r>
    </w:p>
    <w:p>
      <w:pPr>
        <w:spacing w:after="60" w:line="276" w:lineRule="auto"/>
      </w:pPr>
      <w:r>
        <w:rPr>
          <w:rFonts w:ascii="Microsoft YaHei" w:hAnsi="Microsoft YaHei" w:eastAsia="Microsoft YaHei"/>
          <w:b w:val="0"/>
          <w:color w:val="172B3A"/>
          <w:sz w:val="19"/>
        </w:rPr>
        <w:t>经纬度字段完整，未发现重复时间戳和非单调时间序列；speed 与 power 各缺失 15 点。pressure 缺失 2,083 点，移动方向、移动速度和风圈半径缺测更多，因此没有作为稳定输入。原始数据中未发现已接入的网格气象场文件。</w:t>
      </w: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/>
          <w:b/>
          <w:color w:val="164E63"/>
          <w:sz w:val="28"/>
        </w:rPr>
        <w:t>数据与训练设置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20"/>
        </w:rPr>
        <w:t>数据集含 1,935 条有效台风轨迹和 73,388 个观测点。按台风编号整场分组，训练年份为 1945-2016，验证年份为 2017-2019，测试年份为 2020-2025；同一台风不会跨集合。预处理将轨迹重采样为 6 小时间隔，归一化统计量仅由训练台风拟合。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20"/>
        </w:rPr>
        <w:t>模型输入为最近 4 个时刻的经度、纬度、风速、强度及经纬度位移，共 6 项特征；直接预测未来 6、12、18、24、30、36 小时的位置和风速。残差模型先按最近运动速度作匀速外推，再由一维卷积网络学习位置与风速修正。每个训练种子最多 60 轮，batch size 为 256，学习率 0.001，Dropout 为 0.3，验证集早停；三次训练均使用 CPU。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集合</w:t>
            </w:r>
          </w:p>
        </w:tc>
        <w:tc>
          <w:tcPr>
            <w:tcW w:type="dxa" w:w="187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年份</w:t>
            </w:r>
          </w:p>
        </w:tc>
        <w:tc>
          <w:tcPr>
            <w:tcW w:type="dxa" w:w="2160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名单台风数</w:t>
            </w:r>
          </w:p>
        </w:tc>
        <w:tc>
          <w:tcPr>
            <w:tcW w:type="dxa" w:w="2160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有效窗口数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训练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1945-2016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1687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33761</w:t>
            </w:r>
          </w:p>
        </w:tc>
      </w:tr>
      <w:tr>
        <w:tc>
          <w:tcPr>
            <w:tcW w:type="dxa" w:w="1440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验证</w:t>
            </w:r>
          </w:p>
        </w:tc>
        <w:tc>
          <w:tcPr>
            <w:tcW w:type="dxa" w:w="187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2017-2019</w:t>
            </w:r>
          </w:p>
        </w:tc>
        <w:tc>
          <w:tcPr>
            <w:tcW w:type="dxa" w:w="2160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94</w:t>
            </w:r>
          </w:p>
        </w:tc>
        <w:tc>
          <w:tcPr>
            <w:tcW w:type="dxa" w:w="2160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926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测试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2020-2025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154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1670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/>
          <w:b/>
          <w:color w:val="164E63"/>
          <w:sz w:val="28"/>
        </w:rPr>
        <w:t>固定测试集轨迹误差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634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349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936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时效</w:t>
            </w:r>
          </w:p>
        </w:tc>
        <w:tc>
          <w:tcPr>
            <w:tcW w:type="dxa" w:w="151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Persistence</w:t>
            </w:r>
          </w:p>
        </w:tc>
        <w:tc>
          <w:tcPr>
            <w:tcW w:type="dxa" w:w="151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匀速外推</w:t>
            </w:r>
          </w:p>
        </w:tc>
        <w:tc>
          <w:tcPr>
            <w:tcW w:type="dxa" w:w="136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直接 CNN</w:t>
            </w:r>
          </w:p>
        </w:tc>
        <w:tc>
          <w:tcPr>
            <w:tcW w:type="dxa" w:w="136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残差 CNN</w:t>
            </w:r>
          </w:p>
        </w:tc>
        <w:tc>
          <w:tcPr>
            <w:tcW w:type="dxa" w:w="172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相对匀速改善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6h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105.9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45.4</w:t>
            </w:r>
          </w:p>
        </w:tc>
        <w:tc>
          <w:tcPr>
            <w:tcW w:type="dxa" w:w="13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150.2</w:t>
            </w:r>
          </w:p>
        </w:tc>
        <w:tc>
          <w:tcPr>
            <w:tcW w:type="dxa" w:w="13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43.9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3.1%</w:t>
            </w:r>
          </w:p>
        </w:tc>
      </w:tr>
      <w:tr>
        <w:tc>
          <w:tcPr>
            <w:tcW w:type="dxa" w:w="936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12h</w:t>
            </w:r>
          </w:p>
        </w:tc>
        <w:tc>
          <w:tcPr>
            <w:tcW w:type="dxa" w:w="151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210.1</w:t>
            </w:r>
          </w:p>
        </w:tc>
        <w:tc>
          <w:tcPr>
            <w:tcW w:type="dxa" w:w="151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91.8</w:t>
            </w:r>
          </w:p>
        </w:tc>
        <w:tc>
          <w:tcPr>
            <w:tcW w:type="dxa" w:w="136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138.1</w:t>
            </w:r>
          </w:p>
        </w:tc>
        <w:tc>
          <w:tcPr>
            <w:tcW w:type="dxa" w:w="136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85.9</w:t>
            </w:r>
          </w:p>
        </w:tc>
        <w:tc>
          <w:tcPr>
            <w:tcW w:type="dxa" w:w="172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6.5%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18h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314.8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145.6</w:t>
            </w:r>
          </w:p>
        </w:tc>
        <w:tc>
          <w:tcPr>
            <w:tcW w:type="dxa" w:w="13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159.3</w:t>
            </w:r>
          </w:p>
        </w:tc>
        <w:tc>
          <w:tcPr>
            <w:tcW w:type="dxa" w:w="13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133.5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8.3%</w:t>
            </w:r>
          </w:p>
        </w:tc>
      </w:tr>
      <w:tr>
        <w:tc>
          <w:tcPr>
            <w:tcW w:type="dxa" w:w="936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24h</w:t>
            </w:r>
          </w:p>
        </w:tc>
        <w:tc>
          <w:tcPr>
            <w:tcW w:type="dxa" w:w="151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419.8</w:t>
            </w:r>
          </w:p>
        </w:tc>
        <w:tc>
          <w:tcPr>
            <w:tcW w:type="dxa" w:w="151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207.1</w:t>
            </w:r>
          </w:p>
        </w:tc>
        <w:tc>
          <w:tcPr>
            <w:tcW w:type="dxa" w:w="136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204.6</w:t>
            </w:r>
          </w:p>
        </w:tc>
        <w:tc>
          <w:tcPr>
            <w:tcW w:type="dxa" w:w="136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186.1</w:t>
            </w:r>
          </w:p>
        </w:tc>
        <w:tc>
          <w:tcPr>
            <w:tcW w:type="dxa" w:w="172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10.1%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30h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525.5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276.8</w:t>
            </w:r>
          </w:p>
        </w:tc>
        <w:tc>
          <w:tcPr>
            <w:tcW w:type="dxa" w:w="13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265.3</w:t>
            </w:r>
          </w:p>
        </w:tc>
        <w:tc>
          <w:tcPr>
            <w:tcW w:type="dxa" w:w="13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245.3</w:t>
            </w:r>
          </w:p>
        </w:tc>
        <w:tc>
          <w:tcPr>
            <w:tcW w:type="dxa" w:w="17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11.4%</w:t>
            </w:r>
          </w:p>
        </w:tc>
      </w:tr>
      <w:tr>
        <w:tc>
          <w:tcPr>
            <w:tcW w:type="dxa" w:w="936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36h</w:t>
            </w:r>
          </w:p>
        </w:tc>
        <w:tc>
          <w:tcPr>
            <w:tcW w:type="dxa" w:w="151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632.6</w:t>
            </w:r>
          </w:p>
        </w:tc>
        <w:tc>
          <w:tcPr>
            <w:tcW w:type="dxa" w:w="151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355.9</w:t>
            </w:r>
          </w:p>
        </w:tc>
        <w:tc>
          <w:tcPr>
            <w:tcW w:type="dxa" w:w="136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335.0</w:t>
            </w:r>
          </w:p>
        </w:tc>
        <w:tc>
          <w:tcPr>
            <w:tcW w:type="dxa" w:w="136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310.7</w:t>
            </w:r>
          </w:p>
        </w:tc>
        <w:tc>
          <w:tcPr>
            <w:tcW w:type="dxa" w:w="172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6"/>
              </w:rPr>
              <w:t>12.7%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19"/>
        </w:rPr>
        <w:t>轨迹 MAE 的单位为 km，按 1,670 个测试窗口计算。残差 CNN 相对匀速外推改善 3.1%-12.7%；直接 CNN 在 6-18 小时的误差高于匀速基线，不能把所有 CNN 架构概括为都优于传统方法。</w:t>
      </w: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/>
          <w:b/>
          <w:color w:val="164E63"/>
          <w:sz w:val="28"/>
        </w:rPr>
        <w:t>稳定性与消融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时效</w:t>
            </w:r>
          </w:p>
        </w:tc>
        <w:tc>
          <w:tcPr>
            <w:tcW w:type="dxa" w:w="3744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 MAE km 均值 ± 标准差</w:t>
            </w:r>
          </w:p>
        </w:tc>
        <w:tc>
          <w:tcPr>
            <w:tcW w:type="dxa" w:w="4896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风速 MAE 源数据单位 均值 ± 标准差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6h</w:t>
            </w:r>
          </w:p>
        </w:tc>
        <w:tc>
          <w:tcPr>
            <w:tcW w:type="dxa" w:w="374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43.70 ± 0.22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2.05 ± 0.01</w:t>
            </w:r>
          </w:p>
        </w:tc>
      </w:tr>
      <w:tr>
        <w:tc>
          <w:tcPr>
            <w:tcW w:type="dxa" w:w="115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12h</w:t>
            </w:r>
          </w:p>
        </w:tc>
        <w:tc>
          <w:tcPr>
            <w:tcW w:type="dxa" w:w="3744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85.43 ± 0.86</w:t>
            </w:r>
          </w:p>
        </w:tc>
        <w:tc>
          <w:tcPr>
            <w:tcW w:type="dxa" w:w="4896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3.37 ± 0.04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18h</w:t>
            </w:r>
          </w:p>
        </w:tc>
        <w:tc>
          <w:tcPr>
            <w:tcW w:type="dxa" w:w="374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132.40 ± 1.25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4.45 ± 0.04</w:t>
            </w:r>
          </w:p>
        </w:tc>
      </w:tr>
      <w:tr>
        <w:tc>
          <w:tcPr>
            <w:tcW w:type="dxa" w:w="115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24h</w:t>
            </w:r>
          </w:p>
        </w:tc>
        <w:tc>
          <w:tcPr>
            <w:tcW w:type="dxa" w:w="3744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184.46 ± 1.83</w:t>
            </w:r>
          </w:p>
        </w:tc>
        <w:tc>
          <w:tcPr>
            <w:tcW w:type="dxa" w:w="4896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5.31 ± 0.09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30h</w:t>
            </w:r>
          </w:p>
        </w:tc>
        <w:tc>
          <w:tcPr>
            <w:tcW w:type="dxa" w:w="374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243.06 ± 2.57</w:t>
            </w:r>
          </w:p>
        </w:tc>
        <w:tc>
          <w:tcPr>
            <w:tcW w:type="dxa" w:w="489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6.05 ± 0.13</w:t>
            </w:r>
          </w:p>
        </w:tc>
      </w:tr>
      <w:tr>
        <w:tc>
          <w:tcPr>
            <w:tcW w:type="dxa" w:w="115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36h</w:t>
            </w:r>
          </w:p>
        </w:tc>
        <w:tc>
          <w:tcPr>
            <w:tcW w:type="dxa" w:w="3744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308.17 ± 3.10</w:t>
            </w:r>
          </w:p>
        </w:tc>
        <w:tc>
          <w:tcPr>
            <w:tcW w:type="dxa" w:w="4896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6.74 ± 0.15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18"/>
        </w:rPr>
        <w:t>标准差来自 3 个训练种子，不是置信区间。风速原始字段单位尚缺随数据保存的官方字典；报告中的 m/s 按 CMA 最佳路径字段惯例解释，正式提交前应附来源与单位凭据。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17"/>
        </w:rPr>
        <w:t>10,000 次台风级配对 bootstrap 中，18 个种子-时效区间均排除 0；结论仅适用于本测试集。</w:t>
      </w:r>
    </w:p>
    <w:p>
      <w:pPr>
        <w:pStyle w:val="Heading1"/>
        <w:keepNext/>
        <w:pageBreakBefore/>
        <w:spacing w:before="180" w:after="80"/>
      </w:pPr>
      <w:r>
        <w:rPr>
          <w:rFonts w:ascii="Microsoft YaHei" w:hAnsi="Microsoft YaHei" w:eastAsia="Microsoft YaHei"/>
          <w:b/>
          <w:color w:val="164E63"/>
          <w:sz w:val="28"/>
        </w:rPr>
        <w:t>轨迹特征消融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15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時效</w:t>
            </w:r>
          </w:p>
        </w:tc>
        <w:tc>
          <w:tcPr>
            <w:tcW w:type="dxa" w:w="244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完整输入</w:t>
            </w:r>
          </w:p>
        </w:tc>
        <w:tc>
          <w:tcPr>
            <w:tcW w:type="dxa" w:w="244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去运动增量</w:t>
            </w:r>
          </w:p>
        </w:tc>
        <w:tc>
          <w:tcPr>
            <w:tcW w:type="dxa" w:w="2448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仅位置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6h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43.7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50.3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47.4</w:t>
            </w:r>
          </w:p>
        </w:tc>
      </w:tr>
      <w:tr>
        <w:tc>
          <w:tcPr>
            <w:tcW w:type="dxa" w:w="115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12h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85.2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96.7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87.8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18h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131.7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146.3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134.6</w:t>
            </w:r>
          </w:p>
        </w:tc>
      </w:tr>
      <w:tr>
        <w:tc>
          <w:tcPr>
            <w:tcW w:type="dxa" w:w="115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24h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183.3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199.9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187.0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30h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241.4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259.1</w:t>
            </w:r>
          </w:p>
        </w:tc>
        <w:tc>
          <w:tcPr>
            <w:tcW w:type="dxa" w:w="244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245.2</w:t>
            </w:r>
          </w:p>
        </w:tc>
      </w:tr>
      <w:tr>
        <w:tc>
          <w:tcPr>
            <w:tcW w:type="dxa" w:w="115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36h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306.0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324.2</w:t>
            </w:r>
          </w:p>
        </w:tc>
        <w:tc>
          <w:tcPr>
            <w:tcW w:type="dxa" w:w="2448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309.7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18"/>
        </w:rPr>
        <w:t>四種输入设置使用相同随机种子、初始化和批次顺序。去掉经纬度运动增量后，六个时效的路径 MAE 均变差；仅位置输入同样弱于完整输入。此消融证明的是轨迹特征贡献，不是气象场融合贡献。</w:t>
      </w: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/>
          <w:b/>
          <w:color w:val="164E63"/>
          <w:sz w:val="28"/>
        </w:rPr>
        <w:t>不确定性与业务预报核查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19"/>
        </w:rPr>
        <w:t>已用验证集 69 场台风做台风级 conformal 校准，目标覆盖率为 90%。测试集 114 场台风的整场覆盖率在六个时效为 86.8%-94.7%，部分时效低于 90%；位置半径约 168-994 km，区间较宽。当前结果不等于已校准的二维概率锥体，展示时必须标注测试覆盖率与校准口径。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19"/>
        </w:rPr>
        <w:t>原始数据发现 109 个带业务预报的起报点、360 个预报位置；冻结测试台风中有 54 个起报点和 171 个预报位置，但严格匹配本模型历史输入、支持时效和最佳路径真值后的可比样本数为 0。因此本报告不提供官方预报优劣结论。</w:t>
      </w: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/>
          <w:b/>
          <w:color w:val="164E63"/>
          <w:sz w:val="28"/>
        </w:rPr>
        <w:t>结论与待完成事项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172B3A"/>
          <w:sz w:val="19"/>
        </w:rPr>
        <w:t>当前可作为项目实测结果的结论是：在该冻结测试集上，匀速先验加 CNN 残差修正降低了六个时效的平均轨迹误差；三种子结果方向一致，轨迹运动增量对位置预测有帮助。结果不证明跨海盆、未来业务场景或其他数据源上的泛化。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87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待完成项</w:t>
            </w:r>
          </w:p>
        </w:tc>
        <w:tc>
          <w:tcPr>
            <w:tcW w:type="dxa" w:w="7992"/>
            <w:vAlign w:val="center"/>
            <w:shd w:fill="164E63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当前状态与必要证据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气象场融合</w:t>
            </w:r>
          </w:p>
        </w:tc>
        <w:tc>
          <w:tcPr>
            <w:tcW w:type="dxa" w:w="799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没有 ERA5 文件或 CDS 凭据；取得数据后须做覆盖审计、融合训练和同预算消融。</w:t>
            </w:r>
          </w:p>
        </w:tc>
      </w:tr>
      <w:tr>
        <w:tc>
          <w:tcPr>
            <w:tcW w:type="dxa" w:w="187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官方预报对照</w:t>
            </w:r>
          </w:p>
        </w:tc>
        <w:tc>
          <w:tcPr>
            <w:tcW w:type="dxa" w:w="799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现有字段可比样本为 0；需补有来源、产品版本、起报时间和真值的配对预报。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概率锥体</w:t>
            </w:r>
          </w:p>
        </w:tc>
        <w:tc>
          <w:tcPr>
            <w:tcW w:type="dxa" w:w="799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有台风级校准半径，但覆盖率未在所有时效达到 90%，二维锥体尚未完成。</w:t>
            </w:r>
          </w:p>
        </w:tc>
      </w:tr>
      <w:tr>
        <w:tc>
          <w:tcPr>
            <w:tcW w:type="dxa" w:w="187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数据与单位来源</w:t>
            </w:r>
          </w:p>
        </w:tc>
        <w:tc>
          <w:tcPr>
            <w:tcW w:type="dxa" w:w="7992"/>
            <w:vAlign w:val="center"/>
            <w:shd w:fill="F4F7F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3A"/>
                <w:sz w:val="17"/>
              </w:rPr>
              <w:t>提交前补最佳路径下载记录、字段字典、许可信息及 speed 单位引用。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YaHei" w:hAnsi="Microsoft YaHei" w:eastAsia="Microsoft YaHei"/>
          <w:b/>
          <w:color w:val="164E63"/>
          <w:sz w:val="28"/>
        </w:rPr>
        <w:t>复现材料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数据指纹：68fa166de12c638807258b67091c1bc996ba8c75a600ffdad013ece731a2cf9e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固定拆分：data/splits/storm_splits.json；审计清单：data/processed/manifest.json。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训练指标：artifacts/baseline_frozen 与 artifacts/residual；种子复核：artifacts/residual_seed_sensitivity。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消融、bootstrap、不确定性和业务预报审计分别保存在 artifacts/ablation、artifacts/residual、artifacts/reports。完整中文技术记录见 training_report.md。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热带气旋轨迹预测模型训练报告</dc:title>
  <dc:subject>CNN-Cesium 项目竞赛训练与验证证据</dc:subject>
  <dc:creator>CNN-Cesium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