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大学生二手市场平台人力资源计划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黄鹏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张旭磊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潘伟佳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张旭磊、潘伟佳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张建青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赵凯伟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87623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45DCD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212C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9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9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310</Characters>
  <Lines>2</Lines>
  <Paragraphs>1</Paragraphs>
  <TotalTime>68</TotalTime>
  <ScaleCrop>false</ScaleCrop>
  <LinksUpToDate>false</LinksUpToDate>
  <CharactersWithSpaces>363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黄鹏</cp:lastModifiedBy>
  <dcterms:modified xsi:type="dcterms:W3CDTF">2019-06-19T09:40:09Z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