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84873">
      <w:pPr>
        <w:pStyle w:val="2"/>
        <w:ind w:firstLine="602" w:firstLineChars="200"/>
      </w:pPr>
      <w:bookmarkStart w:id="0" w:name="_Toc52200601"/>
      <w:bookmarkStart w:id="1" w:name="_Toc216191792"/>
      <w:r>
        <w:rPr>
          <w:rFonts w:hint="eastAsia"/>
        </w:rPr>
        <w:t>（四）舆情监测结果</w:t>
      </w:r>
      <w:bookmarkEnd w:id="0"/>
      <w:bookmarkEnd w:id="1"/>
    </w:p>
    <w:p w14:paraId="0BFDC7F1">
      <w:pPr>
        <w:ind w:firstLine="560"/>
        <w:rPr>
          <w:rFonts w:hint="eastAsia"/>
        </w:rPr>
      </w:pPr>
      <w:r>
        <w:rPr>
          <w:rFonts w:hint="eastAsia"/>
        </w:rPr>
        <w:t>利用舆情监测系统对2025年重点网络平台涉及三个领域的舆情信息进行抽样监测与综合分析。从整体情况来看，舆情传播渠道主要为抖音、微博、小红书，舆论信息情感属性以中性为主，各领域传播总量占比由高到低依次为：公共文化43.84%、养老服务32.11%、政务服务24.06%。各领域舆情概况为：</w:t>
      </w:r>
    </w:p>
    <w:p w14:paraId="7FC596F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 w:firstLine="560" w:firstLineChars="200"/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（1）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公共文化领域。本年度天津公共文化领域传播占比居首，新浪微博、抖音短视频、</w:t>
      </w:r>
      <w:r>
        <w:rPr>
          <w:rFonts w:hint="eastAsia" w:cstheme="minorBidi"/>
          <w:kern w:val="2"/>
          <w:sz w:val="28"/>
          <w:szCs w:val="22"/>
          <w:lang w:val="en-US" w:eastAsia="zh-CN" w:bidi="ar-SA"/>
        </w:rPr>
        <w:t>小红书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位</w:t>
      </w:r>
      <w:r>
        <w:rPr>
          <w:rFonts w:hint="eastAsia" w:cstheme="minorBidi"/>
          <w:kern w:val="2"/>
          <w:sz w:val="28"/>
          <w:szCs w:val="22"/>
          <w:lang w:val="en-US" w:eastAsia="zh-CN" w:bidi="ar-SA"/>
        </w:rPr>
        <w:t>等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传播平台占比较高。其中，中性、正面和负面舆情占比分别为82.47%、10.83%和6.69%。正面舆情聚焦市民文化艺术节、文化惠民卡发行、“书香天津”全民阅读、天津科技馆球幕影院升级等文化惠民成果；中性舆情主要围绕场馆开放、展览介绍、活动安排及预约信息展开。负面舆情集中于热门展览预约困难、节假日排队时间较长，以及部分场馆设施维护、导览标识、展览信息发布和讲解服务不够完善等问题，相关讨论主要见于微博、短视频及社区平台。</w:t>
      </w:r>
    </w:p>
    <w:p w14:paraId="423ABBA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 w:firstLine="560" w:firstLineChars="200"/>
        <w:jc w:val="left"/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（2）养老服务领域。养老服务领域在总体传播中占比第二，202</w:t>
      </w:r>
      <w:r>
        <w:rPr>
          <w:rFonts w:hint="eastAsia" w:cstheme="minorBidi"/>
          <w:kern w:val="2"/>
          <w:sz w:val="28"/>
          <w:szCs w:val="22"/>
          <w:lang w:val="en-US" w:eastAsia="zh-CN" w:bidi="ar-SA"/>
        </w:rPr>
        <w:t>5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年该领域舆论整体偏向积极，新浪微博、小红书、</w:t>
      </w:r>
      <w:r>
        <w:rPr>
          <w:rFonts w:hint="eastAsia" w:cstheme="minorBidi"/>
          <w:kern w:val="2"/>
          <w:sz w:val="28"/>
          <w:szCs w:val="22"/>
          <w:lang w:val="en-US" w:eastAsia="zh-CN" w:bidi="ar-SA"/>
        </w:rPr>
        <w:t>抖音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为主要传播平台。</w:t>
      </w:r>
      <w:r>
        <w:rPr>
          <w:rFonts w:hint="eastAsia" w:cstheme="minorBidi"/>
          <w:kern w:val="2"/>
          <w:sz w:val="28"/>
          <w:szCs w:val="22"/>
          <w:lang w:val="en-US" w:eastAsia="zh-CN" w:bidi="ar-SA"/>
        </w:rPr>
        <w:t>其</w:t>
      </w: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中，中性、正面和负面舆情占比分别为71.75%、15.24%和13.01%。正面舆情聚焦智慧化养老服务综合体投入使用、示范型老年食堂建设、居家社区养老、适老化改造及医养结合等服务成效；中性舆情主要围绕养老政策、机构收费、长护险申请及服务信息展开。负面舆情集中于住院陪护和护工费用压力、长护险申请使用、养老机构收费与服务管理，以及虚假保健品宣传、直播诈骗和高息预付等“坑老”问题。</w:t>
      </w:r>
    </w:p>
    <w:p w14:paraId="5781990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 w:firstLine="560" w:firstLineChars="200"/>
        <w:jc w:val="left"/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  <w:t>（3）政务服务领域。政务服务领域在总体传播中占比第三。该领域传播以正面及中性信息为主，“高效办成一件事”、一网通办、数据共享和跨区域通办等改革成效，例如企业登记、跨区迁移等事项逐步实现“一表申请、一次提交”，群众和企业办事便利度有所提升。负面舆情主要集中于诉求响应、部门协同及办事流程等方面，如部分群众反映通过12345热线多次提交诉求后，相关问题仍未得到有效解决。</w:t>
      </w:r>
      <w:bookmarkStart w:id="2" w:name="_GoBack"/>
      <w:bookmarkEnd w:id="2"/>
    </w:p>
    <w:p w14:paraId="1515663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200" w:right="0" w:rightChars="0"/>
        <w:rPr>
          <w:rFonts w:hint="eastAsia" w:ascii="宋体" w:hAnsi="宋体" w:eastAsia="宋体" w:cstheme="minorBidi"/>
          <w:kern w:val="2"/>
          <w:sz w:val="28"/>
          <w:szCs w:val="22"/>
          <w:lang w:val="en-US" w:eastAsia="zh-CN" w:bidi="ar-SA"/>
        </w:rPr>
      </w:pPr>
    </w:p>
    <w:p w14:paraId="0F39E03A">
      <w:pPr>
        <w:ind w:firstLine="56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220E7"/>
    <w:rsid w:val="20915604"/>
    <w:rsid w:val="308220E7"/>
    <w:rsid w:val="64C3201F"/>
    <w:rsid w:val="71DE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theme="minorBidi"/>
      <w:kern w:val="2"/>
      <w:sz w:val="28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20" w:after="120" w:line="420" w:lineRule="auto"/>
      <w:ind w:firstLine="0" w:firstLineChars="0"/>
      <w:outlineLvl w:val="1"/>
    </w:pPr>
    <w:rPr>
      <w:rFonts w:asciiTheme="majorHAnsi" w:hAnsiTheme="majorHAnsi" w:cstheme="majorBidi"/>
      <w:b/>
      <w:bCs/>
      <w:sz w:val="30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704</Words>
  <Characters>728</Characters>
  <Lines>0</Lines>
  <Paragraphs>0</Paragraphs>
  <TotalTime>5</TotalTime>
  <ScaleCrop>false</ScaleCrop>
  <LinksUpToDate>false</LinksUpToDate>
  <CharactersWithSpaces>728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2026-08-28T01:22:00Z</dcterms:created>
  <dc:creator>秋水あ亦寒</dc:creator>
  <cp:lastModifiedBy>秋水あ亦寒</cp:lastModifiedBy>
  <dcterms:modified xsi:type="dcterms:W3CDTF">2026-08-28T06:25:36Z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0B8DA71C28AF4B0EA02044A424313FD8_11</vt:lpwstr>
  </property>
  <property fmtid="{D5CDD505-2E9C-101B-9397-08002B2CF9AE}" pid="4" name="KSOTemplateDocerSaveRecord">
    <vt:lpwstr>eyJoZGlkIjoiMjMzOWIxM2QxYTQyNzc0MjRiZDMzNDcxMDE0MzA1ZWMiLCJ1c2VySWQiOiI0MTE3NTE5MTgifQ==</vt:lpwstr>
  </property>
</Properties>
</file>