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14D7B">
      <w:pPr>
        <w:pStyle w:val="2"/>
        <w:spacing w:before="0" w:after="0" w:line="360" w:lineRule="auto"/>
        <w:ind w:firstLine="602" w:firstLineChars="200"/>
      </w:pPr>
      <w:bookmarkStart w:id="0" w:name="_Toc213855654"/>
      <w:r>
        <w:rPr>
          <w:rFonts w:hint="eastAsia"/>
        </w:rPr>
        <w:t>（三）舆情信息监测情况</w:t>
      </w:r>
      <w:bookmarkEnd w:id="0"/>
    </w:p>
    <w:p w14:paraId="31462FEA">
      <w:pPr>
        <w:pStyle w:val="3"/>
        <w:ind w:firstLine="562"/>
        <w:rPr>
          <w:szCs w:val="24"/>
        </w:rPr>
      </w:pPr>
      <w:r>
        <w:t>1.</w:t>
      </w:r>
      <w:r>
        <w:rPr>
          <w:rFonts w:hint="eastAsia"/>
        </w:rPr>
        <w:t>整体情况</w:t>
      </w:r>
    </w:p>
    <w:p w14:paraId="76E0D1B0">
      <w:pPr>
        <w:ind w:firstLine="560"/>
      </w:pPr>
      <w:r>
        <w:rPr>
          <w:rFonts w:hint="eastAsia"/>
        </w:rPr>
        <w:t>2024年1月1日到2024年12月31日共监测到汽车维修行业的信息总量120,979篇，整体舆情传播渠道主要集中在抖音短视频、西瓜视频、新闻，年度整体舆情健康度良好,情感倾向性占比中正面及中性信息占比超过88%。负面舆情主要来自于新闻、头条号、论坛等平台。2024年度天津汽车维修行业整体舆情传播渠道主要集中在抖音、西瓜、新闻，占比分别为50.81%、7.69%及3.53%，此外，头条号、微信、APP和百家号也有一定占比。其以抖音为绝对核心传播渠道，主要传播内容为汽车维修商家的品宣，聚焦于品牌推广、服务展示、形象塑造等商业传播维度。</w:t>
      </w:r>
    </w:p>
    <w:p w14:paraId="2AB4B8C8">
      <w:pPr>
        <w:ind w:firstLine="0" w:firstLineChars="0"/>
        <w:jc w:val="center"/>
      </w:pPr>
      <w:r>
        <w:rPr>
          <w:rFonts w:hint="eastAsia"/>
        </w:rPr>
        <w:drawing>
          <wp:inline distT="0" distB="0" distL="0" distR="0">
            <wp:extent cx="4705985" cy="3459480"/>
            <wp:effectExtent l="0" t="0" r="5715" b="7620"/>
            <wp:docPr id="1490571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71395"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14207" cy="3465719"/>
                    </a:xfrm>
                    <a:prstGeom prst="rect">
                      <a:avLst/>
                    </a:prstGeom>
                    <a:noFill/>
                  </pic:spPr>
                </pic:pic>
              </a:graphicData>
            </a:graphic>
          </wp:inline>
        </w:drawing>
      </w:r>
    </w:p>
    <w:p w14:paraId="722193B7">
      <w:pPr>
        <w:ind w:firstLine="0" w:firstLineChars="0"/>
        <w:jc w:val="center"/>
        <w:rPr>
          <w:szCs w:val="24"/>
        </w:rPr>
      </w:pPr>
      <w:r>
        <w:rPr>
          <w:rFonts w:hint="eastAsia"/>
          <w:szCs w:val="24"/>
        </w:rPr>
        <w:t>图</w:t>
      </w:r>
      <w:r>
        <w:rPr>
          <w:szCs w:val="24"/>
        </w:rPr>
        <w:t>4.</w:t>
      </w:r>
      <w:r>
        <w:rPr>
          <w:rFonts w:hint="eastAsia"/>
          <w:szCs w:val="24"/>
        </w:rPr>
        <w:t>8 汽车修理与维护服务舆情监测信息传播量情况</w:t>
      </w:r>
    </w:p>
    <w:p w14:paraId="0D2CC321">
      <w:pPr>
        <w:pStyle w:val="3"/>
        <w:ind w:firstLine="562"/>
      </w:pPr>
      <w:r>
        <w:rPr>
          <w:rFonts w:hint="eastAsia"/>
        </w:rPr>
        <w:t>2</w:t>
      </w:r>
      <w:r>
        <w:t>.</w:t>
      </w:r>
      <w:r>
        <w:rPr>
          <w:rFonts w:hint="eastAsia"/>
        </w:rPr>
        <w:t>内容分析</w:t>
      </w:r>
    </w:p>
    <w:p w14:paraId="1EE2FA96">
      <w:pPr>
        <w:widowControl/>
        <w:snapToGrid w:val="0"/>
        <w:ind w:firstLine="560"/>
        <w:rPr>
          <w:rFonts w:cs="宋体"/>
          <w:bCs/>
          <w:kern w:val="0"/>
          <w:szCs w:val="28"/>
        </w:rPr>
      </w:pPr>
      <w:r>
        <w:rPr>
          <w:rFonts w:hint="eastAsia" w:cs="宋体"/>
          <w:bCs/>
          <w:kern w:val="0"/>
          <w:szCs w:val="28"/>
        </w:rPr>
        <w:t>简要分析各媒体平台发布信息情感属性，其中,中性信息占比最高，为86.13%；其次为负面信息，占比11.62%；正面及中性信息占比超过88%，显示本时间段内汽车维修行业舆情口碑较优良。</w:t>
      </w:r>
    </w:p>
    <w:p w14:paraId="04B40DFC">
      <w:pPr>
        <w:widowControl/>
        <w:snapToGrid w:val="0"/>
        <w:ind w:firstLine="560"/>
        <w:rPr>
          <w:rFonts w:ascii="楷体" w:hAnsi="楷体" w:eastAsia="楷体" w:cs="楷体"/>
          <w:b/>
          <w:bCs/>
          <w:sz w:val="30"/>
          <w:szCs w:val="30"/>
        </w:rPr>
      </w:pPr>
      <w:r>
        <w:rPr>
          <w:rFonts w:hint="eastAsia" w:cs="宋体"/>
          <w:bCs/>
          <w:kern w:val="0"/>
          <w:szCs w:val="28"/>
        </w:rPr>
        <w:t>其中负面信息主要来源于两部分，一部分是网友在投诉平台及自媒体平台发布的对于汽车维修行业中售后、产品质量、价格等的投诉及不满，另一部分来源于政府对于维修企业的处罚，如环境污染、采购失信等。</w:t>
      </w:r>
    </w:p>
    <w:p w14:paraId="6E1C4A2E">
      <w:pPr>
        <w:ind w:firstLine="0" w:firstLineChars="0"/>
        <w:jc w:val="center"/>
      </w:pPr>
      <w:r>
        <w:drawing>
          <wp:inline distT="0" distB="0" distL="114300" distR="114300">
            <wp:extent cx="4564380" cy="2916555"/>
            <wp:effectExtent l="4445" t="4445" r="15875" b="12700"/>
            <wp:docPr id="3" name="图表 2" descr="7b0a202020202263686172745265734964223a202232303437363039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67CD395">
      <w:pPr>
        <w:rPr>
          <w:rFonts w:hint="eastAsia"/>
          <w:szCs w:val="24"/>
        </w:rPr>
      </w:pPr>
      <w:r>
        <w:rPr>
          <w:rFonts w:hint="eastAsia"/>
          <w:szCs w:val="24"/>
        </w:rPr>
        <w:t>图</w:t>
      </w:r>
      <w:r>
        <w:rPr>
          <w:szCs w:val="24"/>
        </w:rPr>
        <w:t>4.</w:t>
      </w:r>
      <w:r>
        <w:rPr>
          <w:rFonts w:hint="eastAsia"/>
          <w:szCs w:val="24"/>
        </w:rPr>
        <w:t>9 汽车修理与维护服务负面舆情内容分类</w:t>
      </w:r>
    </w:p>
    <w:p w14:paraId="4C3AA86B">
      <w:pPr>
        <w:rPr>
          <w:rFonts w:hint="eastAsia"/>
          <w:szCs w:val="24"/>
        </w:rPr>
      </w:pPr>
    </w:p>
    <w:p w14:paraId="0CB4CB10">
      <w:pPr>
        <w:rPr>
          <w:rFonts w:hint="eastAsia"/>
          <w:szCs w:val="24"/>
        </w:rPr>
        <w:sectPr>
          <w:pgSz w:w="11906" w:h="16838"/>
          <w:pgMar w:top="1440" w:right="1800" w:bottom="1440" w:left="1800" w:header="851" w:footer="992" w:gutter="0"/>
          <w:cols w:space="425" w:num="1"/>
          <w:docGrid w:type="lines" w:linePitch="312" w:charSpace="0"/>
        </w:sectPr>
      </w:pPr>
    </w:p>
    <w:p w14:paraId="27E84873">
      <w:pPr>
        <w:pStyle w:val="2"/>
        <w:ind w:firstLine="602" w:firstLineChars="200"/>
      </w:pPr>
      <w:bookmarkStart w:id="1" w:name="_Toc216191792"/>
      <w:bookmarkStart w:id="2" w:name="_Toc52200601"/>
      <w:r>
        <w:rPr>
          <w:rFonts w:hint="eastAsia"/>
        </w:rPr>
        <w:t>（四）舆情监测结果</w:t>
      </w:r>
      <w:bookmarkEnd w:id="1"/>
      <w:bookmarkEnd w:id="2"/>
    </w:p>
    <w:p w14:paraId="1AE2BB98">
      <w:pPr>
        <w:ind w:firstLine="560"/>
      </w:pPr>
      <w:bookmarkStart w:id="3" w:name="_Hlk145942694"/>
      <w:r>
        <w:rPr>
          <w:rFonts w:hint="eastAsia"/>
        </w:rPr>
        <w:t>利用舆情监测系统对三个领域在2</w:t>
      </w:r>
      <w:r>
        <w:t>02</w:t>
      </w:r>
      <w:r>
        <w:rPr>
          <w:rFonts w:hint="eastAsia"/>
        </w:rPr>
        <w:t>4年的舆情信息进行检索，收集信息共59.39万篇。从整体情况来看，舆情传播渠道主要为抖音、新闻、微信，</w:t>
      </w:r>
      <w:r>
        <w:rPr>
          <w:rFonts w:hint="eastAsia" w:hAnsi="宋体" w:cs="宋体"/>
          <w:bCs/>
          <w:kern w:val="0"/>
          <w:szCs w:val="28"/>
        </w:rPr>
        <w:t>舆论信息情感属性以中性为主，</w:t>
      </w:r>
      <w:bookmarkStart w:id="4" w:name="_Hlk56153624"/>
      <w:r>
        <w:rPr>
          <w:rFonts w:hint="eastAsia"/>
        </w:rPr>
        <w:t>本年度各领域传播总量占比由高到低依次为：公共体育70.35%、生态环境16.77%、养老服务12.88%。各领域舆情概况为：</w:t>
      </w:r>
    </w:p>
    <w:p w14:paraId="31520369">
      <w:pPr>
        <w:ind w:firstLine="560"/>
        <w:rPr>
          <w:rFonts w:hAnsi="宋体" w:cs="宋体"/>
          <w:bCs/>
          <w:kern w:val="0"/>
          <w:szCs w:val="28"/>
        </w:rPr>
      </w:pPr>
      <w:r>
        <w:rPr>
          <w:rFonts w:hint="eastAsia" w:hAnsi="宋体" w:cs="宋体"/>
          <w:bCs/>
          <w:kern w:val="0"/>
          <w:szCs w:val="28"/>
        </w:rPr>
        <w:t>（1）公共体育领域。2024年天津公共体育领域传播占比居首，抖音短视频、新浪微博、微信公众号位列传播平台前三位且占比最高。该领域与民众生活紧密相关，正面及中性舆情聚焦全民健身工程、赛事举办与成绩、奥运冠军事迹等。负面舆情集中于赛事管理、活动扰民、设施不完善等问题，多通过头条、视频平台及微博反馈。</w:t>
      </w:r>
    </w:p>
    <w:bookmarkEnd w:id="4"/>
    <w:p w14:paraId="5BFFA77E">
      <w:pPr>
        <w:ind w:firstLine="560"/>
        <w:rPr>
          <w:rFonts w:hAnsi="宋体" w:cs="宋体"/>
          <w:bCs/>
          <w:kern w:val="0"/>
          <w:szCs w:val="28"/>
        </w:rPr>
      </w:pPr>
      <w:r>
        <w:rPr>
          <w:rFonts w:hint="eastAsia" w:hAnsi="宋体" w:cs="宋体"/>
          <w:bCs/>
          <w:kern w:val="0"/>
          <w:szCs w:val="28"/>
        </w:rPr>
        <w:t>（</w:t>
      </w:r>
      <w:r>
        <w:rPr>
          <w:rFonts w:hAnsi="宋体" w:cs="宋体"/>
          <w:bCs/>
          <w:kern w:val="0"/>
          <w:szCs w:val="28"/>
        </w:rPr>
        <w:t>2</w:t>
      </w:r>
      <w:r>
        <w:rPr>
          <w:rFonts w:hint="eastAsia" w:hAnsi="宋体" w:cs="宋体"/>
          <w:bCs/>
          <w:kern w:val="0"/>
          <w:szCs w:val="28"/>
        </w:rPr>
        <w:t>）生态环境领域。生态环境领域在总体传播中占比第二，舆情聚焦美丽天津建设、制造业绿色化、环境治理现代化、湿地保护与城市发展协同等，因关乎民生，媒体报道、政策更新与网民讨论热度均较高。该领域传播以正面及中性信息为主，围绕生态建设、合作、保护与监管展开。负面问题集中在空气污染、噪音污染、农田及水质问题等，负面舆情呈“小微化、跨域化、反复化”特征，暴露出治理短板。</w:t>
      </w:r>
    </w:p>
    <w:p w14:paraId="7CAB763E">
      <w:pPr>
        <w:ind w:firstLine="560"/>
        <w:rPr>
          <w:rFonts w:hAnsi="宋体" w:cs="宋体"/>
          <w:bCs/>
          <w:kern w:val="0"/>
          <w:szCs w:val="28"/>
        </w:rPr>
      </w:pPr>
      <w:r>
        <w:rPr>
          <w:rFonts w:hint="eastAsia" w:hAnsi="宋体" w:cs="宋体"/>
          <w:bCs/>
          <w:kern w:val="0"/>
          <w:szCs w:val="28"/>
        </w:rPr>
        <w:t>（</w:t>
      </w:r>
      <w:r>
        <w:rPr>
          <w:rFonts w:hAnsi="宋体" w:cs="宋体"/>
          <w:bCs/>
          <w:kern w:val="0"/>
          <w:szCs w:val="28"/>
        </w:rPr>
        <w:t>3</w:t>
      </w:r>
      <w:r>
        <w:rPr>
          <w:rFonts w:hint="eastAsia" w:hAnsi="宋体" w:cs="宋体"/>
          <w:bCs/>
          <w:kern w:val="0"/>
          <w:szCs w:val="28"/>
        </w:rPr>
        <w:t>）养老服务领域。养老服务领域在总体传播中占比第三，2024年该领域舆论整体偏向积极，正面及中性舆情聚焦老年人服务、智能适老化、居家社区养老服务等方向。负面舆情集中于养老机构人员配备不足（年流失率超30%）、医保异地结算困难、经营管理及服务质量问题，民众多通过头条号等平台投诉。</w:t>
      </w:r>
    </w:p>
    <w:bookmarkEnd w:id="3"/>
    <w:p w14:paraId="3C10FDF9">
      <w:pPr>
        <w:rPr>
          <w:rFonts w:hint="eastAsia"/>
          <w:szCs w:val="24"/>
        </w:rPr>
      </w:pPr>
      <w:bookmarkStart w:id="5" w:name="_GoBack"/>
      <w:bookmarkEnd w:id="5"/>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7C3EA5"/>
    <w:rsid w:val="6A7C3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theme="minorBidi"/>
      <w:kern w:val="2"/>
      <w:sz w:val="28"/>
      <w:szCs w:val="22"/>
      <w:lang w:val="en-US" w:eastAsia="zh-CN" w:bidi="ar-SA"/>
    </w:rPr>
  </w:style>
  <w:style w:type="paragraph" w:styleId="2">
    <w:name w:val="heading 2"/>
    <w:basedOn w:val="1"/>
    <w:next w:val="1"/>
    <w:unhideWhenUsed/>
    <w:qFormat/>
    <w:uiPriority w:val="9"/>
    <w:pPr>
      <w:keepNext/>
      <w:keepLines/>
      <w:spacing w:before="120" w:after="120" w:line="420" w:lineRule="auto"/>
      <w:ind w:firstLine="0" w:firstLineChars="0"/>
      <w:outlineLvl w:val="1"/>
    </w:pPr>
    <w:rPr>
      <w:rFonts w:asciiTheme="majorHAnsi" w:hAnsiTheme="majorHAnsi" w:cstheme="majorBidi"/>
      <w:b/>
      <w:bCs/>
      <w:sz w:val="30"/>
      <w:szCs w:val="32"/>
    </w:rPr>
  </w:style>
  <w:style w:type="paragraph" w:styleId="3">
    <w:name w:val="heading 3"/>
    <w:basedOn w:val="1"/>
    <w:next w:val="1"/>
    <w:unhideWhenUsed/>
    <w:qFormat/>
    <w:uiPriority w:val="9"/>
    <w:pPr>
      <w:keepNext/>
      <w:keepLines/>
      <w:outlineLvl w:val="2"/>
    </w:pPr>
    <w:rPr>
      <w:b/>
      <w:bCs/>
      <w:szCs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hart" Target="charts/chart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192.168.1.7\&#20048;&#24605;&#24403;&#21069;&#39033;&#30446;&#20013;&#24515;\2025&#39033;&#30446;\7&#26376;&#39033;&#30446;\P47955_&#22825;&#27941;&#20013;&#36136;_&#22825;&#27941;&#24066;2024&#24180;&#33286;&#24773;&#25253;&#21578;&#26381;&#21153;&#65288;2&#20221;&#65289;\2025&#24180;&#24180;&#25253;&#65288;&#29983;&#27963;&#24615;&#26381;&#21153;&#19994;&#65289;\&#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400" b="1" i="0" u="none" strike="noStrike" kern="1200" spc="0" baseline="0">
                <a:solidFill>
                  <a:sysClr val="windowText" lastClr="000000"/>
                </a:solidFill>
                <a:latin typeface="+mj-ea"/>
                <a:ea typeface="+mj-ea"/>
                <a:cs typeface="+mj-ea"/>
                <a:sym typeface="+mj-ea"/>
              </a:defRPr>
            </a:pPr>
            <a:r>
              <a:rPr lang="zh-CN" altLang="en-US" b="1">
                <a:solidFill>
                  <a:schemeClr val="tx1"/>
                </a:solidFill>
                <a:latin typeface="+mj-ea"/>
                <a:ea typeface="+mj-ea"/>
                <a:cs typeface="+mj-ea"/>
                <a:sym typeface="+mj-ea"/>
              </a:rPr>
              <a:t>倾向性分布图</a:t>
            </a:r>
            <a:endParaRPr lang="zh-CN" altLang="en-US" b="1">
              <a:solidFill>
                <a:schemeClr val="tx1"/>
              </a:solidFill>
              <a:latin typeface="+mj-ea"/>
              <a:ea typeface="+mj-ea"/>
              <a:cs typeface="+mj-ea"/>
              <a:sym typeface="+mj-ea"/>
            </a:endParaRPr>
          </a:p>
        </c:rich>
      </c:tx>
      <c:layout/>
      <c:overlay val="0"/>
      <c:spPr>
        <a:noFill/>
        <a:ln>
          <a:noFill/>
        </a:ln>
        <a:effectLst/>
      </c:spPr>
    </c:title>
    <c:autoTitleDeleted val="0"/>
    <c:plotArea>
      <c:layout/>
      <c:pieChart>
        <c:varyColors val="1"/>
        <c:ser>
          <c:idx val="0"/>
          <c:order val="0"/>
          <c:tx>
            <c:strRef>
              <c:f>[图表.xlsx]情感分析!$B$4</c:f>
              <c:strCache>
                <c:ptCount val="1"/>
                <c:pt idx="0">
                  <c:v>占比</c:v>
                </c:pt>
              </c:strCache>
            </c:strRef>
          </c:tx>
          <c:spPr>
            <a:ln w="19050">
              <a:solidFill>
                <a:schemeClr val="bg1"/>
              </a:solidFill>
            </a:ln>
            <a:effectLst>
              <a:outerShdw blurRad="63500" sx="102000" sy="102000" algn="ctr" rotWithShape="0">
                <a:schemeClr val="accent1">
                  <a:lumMod val="75000"/>
                  <a:alpha val="40000"/>
                </a:schemeClr>
              </a:outerShdw>
            </a:effectLst>
          </c:spPr>
          <c:explosion val="0"/>
          <c:dPt>
            <c:idx val="0"/>
            <c:bubble3D val="0"/>
            <c:explosion val="10"/>
            <c:spPr>
              <a:solidFill>
                <a:srgbClr val="75BD42"/>
              </a:solidFill>
              <a:ln w="19050">
                <a:solidFill>
                  <a:schemeClr val="bg1"/>
                </a:solidFill>
              </a:ln>
              <a:effectLst>
                <a:outerShdw blurRad="63500" sx="102000" sy="102000" algn="ctr" rotWithShape="0">
                  <a:schemeClr val="accent1">
                    <a:lumMod val="75000"/>
                    <a:alpha val="40000"/>
                  </a:schemeClr>
                </a:outerShdw>
              </a:effectLst>
            </c:spPr>
          </c:dPt>
          <c:dPt>
            <c:idx val="1"/>
            <c:bubble3D val="0"/>
            <c:spPr>
              <a:solidFill>
                <a:schemeClr val="accent2"/>
              </a:solidFill>
              <a:ln w="19050">
                <a:solidFill>
                  <a:schemeClr val="bg1"/>
                </a:solidFill>
              </a:ln>
              <a:effectLst>
                <a:outerShdw blurRad="63500" sx="102000" sy="102000" algn="ctr" rotWithShape="0">
                  <a:schemeClr val="accent2">
                    <a:lumMod val="75000"/>
                    <a:alpha val="40000"/>
                  </a:schemeClr>
                </a:outerShdw>
              </a:effectLst>
            </c:spPr>
          </c:dPt>
          <c:dPt>
            <c:idx val="2"/>
            <c:bubble3D val="0"/>
            <c:spPr>
              <a:solidFill>
                <a:srgbClr val="79C9FE"/>
              </a:solidFill>
              <a:ln w="19050">
                <a:solidFill>
                  <a:schemeClr val="bg1"/>
                </a:solidFill>
              </a:ln>
              <a:effectLst>
                <a:outerShdw blurRad="63500" sx="102000" sy="102000" algn="ctr" rotWithShape="0">
                  <a:schemeClr val="accent3">
                    <a:lumMod val="75000"/>
                    <a:alpha val="40000"/>
                  </a:schemeClr>
                </a:outerShdw>
              </a:effectLst>
            </c:spPr>
          </c:dPt>
          <c:dLbls>
            <c:dLbl>
              <c:idx val="0"/>
              <c:layout/>
              <c:tx>
                <c:rich>
                  <a:bodyPr rot="0" spcFirstLastPara="0" vertOverflow="clip" horzOverflow="clip" vert="horz" wrap="square" lIns="36576" tIns="18288" rIns="36576" bIns="18288" anchor="ctr" anchorCtr="1" forceAA="0">
                    <a:spAutoFit/>
                  </a:bodyPr>
                  <a:lstStyle/>
                  <a:p>
                    <a:pPr defTabSz="914400">
                      <a:defRPr lang="zh-CN" sz="9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zh-CN" altLang="en-US">
                        <a:solidFill>
                          <a:sysClr val="windowText" lastClr="000000"/>
                        </a:solidFill>
                      </a:rPr>
                      <a:t> 正面</a:t>
                    </a:r>
                    <a:r>
                      <a:rPr lang="en-US" altLang="zh-CN">
                        <a:solidFill>
                          <a:sysClr val="windowText" lastClr="000000"/>
                        </a:solidFill>
                      </a:rPr>
                      <a:t>, 2.03%</a:t>
                    </a:r>
                    <a:endParaRPr lang="en-US" altLang="zh-CN">
                      <a:solidFill>
                        <a:sysClr val="windowText" lastClr="000000"/>
                      </a:solidFill>
                    </a:endParaRPr>
                  </a:p>
                </c:rich>
              </c:tx>
              <c:numFmt formatCode="General" sourceLinked="1"/>
              <c:spPr>
                <a:noFill/>
                <a:ln w="12700">
                  <a:solidFill>
                    <a:srgbClr val="75BD42"/>
                  </a:solidFill>
                </a:ln>
                <a:effectLst/>
              </c:spPr>
              <c:txPr>
                <a:bodyPr rot="0" spcFirstLastPara="0" vertOverflow="clip" horzOverflow="clip" vert="horz" wrap="square" lIns="36576" tIns="18288" rIns="36576" bIns="18288" anchor="ctr" anchorCtr="1" forceAA="0">
                  <a:spAutoFit/>
                </a:bodyPr>
                <a:lstStyle/>
                <a:p>
                  <a:pPr>
                    <a:defRPr lang="zh-CN" sz="9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separator>
</c:separator>
              <c:extLst>
                <c:ext xmlns:c15="http://schemas.microsoft.com/office/drawing/2012/chart" uri="{CE6537A1-D6FC-4f65-9D91-7224C49458BB}"/>
              </c:extLst>
            </c:dLbl>
            <c:dLbl>
              <c:idx val="1"/>
              <c:layout/>
              <c:numFmt formatCode="General" sourceLinked="1"/>
              <c:spPr>
                <a:noFill/>
                <a:ln w="12700">
                  <a:solidFill>
                    <a:schemeClr val="accent2"/>
                  </a:solidFill>
                </a:ln>
                <a:effectLst/>
              </c:spPr>
              <c:txPr>
                <a:bodyPr rot="0" spcFirstLastPara="0" vertOverflow="clip" horzOverflow="clip" vert="horz" wrap="square" lIns="36576" tIns="18288" rIns="36576" bIns="18288" anchor="ctr" anchorCtr="1" forceAA="0">
                  <a:spAutoFit/>
                </a:bodyPr>
                <a:lstStyle/>
                <a:p>
                  <a:pPr>
                    <a:defRPr lang="zh-CN" sz="9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extLst>
                <c:ext xmlns:c15="http://schemas.microsoft.com/office/drawing/2012/chart" uri="{CE6537A1-D6FC-4f65-9D91-7224C49458BB}"/>
              </c:extLst>
            </c:dLbl>
            <c:dLbl>
              <c:idx val="2"/>
              <c:layout/>
              <c:numFmt formatCode="General" sourceLinked="1"/>
              <c:spPr>
                <a:noFill/>
                <a:ln w="12700">
                  <a:solidFill>
                    <a:schemeClr val="accent3"/>
                  </a:solidFill>
                </a:ln>
                <a:effectLst/>
              </c:spPr>
              <c:txPr>
                <a:bodyPr rot="0" spcFirstLastPara="0" vertOverflow="clip" horzOverflow="clip" vert="horz" wrap="square" lIns="36576" tIns="18288" rIns="36576" bIns="18288" anchor="ctr" anchorCtr="1" forceAA="0">
                  <a:spAutoFit/>
                </a:bodyPr>
                <a:lstStyle/>
                <a:p>
                  <a:pPr>
                    <a:defRPr lang="zh-CN" sz="9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extLst>
                <c:ext xmlns:c15="http://schemas.microsoft.com/office/drawing/2012/chart" uri="{CE6537A1-D6FC-4f65-9D91-7224C49458BB}"/>
              </c:extLst>
            </c:dLbl>
            <c:spPr>
              <a:noFill/>
              <a:ln w="12700">
                <a:solidFill>
                  <a:schemeClr val="accent1"/>
                </a:solidFill>
              </a:ln>
              <a:effectLst/>
            </c:spPr>
            <c:txPr>
              <a:bodyPr rot="0" spcFirstLastPara="0" vertOverflow="clip" horzOverflow="clip" vert="horz" wrap="square" lIns="36576" tIns="18288" rIns="36576" bIns="18288" anchor="ctr" anchorCtr="1" forceAA="0">
                <a:spAutoFit/>
              </a:bodyPr>
              <a:lstStyle/>
              <a:p>
                <a:pPr>
                  <a:defRPr lang="zh-CN" sz="900" b="1"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chemeClr val="tx1">
                          <a:lumMod val="35000"/>
                          <a:lumOff val="65000"/>
                        </a:schemeClr>
                      </a:solidFill>
                      <a:round/>
                    </a:ln>
                    <a:effectLst/>
                  </c:spPr>
                </c15:leaderLines>
              </c:ext>
            </c:extLst>
          </c:dLbls>
          <c:cat>
            <c:strRef>
              <c:f>[图表.xlsx]情感分析!$A$5:$A$7</c:f>
              <c:strCache>
                <c:ptCount val="3"/>
                <c:pt idx="0">
                  <c:v> 正面</c:v>
                </c:pt>
                <c:pt idx="1">
                  <c:v> 负面</c:v>
                </c:pt>
                <c:pt idx="2">
                  <c:v> 中性</c:v>
                </c:pt>
              </c:strCache>
            </c:strRef>
          </c:cat>
          <c:val>
            <c:numRef>
              <c:f>[图表.xlsx]情感分析!$B$5:$B$7</c:f>
              <c:numCache>
                <c:formatCode>0.00%</c:formatCode>
                <c:ptCount val="3"/>
                <c:pt idx="0">
                  <c:v>0.0203</c:v>
                </c:pt>
                <c:pt idx="1">
                  <c:v>0.1162</c:v>
                </c:pt>
                <c:pt idx="2">
                  <c:v>0.8613</c:v>
                </c:pt>
              </c:numCache>
            </c:numRef>
          </c:val>
        </c:ser>
        <c:dLbls>
          <c:showLegendKey val="0"/>
          <c:showVal val="1"/>
          <c:showCatName val="0"/>
          <c:showSerName val="0"/>
          <c:showPercent val="0"/>
          <c:showBubbleSize val="0"/>
          <c:showLeaderLines val="0"/>
        </c:dLbls>
        <c:firstSliceAng val="66"/>
      </c:pieChart>
      <c:spPr>
        <a:noFill/>
        <a:ln>
          <a:noFill/>
        </a:ln>
        <a:effectLst/>
      </c:spPr>
    </c:plotArea>
    <c:plotVisOnly val="1"/>
    <c:dispBlanksAs val="gap"/>
    <c:showDLblsOverMax val="0"/>
    <c:extLst>
      <c:ext uri="{0b15fc19-7d7d-44ad-8c2d-2c3a37ce22c3}">
        <chartProps xmlns="https://web.wps.cn/et/2018/main" chartId="{085fa700-ebdf-4136-97c3-876d04329fdc}"/>
      </c:ext>
    </c:extLst>
  </c:chart>
  <c:spPr>
    <a:solidFill>
      <a:schemeClr val="bg1"/>
    </a:solidFill>
    <a:ln w="6350" cap="flat" cmpd="sng" algn="ctr">
      <a:solidFill>
        <a:sysClr val="windowText" lastClr="000000">
          <a:alpha val="25000"/>
        </a:sysClr>
      </a:solidFill>
      <a:round/>
    </a:ln>
    <a:effectLst/>
  </c:spPr>
  <c:txPr>
    <a:bodyPr/>
    <a:lstStyle/>
    <a:p>
      <a:pPr>
        <a:defRPr lang="zh-CN" sz="9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17">
    <a:dk1>
      <a:srgbClr val="000000"/>
    </a:dk1>
    <a:lt1>
      <a:srgbClr val="FFFFFF"/>
    </a:lt1>
    <a:dk2>
      <a:srgbClr val="44546A"/>
    </a:dk2>
    <a:lt2>
      <a:srgbClr val="E7E6E6"/>
    </a:lt2>
    <a:accent1>
      <a:srgbClr val="FF7E33"/>
    </a:accent1>
    <a:accent2>
      <a:srgbClr val="F0423E"/>
    </a:accent2>
    <a:accent3>
      <a:srgbClr val="6FBDFF"/>
    </a:accent3>
    <a:accent4>
      <a:srgbClr val="4F7FFF"/>
    </a:accent4>
    <a:accent5>
      <a:srgbClr val="FFC619"/>
    </a:accent5>
    <a:accent6>
      <a:srgbClr val="74B83D"/>
    </a:accent6>
    <a:hlink>
      <a:srgbClr val="0026E5"/>
    </a:hlink>
    <a:folHlink>
      <a:srgbClr val="7E1FA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2026-08-27T08:45:00Z</dcterms:created>
  <dc:creator>秋水あ亦寒</dc:creator>
  <cp:lastModifiedBy>秋水あ亦寒</cp:lastModifiedBy>
  <dcterms:modified xsi:type="dcterms:W3CDTF">2026-08-27T08:53:36Z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E53B89B16BCB4C0AB450BDB4E140D1FE_11</vt:lpwstr>
  </property>
  <property fmtid="{D5CDD505-2E9C-101B-9397-08002B2CF9AE}" pid="4" name="KSOTemplateDocerSaveRecord">
    <vt:lpwstr>eyJoZGlkIjoiMjMzOWIxM2QxYTQyNzc0MjRiZDMzNDcxMDE0MzA1ZWMiLCJ1c2VySWQiOiI0MTE3NTE5MTgifQ==</vt:lpwstr>
  </property>
</Properties>
</file>