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2E2044">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2E2044">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2E2044">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2E2044">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2E2044">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2E2044">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2E2044">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2E2044">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2E2044">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2E2044">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2E2044">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2E2044">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2E2044">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2E2044">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2E2044">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2E2044">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2E2044"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2E2044">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2E2044">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2E2044">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2E2044">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2E2044">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2E2044">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2E2044">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2E2044">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2E2044">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2E2044">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2E2044">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2E2044">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2E2044">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2E2044">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2E2044">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2E2044">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2E2044">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2E2044">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2E2044">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2E2044">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2E2044">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2E2044">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2E2044">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2E2044">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2E2044">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2E2044">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2E2044">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2E2044">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2E2044">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2E2044">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2E2044">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2E2044">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2E2044">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2E2044">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2E2044">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2E2044">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2E2044">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2E2044">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2E2044">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2E2044">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2E2044">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3456" behindDoc="0" locked="0" layoutInCell="1" allowOverlap="1" wp14:anchorId="286ADEF0" wp14:editId="6EF9A832">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0345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2432" behindDoc="0" locked="0" layoutInCell="1" allowOverlap="1" wp14:anchorId="7E369DDE" wp14:editId="7AB6839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0243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1408" behindDoc="0" locked="0" layoutInCell="1" allowOverlap="1" wp14:anchorId="6609BF83" wp14:editId="46E33AC1">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0140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0384" behindDoc="0" locked="0" layoutInCell="1" allowOverlap="1" wp14:anchorId="19854BBF" wp14:editId="1651E48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0038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0144" behindDoc="1" locked="0" layoutInCell="1" allowOverlap="1" wp14:anchorId="04E4A01F" wp14:editId="5EB9679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2DC820" id="AutoShape 41" o:spid="_x0000_s1026" style="position:absolute;left:0;text-align:left;margin-left:412.3pt;margin-top:27.7pt;width:102.75pt;height:136.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95264" behindDoc="1" locked="0" layoutInCell="1" allowOverlap="1" wp14:anchorId="05589A23" wp14:editId="09C7BD16">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7072" behindDoc="0" locked="0" layoutInCell="1" allowOverlap="1" wp14:anchorId="1DB692BE" wp14:editId="4EADB56E">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5024" behindDoc="0" locked="0" layoutInCell="1" allowOverlap="1" wp14:anchorId="2229F964" wp14:editId="79161EE4">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2192" behindDoc="1" locked="0" layoutInCell="1" allowOverlap="1" wp14:anchorId="2711F1FE" wp14:editId="60ABFA2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3216" behindDoc="0" locked="0" layoutInCell="1" allowOverlap="1" wp14:anchorId="4133800D" wp14:editId="40A9792C">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CC51CC" id="AutoShape 46" o:spid="_x0000_s1026" type="#_x0000_t32" style="position:absolute;left:0;text-align:left;margin-left:357.55pt;margin-top:43.75pt;width:50.25pt;height:.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91168" behindDoc="0" locked="0" layoutInCell="1" allowOverlap="1" wp14:anchorId="57F68AC7" wp14:editId="409A6B3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066271" id="AutoShape 42" o:spid="_x0000_s1026" type="#_x0000_t32" style="position:absolute;left:0;text-align:left;margin-left:357.55pt;margin-top:7.75pt;width:50.25pt;height:.0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6048" behindDoc="0" locked="0" layoutInCell="1" allowOverlap="1" wp14:anchorId="5B43AC5D" wp14:editId="7F1116B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6288" behindDoc="1" locked="0" layoutInCell="1" allowOverlap="1" wp14:anchorId="639F7115" wp14:editId="4DA07717">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4240" behindDoc="0" locked="0" layoutInCell="1" allowOverlap="1" wp14:anchorId="114D7C43" wp14:editId="200591B0">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6095C7" id="AutoShape 47" o:spid="_x0000_s1026" type="#_x0000_t32" style="position:absolute;left:0;text-align:left;margin-left:356.05pt;margin-top:34.95pt;width:50.25pt;height:.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8096" behindDoc="0" locked="0" layoutInCell="1" allowOverlap="1" wp14:anchorId="24600040" wp14:editId="10B2C8BC">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99360" behindDoc="0" locked="0" layoutInCell="1" allowOverlap="1" wp14:anchorId="335533F2" wp14:editId="35CB85D3">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9936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89120" behindDoc="0" locked="0" layoutInCell="1" allowOverlap="1" wp14:anchorId="07CFD24E" wp14:editId="5BD9CBF6">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7312" behindDoc="0" locked="0" layoutInCell="1" allowOverlap="1" wp14:anchorId="5256FA8F" wp14:editId="4D72942D">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8336" behindDoc="1" locked="0" layoutInCell="1" allowOverlap="1" wp14:anchorId="70052C0D" wp14:editId="3FAB6D32">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68992" behindDoc="0" locked="0" layoutInCell="1" allowOverlap="1" wp14:anchorId="7934FDB3" wp14:editId="2E88F1C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6899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4960" behindDoc="1" locked="0" layoutInCell="1" allowOverlap="1" wp14:anchorId="5AD8054E" wp14:editId="17EBF16F">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8032" behindDoc="1" locked="0" layoutInCell="1" allowOverlap="1" wp14:anchorId="5B4E412E" wp14:editId="30F7AABC">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5968" behindDoc="1" locked="0" layoutInCell="1" allowOverlap="1" wp14:anchorId="6498CE4E" wp14:editId="6A9FDA34">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3920" behindDoc="1" locked="0" layoutInCell="1" allowOverlap="1" wp14:anchorId="568BF529" wp14:editId="6F053072">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2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96640" behindDoc="0" locked="0" layoutInCell="1" allowOverlap="1" wp14:anchorId="2F33CE2D" wp14:editId="0BF0DAA7">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9664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85728" behindDoc="0" locked="0" layoutInCell="1" allowOverlap="1" wp14:anchorId="44B8BCFD" wp14:editId="3200E135">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8572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hint="eastAsia"/>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53984" behindDoc="0" locked="0" layoutInCell="1" allowOverlap="1" wp14:anchorId="371A193A" wp14:editId="66CC6BFE">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5398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hint="eastAsia"/>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19238A01" w14:textId="77777777" w:rsidR="002E2044" w:rsidRDefault="002E2044" w:rsidP="00DA080B">
      <w:pPr>
        <w:spacing w:line="400" w:lineRule="exact"/>
        <w:rPr>
          <w:rFonts w:ascii="宋体" w:hAnsi="宋体" w:hint="eastAsia"/>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789824" behindDoc="0" locked="0" layoutInCell="1" allowOverlap="1" wp14:anchorId="487A2930" wp14:editId="43EB32C1">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8982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790848" behindDoc="0" locked="0" layoutInCell="1" allowOverlap="1" wp14:anchorId="28D39C1C" wp14:editId="251EDB83">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1D8A9" id="直接箭头连接符 141" o:spid="_x0000_s1026" type="#_x0000_t32" style="position:absolute;left:0;text-align:left;margin-left:213.55pt;margin-top:13.6pt;width:0;height:13.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809280" behindDoc="1" locked="0" layoutInCell="1" allowOverlap="1" wp14:anchorId="068AC760" wp14:editId="2C40DA3C">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791872" behindDoc="0" locked="0" layoutInCell="1" allowOverlap="1" wp14:anchorId="7B64541D" wp14:editId="4B3E592E">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798016" behindDoc="0" locked="0" layoutInCell="1" allowOverlap="1" wp14:anchorId="7127864B" wp14:editId="359B5B58">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796992" behindDoc="0" locked="0" layoutInCell="1" allowOverlap="1" wp14:anchorId="52DF3C23" wp14:editId="478C0F8A">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F33DB" id="直接箭头连接符 145" o:spid="_x0000_s1026" type="#_x0000_t32" style="position:absolute;left:0;text-align:left;margin-left:275.05pt;margin-top:.55pt;width:35.25pt;height:0;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811328" behindDoc="1" locked="0" layoutInCell="1" allowOverlap="1" wp14:anchorId="16622725" wp14:editId="0F915078">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0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799040" behindDoc="0" locked="0" layoutInCell="1" allowOverlap="1" wp14:anchorId="216FC349" wp14:editId="05A196E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B2DA4" id="直接箭头连接符 153" o:spid="_x0000_s1026" type="#_x0000_t32" style="position:absolute;left:0;text-align:left;margin-left:214.3pt;margin-top:6.7pt;width:.75pt;height:12.7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801088" behindDoc="0" locked="0" layoutInCell="1" allowOverlap="1" wp14:anchorId="44883339" wp14:editId="7E8911CF">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w:t>
                            </w:r>
                            <w:r>
                              <w:rPr>
                                <w:rFonts w:hint="eastAsia"/>
                              </w:rPr>
                              <w:t>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w:t>
                      </w:r>
                      <w:r>
                        <w:rPr>
                          <w:rFonts w:hint="eastAsia"/>
                        </w:rPr>
                        <w:t>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813376" behindDoc="1" locked="0" layoutInCell="1" allowOverlap="1" wp14:anchorId="497CC629" wp14:editId="44B2C2A7">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803136" behindDoc="0" locked="0" layoutInCell="1" allowOverlap="1" wp14:anchorId="708A7ECB" wp14:editId="1A54F62B">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802112" behindDoc="0" locked="0" layoutInCell="1" allowOverlap="1" wp14:anchorId="53702170" wp14:editId="716F4F13">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75D57" id="直接箭头连接符 163" o:spid="_x0000_s1026" type="#_x0000_t32" style="position:absolute;left:0;text-align:left;margin-left:276.55pt;margin-top:10.9pt;width:35.25pt;height:0;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rPr>
          <w:rFonts w:hint="eastAsia"/>
        </w:rPr>
      </w:pPr>
      <w:r>
        <w:rPr>
          <w:noProof/>
        </w:rPr>
        <mc:AlternateContent>
          <mc:Choice Requires="wps">
            <w:drawing>
              <wp:anchor distT="0" distB="0" distL="114300" distR="114300" simplePos="0" relativeHeight="251815424" behindDoc="1" locked="0" layoutInCell="1" allowOverlap="1" wp14:anchorId="2CBB7FBF" wp14:editId="3B3D944D">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0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804160" behindDoc="0" locked="0" layoutInCell="1" allowOverlap="1" wp14:anchorId="5D2B9D39" wp14:editId="5AA379AD">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5EBB7" id="直接箭头连接符 184" o:spid="_x0000_s1026" type="#_x0000_t32" style="position:absolute;left:0;text-align:left;margin-left:215.8pt;margin-top:3.1pt;width:.75pt;height:19.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808256" behindDoc="0" locked="0" layoutInCell="1" allowOverlap="1" wp14:anchorId="1A3B82C7" wp14:editId="0CF8025F">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rPr>
                                <w:rFonts w:hint="eastAsia"/>
                              </w:rP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80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rPr>
                          <w:rFonts w:hint="eastAsia"/>
                        </w:rP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805184" behindDoc="0" locked="0" layoutInCell="1" allowOverlap="1" wp14:anchorId="4C971CF2" wp14:editId="797C0880">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807232" behindDoc="0" locked="0" layoutInCell="1" allowOverlap="1" wp14:anchorId="09740AAE" wp14:editId="72CB0BAE">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E3068" id="直接箭头连接符 187" o:spid="_x0000_s1026" type="#_x0000_t32" style="position:absolute;left:0;text-align:left;margin-left:248.25pt;margin-top:11.2pt;width:35.25pt;height:0;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Pr>
        <w:rPr>
          <w:rFonts w:hint="eastAsia"/>
        </w:rPr>
      </w:pPr>
    </w:p>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lastRenderedPageBreak/>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hint="eastAsia"/>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0D7CBC4A" w14:textId="63D15DF6" w:rsidR="003F7F9D" w:rsidRDefault="003F7F9D" w:rsidP="003F7F9D">
      <w:pPr>
        <w:spacing w:before="240" w:after="120" w:line="400" w:lineRule="exact"/>
        <w:ind w:left="420"/>
        <w:jc w:val="left"/>
        <w:outlineLvl w:val="2"/>
        <w:rPr>
          <w:rFonts w:ascii="黑体" w:eastAsia="黑体" w:hAnsi="黑体" w:cs="Arial" w:hint="eastAsia"/>
          <w:sz w:val="26"/>
          <w:szCs w:val="26"/>
          <w:shd w:val="clear" w:color="auto" w:fill="FFFFFF"/>
        </w:rPr>
      </w:pPr>
      <w:r>
        <w:rPr>
          <w:rFonts w:ascii="黑体" w:eastAsia="黑体" w:hAnsi="黑体" w:cs="Arial" w:hint="eastAsia"/>
          <w:sz w:val="26"/>
          <w:szCs w:val="26"/>
          <w:shd w:val="clear" w:color="auto" w:fill="FFFFFF"/>
        </w:rPr>
        <w:t>活动发布，用户享用了促销带来的优惠，但是因各种原因用户可能会退货及其他相关服务。为了让服务能够可跟踪。必须要设计相关的字段信息来保存用户购买的哪些商品参与了促销活动。</w:t>
      </w:r>
      <w:r w:rsidR="0056356F">
        <w:rPr>
          <w:rFonts w:ascii="黑体" w:eastAsia="黑体" w:hAnsi="黑体" w:cs="Arial" w:hint="eastAsia"/>
          <w:sz w:val="26"/>
          <w:szCs w:val="26"/>
          <w:shd w:val="clear" w:color="auto" w:fill="FFFFFF"/>
        </w:rPr>
        <w:t>主要记录的信息包括：用户信息，用户购买了什么商品，商品的价格和数量，商品使用的优惠券信息，</w:t>
      </w:r>
      <w:r w:rsidR="0056356F">
        <w:rPr>
          <w:rFonts w:ascii="黑体" w:eastAsia="黑体" w:hAnsi="黑体" w:cs="Arial" w:hint="eastAsia"/>
          <w:sz w:val="26"/>
          <w:szCs w:val="26"/>
          <w:shd w:val="clear" w:color="auto" w:fill="FFFFFF"/>
        </w:rPr>
        <w:lastRenderedPageBreak/>
        <w:t>商品实际享用的活动信息</w:t>
      </w:r>
      <w:r w:rsidR="00975B74">
        <w:rPr>
          <w:rFonts w:ascii="黑体" w:eastAsia="黑体" w:hAnsi="黑体" w:cs="Arial" w:hint="eastAsia"/>
          <w:sz w:val="26"/>
          <w:szCs w:val="26"/>
          <w:shd w:val="clear" w:color="auto" w:fill="FFFFFF"/>
        </w:rPr>
        <w:t>。已经因为防止用户恶意使用促销活动而做的防止作弊的逻辑。</w:t>
      </w:r>
      <w:bookmarkStart w:id="55" w:name="_GoBack"/>
      <w:bookmarkEnd w:id="55"/>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75F7A382" w14:textId="6385F2C8" w:rsidR="00233EFF" w:rsidRPr="00233EFF" w:rsidRDefault="00233EFF" w:rsidP="00233EFF">
      <w:pPr>
        <w:spacing w:line="400" w:lineRule="exact"/>
        <w:ind w:firstLine="420"/>
        <w:rPr>
          <w:rFonts w:ascii="宋体" w:hAnsi="宋体" w:cs="Arial" w:hint="eastAsia"/>
          <w:sz w:val="24"/>
          <w:shd w:val="clear" w:color="auto" w:fill="FFFFFF"/>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6"/>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lastRenderedPageBreak/>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lastRenderedPageBreak/>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7777777" w:rsidR="00A56786" w:rsidRPr="008D56B0" w:rsidRDefault="00A56786" w:rsidP="008D56B0">
            <w:pPr>
              <w:spacing w:before="60" w:after="60"/>
              <w:rPr>
                <w:rFonts w:ascii="宋体" w:hAnsi="宋体"/>
                <w:sz w:val="22"/>
                <w:szCs w:val="22"/>
              </w:rPr>
            </w:pP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77777777" w:rsidR="004B77BA" w:rsidRPr="008D56B0" w:rsidRDefault="004B77BA" w:rsidP="008D56B0">
            <w:pPr>
              <w:spacing w:before="60" w:after="60"/>
              <w:rPr>
                <w:rFonts w:ascii="宋体" w:hAnsi="宋体"/>
                <w:sz w:val="22"/>
                <w:szCs w:val="22"/>
              </w:rPr>
            </w:pP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7777777" w:rsidR="00127392" w:rsidRPr="008D56B0" w:rsidRDefault="00127392" w:rsidP="008D56B0">
            <w:pPr>
              <w:spacing w:before="60" w:after="60"/>
              <w:rPr>
                <w:rFonts w:ascii="宋体" w:hAnsi="宋体"/>
                <w:sz w:val="22"/>
                <w:szCs w:val="22"/>
              </w:rPr>
            </w:pP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7777777" w:rsidR="00F32372" w:rsidRPr="008D56B0" w:rsidRDefault="00F32372" w:rsidP="008D56B0">
            <w:pPr>
              <w:spacing w:before="60" w:after="60"/>
              <w:rPr>
                <w:rFonts w:ascii="宋体" w:hAnsi="宋体"/>
                <w:sz w:val="22"/>
                <w:szCs w:val="22"/>
              </w:rPr>
            </w:pPr>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lastRenderedPageBreak/>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lastRenderedPageBreak/>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A0042" w14:textId="77777777" w:rsidR="00081074" w:rsidRDefault="00081074" w:rsidP="00DF10DF">
      <w:r>
        <w:separator/>
      </w:r>
    </w:p>
  </w:endnote>
  <w:endnote w:type="continuationSeparator" w:id="0">
    <w:p w14:paraId="744C4A32" w14:textId="77777777" w:rsidR="00081074" w:rsidRDefault="00081074"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975B74" w:rsidRPr="00975B74">
      <w:rPr>
        <w:noProof/>
        <w:lang w:val="zh-CN"/>
      </w:rPr>
      <w:t>31</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0B540" w14:textId="77777777" w:rsidR="00081074" w:rsidRDefault="00081074" w:rsidP="00DF10DF">
      <w:r>
        <w:separator/>
      </w:r>
    </w:p>
  </w:footnote>
  <w:footnote w:type="continuationSeparator" w:id="0">
    <w:p w14:paraId="26EE8F4E" w14:textId="77777777" w:rsidR="00081074" w:rsidRDefault="00081074"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1074"/>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3F7F9D"/>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1D0D"/>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2188D"/>
    <w:rsid w:val="00923EA6"/>
    <w:rsid w:val="0092569D"/>
    <w:rsid w:val="00927A33"/>
    <w:rsid w:val="00930EEB"/>
    <w:rsid w:val="009328F6"/>
    <w:rsid w:val="00934E1C"/>
    <w:rsid w:val="009361A8"/>
    <w:rsid w:val="009438B0"/>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E329B-CA31-4389-9C49-0630E23E7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37</Pages>
  <Words>3456</Words>
  <Characters>19702</Characters>
  <Application>Microsoft Office Word</Application>
  <DocSecurity>0</DocSecurity>
  <Lines>164</Lines>
  <Paragraphs>46</Paragraphs>
  <ScaleCrop>false</ScaleCrop>
  <Company/>
  <LinksUpToDate>false</LinksUpToDate>
  <CharactersWithSpaces>23112</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26</cp:revision>
  <cp:lastPrinted>2014-05-12T08:56:00Z</cp:lastPrinted>
  <dcterms:created xsi:type="dcterms:W3CDTF">2015-09-08T15:19:00Z</dcterms:created>
  <dcterms:modified xsi:type="dcterms:W3CDTF">2015-09-09T15:34:00Z</dcterms:modified>
</cp:coreProperties>
</file>