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68730C">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68730C">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68730C">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68730C">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68730C">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68730C">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68730C">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68730C">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68730C">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68730C">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68730C">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68730C">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68730C">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68730C">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68730C">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68730C">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68730C"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68730C">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68730C">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68730C">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68730C">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68730C">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68730C">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68730C">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68730C">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68730C">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68730C">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68730C">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68730C">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68730C">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68730C">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68730C">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68730C">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68730C">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68730C">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68730C">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68730C">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68730C">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68730C">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68730C">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68730C">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68730C">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68730C">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68730C">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68730C">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68730C">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68730C">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68730C">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68730C">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68730C">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68730C">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68730C">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68730C">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68730C">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68730C">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68730C">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68730C">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68730C">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286ADEF0" wp14:editId="6EF9A832">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34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7E369DDE" wp14:editId="7AB6839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6609BF83" wp14:editId="46E33AC1">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19854BBF" wp14:editId="1651E48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03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1" locked="0" layoutInCell="1" allowOverlap="1" wp14:anchorId="04E4A01F" wp14:editId="5EB9679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C4ECD8" id="AutoShape 41" o:spid="_x0000_s1026" style="position:absolute;left:0;text-align:left;margin-left:412.3pt;margin-top:27.7pt;width:102.75pt;height:136.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1" locked="0" layoutInCell="1" allowOverlap="1" wp14:anchorId="05589A23" wp14:editId="09C7BD16">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1DB692BE" wp14:editId="4EADB56E">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5024" behindDoc="0" locked="0" layoutInCell="1" allowOverlap="1" wp14:anchorId="2229F964" wp14:editId="79161EE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2192" behindDoc="1" locked="0" layoutInCell="1" allowOverlap="1" wp14:anchorId="2711F1FE" wp14:editId="60ABFA2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3216" behindDoc="0" locked="0" layoutInCell="1" allowOverlap="1" wp14:anchorId="4133800D" wp14:editId="40A9792C">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9150C2" id="AutoShape 46" o:spid="_x0000_s1026" type="#_x0000_t32" style="position:absolute;left:0;text-align:left;margin-left:357.55pt;margin-top:43.75pt;width:50.2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0" locked="0" layoutInCell="1" allowOverlap="1" wp14:anchorId="57F68AC7" wp14:editId="409A6B3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3EB787" id="AutoShape 42" o:spid="_x0000_s1026" type="#_x0000_t32" style="position:absolute;left:0;text-align:left;margin-left:357.55pt;margin-top:7.75pt;width:50.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5B43AC5D" wp14:editId="7F1116B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639F7115" wp14:editId="4DA07717">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114D7C43" wp14:editId="200591B0">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1F21BC" id="AutoShape 47" o:spid="_x0000_s1026" type="#_x0000_t32" style="position:absolute;left:0;text-align:left;margin-left:356.05pt;margin-top:34.9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24600040" wp14:editId="10B2C8BC">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99360" behindDoc="0" locked="0" layoutInCell="1" allowOverlap="1" wp14:anchorId="335533F2" wp14:editId="35CB85D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993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07CFD24E" wp14:editId="5BD9CBF6">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0" locked="0" layoutInCell="1" allowOverlap="1" wp14:anchorId="5256FA8F" wp14:editId="4D72942D">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1" locked="0" layoutInCell="1" allowOverlap="1" wp14:anchorId="70052C0D" wp14:editId="3FAB6D3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68992" behindDoc="0" locked="0" layoutInCell="1" allowOverlap="1" wp14:anchorId="7934FDB3" wp14:editId="2E88F1C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689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4960" behindDoc="1" locked="0" layoutInCell="1" allowOverlap="1" wp14:anchorId="5AD8054E" wp14:editId="17EBF16F">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8032" behindDoc="1" locked="0" layoutInCell="1" allowOverlap="1" wp14:anchorId="5B4E412E" wp14:editId="30F7AABC">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5968" behindDoc="1" locked="0" layoutInCell="1" allowOverlap="1" wp14:anchorId="6498CE4E" wp14:editId="6A9FDA34">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3920" behindDoc="1" locked="0" layoutInCell="1" allowOverlap="1" wp14:anchorId="568BF529" wp14:editId="6F053072">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6640" behindDoc="0" locked="0" layoutInCell="1" allowOverlap="1" wp14:anchorId="2F33CE2D" wp14:editId="0BF0DAA7">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9664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5728" behindDoc="0" locked="0" layoutInCell="1" allowOverlap="1" wp14:anchorId="44B8BCFD" wp14:editId="3200E1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8572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3984" behindDoc="0" locked="0" layoutInCell="1" allowOverlap="1" wp14:anchorId="371A193A" wp14:editId="66CC6BFE">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5398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89824" behindDoc="0" locked="0" layoutInCell="1" allowOverlap="1" wp14:anchorId="487A2930" wp14:editId="43EB32C1">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8982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90848" behindDoc="0" locked="0" layoutInCell="1" allowOverlap="1" wp14:anchorId="28D39C1C" wp14:editId="251EDB83">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3DB44" id="直接箭头连接符 141" o:spid="_x0000_s1026" type="#_x0000_t32" style="position:absolute;left:0;text-align:left;margin-left:213.55pt;margin-top:13.6pt;width:0;height:13.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809280" behindDoc="1" locked="0" layoutInCell="1" allowOverlap="1" wp14:anchorId="068AC760" wp14:editId="2C40DA3C">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91872" behindDoc="0" locked="0" layoutInCell="1" allowOverlap="1" wp14:anchorId="7B64541D" wp14:editId="4B3E592E">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98016" behindDoc="0" locked="0" layoutInCell="1" allowOverlap="1" wp14:anchorId="7127864B" wp14:editId="359B5B58">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96992" behindDoc="0" locked="0" layoutInCell="1" allowOverlap="1" wp14:anchorId="52DF3C23" wp14:editId="478C0F8A">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ABBFC" id="直接箭头连接符 145" o:spid="_x0000_s1026" type="#_x0000_t32" style="position:absolute;left:0;text-align:left;margin-left:275.05pt;margin-top:.55pt;width:35.2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811328" behindDoc="1" locked="0" layoutInCell="1" allowOverlap="1" wp14:anchorId="16622725" wp14:editId="0F915078">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99040" behindDoc="0" locked="0" layoutInCell="1" allowOverlap="1" wp14:anchorId="216FC349" wp14:editId="05A196E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D0FAD" id="直接箭头连接符 153" o:spid="_x0000_s1026" type="#_x0000_t32" style="position:absolute;left:0;text-align:left;margin-left:214.3pt;margin-top:6.7pt;width:.75pt;height:12.7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801088" behindDoc="0" locked="0" layoutInCell="1" allowOverlap="1" wp14:anchorId="44883339" wp14:editId="7E8911CF">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w:t>
                      </w:r>
                      <w:r>
                        <w:rPr>
                          <w:rFonts w:hint="eastAsia"/>
                        </w:rPr>
                        <w:t>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813376" behindDoc="1" locked="0" layoutInCell="1" allowOverlap="1" wp14:anchorId="497CC629" wp14:editId="44B2C2A7">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708A7ECB" wp14:editId="1A54F62B">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802112" behindDoc="0" locked="0" layoutInCell="1" allowOverlap="1" wp14:anchorId="53702170" wp14:editId="716F4F13">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1E052" id="直接箭头连接符 163" o:spid="_x0000_s1026" type="#_x0000_t32" style="position:absolute;left:0;text-align:left;margin-left:276.55pt;margin-top:10.9pt;width:35.2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815424" behindDoc="1" locked="0" layoutInCell="1" allowOverlap="1" wp14:anchorId="2CBB7FBF" wp14:editId="3B3D944D">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0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5D2B9D39" wp14:editId="5AA379AD">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E436D" id="直接箭头连接符 184" o:spid="_x0000_s1026" type="#_x0000_t32" style="position:absolute;left:0;text-align:left;margin-left:215.8pt;margin-top:3.1pt;width:.75pt;height:19.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808256" behindDoc="0" locked="0" layoutInCell="1" allowOverlap="1" wp14:anchorId="1A3B82C7" wp14:editId="0CF8025F">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rPr>
                          <w:rFonts w:hint="eastAsia"/>
                        </w:rP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4C971CF2" wp14:editId="797C0880">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807232" behindDoc="0" locked="0" layoutInCell="1" allowOverlap="1" wp14:anchorId="09740AAE" wp14:editId="72CB0BAE">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DB59B" id="直接箭头连接符 187" o:spid="_x0000_s1026" type="#_x0000_t32" style="position:absolute;left:0;text-align:left;margin-left:248.25pt;margin-top:11.2pt;width:35.25pt;height:0;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Pr="009324D0" w:rsidRDefault="004D115D" w:rsidP="009324D0">
      <w:pPr>
        <w:spacing w:line="400" w:lineRule="exact"/>
        <w:ind w:firstLine="420"/>
        <w:rPr>
          <w:rFonts w:ascii="宋体" w:hAnsi="宋体"/>
          <w:sz w:val="22"/>
          <w:szCs w:val="22"/>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0D7CBC4A" w14:textId="5D4BD81D" w:rsidR="003F7F9D" w:rsidRPr="009324D0" w:rsidRDefault="003F7F9D"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活动发布，用户享用了促销带来的优惠，但是因各种原因用户可能会退货及其他相关服务。为了让服务能够可跟踪。必须要设计相关的字段信息来保存用户购买的哪些商品参与了促销活动。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w:t>
      </w:r>
      <w:r w:rsidR="007C146A" w:rsidRPr="007C146A">
        <w:rPr>
          <w:rFonts w:ascii="宋体" w:hAnsi="宋体" w:cs="宋体"/>
          <w:kern w:val="0"/>
          <w:sz w:val="24"/>
        </w:rPr>
        <w:lastRenderedPageBreak/>
        <w:t>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bookmarkStart w:id="55" w:name="_GoBack"/>
      <w:bookmarkEnd w:id="55"/>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hint="eastAsia"/>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w:t>
      </w:r>
      <w:r w:rsidR="0092238A" w:rsidRPr="009324D0">
        <w:rPr>
          <w:rFonts w:ascii="宋体" w:hAnsi="宋体" w:cs="Arial" w:hint="eastAsia"/>
          <w:sz w:val="24"/>
          <w:shd w:val="clear" w:color="auto" w:fill="FFFFFF"/>
        </w:rPr>
        <w:lastRenderedPageBreak/>
        <w:t>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lastRenderedPageBreak/>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lastRenderedPageBreak/>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lastRenderedPageBreak/>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lastRenderedPageBreak/>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lastRenderedPageBreak/>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3FF15" w14:textId="77777777" w:rsidR="0068730C" w:rsidRDefault="0068730C" w:rsidP="00DF10DF">
      <w:r>
        <w:separator/>
      </w:r>
    </w:p>
  </w:endnote>
  <w:endnote w:type="continuationSeparator" w:id="0">
    <w:p w14:paraId="69B37ECD" w14:textId="77777777" w:rsidR="0068730C" w:rsidRDefault="0068730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7C146A" w:rsidRPr="007C146A">
      <w:rPr>
        <w:noProof/>
        <w:lang w:val="zh-CN"/>
      </w:rPr>
      <w:t>33</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CD723" w14:textId="77777777" w:rsidR="0068730C" w:rsidRDefault="0068730C" w:rsidP="00DF10DF">
      <w:r>
        <w:separator/>
      </w:r>
    </w:p>
  </w:footnote>
  <w:footnote w:type="continuationSeparator" w:id="0">
    <w:p w14:paraId="1EC45E1F" w14:textId="77777777" w:rsidR="0068730C" w:rsidRDefault="0068730C"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8730C"/>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146A"/>
    <w:rsid w:val="007C4AE1"/>
    <w:rsid w:val="007C54D4"/>
    <w:rsid w:val="007C5A60"/>
    <w:rsid w:val="007C6E98"/>
    <w:rsid w:val="007D3537"/>
    <w:rsid w:val="007D36C9"/>
    <w:rsid w:val="007D4237"/>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F63E6-6177-4AB1-98C0-9BB67CE7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37</Pages>
  <Words>3607</Words>
  <Characters>20561</Characters>
  <Application>Microsoft Office Word</Application>
  <DocSecurity>0</DocSecurity>
  <Lines>171</Lines>
  <Paragraphs>48</Paragraphs>
  <ScaleCrop>false</ScaleCrop>
  <Company/>
  <LinksUpToDate>false</LinksUpToDate>
  <CharactersWithSpaces>24120</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47</cp:revision>
  <cp:lastPrinted>2014-05-12T08:56:00Z</cp:lastPrinted>
  <dcterms:created xsi:type="dcterms:W3CDTF">2015-09-08T15:19:00Z</dcterms:created>
  <dcterms:modified xsi:type="dcterms:W3CDTF">2015-09-10T01:00:00Z</dcterms:modified>
</cp:coreProperties>
</file>