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ascii="宋体" w:hAnsi="宋体" w:eastAsia="宋体"/>
          <w:color w:val="2E74B5"/>
        </w:rPr>
      </w:pPr>
      <w:r>
        <w:rPr>
          <w:rFonts w:hint="eastAsia" w:ascii="宋体" w:hAnsi="宋体" w:eastAsia="宋体"/>
          <w:color w:val="2E74B5"/>
          <w:sz w:val="36"/>
        </w:rPr>
        <w:t>简历</w:t>
      </w:r>
    </w:p>
    <w:p>
      <w:pPr>
        <w:bidi w:val="0"/>
        <w:spacing w:line="360" w:lineRule="auto"/>
        <w:rPr>
          <w:b/>
          <w:bCs/>
          <w:color w:val="0000FF"/>
          <w:sz w:val="28"/>
          <w:szCs w:val="28"/>
        </w:rPr>
      </w:pPr>
      <w:r>
        <w:rPr>
          <w:rFonts w:hint="eastAsia"/>
          <w:b/>
          <w:bCs/>
          <w:color w:val="0000FF"/>
          <w:sz w:val="28"/>
          <w:szCs w:val="28"/>
        </w:rPr>
        <w:t>基本信息</w:t>
      </w:r>
    </w:p>
    <w:tbl>
      <w:tblPr>
        <w:tblStyle w:val="5"/>
        <w:tblW w:w="957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90"/>
        <w:gridCol w:w="3190"/>
        <w:gridCol w:w="31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80" w:hRule="atLeast"/>
        </w:trPr>
        <w:tc>
          <w:tcPr>
            <w:tcW w:w="3190" w:type="dxa"/>
            <w:noWrap w:val="0"/>
            <w:vAlign w:val="center"/>
          </w:tcPr>
          <w:p>
            <w:pPr>
              <w:widowControl w:val="0"/>
              <w:bidi w:val="0"/>
              <w:spacing w:line="360" w:lineRule="auto"/>
              <w:jc w:val="both"/>
              <w:rPr>
                <w:rStyle w:val="3"/>
                <w:rFonts w:ascii="宋体" w:hAnsi="宋体" w:eastAsia="宋体"/>
              </w:rPr>
            </w:pPr>
            <w:r>
              <w:rPr>
                <w:rFonts w:hint="eastAsia" w:ascii="宋体" w:hAnsi="宋体" w:eastAsia="宋体"/>
              </w:rPr>
              <w:t>姓名：</w:t>
            </w:r>
            <w:r>
              <w:rPr>
                <w:rFonts w:ascii="宋体" w:hAnsi="宋体" w:eastAsia="宋体"/>
              </w:rPr>
              <w:t>郭成业</w:t>
            </w:r>
          </w:p>
        </w:tc>
        <w:tc>
          <w:tcPr>
            <w:tcW w:w="3190" w:type="dxa"/>
            <w:noWrap w:val="0"/>
            <w:vAlign w:val="center"/>
          </w:tcPr>
          <w:p>
            <w:pPr>
              <w:widowControl w:val="0"/>
              <w:bidi w:val="0"/>
              <w:spacing w:line="360" w:lineRule="auto"/>
              <w:jc w:val="both"/>
              <w:rPr>
                <w:rStyle w:val="3"/>
                <w:rFonts w:ascii="宋体" w:hAnsi="宋体" w:eastAsia="宋体"/>
              </w:rPr>
            </w:pPr>
            <w:r>
              <w:rPr>
                <w:rFonts w:hint="eastAsia" w:ascii="宋体" w:hAnsi="宋体" w:eastAsia="宋体"/>
              </w:rPr>
              <w:t>性别：</w:t>
            </w:r>
            <w:r>
              <w:rPr>
                <w:rFonts w:ascii="宋体" w:hAnsi="宋体" w:eastAsia="宋体"/>
              </w:rPr>
              <w:t>男</w:t>
            </w:r>
          </w:p>
        </w:tc>
        <w:tc>
          <w:tcPr>
            <w:tcW w:w="3191" w:type="dxa"/>
            <w:vMerge w:val="restart"/>
            <w:noWrap w:val="0"/>
            <w:vAlign w:val="center"/>
          </w:tcPr>
          <w:p>
            <w:pPr>
              <w:widowControl w:val="0"/>
              <w:tabs>
                <w:tab w:val="left" w:pos="3330"/>
                <w:tab w:val="left" w:pos="6435"/>
              </w:tabs>
              <w:bidi w:val="0"/>
              <w:spacing w:before="156" w:beforeLines="50"/>
              <w:jc w:val="both"/>
              <w:rPr>
                <w:rStyle w:val="3"/>
                <w:rFonts w:ascii="宋体" w:hAnsi="宋体" w:eastAsia="宋体"/>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80" w:hRule="atLeast"/>
        </w:trPr>
        <w:tc>
          <w:tcPr>
            <w:tcW w:w="3190" w:type="dxa"/>
            <w:noWrap w:val="0"/>
            <w:vAlign w:val="center"/>
          </w:tcPr>
          <w:p>
            <w:pPr>
              <w:widowControl w:val="0"/>
              <w:bidi w:val="0"/>
              <w:spacing w:line="360" w:lineRule="auto"/>
              <w:jc w:val="both"/>
              <w:rPr>
                <w:rStyle w:val="3"/>
                <w:rFonts w:hint="eastAsia" w:ascii="宋体" w:hAnsi="宋体" w:eastAsia="宋体"/>
                <w:lang w:val="en-US" w:eastAsia="zh-CN"/>
              </w:rPr>
            </w:pPr>
            <w:r>
              <w:rPr>
                <w:rFonts w:hint="eastAsia" w:ascii="宋体" w:hAnsi="宋体" w:eastAsia="宋体"/>
              </w:rPr>
              <w:t>年龄：</w:t>
            </w:r>
            <w:r>
              <w:rPr>
                <w:rFonts w:ascii="宋体" w:hAnsi="宋体" w:eastAsia="宋体"/>
              </w:rPr>
              <w:t>3</w:t>
            </w:r>
            <w:r>
              <w:rPr>
                <w:rFonts w:hint="eastAsia" w:ascii="宋体" w:hAnsi="宋体"/>
                <w:lang w:val="en-US" w:eastAsia="zh-CN"/>
              </w:rPr>
              <w:t>4</w:t>
            </w:r>
            <w:r>
              <w:rPr>
                <w:rFonts w:hint="eastAsia" w:ascii="宋体" w:hAnsi="宋体" w:eastAsia="宋体"/>
              </w:rPr>
              <w:t>岁</w:t>
            </w:r>
            <w:r>
              <w:rPr>
                <w:rFonts w:hint="eastAsia" w:ascii="宋体" w:hAnsi="宋体"/>
                <w:lang w:eastAsia="zh-CN"/>
              </w:rPr>
              <w:t>（</w:t>
            </w:r>
            <w:r>
              <w:rPr>
                <w:rFonts w:hint="eastAsia" w:ascii="宋体" w:hAnsi="宋体"/>
                <w:lang w:val="en-US" w:eastAsia="zh-CN"/>
              </w:rPr>
              <w:t>1985年）</w:t>
            </w:r>
          </w:p>
        </w:tc>
        <w:tc>
          <w:tcPr>
            <w:tcW w:w="3190" w:type="dxa"/>
            <w:noWrap w:val="0"/>
            <w:vAlign w:val="center"/>
          </w:tcPr>
          <w:p>
            <w:pPr>
              <w:widowControl w:val="0"/>
              <w:bidi w:val="0"/>
              <w:spacing w:line="360" w:lineRule="auto"/>
              <w:jc w:val="both"/>
              <w:rPr>
                <w:rStyle w:val="3"/>
                <w:rFonts w:hint="eastAsia" w:ascii="宋体" w:hAnsi="宋体" w:eastAsia="宋体"/>
                <w:lang w:eastAsia="zh-CN"/>
              </w:rPr>
            </w:pPr>
            <w:r>
              <w:rPr>
                <w:rFonts w:hint="eastAsia" w:ascii="宋体" w:hAnsi="宋体" w:eastAsia="宋体"/>
              </w:rPr>
              <w:t>学历：</w:t>
            </w:r>
            <w:r>
              <w:rPr>
                <w:rFonts w:hint="eastAsia" w:ascii="宋体" w:hAnsi="宋体" w:eastAsia="宋体"/>
                <w:lang w:eastAsia="zh-CN"/>
              </w:rPr>
              <w:t>大专</w:t>
            </w:r>
          </w:p>
        </w:tc>
        <w:tc>
          <w:tcPr>
            <w:tcW w:w="3191" w:type="dxa"/>
            <w:vMerge w:val="continue"/>
            <w:noWrap w:val="0"/>
            <w:vAlign w:val="center"/>
          </w:tcPr>
          <w:p>
            <w:pPr>
              <w:widowControl w:val="0"/>
              <w:bidi w:val="0"/>
              <w:jc w:val="both"/>
              <w:rPr>
                <w:rStyle w:val="3"/>
                <w:rFonts w:ascii="宋体" w:hAnsi="宋体" w:eastAsia="宋体"/>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99" w:hRule="atLeast"/>
        </w:trPr>
        <w:tc>
          <w:tcPr>
            <w:tcW w:w="3190" w:type="dxa"/>
            <w:noWrap w:val="0"/>
            <w:vAlign w:val="center"/>
          </w:tcPr>
          <w:p>
            <w:pPr>
              <w:widowControl w:val="0"/>
              <w:bidi w:val="0"/>
              <w:spacing w:line="360" w:lineRule="auto"/>
              <w:jc w:val="both"/>
              <w:rPr>
                <w:rFonts w:ascii="宋体" w:hAnsi="宋体" w:eastAsia="宋体"/>
              </w:rPr>
            </w:pPr>
            <w:r>
              <w:rPr>
                <w:rFonts w:hint="eastAsia" w:ascii="宋体" w:hAnsi="宋体" w:eastAsia="宋体"/>
              </w:rPr>
              <w:t>籍贯：</w:t>
            </w:r>
            <w:r>
              <w:rPr>
                <w:rFonts w:ascii="宋体" w:hAnsi="宋体" w:eastAsia="宋体"/>
              </w:rPr>
              <w:t>山东</w:t>
            </w:r>
          </w:p>
          <w:p>
            <w:pPr>
              <w:widowControl w:val="0"/>
              <w:bidi w:val="0"/>
              <w:spacing w:line="360" w:lineRule="auto"/>
              <w:jc w:val="both"/>
              <w:rPr>
                <w:rFonts w:ascii="宋体" w:hAnsi="宋体" w:eastAsia="宋体"/>
              </w:rPr>
            </w:pPr>
            <w:r>
              <w:rPr>
                <w:rFonts w:hint="eastAsia" w:ascii="宋体" w:hAnsi="宋体" w:eastAsia="宋体"/>
              </w:rPr>
              <w:t>现居：</w:t>
            </w:r>
            <w:r>
              <w:rPr>
                <w:rFonts w:ascii="宋体" w:hAnsi="宋体" w:eastAsia="宋体"/>
              </w:rPr>
              <w:t>滨州</w:t>
            </w:r>
          </w:p>
        </w:tc>
        <w:tc>
          <w:tcPr>
            <w:tcW w:w="3190" w:type="dxa"/>
            <w:noWrap w:val="0"/>
            <w:vAlign w:val="center"/>
          </w:tcPr>
          <w:p>
            <w:pPr>
              <w:widowControl w:val="0"/>
              <w:bidi w:val="0"/>
              <w:spacing w:line="360" w:lineRule="auto"/>
              <w:jc w:val="both"/>
              <w:rPr>
                <w:rFonts w:hint="eastAsia" w:ascii="宋体" w:hAnsi="宋体"/>
                <w:lang w:eastAsia="zh-CN"/>
              </w:rPr>
            </w:pPr>
            <w:r>
              <w:rPr>
                <w:rFonts w:hint="eastAsia" w:ascii="宋体" w:hAnsi="宋体" w:eastAsia="宋体"/>
              </w:rPr>
              <w:t>婚姻：</w:t>
            </w:r>
            <w:r>
              <w:rPr>
                <w:rFonts w:hint="eastAsia" w:ascii="宋体" w:hAnsi="宋体"/>
                <w:lang w:eastAsia="zh-CN"/>
              </w:rPr>
              <w:t>已婚</w:t>
            </w:r>
          </w:p>
          <w:p>
            <w:pPr>
              <w:bidi w:val="0"/>
              <w:spacing w:line="360" w:lineRule="auto"/>
              <w:rPr>
                <w:rFonts w:hint="eastAsia" w:ascii="宋体" w:hAnsi="宋体"/>
                <w:lang w:eastAsia="zh-CN"/>
              </w:rPr>
            </w:pPr>
          </w:p>
        </w:tc>
        <w:tc>
          <w:tcPr>
            <w:tcW w:w="3191" w:type="dxa"/>
            <w:vMerge w:val="continue"/>
            <w:noWrap w:val="0"/>
            <w:vAlign w:val="center"/>
          </w:tcPr>
          <w:p>
            <w:pPr>
              <w:widowControl w:val="0"/>
              <w:bidi w:val="0"/>
              <w:jc w:val="both"/>
              <w:rPr>
                <w:rStyle w:val="3"/>
                <w:rFonts w:ascii="宋体" w:hAnsi="宋体" w:eastAsia="宋体"/>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80" w:hRule="atLeast"/>
        </w:trPr>
        <w:tc>
          <w:tcPr>
            <w:tcW w:w="3190" w:type="dxa"/>
            <w:noWrap w:val="0"/>
            <w:vAlign w:val="center"/>
          </w:tcPr>
          <w:p>
            <w:pPr>
              <w:widowControl w:val="0"/>
              <w:bidi w:val="0"/>
              <w:spacing w:line="360" w:lineRule="auto"/>
              <w:jc w:val="both"/>
              <w:rPr>
                <w:rFonts w:hint="eastAsia" w:ascii="宋体" w:hAnsi="宋体" w:eastAsia="宋体"/>
                <w:lang w:val="en-US" w:eastAsia="zh-CN"/>
              </w:rPr>
            </w:pPr>
            <w:r>
              <w:rPr>
                <w:rFonts w:hint="eastAsia" w:ascii="宋体" w:hAnsi="宋体"/>
                <w:lang w:val="en-US" w:eastAsia="zh-CN"/>
              </w:rPr>
              <w:t xml:space="preserve">联系方式：15154356500            </w:t>
            </w:r>
          </w:p>
        </w:tc>
        <w:tc>
          <w:tcPr>
            <w:tcW w:w="3190" w:type="dxa"/>
            <w:noWrap w:val="0"/>
            <w:vAlign w:val="center"/>
          </w:tcPr>
          <w:p>
            <w:pPr>
              <w:widowControl w:val="0"/>
              <w:bidi w:val="0"/>
              <w:spacing w:line="360" w:lineRule="auto"/>
              <w:jc w:val="both"/>
              <w:rPr>
                <w:rStyle w:val="3"/>
                <w:rFonts w:hint="eastAsia" w:ascii="宋体" w:hAnsi="宋体" w:eastAsia="宋体"/>
                <w:lang w:eastAsia="zh-CN"/>
              </w:rPr>
            </w:pPr>
            <w:r>
              <w:rPr>
                <w:rStyle w:val="3"/>
                <w:rFonts w:hint="eastAsia" w:ascii="宋体" w:hAnsi="宋体"/>
                <w:lang w:eastAsia="zh-CN"/>
              </w:rPr>
              <w:t>邮箱：guochengye109@163.com</w:t>
            </w:r>
          </w:p>
        </w:tc>
        <w:tc>
          <w:tcPr>
            <w:tcW w:w="3191" w:type="dxa"/>
            <w:vMerge w:val="continue"/>
            <w:noWrap w:val="0"/>
            <w:vAlign w:val="center"/>
          </w:tcPr>
          <w:p>
            <w:pPr>
              <w:widowControl w:val="0"/>
              <w:bidi w:val="0"/>
              <w:jc w:val="both"/>
              <w:rPr>
                <w:rStyle w:val="3"/>
                <w:rFonts w:ascii="宋体" w:hAnsi="宋体" w:eastAsia="宋体"/>
              </w:rPr>
            </w:pPr>
          </w:p>
        </w:tc>
      </w:tr>
    </w:tbl>
    <w:p>
      <w:pPr>
        <w:pStyle w:val="9"/>
        <w:bidi w:val="0"/>
        <w:spacing w:before="312"/>
        <w:rPr>
          <w:rStyle w:val="3"/>
        </w:rPr>
      </w:pPr>
      <w:r>
        <w:rPr>
          <w:rStyle w:val="3"/>
          <w:rFonts w:hint="eastAsia"/>
        </w:rPr>
        <w:t>工作经历</w:t>
      </w:r>
    </w:p>
    <w:p>
      <w:pPr>
        <w:spacing w:line="360" w:lineRule="auto"/>
        <w:rPr>
          <w:rStyle w:val="6"/>
          <w:rFonts w:hint="eastAsia"/>
          <w:kern w:val="2"/>
          <w:sz w:val="21"/>
          <w:szCs w:val="22"/>
          <w:lang w:val="en-US" w:eastAsia="zh-CN"/>
        </w:rPr>
      </w:pPr>
      <w:r>
        <w:rPr>
          <w:rStyle w:val="6"/>
          <w:rFonts w:hint="eastAsia"/>
          <w:kern w:val="2"/>
          <w:sz w:val="21"/>
          <w:szCs w:val="22"/>
          <w:lang w:val="en-US" w:eastAsia="zh-CN"/>
        </w:rPr>
        <w:t>2018/02——2018/10（8个月）      山东信得科技股份有限公司          业务经理</w:t>
      </w:r>
    </w:p>
    <w:p>
      <w:pPr>
        <w:pStyle w:val="10"/>
        <w:bidi w:val="0"/>
        <w:spacing w:line="360" w:lineRule="auto"/>
        <w:rPr>
          <w:rStyle w:val="3"/>
          <w:rFonts w:hint="eastAsia" w:ascii="宋体" w:hAnsi="宋体" w:eastAsia="宋体"/>
        </w:rPr>
      </w:pPr>
      <w:r>
        <w:rPr>
          <w:rStyle w:val="3"/>
          <w:rFonts w:hint="eastAsia" w:ascii="宋体" w:hAnsi="宋体" w:eastAsia="宋体"/>
          <w:b/>
        </w:rPr>
        <w:t>公司介绍：</w:t>
      </w:r>
      <w:r>
        <w:rPr>
          <w:rFonts w:hint="eastAsia" w:ascii="宋体" w:hAnsi="宋体" w:eastAsia="宋体" w:cs="宋体"/>
          <w:kern w:val="2"/>
          <w:sz w:val="21"/>
          <w:szCs w:val="21"/>
          <w:lang w:val="en-US" w:eastAsia="zh-CN"/>
        </w:rPr>
        <w:t>信得科技集团包括山东信得科技股份有限公司、北京信得威特科技有限公司、山东信得动物疫苗有限公司、四川华西动物药业有限公司和青岛信得药业有限公司五个子公司。是一家研发生产生物制品、生化制药、兽药制剂、饲料添加剂等产品并为用户提供健康养殖方案的企业。</w:t>
      </w:r>
    </w:p>
    <w:p>
      <w:pPr>
        <w:pStyle w:val="10"/>
        <w:bidi w:val="0"/>
        <w:spacing w:line="360" w:lineRule="auto"/>
        <w:rPr>
          <w:rStyle w:val="3"/>
          <w:rFonts w:hint="eastAsia" w:ascii="宋体" w:hAnsi="宋体" w:eastAsia="宋体"/>
          <w:color w:val="000000"/>
          <w:highlight w:val="none"/>
          <w:lang w:val="en-US" w:eastAsia="zh-CN"/>
        </w:rPr>
      </w:pPr>
      <w:r>
        <w:rPr>
          <w:rStyle w:val="3"/>
          <w:rFonts w:hint="eastAsia" w:ascii="宋体" w:hAnsi="宋体" w:eastAsia="宋体"/>
          <w:b/>
          <w:color w:val="000000"/>
          <w:highlight w:val="none"/>
        </w:rPr>
        <w:t>汇报对象：</w:t>
      </w:r>
      <w:r>
        <w:rPr>
          <w:rStyle w:val="3"/>
          <w:rFonts w:hint="eastAsia" w:ascii="宋体" w:hAnsi="宋体"/>
          <w:b/>
          <w:color w:val="000000"/>
          <w:highlight w:val="none"/>
          <w:lang w:eastAsia="zh-CN"/>
        </w:rPr>
        <w:t>鲁冀晋</w:t>
      </w:r>
      <w:r>
        <w:rPr>
          <w:rStyle w:val="3"/>
          <w:rFonts w:hint="eastAsia" w:ascii="宋体" w:hAnsi="宋体" w:eastAsia="宋体"/>
          <w:b/>
          <w:color w:val="000000"/>
          <w:highlight w:val="none"/>
          <w:lang w:eastAsia="zh-CN"/>
        </w:rPr>
        <w:t>大区经理</w:t>
      </w:r>
    </w:p>
    <w:p>
      <w:pPr>
        <w:pStyle w:val="10"/>
        <w:bidi w:val="0"/>
        <w:spacing w:line="360" w:lineRule="auto"/>
        <w:rPr>
          <w:rStyle w:val="3"/>
          <w:rFonts w:hint="eastAsia" w:ascii="宋体" w:hAnsi="宋体" w:eastAsia="宋体"/>
          <w:b/>
          <w:highlight w:val="none"/>
        </w:rPr>
      </w:pPr>
      <w:r>
        <w:rPr>
          <w:rStyle w:val="3"/>
          <w:rFonts w:hint="eastAsia" w:ascii="宋体" w:hAnsi="宋体" w:eastAsia="宋体"/>
          <w:b/>
          <w:highlight w:val="none"/>
        </w:rPr>
        <w:t>工作职责：</w:t>
      </w:r>
    </w:p>
    <w:p>
      <w:pPr>
        <w:numPr>
          <w:ilvl w:val="0"/>
          <w:numId w:val="0"/>
        </w:numPr>
        <w:spacing w:line="360" w:lineRule="auto"/>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lang w:val="en-US" w:eastAsia="zh-CN"/>
        </w:rPr>
        <w:t>滨州、东营</w:t>
      </w:r>
      <w:r>
        <w:rPr>
          <w:rFonts w:hint="default" w:ascii="宋体" w:hAnsi="宋体" w:eastAsia="宋体" w:cs="宋体"/>
          <w:sz w:val="21"/>
          <w:szCs w:val="21"/>
          <w:highlight w:val="none"/>
          <w:lang w:val="en-US" w:eastAsia="zh-CN"/>
        </w:rPr>
        <w:t>、淄博市</w:t>
      </w:r>
      <w:r>
        <w:rPr>
          <w:rFonts w:hint="eastAsia" w:ascii="宋体" w:hAnsi="宋体" w:eastAsia="宋体" w:cs="宋体"/>
          <w:sz w:val="21"/>
          <w:szCs w:val="21"/>
          <w:highlight w:val="none"/>
          <w:lang w:val="en-US" w:eastAsia="zh-CN"/>
        </w:rPr>
        <w:t>动物疫苗销售</w:t>
      </w:r>
    </w:p>
    <w:p>
      <w:pPr>
        <w:numPr>
          <w:ilvl w:val="0"/>
          <w:numId w:val="1"/>
        </w:numPr>
        <w:spacing w:line="360" w:lineRule="auto"/>
        <w:ind w:left="420" w:leftChars="0" w:hanging="420" w:firstLineChars="0"/>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lang w:val="en-US" w:eastAsia="zh-CN"/>
        </w:rPr>
        <w:t>开发疫苗经销商和5万只以上蛋鸡厂，合作客户滨州市兽用药械防治服务部、邹平县畜牧兽医工作站</w:t>
      </w:r>
    </w:p>
    <w:p>
      <w:pPr>
        <w:spacing w:line="360" w:lineRule="auto"/>
        <w:rPr>
          <w:rStyle w:val="11"/>
          <w:highlight w:val="none"/>
        </w:rPr>
      </w:pPr>
      <w:r>
        <w:rPr>
          <w:rFonts w:hint="eastAsia"/>
          <w:b/>
          <w:bCs/>
          <w:sz w:val="24"/>
          <w:szCs w:val="24"/>
          <w:highlight w:val="none"/>
          <w:lang w:val="en-US" w:eastAsia="zh-CN"/>
        </w:rPr>
        <w:t>离职原因</w:t>
      </w:r>
      <w:r>
        <w:rPr>
          <w:rFonts w:hint="eastAsia"/>
          <w:sz w:val="24"/>
          <w:szCs w:val="24"/>
          <w:highlight w:val="none"/>
          <w:lang w:val="en-US" w:eastAsia="zh-CN"/>
        </w:rPr>
        <w:t>：</w:t>
      </w:r>
      <w:r>
        <w:rPr>
          <w:rFonts w:hint="eastAsia" w:ascii="宋体" w:hAnsi="宋体" w:eastAsia="宋体" w:cs="宋体"/>
          <w:sz w:val="21"/>
          <w:szCs w:val="21"/>
          <w:highlight w:val="none"/>
          <w:lang w:val="en-US" w:eastAsia="zh-CN"/>
        </w:rPr>
        <w:t>业务部分拆分重组，重组后销量</w:t>
      </w:r>
      <w:r>
        <w:rPr>
          <w:rFonts w:hint="default" w:ascii="宋体" w:hAnsi="宋体" w:eastAsia="宋体" w:cs="宋体"/>
          <w:sz w:val="21"/>
          <w:szCs w:val="21"/>
          <w:highlight w:val="none"/>
          <w:lang w:val="en-US" w:eastAsia="zh-CN"/>
        </w:rPr>
        <w:t>受影响较大</w:t>
      </w:r>
      <w:r>
        <w:rPr>
          <w:rFonts w:hint="eastAsia" w:ascii="宋体" w:hAnsi="宋体" w:eastAsia="宋体" w:cs="宋体"/>
          <w:sz w:val="21"/>
          <w:szCs w:val="21"/>
          <w:highlight w:val="none"/>
          <w:lang w:val="en-US" w:eastAsia="zh-CN"/>
        </w:rPr>
        <w:t>。</w:t>
      </w:r>
    </w:p>
    <w:p>
      <w:pPr>
        <w:pStyle w:val="10"/>
        <w:tabs>
          <w:tab w:val="left" w:pos="2977"/>
          <w:tab w:val="left" w:pos="6237"/>
          <w:tab w:val="left" w:pos="8275"/>
          <w:tab w:val="left" w:pos="8715"/>
        </w:tabs>
        <w:autoSpaceDE w:val="0"/>
        <w:autoSpaceDN w:val="0"/>
        <w:bidi w:val="0"/>
        <w:spacing w:before="156" w:beforeLines="50" w:line="360" w:lineRule="auto"/>
        <w:jc w:val="left"/>
        <w:rPr>
          <w:rStyle w:val="6"/>
          <w:rFonts w:hint="eastAsia"/>
          <w:kern w:val="2"/>
          <w:sz w:val="21"/>
          <w:szCs w:val="22"/>
          <w:highlight w:val="none"/>
          <w:lang w:val="en-US" w:eastAsia="zh-CN"/>
        </w:rPr>
      </w:pPr>
      <w:r>
        <w:rPr>
          <w:rStyle w:val="6"/>
          <w:rFonts w:hint="eastAsia"/>
          <w:kern w:val="2"/>
          <w:sz w:val="21"/>
          <w:szCs w:val="22"/>
          <w:highlight w:val="none"/>
          <w:lang w:val="en-US" w:eastAsia="zh-CN"/>
        </w:rPr>
        <w:t>2013/03-2017/10(4年7个月)</w:t>
      </w:r>
      <w:r>
        <w:rPr>
          <w:rStyle w:val="6"/>
          <w:rFonts w:hint="eastAsia"/>
          <w:kern w:val="2"/>
          <w:sz w:val="21"/>
          <w:szCs w:val="22"/>
          <w:highlight w:val="none"/>
          <w:lang w:val="en-US" w:eastAsia="zh-CN"/>
        </w:rPr>
        <w:tab/>
      </w:r>
      <w:r>
        <w:rPr>
          <w:rStyle w:val="6"/>
          <w:rFonts w:hint="eastAsia"/>
          <w:kern w:val="2"/>
          <w:sz w:val="21"/>
          <w:szCs w:val="22"/>
          <w:highlight w:val="none"/>
          <w:lang w:val="en-US" w:eastAsia="zh-CN"/>
        </w:rPr>
        <w:t xml:space="preserve">       荷兰泰高集团       </w:t>
      </w:r>
      <w:r>
        <w:rPr>
          <w:rStyle w:val="6"/>
          <w:rFonts w:hint="eastAsia"/>
          <w:kern w:val="2"/>
          <w:sz w:val="21"/>
          <w:szCs w:val="22"/>
          <w:highlight w:val="none"/>
          <w:lang w:val="en-US" w:eastAsia="zh-CN"/>
        </w:rPr>
        <w:tab/>
      </w:r>
      <w:r>
        <w:rPr>
          <w:rStyle w:val="6"/>
          <w:rFonts w:hint="eastAsia"/>
          <w:kern w:val="2"/>
          <w:sz w:val="21"/>
          <w:szCs w:val="22"/>
          <w:highlight w:val="none"/>
          <w:lang w:val="en-US" w:eastAsia="zh-CN"/>
        </w:rPr>
        <w:t xml:space="preserve">       直销经理</w:t>
      </w:r>
    </w:p>
    <w:p>
      <w:pPr>
        <w:pStyle w:val="10"/>
        <w:bidi w:val="0"/>
        <w:spacing w:line="360" w:lineRule="auto"/>
        <w:rPr>
          <w:rStyle w:val="3"/>
          <w:rFonts w:hint="eastAsia" w:ascii="宋体" w:hAnsi="宋体" w:eastAsia="宋体"/>
          <w:highlight w:val="none"/>
        </w:rPr>
      </w:pPr>
      <w:r>
        <w:rPr>
          <w:rStyle w:val="3"/>
          <w:rFonts w:hint="eastAsia" w:ascii="宋体" w:hAnsi="宋体" w:eastAsia="宋体"/>
          <w:b/>
          <w:highlight w:val="none"/>
        </w:rPr>
        <w:t>公司介绍：</w:t>
      </w:r>
      <w:r>
        <w:rPr>
          <w:rFonts w:hint="default" w:ascii="宋体" w:hAnsi="宋体" w:eastAsia="宋体" w:cs="宋体"/>
          <w:kern w:val="2"/>
          <w:sz w:val="21"/>
          <w:szCs w:val="21"/>
          <w:highlight w:val="none"/>
          <w:lang w:val="en-US" w:eastAsia="zh-CN"/>
        </w:rPr>
        <w:t>荷兰泰高国际集团是全球动物营养和水产饲料领域的领导者，集团业务遍及80多个国家和地区，并在30多个国家设立分支企业，员工逾万人。动物营养业务作为泰高集团两大支柱业务之一，在全球25个国家设有分公司，其中国区业务总部位于北京。</w:t>
      </w:r>
    </w:p>
    <w:p>
      <w:pPr>
        <w:pStyle w:val="10"/>
        <w:bidi w:val="0"/>
        <w:spacing w:line="360" w:lineRule="auto"/>
        <w:rPr>
          <w:rStyle w:val="3"/>
          <w:rFonts w:ascii="宋体" w:hAnsi="宋体" w:eastAsia="宋体"/>
          <w:color w:val="000000"/>
          <w:highlight w:val="none"/>
        </w:rPr>
      </w:pPr>
      <w:r>
        <w:rPr>
          <w:rStyle w:val="3"/>
          <w:rFonts w:hint="eastAsia" w:ascii="宋体" w:hAnsi="宋体" w:eastAsia="宋体"/>
          <w:b/>
          <w:color w:val="000000"/>
          <w:highlight w:val="none"/>
        </w:rPr>
        <w:t>汇报对象：</w:t>
      </w:r>
      <w:r>
        <w:rPr>
          <w:rStyle w:val="3"/>
          <w:rFonts w:hint="eastAsia" w:ascii="宋体" w:hAnsi="宋体" w:eastAsia="宋体"/>
          <w:b/>
          <w:color w:val="000000"/>
          <w:highlight w:val="none"/>
          <w:lang w:eastAsia="zh-CN"/>
        </w:rPr>
        <w:t>省区经理</w:t>
      </w:r>
      <w:r>
        <w:rPr>
          <w:rStyle w:val="3"/>
          <w:rFonts w:hint="eastAsia" w:ascii="宋体" w:hAnsi="宋体" w:eastAsia="宋体"/>
          <w:color w:val="000000"/>
          <w:highlight w:val="none"/>
        </w:rPr>
        <w:t xml:space="preserve">      </w:t>
      </w:r>
    </w:p>
    <w:p>
      <w:pPr>
        <w:pStyle w:val="10"/>
        <w:bidi w:val="0"/>
        <w:spacing w:line="360" w:lineRule="auto"/>
        <w:rPr>
          <w:rStyle w:val="3"/>
          <w:rFonts w:hint="eastAsia" w:ascii="宋体" w:hAnsi="宋体" w:eastAsia="宋体" w:cs="宋体"/>
          <w:b/>
          <w:sz w:val="21"/>
          <w:szCs w:val="21"/>
          <w:highlight w:val="none"/>
        </w:rPr>
      </w:pPr>
      <w:r>
        <w:rPr>
          <w:rStyle w:val="3"/>
          <w:rFonts w:hint="eastAsia" w:ascii="宋体" w:hAnsi="宋体" w:eastAsia="宋体" w:cs="宋体"/>
          <w:b/>
          <w:sz w:val="21"/>
          <w:szCs w:val="21"/>
          <w:highlight w:val="none"/>
        </w:rPr>
        <w:t>工作职责：</w:t>
      </w:r>
    </w:p>
    <w:p>
      <w:pPr>
        <w:pStyle w:val="10"/>
        <w:bidi w:val="0"/>
        <w:spacing w:line="360" w:lineRule="auto"/>
        <w:rPr>
          <w:rFonts w:hint="eastAsia" w:ascii="宋体" w:hAnsi="宋体" w:eastAsia="宋体" w:cs="宋体"/>
          <w:b/>
          <w:bCs/>
          <w:color w:val="C00000"/>
          <w:sz w:val="21"/>
          <w:szCs w:val="21"/>
          <w:lang w:val="en-US" w:eastAsia="zh-CN"/>
        </w:rPr>
      </w:pPr>
      <w:r>
        <w:rPr>
          <w:rFonts w:hint="eastAsia" w:ascii="宋体" w:hAnsi="宋体" w:eastAsia="宋体" w:cs="宋体"/>
          <w:b/>
          <w:bCs/>
          <w:color w:val="C00000"/>
          <w:kern w:val="2"/>
          <w:sz w:val="21"/>
          <w:szCs w:val="21"/>
          <w:lang w:val="en-US" w:eastAsia="zh-CN"/>
        </w:rPr>
        <w:t>淄博、滨州、东营、德州市动</w:t>
      </w:r>
      <w:r>
        <w:rPr>
          <w:rFonts w:hint="eastAsia" w:ascii="宋体" w:hAnsi="宋体" w:eastAsia="宋体" w:cs="宋体"/>
          <w:b/>
          <w:bCs/>
          <w:color w:val="C00000"/>
          <w:sz w:val="21"/>
          <w:szCs w:val="21"/>
          <w:lang w:val="en-US" w:eastAsia="zh-CN"/>
        </w:rPr>
        <w:t>物预混料及</w:t>
      </w:r>
      <w:r>
        <w:rPr>
          <w:rFonts w:hint="eastAsia" w:ascii="宋体" w:hAnsi="宋体" w:cs="宋体"/>
          <w:b/>
          <w:bCs/>
          <w:color w:val="C00000"/>
          <w:sz w:val="21"/>
          <w:szCs w:val="21"/>
          <w:lang w:val="en-US" w:eastAsia="zh-CN"/>
        </w:rPr>
        <w:t>酸化剂、脱霉剂</w:t>
      </w:r>
      <w:r>
        <w:rPr>
          <w:rFonts w:hint="eastAsia" w:ascii="宋体" w:hAnsi="宋体" w:eastAsia="宋体" w:cs="宋体"/>
          <w:b/>
          <w:bCs/>
          <w:color w:val="C00000"/>
          <w:sz w:val="21"/>
          <w:szCs w:val="21"/>
          <w:lang w:val="en-US" w:eastAsia="zh-CN"/>
        </w:rPr>
        <w:t>饲料添加剂</w:t>
      </w:r>
      <w:r>
        <w:rPr>
          <w:rFonts w:hint="eastAsia" w:ascii="宋体" w:hAnsi="宋体" w:cs="宋体"/>
          <w:b/>
          <w:bCs/>
          <w:color w:val="C00000"/>
          <w:sz w:val="21"/>
          <w:szCs w:val="21"/>
          <w:lang w:val="en-US" w:eastAsia="zh-CN"/>
        </w:rPr>
        <w:t>（赛可新、脱素）</w:t>
      </w:r>
      <w:r>
        <w:rPr>
          <w:rFonts w:hint="eastAsia" w:ascii="宋体" w:hAnsi="宋体" w:eastAsia="宋体" w:cs="宋体"/>
          <w:b/>
          <w:bCs/>
          <w:color w:val="C00000"/>
          <w:sz w:val="21"/>
          <w:szCs w:val="21"/>
          <w:lang w:val="en-US" w:eastAsia="zh-CN"/>
        </w:rPr>
        <w:t>的销售</w:t>
      </w:r>
    </w:p>
    <w:p>
      <w:pPr>
        <w:numPr>
          <w:ilvl w:val="0"/>
          <w:numId w:val="2"/>
        </w:num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终端规模养殖场（蛋鸡2-20万，猪50-500头）：了解区域内养殖分布，通过产品特色宣传、公司参观、标杆客户参观、产品实证案例、让客户增进对产品的信任感，进而达成合作。</w:t>
      </w:r>
    </w:p>
    <w:p>
      <w:pPr>
        <w:numPr>
          <w:ilvl w:val="0"/>
          <w:numId w:val="3"/>
        </w:numPr>
        <w:spacing w:line="360" w:lineRule="auto"/>
        <w:ind w:left="420" w:leftChars="0" w:hanging="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合作客户李丙河20万蛋鸡，赵兴銮18万蛋鸡、张科8万蛋鸡</w:t>
      </w:r>
    </w:p>
    <w:p>
      <w:pPr>
        <w:numPr>
          <w:ilvl w:val="0"/>
          <w:numId w:val="4"/>
        </w:num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经销商：交流公司实力以及产品力，探讨合理的利润空间以及养殖户所能接受的合理价位，通过先布点再做数据，进而通过会议扩大宣传，配合促销来扩大销量。</w:t>
      </w:r>
    </w:p>
    <w:p>
      <w:pPr>
        <w:numPr>
          <w:ilvl w:val="0"/>
          <w:numId w:val="5"/>
        </w:numPr>
        <w:spacing w:line="360" w:lineRule="auto"/>
        <w:ind w:left="420" w:leftChars="0" w:hanging="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成功案例：张士双（滨州最大的豆粕经销商）利用张士双在当地的影响力，配合经销商做好数据采集、会议宣传实现销售快速增长，高峰期销量30吨。</w:t>
      </w:r>
    </w:p>
    <w:p>
      <w:pPr>
        <w:numPr>
          <w:ilvl w:val="0"/>
          <w:numId w:val="4"/>
        </w:num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中小规模饲料企业：多方位了解公司人员结构，做好重点拜访，重点体现公司实力和产品特色以及给客户解决的难题和带来的效益，比如我们的0.3%蛋鸡预混料，解决了多维、微量元素以及酶制剂的采购和品控风险，同时减少了氢钙的添加量，从而有更多的空间来优化配方。</w:t>
      </w:r>
    </w:p>
    <w:p>
      <w:pPr>
        <w:numPr>
          <w:ilvl w:val="0"/>
          <w:numId w:val="6"/>
        </w:numPr>
        <w:spacing w:line="360" w:lineRule="auto"/>
        <w:ind w:left="420" w:leftChars="0" w:hanging="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合作客户：滨州中旺饲料厂、青州发达饲料厂</w:t>
      </w:r>
    </w:p>
    <w:p>
      <w:pPr>
        <w:pStyle w:val="10"/>
        <w:bidi w:val="0"/>
        <w:spacing w:line="360" w:lineRule="auto"/>
        <w:rPr>
          <w:rStyle w:val="3"/>
          <w:rFonts w:hint="eastAsia" w:ascii="宋体" w:hAnsi="宋体" w:eastAsia="宋体" w:cs="宋体"/>
          <w:sz w:val="21"/>
          <w:szCs w:val="21"/>
        </w:rPr>
      </w:pPr>
      <w:r>
        <w:rPr>
          <w:rStyle w:val="3"/>
          <w:rFonts w:hint="eastAsia" w:ascii="宋体" w:hAnsi="宋体" w:eastAsia="宋体" w:cs="宋体"/>
          <w:b/>
          <w:sz w:val="21"/>
          <w:szCs w:val="21"/>
        </w:rPr>
        <w:t>离职原因：</w:t>
      </w:r>
      <w:r>
        <w:rPr>
          <w:rFonts w:hint="eastAsia" w:ascii="宋体" w:hAnsi="宋体" w:eastAsia="宋体" w:cs="宋体"/>
          <w:sz w:val="21"/>
          <w:szCs w:val="21"/>
          <w:lang w:val="en-US" w:eastAsia="zh-CN"/>
        </w:rPr>
        <w:t>公司业务部门调整，领导层更迭，个人负责市场变动。</w:t>
      </w:r>
    </w:p>
    <w:p>
      <w:pPr>
        <w:spacing w:line="360" w:lineRule="auto"/>
        <w:rPr>
          <w:rStyle w:val="6"/>
          <w:rFonts w:hint="eastAsia"/>
          <w:kern w:val="2"/>
          <w:sz w:val="21"/>
          <w:szCs w:val="22"/>
          <w:lang w:val="en-US" w:eastAsia="zh-CN"/>
        </w:rPr>
      </w:pPr>
      <w:r>
        <w:rPr>
          <w:rStyle w:val="6"/>
          <w:rFonts w:hint="eastAsia"/>
          <w:kern w:val="2"/>
          <w:sz w:val="21"/>
          <w:szCs w:val="22"/>
          <w:lang w:val="en-US" w:eastAsia="zh-CN"/>
        </w:rPr>
        <w:t>2011/08—2013/02（1年7个月）       新希望六和股份有限公司           业务代表</w:t>
      </w:r>
    </w:p>
    <w:p>
      <w:pPr>
        <w:pStyle w:val="10"/>
        <w:bidi w:val="0"/>
        <w:spacing w:line="360" w:lineRule="auto"/>
        <w:rPr>
          <w:rStyle w:val="3"/>
          <w:rFonts w:hint="eastAsia" w:ascii="宋体" w:hAnsi="宋体" w:eastAsia="宋体" w:cs="宋体"/>
          <w:sz w:val="21"/>
          <w:szCs w:val="21"/>
        </w:rPr>
      </w:pPr>
      <w:r>
        <w:rPr>
          <w:rStyle w:val="3"/>
          <w:rFonts w:hint="eastAsia" w:ascii="宋体" w:hAnsi="宋体" w:eastAsia="宋体" w:cs="宋体"/>
          <w:b/>
          <w:sz w:val="21"/>
          <w:szCs w:val="21"/>
        </w:rPr>
        <w:t>公司介绍：</w:t>
      </w:r>
      <w:r>
        <w:rPr>
          <w:rFonts w:hint="eastAsia" w:ascii="宋体" w:hAnsi="宋体" w:eastAsia="宋体" w:cs="宋体"/>
          <w:kern w:val="2"/>
          <w:sz w:val="21"/>
          <w:szCs w:val="21"/>
          <w:lang w:val="en-US" w:eastAsia="zh-CN"/>
        </w:rPr>
        <w:t>新希望六和股份有限公司（股票代码000876）创立于1998年并于1998年3月11日在深圳证券交易所上市。公司立足农牧产业、注重稳健发展，业务涉及饲料、养殖、肉制品及金融投资、商贸等，公司业务遍布全国及越南、菲律宾、孟加拉、印度尼西亚、柬埔寨、斯里兰卡、新加坡、埃及、美国等20多个国家。</w:t>
      </w:r>
    </w:p>
    <w:p>
      <w:pPr>
        <w:pStyle w:val="10"/>
        <w:bidi w:val="0"/>
        <w:spacing w:line="360" w:lineRule="auto"/>
        <w:rPr>
          <w:rFonts w:hint="eastAsia" w:ascii="宋体" w:hAnsi="宋体" w:eastAsia="宋体" w:cs="宋体"/>
          <w:sz w:val="21"/>
          <w:szCs w:val="21"/>
          <w:lang w:val="en-US" w:eastAsia="zh-CN"/>
        </w:rPr>
      </w:pPr>
      <w:r>
        <w:rPr>
          <w:rStyle w:val="3"/>
          <w:rFonts w:hint="eastAsia" w:ascii="宋体" w:hAnsi="宋体" w:eastAsia="宋体" w:cs="宋体"/>
          <w:b/>
          <w:sz w:val="21"/>
          <w:szCs w:val="21"/>
        </w:rPr>
        <w:t>工作职责：</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滨州、东营市蛋禽配合饲料销售</w:t>
      </w:r>
    </w:p>
    <w:p>
      <w:pPr>
        <w:numPr>
          <w:ilvl w:val="0"/>
          <w:numId w:val="7"/>
        </w:num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前期地毯式摸排，筛选有价值的客户，推广会议跟进，会后跟踪，结合当时原料短缺，实现了销量快速上升。销售提升后通过客情维护和数据实证稳定客户；</w:t>
      </w:r>
    </w:p>
    <w:p>
      <w:pPr>
        <w:numPr>
          <w:ilvl w:val="0"/>
          <w:numId w:val="7"/>
        </w:num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11年9月份，在滨城区一场营销会议，到会30人，通过促销方式订货200吨。</w:t>
      </w:r>
    </w:p>
    <w:p>
      <w:pPr>
        <w:spacing w:line="360" w:lineRule="auto"/>
        <w:rPr>
          <w:rStyle w:val="6"/>
          <w:rFonts w:hint="eastAsia"/>
          <w:kern w:val="2"/>
          <w:sz w:val="21"/>
          <w:szCs w:val="22"/>
          <w:lang w:val="en-US" w:eastAsia="zh-CN"/>
        </w:rPr>
      </w:pPr>
      <w:r>
        <w:rPr>
          <w:rStyle w:val="6"/>
          <w:rFonts w:hint="eastAsia"/>
          <w:kern w:val="2"/>
          <w:sz w:val="21"/>
          <w:szCs w:val="22"/>
          <w:lang w:val="en-US" w:eastAsia="zh-CN"/>
        </w:rPr>
        <w:t>2008/08—2011/06（2年10个月）      青岛渤海实业有限公司         设备工程师</w:t>
      </w:r>
    </w:p>
    <w:p>
      <w:pPr>
        <w:pStyle w:val="10"/>
        <w:bidi w:val="0"/>
        <w:spacing w:line="360" w:lineRule="auto"/>
        <w:rPr>
          <w:rStyle w:val="3"/>
          <w:rFonts w:hint="eastAsia" w:ascii="宋体" w:hAnsi="宋体" w:eastAsia="宋体" w:cs="宋体"/>
          <w:sz w:val="21"/>
          <w:szCs w:val="21"/>
        </w:rPr>
      </w:pPr>
      <w:r>
        <w:rPr>
          <w:rStyle w:val="3"/>
          <w:rFonts w:hint="eastAsia" w:ascii="宋体" w:hAnsi="宋体" w:eastAsia="宋体" w:cs="宋体"/>
          <w:b/>
          <w:sz w:val="21"/>
          <w:szCs w:val="21"/>
        </w:rPr>
        <w:t>公司介绍：</w:t>
      </w:r>
      <w:r>
        <w:rPr>
          <w:rFonts w:hint="eastAsia" w:ascii="宋体" w:hAnsi="宋体" w:eastAsia="宋体" w:cs="宋体"/>
          <w:kern w:val="2"/>
          <w:sz w:val="21"/>
          <w:szCs w:val="21"/>
          <w:lang w:val="en-US" w:eastAsia="zh-CN"/>
        </w:rPr>
        <w:t>青岛渤海农业发展有限公司是由山东渤海实业股份有限公司投资兴建集粮油加工、国际贸易、仓储物流于一体的粮油加工企业。公司于2007年1月竣工投产，位于青岛港8号码头，占地面积5万余平方米，生产规模为日加工大豆6000吨，配套食用油日精炼能力1000吨，达产后年可实现销售收入50亿元。 </w:t>
      </w:r>
    </w:p>
    <w:p>
      <w:pPr>
        <w:pStyle w:val="10"/>
        <w:bidi w:val="0"/>
        <w:spacing w:line="360" w:lineRule="auto"/>
        <w:rPr>
          <w:rFonts w:hint="eastAsia" w:ascii="宋体" w:hAnsi="宋体" w:eastAsia="宋体" w:cs="宋体"/>
          <w:sz w:val="21"/>
          <w:szCs w:val="21"/>
          <w:lang w:val="en-US" w:eastAsia="zh-CN"/>
        </w:rPr>
      </w:pPr>
      <w:r>
        <w:rPr>
          <w:rStyle w:val="3"/>
          <w:rFonts w:hint="eastAsia" w:ascii="宋体" w:hAnsi="宋体" w:eastAsia="宋体" w:cs="宋体"/>
          <w:b/>
          <w:sz w:val="21"/>
          <w:szCs w:val="21"/>
        </w:rPr>
        <w:t>工作职责：</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生产设备的维护和管理</w:t>
      </w:r>
    </w:p>
    <w:p>
      <w:pPr>
        <w:pStyle w:val="12"/>
        <w:bidi w:val="0"/>
        <w:spacing w:before="312"/>
        <w:rPr>
          <w:rStyle w:val="3"/>
        </w:rPr>
      </w:pPr>
      <w:r>
        <w:rPr>
          <w:rStyle w:val="3"/>
          <w:rFonts w:hint="eastAsia"/>
        </w:rPr>
        <w:t>教育经历</w:t>
      </w:r>
    </w:p>
    <w:p>
      <w:pPr>
        <w:rPr>
          <w:rStyle w:val="6"/>
        </w:rPr>
      </w:pPr>
      <w:r>
        <w:rPr>
          <w:rStyle w:val="6"/>
        </w:rPr>
        <w:t xml:space="preserve">2005/09-2008/07    日照职业技术学院    </w:t>
      </w:r>
      <w:r>
        <w:rPr>
          <w:rStyle w:val="6"/>
          <w:rFonts w:hint="eastAsia" w:eastAsia="宋体"/>
          <w:lang w:val="en-US" w:eastAsia="zh-CN"/>
        </w:rPr>
        <w:t xml:space="preserve"> 应用电子技术    大专</w:t>
      </w:r>
      <w:r>
        <w:rPr>
          <w:rStyle w:val="6"/>
        </w:rPr>
        <w:tab/>
      </w:r>
      <w:r>
        <w:rPr>
          <w:rStyle w:val="6"/>
        </w:rPr>
        <w:tab/>
      </w:r>
      <w:r>
        <w:rPr>
          <w:rStyle w:val="6"/>
        </w:rPr>
        <w:tab/>
      </w:r>
      <w:r>
        <w:rPr>
          <w:rStyle w:val="6"/>
        </w:rPr>
        <w:tab/>
      </w:r>
    </w:p>
    <w:p>
      <w:pPr>
        <w:rPr>
          <w:rStyle w:val="6"/>
        </w:rPr>
      </w:pPr>
    </w:p>
    <w:p>
      <w:pPr>
        <w:bidi w:val="0"/>
        <w:spacing w:line="360" w:lineRule="auto"/>
        <w:rPr>
          <w:rFonts w:ascii="宋体" w:hAnsi="宋体" w:eastAsia="宋体"/>
          <w:b/>
          <w:bCs/>
          <w:color w:val="0000FF"/>
          <w:sz w:val="21"/>
          <w:szCs w:val="21"/>
        </w:rPr>
      </w:pPr>
      <w:r>
        <w:rPr>
          <w:rFonts w:ascii="宋体" w:hAnsi="宋体" w:eastAsia="宋体"/>
          <w:b/>
          <w:bCs/>
          <w:color w:val="0000FF"/>
          <w:sz w:val="21"/>
          <w:szCs w:val="21"/>
        </w:rPr>
        <w:t>【核心优势】</w:t>
      </w:r>
    </w:p>
    <w:p>
      <w:pPr>
        <w:numPr>
          <w:ilvl w:val="0"/>
          <w:numId w:val="8"/>
        </w:numPr>
        <w:bidi w:val="0"/>
        <w:spacing w:line="360" w:lineRule="auto"/>
        <w:ind w:left="420" w:leftChars="0" w:hanging="420" w:firstLineChars="0"/>
        <w:rPr>
          <w:rStyle w:val="3"/>
          <w:rFonts w:hint="eastAsia" w:ascii="宋体" w:hAnsi="宋体" w:eastAsia="宋体"/>
          <w:b/>
          <w:bCs/>
          <w:color w:val="C00000"/>
          <w:kern w:val="2"/>
          <w:sz w:val="21"/>
          <w:szCs w:val="21"/>
          <w:lang w:val="en-US" w:eastAsia="zh-CN"/>
        </w:rPr>
      </w:pPr>
      <w:r>
        <w:rPr>
          <w:rStyle w:val="3"/>
          <w:rFonts w:hint="eastAsia" w:ascii="宋体" w:hAnsi="宋体" w:eastAsia="宋体"/>
          <w:b/>
          <w:bCs/>
          <w:color w:val="C00000"/>
          <w:kern w:val="2"/>
          <w:sz w:val="21"/>
          <w:szCs w:val="21"/>
          <w:lang w:val="en-US" w:eastAsia="zh-CN"/>
        </w:rPr>
        <w:t>7年销售管理经验，</w:t>
      </w:r>
      <w:r>
        <w:rPr>
          <w:rStyle w:val="3"/>
          <w:rFonts w:hint="eastAsia" w:ascii="宋体" w:hAnsi="宋体" w:eastAsia="宋体"/>
          <w:b/>
          <w:bCs/>
          <w:color w:val="C00000"/>
          <w:kern w:val="2"/>
          <w:sz w:val="21"/>
          <w:szCs w:val="21"/>
          <w:lang w:eastAsia="zh-CN"/>
        </w:rPr>
        <w:t>国内外功能性及营养性饲料添加剂、预混料</w:t>
      </w:r>
      <w:r>
        <w:rPr>
          <w:rStyle w:val="3"/>
          <w:rFonts w:hint="eastAsia" w:ascii="宋体" w:hAnsi="宋体"/>
          <w:b/>
          <w:bCs/>
          <w:color w:val="C00000"/>
          <w:kern w:val="2"/>
          <w:sz w:val="21"/>
          <w:szCs w:val="21"/>
          <w:lang w:eastAsia="zh-CN"/>
        </w:rPr>
        <w:t>、疫苗</w:t>
      </w:r>
      <w:r>
        <w:rPr>
          <w:rStyle w:val="3"/>
          <w:rFonts w:hint="eastAsia" w:ascii="宋体" w:hAnsi="宋体" w:eastAsia="宋体"/>
          <w:b/>
          <w:bCs/>
          <w:color w:val="C00000"/>
          <w:kern w:val="2"/>
          <w:sz w:val="21"/>
          <w:szCs w:val="21"/>
          <w:lang w:eastAsia="zh-CN"/>
        </w:rPr>
        <w:t>销</w:t>
      </w:r>
      <w:r>
        <w:rPr>
          <w:rStyle w:val="3"/>
          <w:rFonts w:hint="eastAsia" w:ascii="宋体" w:hAnsi="宋体"/>
          <w:b/>
          <w:bCs/>
          <w:color w:val="C00000"/>
          <w:kern w:val="2"/>
          <w:sz w:val="21"/>
          <w:szCs w:val="21"/>
          <w:lang w:eastAsia="zh-CN"/>
        </w:rPr>
        <w:t>售经历丰富</w:t>
      </w:r>
      <w:r>
        <w:rPr>
          <w:rStyle w:val="3"/>
          <w:rFonts w:hint="eastAsia" w:ascii="宋体" w:hAnsi="宋体" w:eastAsia="宋体"/>
          <w:b/>
          <w:bCs/>
          <w:color w:val="C00000"/>
          <w:kern w:val="2"/>
          <w:sz w:val="21"/>
          <w:szCs w:val="21"/>
          <w:lang w:val="en-US" w:eastAsia="zh-CN"/>
        </w:rPr>
        <w:t>；</w:t>
      </w:r>
    </w:p>
    <w:p>
      <w:pPr>
        <w:pStyle w:val="7"/>
        <w:keepNext w:val="0"/>
        <w:keepLines w:val="0"/>
        <w:pageBreakBefore w:val="0"/>
        <w:widowControl w:val="0"/>
        <w:numPr>
          <w:ilvl w:val="0"/>
          <w:numId w:val="9"/>
        </w:numPr>
        <w:kinsoku/>
        <w:wordWrap/>
        <w:overflowPunct/>
        <w:topLinePunct w:val="0"/>
        <w:autoSpaceDE/>
        <w:autoSpaceDN/>
        <w:bidi w:val="0"/>
        <w:adjustRightInd/>
        <w:snapToGrid/>
        <w:spacing w:line="360" w:lineRule="auto"/>
        <w:ind w:left="420" w:leftChars="0" w:hanging="420" w:firstLineChars="0"/>
        <w:textAlignment w:val="auto"/>
        <w:outlineLvl w:val="9"/>
        <w:rPr>
          <w:rStyle w:val="3"/>
          <w:rFonts w:hint="eastAsia" w:ascii="宋体" w:hAnsi="宋体" w:eastAsia="宋体"/>
          <w:b/>
          <w:bCs/>
          <w:color w:val="C00000"/>
          <w:kern w:val="2"/>
          <w:sz w:val="21"/>
          <w:szCs w:val="21"/>
          <w:lang w:eastAsia="zh-CN"/>
        </w:rPr>
      </w:pPr>
      <w:r>
        <w:rPr>
          <w:rStyle w:val="3"/>
          <w:rFonts w:hint="eastAsia" w:ascii="宋体" w:hAnsi="宋体" w:eastAsia="宋体"/>
          <w:b/>
          <w:bCs/>
          <w:color w:val="C00000"/>
          <w:kern w:val="2"/>
          <w:sz w:val="21"/>
          <w:szCs w:val="21"/>
          <w:lang w:eastAsia="zh-CN"/>
        </w:rPr>
        <w:t>熟悉山东及周边地区的饲料公司及规模化养殖场；</w:t>
      </w:r>
    </w:p>
    <w:p>
      <w:pPr>
        <w:pStyle w:val="7"/>
        <w:keepNext w:val="0"/>
        <w:keepLines w:val="0"/>
        <w:pageBreakBefore w:val="0"/>
        <w:widowControl w:val="0"/>
        <w:numPr>
          <w:ilvl w:val="0"/>
          <w:numId w:val="9"/>
        </w:numPr>
        <w:kinsoku/>
        <w:wordWrap/>
        <w:overflowPunct/>
        <w:topLinePunct w:val="0"/>
        <w:autoSpaceDE/>
        <w:autoSpaceDN/>
        <w:bidi w:val="0"/>
        <w:adjustRightInd/>
        <w:snapToGrid/>
        <w:spacing w:line="360" w:lineRule="auto"/>
        <w:ind w:left="420" w:leftChars="0" w:hanging="420" w:firstLineChars="0"/>
        <w:textAlignment w:val="auto"/>
        <w:outlineLvl w:val="9"/>
        <w:rPr>
          <w:rStyle w:val="3"/>
          <w:rFonts w:hint="eastAsia" w:ascii="宋体" w:hAnsi="宋体" w:eastAsia="宋体"/>
          <w:b/>
          <w:bCs/>
          <w:color w:val="C00000"/>
          <w:kern w:val="2"/>
          <w:sz w:val="21"/>
          <w:szCs w:val="21"/>
          <w:lang w:eastAsia="zh-CN"/>
        </w:rPr>
      </w:pPr>
      <w:r>
        <w:rPr>
          <w:rStyle w:val="3"/>
          <w:rFonts w:hint="eastAsia" w:ascii="宋体" w:hAnsi="宋体" w:eastAsia="宋体"/>
          <w:b/>
          <w:bCs/>
          <w:color w:val="C00000"/>
          <w:kern w:val="2"/>
          <w:sz w:val="21"/>
          <w:szCs w:val="21"/>
          <w:lang w:eastAsia="zh-CN"/>
        </w:rPr>
        <w:t>有空白市场开发经验，有一定的客户资源及经销商管理经验；</w:t>
      </w:r>
    </w:p>
    <w:p>
      <w:pPr>
        <w:pStyle w:val="7"/>
        <w:keepNext w:val="0"/>
        <w:keepLines w:val="0"/>
        <w:pageBreakBefore w:val="0"/>
        <w:widowControl w:val="0"/>
        <w:numPr>
          <w:ilvl w:val="0"/>
          <w:numId w:val="9"/>
        </w:numPr>
        <w:kinsoku/>
        <w:wordWrap/>
        <w:overflowPunct/>
        <w:topLinePunct w:val="0"/>
        <w:autoSpaceDE/>
        <w:autoSpaceDN/>
        <w:bidi w:val="0"/>
        <w:adjustRightInd/>
        <w:snapToGrid/>
        <w:spacing w:line="360" w:lineRule="auto"/>
        <w:ind w:left="420" w:leftChars="0" w:hanging="420" w:firstLineChars="0"/>
        <w:textAlignment w:val="auto"/>
        <w:outlineLvl w:val="9"/>
        <w:rPr>
          <w:rStyle w:val="3"/>
          <w:rFonts w:hint="eastAsia" w:ascii="宋体" w:hAnsi="宋体" w:eastAsia="宋体"/>
          <w:b/>
          <w:bCs/>
          <w:color w:val="C00000"/>
          <w:kern w:val="2"/>
          <w:sz w:val="21"/>
          <w:szCs w:val="21"/>
          <w:lang w:eastAsia="zh-CN"/>
        </w:rPr>
      </w:pPr>
      <w:r>
        <w:rPr>
          <w:rStyle w:val="3"/>
          <w:rFonts w:hint="eastAsia" w:ascii="宋体" w:hAnsi="宋体" w:eastAsia="宋体"/>
          <w:b/>
          <w:bCs/>
          <w:color w:val="C00000"/>
          <w:kern w:val="2"/>
          <w:sz w:val="21"/>
          <w:szCs w:val="21"/>
          <w:lang w:val="en-US" w:eastAsia="zh-CN"/>
        </w:rPr>
        <w:t>上进心强，擅长沟通和人际关系。</w:t>
      </w:r>
    </w:p>
    <w:p>
      <w:pPr>
        <w:bidi w:val="0"/>
        <w:spacing w:line="360" w:lineRule="auto"/>
        <w:rPr>
          <w:rFonts w:ascii="宋体" w:hAnsi="宋体" w:eastAsia="宋体"/>
          <w:sz w:val="21"/>
          <w:szCs w:val="21"/>
          <w:highlight w:val="none"/>
        </w:rPr>
      </w:pPr>
    </w:p>
    <w:p>
      <w:pPr>
        <w:bidi w:val="0"/>
        <w:spacing w:line="360" w:lineRule="auto"/>
        <w:rPr>
          <w:rFonts w:hint="eastAsia" w:ascii="宋体" w:hAnsi="宋体" w:eastAsia="宋体"/>
          <w:sz w:val="21"/>
          <w:szCs w:val="21"/>
          <w:highlight w:val="none"/>
          <w:lang w:val="en-US" w:eastAsia="zh-CN"/>
        </w:rPr>
      </w:pPr>
      <w:r>
        <w:rPr>
          <w:rFonts w:hint="eastAsia" w:ascii="宋体" w:hAnsi="宋体"/>
          <w:sz w:val="21"/>
          <w:szCs w:val="21"/>
          <w:highlight w:val="none"/>
          <w:lang w:eastAsia="zh-CN"/>
        </w:rPr>
        <w:t>猎头评语：</w:t>
      </w:r>
      <w:r>
        <w:rPr>
          <w:rFonts w:hint="eastAsia" w:ascii="宋体" w:hAnsi="宋体" w:eastAsia="宋体"/>
          <w:sz w:val="21"/>
          <w:szCs w:val="21"/>
          <w:highlight w:val="none"/>
        </w:rPr>
        <w:t>85年，大专，应用电子技术专业，</w:t>
      </w:r>
      <w:r>
        <w:rPr>
          <w:rFonts w:hint="eastAsia" w:ascii="宋体" w:hAnsi="宋体"/>
          <w:sz w:val="21"/>
          <w:szCs w:val="21"/>
          <w:highlight w:val="none"/>
          <w:lang w:eastAsia="zh-CN"/>
        </w:rPr>
        <w:t>离职前</w:t>
      </w:r>
      <w:r>
        <w:rPr>
          <w:rFonts w:hint="eastAsia" w:ascii="宋体" w:hAnsi="宋体" w:eastAsia="宋体"/>
          <w:sz w:val="21"/>
          <w:szCs w:val="21"/>
          <w:highlight w:val="none"/>
          <w:lang w:val="en-US" w:eastAsia="zh-CN"/>
        </w:rPr>
        <w:t>综合年薪20W(底薪8K+提成销售额5%+补贴)</w:t>
      </w:r>
      <w:r>
        <w:rPr>
          <w:rFonts w:hint="eastAsia" w:ascii="宋体" w:hAnsi="宋体"/>
          <w:sz w:val="21"/>
          <w:szCs w:val="21"/>
          <w:highlight w:val="none"/>
          <w:lang w:val="en-US" w:eastAsia="zh-CN"/>
        </w:rPr>
        <w:t>，期望薪资不低于之前。</w:t>
      </w:r>
      <w:bookmarkStart w:id="0" w:name="_GoBack"/>
      <w:bookmarkEnd w:id="0"/>
    </w:p>
    <w:p>
      <w:pPr>
        <w:bidi w:val="0"/>
        <w:spacing w:line="360" w:lineRule="auto"/>
        <w:rPr>
          <w:rFonts w:hint="eastAsia" w:ascii="宋体" w:hAnsi="宋体" w:eastAsia="宋体"/>
          <w:sz w:val="21"/>
          <w:szCs w:val="21"/>
          <w:highlight w:val="none"/>
          <w:lang w:val="en-US" w:eastAsia="zh-CN"/>
        </w:rPr>
      </w:pPr>
    </w:p>
    <w:p>
      <w:pPr>
        <w:bidi w:val="0"/>
        <w:spacing w:line="360" w:lineRule="auto"/>
        <w:rPr>
          <w:rFonts w:hint="eastAsia" w:ascii="宋体" w:hAnsi="宋体" w:eastAsia="宋体"/>
          <w:sz w:val="21"/>
          <w:szCs w:val="21"/>
          <w:highlight w:val="none"/>
          <w:lang w:val="en-US" w:eastAsia="zh-CN"/>
        </w:rPr>
      </w:pPr>
    </w:p>
    <w:p>
      <w:pPr>
        <w:bidi w:val="0"/>
        <w:spacing w:line="360" w:lineRule="auto"/>
        <w:rPr>
          <w:rFonts w:hint="eastAsia" w:ascii="宋体" w:hAnsi="宋体" w:eastAsia="宋体"/>
          <w:sz w:val="21"/>
          <w:szCs w:val="21"/>
          <w:lang w:eastAsia="zh-CN"/>
        </w:rPr>
      </w:pPr>
    </w:p>
    <w:p>
      <w:pPr>
        <w:rPr>
          <w:rStyle w:val="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Light">
    <w:altName w:val="宋体"/>
    <w:panose1 w:val="02010600030101010101"/>
    <w:charset w:val="86"/>
    <w:family w:val="auto"/>
    <w:pitch w:val="default"/>
    <w:sig w:usb0="00000000" w:usb1="00000000"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B4A4E7"/>
    <w:multiLevelType w:val="singleLevel"/>
    <w:tmpl w:val="DEB4A4E7"/>
    <w:lvl w:ilvl="0" w:tentative="0">
      <w:start w:val="1"/>
      <w:numFmt w:val="bullet"/>
      <w:lvlText w:val=""/>
      <w:lvlJc w:val="left"/>
      <w:pPr>
        <w:ind w:left="420" w:hanging="420"/>
      </w:pPr>
      <w:rPr>
        <w:rFonts w:hint="default" w:ascii="Wingdings" w:hAnsi="Wingdings"/>
      </w:rPr>
    </w:lvl>
  </w:abstractNum>
  <w:abstractNum w:abstractNumId="1">
    <w:nsid w:val="E0F6E40A"/>
    <w:multiLevelType w:val="singleLevel"/>
    <w:tmpl w:val="E0F6E40A"/>
    <w:lvl w:ilvl="0" w:tentative="0">
      <w:start w:val="1"/>
      <w:numFmt w:val="bullet"/>
      <w:lvlText w:val=""/>
      <w:lvlJc w:val="left"/>
      <w:pPr>
        <w:ind w:left="420" w:hanging="420"/>
      </w:pPr>
      <w:rPr>
        <w:rFonts w:hint="default" w:ascii="Wingdings" w:hAnsi="Wingdings"/>
      </w:rPr>
    </w:lvl>
  </w:abstractNum>
  <w:abstractNum w:abstractNumId="2">
    <w:nsid w:val="00000001"/>
    <w:multiLevelType w:val="singleLevel"/>
    <w:tmpl w:val="00000001"/>
    <w:lvl w:ilvl="0" w:tentative="0">
      <w:start w:val="2"/>
      <w:numFmt w:val="decimal"/>
      <w:suff w:val="nothing"/>
      <w:lvlText w:val="%1、"/>
      <w:lvlJc w:val="left"/>
    </w:lvl>
  </w:abstractNum>
  <w:abstractNum w:abstractNumId="3">
    <w:nsid w:val="12E69436"/>
    <w:multiLevelType w:val="singleLevel"/>
    <w:tmpl w:val="12E69436"/>
    <w:lvl w:ilvl="0" w:tentative="0">
      <w:start w:val="1"/>
      <w:numFmt w:val="bullet"/>
      <w:lvlText w:val=""/>
      <w:lvlJc w:val="left"/>
      <w:pPr>
        <w:ind w:left="420" w:hanging="420"/>
      </w:pPr>
      <w:rPr>
        <w:rFonts w:hint="default" w:ascii="Wingdings" w:hAnsi="Wingdings"/>
      </w:rPr>
    </w:lvl>
  </w:abstractNum>
  <w:abstractNum w:abstractNumId="4">
    <w:nsid w:val="20E8FDD8"/>
    <w:multiLevelType w:val="singleLevel"/>
    <w:tmpl w:val="20E8FDD8"/>
    <w:lvl w:ilvl="0" w:tentative="0">
      <w:start w:val="1"/>
      <w:numFmt w:val="decimal"/>
      <w:suff w:val="nothing"/>
      <w:lvlText w:val="%1、"/>
      <w:lvlJc w:val="left"/>
    </w:lvl>
  </w:abstractNum>
  <w:abstractNum w:abstractNumId="5">
    <w:nsid w:val="3157C7B5"/>
    <w:multiLevelType w:val="singleLevel"/>
    <w:tmpl w:val="3157C7B5"/>
    <w:lvl w:ilvl="0" w:tentative="0">
      <w:start w:val="1"/>
      <w:numFmt w:val="bullet"/>
      <w:lvlText w:val=""/>
      <w:lvlJc w:val="left"/>
      <w:pPr>
        <w:ind w:left="420" w:hanging="420"/>
      </w:pPr>
      <w:rPr>
        <w:rFonts w:hint="default" w:ascii="Wingdings" w:hAnsi="Wingdings"/>
      </w:rPr>
    </w:lvl>
  </w:abstractNum>
  <w:abstractNum w:abstractNumId="6">
    <w:nsid w:val="3D067E1E"/>
    <w:multiLevelType w:val="singleLevel"/>
    <w:tmpl w:val="3D067E1E"/>
    <w:lvl w:ilvl="0" w:tentative="0">
      <w:start w:val="1"/>
      <w:numFmt w:val="bullet"/>
      <w:lvlText w:val=""/>
      <w:lvlJc w:val="left"/>
      <w:pPr>
        <w:ind w:left="420" w:hanging="420"/>
      </w:pPr>
      <w:rPr>
        <w:rFonts w:hint="default" w:ascii="Wingdings" w:hAnsi="Wingdings"/>
      </w:rPr>
    </w:lvl>
  </w:abstractNum>
  <w:abstractNum w:abstractNumId="7">
    <w:nsid w:val="45919374"/>
    <w:multiLevelType w:val="singleLevel"/>
    <w:tmpl w:val="45919374"/>
    <w:lvl w:ilvl="0" w:tentative="0">
      <w:start w:val="1"/>
      <w:numFmt w:val="bullet"/>
      <w:lvlText w:val=""/>
      <w:lvlJc w:val="left"/>
      <w:pPr>
        <w:ind w:left="420" w:hanging="420"/>
      </w:pPr>
      <w:rPr>
        <w:rFonts w:hint="default" w:ascii="Wingdings" w:hAnsi="Wingdings"/>
      </w:rPr>
    </w:lvl>
  </w:abstractNum>
  <w:abstractNum w:abstractNumId="8">
    <w:nsid w:val="63441844"/>
    <w:multiLevelType w:val="singleLevel"/>
    <w:tmpl w:val="63441844"/>
    <w:lvl w:ilvl="0" w:tentative="0">
      <w:start w:val="1"/>
      <w:numFmt w:val="decimal"/>
      <w:suff w:val="nothing"/>
      <w:lvlText w:val="%1、"/>
      <w:lvlJc w:val="left"/>
    </w:lvl>
  </w:abstractNum>
  <w:num w:numId="1">
    <w:abstractNumId w:val="3"/>
  </w:num>
  <w:num w:numId="2">
    <w:abstractNumId w:val="8"/>
  </w:num>
  <w:num w:numId="3">
    <w:abstractNumId w:val="7"/>
  </w:num>
  <w:num w:numId="4">
    <w:abstractNumId w:val="2"/>
  </w:num>
  <w:num w:numId="5">
    <w:abstractNumId w:val="6"/>
  </w:num>
  <w:num w:numId="6">
    <w:abstractNumId w:val="0"/>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91286B"/>
    <w:rsid w:val="2A91286B"/>
    <w:rsid w:val="2B111ECC"/>
    <w:rsid w:val="333F516E"/>
    <w:rsid w:val="35513912"/>
    <w:rsid w:val="39977A90"/>
    <w:rsid w:val="42E27E75"/>
    <w:rsid w:val="4BA5661F"/>
    <w:rsid w:val="59B56316"/>
    <w:rsid w:val="62EF6D44"/>
    <w:rsid w:val="669879CA"/>
    <w:rsid w:val="6968746C"/>
    <w:rsid w:val="6B340AE3"/>
    <w:rsid w:val="715C435B"/>
    <w:rsid w:val="7A1C4664"/>
    <w:rsid w:val="7E3052B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rPr>
  </w:style>
  <w:style w:type="paragraph" w:styleId="2">
    <w:name w:val="heading 2"/>
    <w:basedOn w:val="1"/>
    <w:next w:val="1"/>
    <w:unhideWhenUsed/>
    <w:qFormat/>
    <w:uiPriority w:val="9"/>
    <w:pPr>
      <w:keepNext/>
      <w:keepLines/>
      <w:spacing w:before="260" w:after="260" w:line="416" w:lineRule="auto"/>
      <w:outlineLvl w:val="1"/>
    </w:pPr>
    <w:rPr>
      <w:rFonts w:ascii="等线 Light" w:hAnsi="等线 Light" w:eastAsia="等线 Light" w:cs="Times New Roman"/>
      <w:b/>
      <w:bCs/>
      <w:sz w:val="32"/>
      <w:szCs w:val="32"/>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6">
    <w:name w:val="样式2_2"/>
    <w:basedOn w:val="3"/>
    <w:qFormat/>
    <w:uiPriority w:val="1"/>
    <w:rPr>
      <w:rFonts w:ascii="宋体" w:hAnsi="宋体" w:eastAsia="宋体"/>
      <w:b/>
      <w:color w:val="2E74B5"/>
    </w:rPr>
  </w:style>
  <w:style w:type="paragraph" w:customStyle="1" w:styleId="7">
    <w:name w:val="Normal_1"/>
    <w:qFormat/>
    <w:uiPriority w:val="0"/>
    <w:pPr>
      <w:widowControl w:val="0"/>
      <w:jc w:val="both"/>
    </w:pPr>
    <w:rPr>
      <w:rFonts w:ascii="Times New Roman" w:hAnsi="Times New Roman" w:eastAsia="宋体" w:cs="Times New Roman"/>
      <w:kern w:val="2"/>
      <w:sz w:val="21"/>
      <w:szCs w:val="22"/>
    </w:rPr>
  </w:style>
  <w:style w:type="paragraph" w:customStyle="1" w:styleId="8">
    <w:name w:val="样式1"/>
    <w:basedOn w:val="1"/>
    <w:qFormat/>
    <w:uiPriority w:val="0"/>
    <w:pPr>
      <w:spacing w:before="100" w:beforeLines="100"/>
    </w:pPr>
    <w:rPr>
      <w:rFonts w:ascii="宋体" w:hAnsi="宋体" w:eastAsia="宋体"/>
      <w:b/>
      <w:color w:val="2E74B5"/>
      <w:sz w:val="28"/>
    </w:rPr>
  </w:style>
  <w:style w:type="paragraph" w:customStyle="1" w:styleId="9">
    <w:name w:val="样式1_2"/>
    <w:basedOn w:val="10"/>
    <w:qFormat/>
    <w:uiPriority w:val="0"/>
    <w:pPr>
      <w:spacing w:before="100" w:beforeLines="100"/>
    </w:pPr>
    <w:rPr>
      <w:rFonts w:ascii="宋体" w:hAnsi="宋体" w:eastAsia="宋体"/>
      <w:b/>
      <w:color w:val="2E74B5"/>
      <w:sz w:val="28"/>
    </w:rPr>
  </w:style>
  <w:style w:type="paragraph" w:customStyle="1" w:styleId="10">
    <w:name w:val="Normal_2"/>
    <w:qFormat/>
    <w:uiPriority w:val="0"/>
    <w:pPr>
      <w:widowControl w:val="0"/>
      <w:jc w:val="both"/>
    </w:pPr>
    <w:rPr>
      <w:rFonts w:ascii="Times New Roman" w:hAnsi="Times New Roman" w:eastAsia="宋体" w:cs="Times New Roman"/>
      <w:kern w:val="2"/>
      <w:sz w:val="21"/>
      <w:szCs w:val="22"/>
    </w:rPr>
  </w:style>
  <w:style w:type="character" w:customStyle="1" w:styleId="11">
    <w:name w:val="样式2_1"/>
    <w:basedOn w:val="3"/>
    <w:qFormat/>
    <w:uiPriority w:val="1"/>
    <w:rPr>
      <w:rFonts w:ascii="宋体" w:hAnsi="宋体" w:eastAsia="宋体"/>
      <w:b/>
      <w:color w:val="2E74B5"/>
    </w:rPr>
  </w:style>
  <w:style w:type="paragraph" w:customStyle="1" w:styleId="12">
    <w:name w:val="样式1_3"/>
    <w:basedOn w:val="13"/>
    <w:qFormat/>
    <w:uiPriority w:val="0"/>
    <w:pPr>
      <w:spacing w:before="100" w:beforeLines="100"/>
    </w:pPr>
    <w:rPr>
      <w:rFonts w:ascii="宋体" w:hAnsi="宋体" w:eastAsia="宋体"/>
      <w:b/>
      <w:color w:val="2E74B5"/>
      <w:sz w:val="28"/>
    </w:rPr>
  </w:style>
  <w:style w:type="paragraph" w:customStyle="1" w:styleId="13">
    <w:name w:val="Normal_3"/>
    <w:qFormat/>
    <w:uiPriority w:val="0"/>
    <w:pPr>
      <w:widowControl w:val="0"/>
      <w:jc w:val="both"/>
    </w:pPr>
    <w:rPr>
      <w:rFonts w:ascii="Times New Roman" w:hAnsi="Times New Roman" w:eastAsia="宋体" w:cs="Times New Roman"/>
      <w:kern w:val="2"/>
      <w:sz w:val="21"/>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Office_11.1.0.8236_F1E327BC-269C-435d-A152-05C5408002CA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2019-01-18T08:30:00Z</dcterms:created>
  <dc:creator>郭成业</dc:creator>
  <cp:lastModifiedBy>懵。</cp:lastModifiedBy>
  <dcterms:modified xsi:type="dcterms:W3CDTF">2019-02-12T06:00:02Z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2052-11.1.0.8236</vt:lpwstr>
  </property>
  <property fmtid="{D5CDD505-2E9C-101B-9397-08002B2CF9AE}" pid="3" name="KSORubyTemplateID" linkTarget="0">
    <vt:lpwstr>4</vt:lpwstr>
  </property>
</Properties>
</file>