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620"/>
        <w:gridCol w:w="1979"/>
        <w:gridCol w:w="2311"/>
        <w:gridCol w:w="4733"/>
        <w:gridCol w:w="1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5" w:type="dxa"/>
            <w:gridSpan w:val="6"/>
            <w:shd w:val="clear" w:color="auto" w:fill="F4B083" w:themeFill="accent2" w:themeFillTint="99"/>
          </w:tcPr>
          <w:p>
            <w:pPr>
              <w:spacing w:after="0" w:line="240" w:lineRule="auto"/>
              <w:jc w:val="center"/>
              <w:rPr>
                <w:b/>
                <w:bCs/>
              </w:rPr>
            </w:pPr>
            <w:r>
              <w:rPr>
                <w:b/>
                <w:bCs/>
              </w:rPr>
              <w:t>SSWE 265P Spring 2024 Diary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FFD965" w:themeFill="accent4" w:themeFillTint="99"/>
          </w:tcPr>
          <w:p>
            <w:pPr>
              <w:spacing w:after="0" w:line="240" w:lineRule="auto"/>
              <w:rPr>
                <w:b/>
                <w:bCs/>
              </w:rPr>
            </w:pPr>
            <w:r>
              <w:rPr>
                <w:b/>
                <w:bCs/>
              </w:rPr>
              <w:t>Name:</w:t>
            </w:r>
          </w:p>
        </w:tc>
        <w:tc>
          <w:tcPr>
            <w:tcW w:w="12510" w:type="dxa"/>
            <w:gridSpan w:val="5"/>
            <w:shd w:val="clear" w:color="auto" w:fill="FFD965" w:themeFill="accent4" w:themeFillTint="99"/>
          </w:tcPr>
          <w:p>
            <w:pPr>
              <w:spacing w:after="0" w:line="240" w:lineRule="auto"/>
              <w:rPr>
                <w:rFonts w:hint="default" w:eastAsia="宋体"/>
                <w:lang w:val="en-US" w:eastAsia="zh-CN"/>
              </w:rPr>
            </w:pPr>
            <w:r>
              <w:rPr>
                <w:rFonts w:hint="eastAsia" w:eastAsia="宋体"/>
                <w:lang w:val="en-US" w:eastAsia="zh-CN"/>
              </w:rPr>
              <w:t>Yan Zhang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FFD965" w:themeFill="accent4" w:themeFillTint="99"/>
          </w:tcPr>
          <w:p>
            <w:pPr>
              <w:spacing w:after="0" w:line="240" w:lineRule="auto"/>
              <w:rPr>
                <w:b/>
                <w:bCs/>
              </w:rPr>
            </w:pPr>
            <w:r>
              <w:rPr>
                <w:b/>
                <w:bCs/>
              </w:rPr>
              <w:t>E-mail:</w:t>
            </w:r>
          </w:p>
        </w:tc>
        <w:tc>
          <w:tcPr>
            <w:tcW w:w="12510" w:type="dxa"/>
            <w:gridSpan w:val="5"/>
            <w:shd w:val="clear" w:color="auto" w:fill="FFD965" w:themeFill="accent4" w:themeFillTint="99"/>
          </w:tcPr>
          <w:p>
            <w:pPr>
              <w:spacing w:after="0" w:line="240" w:lineRule="auto"/>
              <w:rPr>
                <w:rFonts w:hint="default" w:eastAsia="宋体"/>
                <w:lang w:val="en-US" w:eastAsia="zh-CN"/>
              </w:rPr>
            </w:pPr>
            <w:r>
              <w:rPr>
                <w:rFonts w:hint="eastAsia" w:eastAsia="宋体"/>
                <w:lang w:val="en-US" w:eastAsia="zh-CN"/>
              </w:rPr>
              <w:t>Yanz73@uci.edu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FFD965" w:themeFill="accent4" w:themeFillTint="99"/>
          </w:tcPr>
          <w:p>
            <w:pPr>
              <w:spacing w:after="0" w:line="240" w:lineRule="auto"/>
              <w:rPr>
                <w:b/>
                <w:bCs/>
              </w:rPr>
            </w:pPr>
            <w:r>
              <w:rPr>
                <w:b/>
                <w:bCs/>
              </w:rPr>
              <w:t>GitHub profile:</w:t>
            </w:r>
          </w:p>
        </w:tc>
        <w:tc>
          <w:tcPr>
            <w:tcW w:w="12510" w:type="dxa"/>
            <w:gridSpan w:val="5"/>
            <w:shd w:val="clear" w:color="auto" w:fill="FFD965" w:themeFill="accent4" w:themeFillTint="99"/>
          </w:tcPr>
          <w:p>
            <w:pPr>
              <w:spacing w:after="0" w:line="240" w:lineRule="auto"/>
            </w:pPr>
            <w:r>
              <w:rPr>
                <w:rFonts w:hint="eastAsia"/>
              </w:rPr>
              <w:t>https://github.com/zhangyan233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8D08D" w:themeFill="accent6" w:themeFillTint="99"/>
          </w:tcPr>
          <w:p>
            <w:pPr>
              <w:spacing w:after="0" w:line="240" w:lineRule="auto"/>
              <w:jc w:val="center"/>
              <w:rPr>
                <w:b/>
                <w:bCs/>
              </w:rPr>
            </w:pPr>
            <w:r>
              <w:rPr>
                <w:b/>
                <w:bCs/>
              </w:rPr>
              <w:t>Date</w:t>
            </w:r>
          </w:p>
        </w:tc>
        <w:tc>
          <w:tcPr>
            <w:tcW w:w="1620" w:type="dxa"/>
            <w:shd w:val="clear" w:color="auto" w:fill="A8D08D" w:themeFill="accent6" w:themeFillTint="99"/>
          </w:tcPr>
          <w:p>
            <w:pPr>
              <w:spacing w:after="0" w:line="240" w:lineRule="auto"/>
              <w:jc w:val="center"/>
              <w:rPr>
                <w:b/>
                <w:bCs/>
              </w:rPr>
            </w:pPr>
            <w:r>
              <w:rPr>
                <w:b/>
                <w:bCs/>
              </w:rPr>
              <w:t>Time spent</w:t>
            </w:r>
          </w:p>
        </w:tc>
        <w:tc>
          <w:tcPr>
            <w:tcW w:w="1979" w:type="dxa"/>
            <w:shd w:val="clear" w:color="auto" w:fill="A8D08D" w:themeFill="accent6" w:themeFillTint="99"/>
          </w:tcPr>
          <w:p>
            <w:pPr>
              <w:spacing w:after="0" w:line="240" w:lineRule="auto"/>
              <w:jc w:val="center"/>
              <w:rPr>
                <w:b/>
                <w:bCs/>
              </w:rPr>
            </w:pPr>
            <w:r>
              <w:rPr>
                <w:b/>
                <w:bCs/>
              </w:rPr>
              <w:t>Participants</w:t>
            </w:r>
          </w:p>
        </w:tc>
        <w:tc>
          <w:tcPr>
            <w:tcW w:w="2311" w:type="dxa"/>
            <w:shd w:val="clear" w:color="auto" w:fill="A8D08D" w:themeFill="accent6" w:themeFillTint="99"/>
          </w:tcPr>
          <w:p>
            <w:pPr>
              <w:spacing w:after="0" w:line="240" w:lineRule="auto"/>
              <w:jc w:val="center"/>
              <w:rPr>
                <w:b/>
                <w:bCs/>
              </w:rPr>
            </w:pPr>
            <w:r>
              <w:rPr>
                <w:b/>
                <w:bCs/>
              </w:rPr>
              <w:t>Activity</w:t>
            </w:r>
          </w:p>
        </w:tc>
        <w:tc>
          <w:tcPr>
            <w:tcW w:w="4733" w:type="dxa"/>
            <w:shd w:val="clear" w:color="auto" w:fill="A8D08D" w:themeFill="accent6" w:themeFillTint="99"/>
          </w:tcPr>
          <w:p>
            <w:pPr>
              <w:spacing w:after="0" w:line="240" w:lineRule="auto"/>
              <w:jc w:val="center"/>
              <w:rPr>
                <w:b/>
                <w:bCs/>
              </w:rPr>
            </w:pPr>
            <w:r>
              <w:rPr>
                <w:b/>
                <w:bCs/>
              </w:rPr>
              <w:t>Insights gained</w:t>
            </w:r>
          </w:p>
        </w:tc>
        <w:tc>
          <w:tcPr>
            <w:tcW w:w="1867" w:type="dxa"/>
            <w:shd w:val="clear" w:color="auto" w:fill="A8D08D" w:themeFill="accent6" w:themeFillTint="99"/>
          </w:tcPr>
          <w:p>
            <w:pPr>
              <w:spacing w:after="0" w:line="240" w:lineRule="auto"/>
              <w:jc w:val="center"/>
              <w:rPr>
                <w:b/>
                <w:bCs/>
              </w:rPr>
            </w:pPr>
            <w:r>
              <w:rPr>
                <w:b/>
                <w:bCs/>
              </w:rPr>
              <w:t>Your overall mood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04/11/2024</w:t>
            </w:r>
          </w:p>
        </w:tc>
        <w:tc>
          <w:tcPr>
            <w:tcW w:w="1620"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8pm-8:30pm</w:t>
            </w:r>
          </w:p>
        </w:tc>
        <w:tc>
          <w:tcPr>
            <w:tcW w:w="1979"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Yan Zhang</w:t>
            </w:r>
          </w:p>
        </w:tc>
        <w:tc>
          <w:tcPr>
            <w:tcW w:w="2311"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 xml:space="preserve">Reading article </w:t>
            </w:r>
            <w:r>
              <w:rPr>
                <w:rFonts w:hint="default" w:eastAsia="宋体"/>
                <w:sz w:val="20"/>
                <w:szCs w:val="20"/>
                <w:lang w:val="en-US" w:eastAsia="zh-CN"/>
              </w:rPr>
              <w:t>“</w:t>
            </w:r>
            <w:r>
              <w:rPr>
                <w:rFonts w:hint="eastAsia" w:eastAsia="宋体"/>
                <w:sz w:val="20"/>
                <w:szCs w:val="20"/>
                <w:lang w:val="en-US" w:eastAsia="zh-CN"/>
              </w:rPr>
              <w:t>How to read code without rippling your hair out</w:t>
            </w:r>
            <w:r>
              <w:rPr>
                <w:rFonts w:hint="default" w:eastAsia="宋体"/>
                <w:sz w:val="20"/>
                <w:szCs w:val="20"/>
                <w:lang w:val="en-US" w:eastAsia="zh-CN"/>
              </w:rPr>
              <w:t>”</w:t>
            </w:r>
          </w:p>
        </w:tc>
        <w:tc>
          <w:tcPr>
            <w:tcW w:w="4733" w:type="dxa"/>
            <w:shd w:val="clear" w:color="auto" w:fill="A8D08D" w:themeFill="accent6" w:themeFillTint="99"/>
          </w:tcPr>
          <w:p>
            <w:pPr>
              <w:numPr>
                <w:ilvl w:val="0"/>
                <w:numId w:val="1"/>
              </w:numPr>
              <w:spacing w:after="0" w:line="240" w:lineRule="auto"/>
              <w:ind w:left="283" w:leftChars="0" w:hanging="283" w:firstLineChars="0"/>
              <w:jc w:val="both"/>
              <w:rPr>
                <w:rFonts w:hint="default" w:eastAsia="宋体"/>
                <w:sz w:val="20"/>
                <w:szCs w:val="20"/>
                <w:lang w:val="en-US" w:eastAsia="zh-CN"/>
              </w:rPr>
            </w:pPr>
            <w:r>
              <w:rPr>
                <w:rFonts w:hint="eastAsia" w:eastAsia="宋体"/>
                <w:sz w:val="20"/>
                <w:szCs w:val="20"/>
                <w:lang w:val="en-US" w:eastAsia="zh-CN"/>
              </w:rPr>
              <w:t>Utilizing a way to read code helps us read code easily</w:t>
            </w:r>
          </w:p>
          <w:p>
            <w:pPr>
              <w:numPr>
                <w:ilvl w:val="0"/>
                <w:numId w:val="1"/>
              </w:numPr>
              <w:spacing w:after="0" w:line="240" w:lineRule="auto"/>
              <w:ind w:left="283" w:leftChars="0" w:hanging="283" w:firstLineChars="0"/>
              <w:jc w:val="both"/>
              <w:rPr>
                <w:rFonts w:hint="default" w:eastAsia="宋体"/>
                <w:sz w:val="20"/>
                <w:szCs w:val="20"/>
                <w:lang w:val="en-US" w:eastAsia="zh-CN"/>
              </w:rPr>
            </w:pPr>
            <w:r>
              <w:rPr>
                <w:rFonts w:hint="eastAsia" w:eastAsia="宋体"/>
                <w:sz w:val="20"/>
                <w:szCs w:val="20"/>
                <w:lang w:val="en-US" w:eastAsia="zh-CN"/>
              </w:rPr>
              <w:t>We can divide source code into several parts, and choose one section to read at one moment, to make sure we can figure out this code and the relationship between different parts</w:t>
            </w:r>
          </w:p>
          <w:p>
            <w:pPr>
              <w:numPr>
                <w:ilvl w:val="0"/>
                <w:numId w:val="1"/>
              </w:numPr>
              <w:spacing w:after="0" w:line="240" w:lineRule="auto"/>
              <w:ind w:left="283" w:leftChars="0" w:hanging="283" w:firstLineChars="0"/>
              <w:jc w:val="both"/>
              <w:rPr>
                <w:rFonts w:hint="default" w:eastAsia="宋体"/>
                <w:sz w:val="20"/>
                <w:szCs w:val="20"/>
                <w:lang w:val="en-US" w:eastAsia="zh-CN"/>
              </w:rPr>
            </w:pPr>
            <w:r>
              <w:rPr>
                <w:rFonts w:hint="eastAsia" w:eastAsia="宋体"/>
                <w:sz w:val="20"/>
                <w:szCs w:val="20"/>
                <w:lang w:val="en-US" w:eastAsia="zh-CN"/>
              </w:rPr>
              <w:t>Understand and Employ some tools can helps programmers find their answers about source code more easily</w:t>
            </w:r>
          </w:p>
          <w:p>
            <w:pPr>
              <w:numPr>
                <w:ilvl w:val="0"/>
                <w:numId w:val="1"/>
              </w:numPr>
              <w:spacing w:after="0" w:line="240" w:lineRule="auto"/>
              <w:ind w:left="283" w:leftChars="0" w:hanging="283" w:firstLineChars="0"/>
              <w:jc w:val="both"/>
              <w:rPr>
                <w:rFonts w:hint="default" w:eastAsia="宋体"/>
                <w:sz w:val="20"/>
                <w:szCs w:val="20"/>
                <w:lang w:val="en-US" w:eastAsia="zh-CN"/>
              </w:rPr>
            </w:pPr>
            <w:r>
              <w:rPr>
                <w:rFonts w:hint="eastAsia" w:eastAsia="宋体"/>
                <w:sz w:val="20"/>
                <w:szCs w:val="20"/>
                <w:lang w:val="en-US" w:eastAsia="zh-CN"/>
              </w:rPr>
              <w:t>Documentation may be a lie, however the source code must be the ultimate truth</w:t>
            </w:r>
          </w:p>
        </w:tc>
        <w:tc>
          <w:tcPr>
            <w:tcW w:w="1867" w:type="dxa"/>
            <w:shd w:val="clear" w:color="auto" w:fill="A8D08D" w:themeFill="accent6" w:themeFillTint="99"/>
          </w:tcPr>
          <w:p>
            <w:pPr>
              <w:numPr>
                <w:ilvl w:val="0"/>
                <w:numId w:val="1"/>
              </w:numPr>
              <w:spacing w:after="0" w:line="240" w:lineRule="auto"/>
              <w:ind w:left="283" w:leftChars="0" w:hanging="283" w:firstLineChars="0"/>
              <w:jc w:val="both"/>
              <w:rPr>
                <w:rFonts w:hint="default" w:eastAsia="宋体"/>
                <w:sz w:val="20"/>
                <w:szCs w:val="20"/>
                <w:lang w:val="en-US" w:eastAsia="zh-CN"/>
              </w:rPr>
            </w:pPr>
            <w:r>
              <w:rPr>
                <w:rFonts w:hint="default" w:eastAsia="宋体"/>
                <w:sz w:val="20"/>
                <w:szCs w:val="20"/>
                <w:lang w:val="en-US" w:eastAsia="zh-CN"/>
              </w:rPr>
              <w:t>Never think that you can understand the code in a short time</w:t>
            </w:r>
          </w:p>
          <w:p>
            <w:pPr>
              <w:numPr>
                <w:ilvl w:val="0"/>
                <w:numId w:val="1"/>
              </w:numPr>
              <w:spacing w:after="0" w:line="240" w:lineRule="auto"/>
              <w:ind w:left="283" w:leftChars="0" w:hanging="283" w:firstLineChars="0"/>
              <w:jc w:val="both"/>
              <w:rPr>
                <w:rFonts w:hint="default" w:eastAsia="宋体"/>
                <w:sz w:val="20"/>
                <w:szCs w:val="20"/>
                <w:lang w:val="en-US" w:eastAsia="zh-CN"/>
              </w:rPr>
            </w:pPr>
            <w:r>
              <w:rPr>
                <w:rFonts w:hint="eastAsia" w:eastAsia="宋体"/>
                <w:sz w:val="20"/>
                <w:szCs w:val="20"/>
                <w:lang w:val="en-US" w:eastAsia="zh-CN"/>
              </w:rPr>
              <w:t>I can save my hair!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04/11/2024</w:t>
            </w:r>
          </w:p>
        </w:tc>
        <w:tc>
          <w:tcPr>
            <w:tcW w:w="1620"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9:50pm-10pm</w:t>
            </w:r>
          </w:p>
        </w:tc>
        <w:tc>
          <w:tcPr>
            <w:tcW w:w="1979"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Yan Zhang</w:t>
            </w:r>
          </w:p>
        </w:tc>
        <w:tc>
          <w:tcPr>
            <w:tcW w:w="2311" w:type="dxa"/>
            <w:shd w:val="clear" w:color="auto" w:fill="A8D08D" w:themeFill="accent6" w:themeFillTint="99"/>
          </w:tcPr>
          <w:p>
            <w:pPr>
              <w:spacing w:after="0" w:line="240" w:lineRule="auto"/>
              <w:rPr>
                <w:sz w:val="20"/>
                <w:szCs w:val="20"/>
              </w:rPr>
            </w:pPr>
            <w:r>
              <w:rPr>
                <w:rFonts w:hint="eastAsia" w:eastAsia="宋体"/>
                <w:sz w:val="20"/>
                <w:szCs w:val="20"/>
                <w:lang w:val="en-US" w:eastAsia="zh-CN"/>
              </w:rPr>
              <w:t xml:space="preserve">Reading the article </w:t>
            </w:r>
            <w:r>
              <w:rPr>
                <w:rFonts w:hint="default" w:eastAsia="宋体"/>
                <w:sz w:val="20"/>
                <w:szCs w:val="20"/>
                <w:lang w:val="en-US" w:eastAsia="zh-CN"/>
              </w:rPr>
              <w:t>“7 Ways to improve your code reading skills”</w:t>
            </w:r>
          </w:p>
        </w:tc>
        <w:tc>
          <w:tcPr>
            <w:tcW w:w="4733" w:type="dxa"/>
            <w:shd w:val="clear" w:color="auto" w:fill="A8D08D" w:themeFill="accent6" w:themeFillTint="99"/>
          </w:tcPr>
          <w:p>
            <w:pPr>
              <w:numPr>
                <w:ilvl w:val="0"/>
                <w:numId w:val="1"/>
              </w:numPr>
              <w:spacing w:after="0" w:line="240" w:lineRule="auto"/>
              <w:ind w:left="283" w:leftChars="0" w:hanging="283" w:firstLineChars="0"/>
              <w:jc w:val="both"/>
              <w:rPr>
                <w:sz w:val="20"/>
                <w:szCs w:val="20"/>
              </w:rPr>
            </w:pPr>
            <w:r>
              <w:rPr>
                <w:rFonts w:hint="eastAsia" w:eastAsia="宋体"/>
                <w:sz w:val="20"/>
                <w:szCs w:val="20"/>
                <w:lang w:val="en-US" w:eastAsia="zh-CN"/>
              </w:rPr>
              <w:t>Understanding how to read code can improve our levels of writing code</w:t>
            </w:r>
          </w:p>
          <w:p>
            <w:pPr>
              <w:numPr>
                <w:ilvl w:val="0"/>
                <w:numId w:val="1"/>
              </w:numPr>
              <w:spacing w:after="0" w:line="240" w:lineRule="auto"/>
              <w:ind w:left="283" w:leftChars="0" w:hanging="283" w:firstLineChars="0"/>
              <w:jc w:val="both"/>
              <w:rPr>
                <w:sz w:val="20"/>
                <w:szCs w:val="20"/>
              </w:rPr>
            </w:pPr>
            <w:r>
              <w:rPr>
                <w:rFonts w:hint="eastAsia" w:eastAsia="宋体"/>
                <w:sz w:val="20"/>
                <w:szCs w:val="20"/>
                <w:lang w:val="en-US" w:eastAsia="zh-CN"/>
              </w:rPr>
              <w:t>Finding a entry point in main method, and reading code step by step to figure out the whole code</w:t>
            </w:r>
          </w:p>
          <w:p>
            <w:pPr>
              <w:numPr>
                <w:ilvl w:val="0"/>
                <w:numId w:val="1"/>
              </w:numPr>
              <w:spacing w:after="0" w:line="240" w:lineRule="auto"/>
              <w:ind w:left="283" w:leftChars="0" w:hanging="283" w:firstLineChars="0"/>
              <w:jc w:val="both"/>
              <w:rPr>
                <w:sz w:val="20"/>
                <w:szCs w:val="20"/>
              </w:rPr>
            </w:pPr>
            <w:r>
              <w:rPr>
                <w:rFonts w:hint="eastAsia" w:eastAsia="宋体"/>
                <w:sz w:val="20"/>
                <w:szCs w:val="20"/>
                <w:lang w:val="en-US" w:eastAsia="zh-CN"/>
              </w:rPr>
              <w:t>Different programming languages has their own styles and syntax</w:t>
            </w:r>
          </w:p>
          <w:p>
            <w:pPr>
              <w:numPr>
                <w:ilvl w:val="0"/>
                <w:numId w:val="1"/>
              </w:numPr>
              <w:spacing w:after="0" w:line="240" w:lineRule="auto"/>
              <w:ind w:left="283" w:leftChars="0" w:hanging="283" w:firstLineChars="0"/>
              <w:jc w:val="both"/>
              <w:rPr>
                <w:sz w:val="20"/>
                <w:szCs w:val="20"/>
              </w:rPr>
            </w:pPr>
            <w:r>
              <w:rPr>
                <w:rFonts w:hint="eastAsia" w:eastAsia="宋体"/>
                <w:sz w:val="20"/>
                <w:szCs w:val="20"/>
                <w:lang w:val="en-US" w:eastAsia="zh-CN"/>
              </w:rPr>
              <w:t>Coding review is also a significant way to improving code reading skills</w:t>
            </w:r>
          </w:p>
        </w:tc>
        <w:tc>
          <w:tcPr>
            <w:tcW w:w="1867" w:type="dxa"/>
            <w:shd w:val="clear" w:color="auto" w:fill="A8D08D" w:themeFill="accent6" w:themeFillTint="99"/>
          </w:tcPr>
          <w:p>
            <w:pPr>
              <w:numPr>
                <w:ilvl w:val="0"/>
                <w:numId w:val="1"/>
              </w:numPr>
              <w:spacing w:after="0" w:line="240" w:lineRule="auto"/>
              <w:ind w:left="283" w:leftChars="0" w:hanging="283" w:firstLineChars="0"/>
              <w:jc w:val="both"/>
              <w:rPr>
                <w:rFonts w:hint="eastAsia"/>
                <w:sz w:val="20"/>
                <w:szCs w:val="20"/>
              </w:rPr>
            </w:pPr>
            <w:r>
              <w:rPr>
                <w:rFonts w:hint="eastAsia" w:eastAsia="宋体"/>
                <w:sz w:val="20"/>
                <w:szCs w:val="20"/>
                <w:lang w:val="en-US" w:eastAsia="zh-CN"/>
              </w:rPr>
              <w:t>Come back with fruitful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04/12/2024</w:t>
            </w:r>
          </w:p>
        </w:tc>
        <w:tc>
          <w:tcPr>
            <w:tcW w:w="1620"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10pm-10:30pm</w:t>
            </w:r>
          </w:p>
        </w:tc>
        <w:tc>
          <w:tcPr>
            <w:tcW w:w="1979"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Yan Zhang</w:t>
            </w:r>
          </w:p>
        </w:tc>
        <w:tc>
          <w:tcPr>
            <w:tcW w:w="2311"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 xml:space="preserve">Reading the article </w:t>
            </w:r>
            <w:r>
              <w:rPr>
                <w:rFonts w:hint="default" w:eastAsia="宋体"/>
                <w:sz w:val="20"/>
                <w:szCs w:val="20"/>
                <w:lang w:val="en-US" w:eastAsia="zh-CN"/>
              </w:rPr>
              <w:t>“How to read source code”</w:t>
            </w:r>
          </w:p>
        </w:tc>
        <w:tc>
          <w:tcPr>
            <w:tcW w:w="4733" w:type="dxa"/>
            <w:shd w:val="clear" w:color="auto" w:fill="A8D08D" w:themeFill="accent6" w:themeFillTint="99"/>
          </w:tcPr>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The order of file in a project is not the sequence of reading code</w:t>
            </w:r>
          </w:p>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Entry point is significant during the process of reading code</w:t>
            </w:r>
          </w:p>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Maybe we can use debug tools, and set a breakpoint and read from it through methods in a debugger</w:t>
            </w:r>
          </w:p>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Comments in the code can improve us some glues to read the code, but be careful, comments may be fake!</w:t>
            </w:r>
            <w:bookmarkStart w:id="0" w:name="_GoBack"/>
            <w:bookmarkEnd w:id="0"/>
          </w:p>
        </w:tc>
        <w:tc>
          <w:tcPr>
            <w:tcW w:w="1867" w:type="dxa"/>
            <w:shd w:val="clear" w:color="auto" w:fill="A8D08D" w:themeFill="accent6" w:themeFillTint="99"/>
          </w:tcPr>
          <w:p>
            <w:pPr>
              <w:numPr>
                <w:ilvl w:val="0"/>
                <w:numId w:val="1"/>
              </w:numPr>
              <w:spacing w:after="0" w:line="240" w:lineRule="auto"/>
              <w:ind w:left="283" w:leftChars="0" w:hanging="283" w:firstLineChars="0"/>
              <w:jc w:val="both"/>
              <w:rPr>
                <w:sz w:val="20"/>
                <w:szCs w:val="20"/>
              </w:rPr>
            </w:pPr>
            <w:r>
              <w:rPr>
                <w:rFonts w:hint="eastAsia" w:eastAsia="宋体"/>
                <w:sz w:val="20"/>
                <w:szCs w:val="20"/>
                <w:lang w:val="en-US" w:eastAsia="zh-CN"/>
              </w:rPr>
              <w:t>A little confused because this article is a little messy</w:t>
            </w:r>
          </w:p>
        </w:tc>
      </w:tr>
    </w:tbl>
    <w:p/>
    <w:sectPr>
      <w:pgSz w:w="15840" w:h="12240" w:orient="landscape"/>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2A5157"/>
    <w:multiLevelType w:val="singleLevel"/>
    <w:tmpl w:val="4A2A5157"/>
    <w:lvl w:ilvl="0" w:tentative="0">
      <w:start w:val="1"/>
      <w:numFmt w:val="bullet"/>
      <w:lvlText w:val=""/>
      <w:lvlJc w:val="left"/>
      <w:pPr>
        <w:ind w:left="283" w:leftChars="0" w:hanging="283"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xNmVkOGVhYWU2Y2E5MWI2MzExZmY3YjVlYjYwMGUifQ=="/>
  </w:docVars>
  <w:rsids>
    <w:rsidRoot w:val="00F4236C"/>
    <w:rsid w:val="00336AE4"/>
    <w:rsid w:val="00410EFC"/>
    <w:rsid w:val="00F4236C"/>
    <w:rsid w:val="22DF0ABD"/>
    <w:rsid w:val="254539BA"/>
    <w:rsid w:val="2CAF4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autoRedefine/>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32</Words>
  <Characters>186</Characters>
  <Lines>1</Lines>
  <Paragraphs>1</Paragraphs>
  <TotalTime>119</TotalTime>
  <ScaleCrop>false</ScaleCrop>
  <LinksUpToDate>false</LinksUpToDate>
  <CharactersWithSpaces>217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2023-04-01T03:14:00Z</dcterms:created>
  <dc:creator>Andre van der Hoek</dc:creator>
  <cp:lastModifiedBy>东亚前海证券张琰</cp:lastModifiedBy>
  <dcterms:modified xsi:type="dcterms:W3CDTF">2024-04-16T18:49:10Z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51DB887D76E847F4822066A634A54448_12</vt:lpwstr>
  </property>
</Properties>
</file>