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传音项目同步会议</w:t>
      </w:r>
      <w:r>
        <w:rPr>
          <w:sz w:val="40"/>
          <w:szCs w:val="40"/>
        </w:rPr>
        <w:t>20200713</w:t>
      </w:r>
    </w:p>
    <w:tbl>
      <w:tblPr>
        <w:tblW w:w="9638" w:type="dxa"/>
        <w:jc w:val="left"/>
        <w:tblInd w:w="150" w:type="dxa"/>
        <w:tblBorders>
          <w:top w:val="single" w:sz="2" w:space="0" w:color="C1C7D0"/>
          <w:left w:val="single" w:sz="2" w:space="0" w:color="C1C7D0"/>
          <w:bottom w:val="single" w:sz="2" w:space="0" w:color="C1C7D0"/>
          <w:right w:val="single" w:sz="2" w:space="0" w:color="C1C7D0"/>
          <w:insideH w:val="single" w:sz="2" w:space="0" w:color="C1C7D0"/>
          <w:insideV w:val="single" w:sz="2" w:space="0" w:color="C1C7D0"/>
        </w:tblBorders>
        <w:tblCellMar>
          <w:top w:w="105" w:type="dxa"/>
          <w:left w:w="149" w:type="dxa"/>
          <w:bottom w:w="105" w:type="dxa"/>
          <w:right w:w="150" w:type="dxa"/>
        </w:tblCellMar>
      </w:tblPr>
      <w:tblGrid>
        <w:gridCol w:w="3337"/>
        <w:gridCol w:w="5489"/>
        <w:gridCol w:w="812"/>
      </w:tblGrid>
      <w:tr>
        <w:trPr/>
        <w:tc>
          <w:tcPr>
            <w:tcW w:w="3337"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0E0E0" w:val="clear"/>
            <w:tcMar>
              <w:left w:w="149" w:type="dxa"/>
            </w:tcMar>
            <w:vAlign w:val="center"/>
          </w:tcPr>
          <w:p>
            <w:pPr>
              <w:pStyle w:val="TableHeading"/>
              <w:jc w:val="left"/>
              <w:rPr>
                <w:b/>
                <w:color w:val="172B4D"/>
              </w:rPr>
            </w:pPr>
            <w:r>
              <w:rPr>
                <w:b/>
                <w:color w:val="172B4D"/>
              </w:rPr>
              <w:t>需求</w:t>
            </w:r>
          </w:p>
        </w:tc>
        <w:tc>
          <w:tcPr>
            <w:tcW w:w="5489"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0E0E0" w:val="clear"/>
            <w:tcMar>
              <w:left w:w="149" w:type="dxa"/>
            </w:tcMar>
            <w:vAlign w:val="center"/>
          </w:tcPr>
          <w:p>
            <w:pPr>
              <w:pStyle w:val="TableHeading"/>
              <w:jc w:val="left"/>
              <w:rPr>
                <w:b/>
                <w:color w:val="172B4D"/>
              </w:rPr>
            </w:pPr>
            <w:r>
              <w:rPr>
                <w:b/>
                <w:color w:val="172B4D"/>
              </w:rPr>
              <w:t>解决方案</w:t>
            </w:r>
          </w:p>
        </w:tc>
        <w:tc>
          <w:tcPr>
            <w:tcW w:w="812"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0E0E0" w:val="clear"/>
            <w:tcMar>
              <w:left w:w="149" w:type="dxa"/>
            </w:tcMar>
            <w:vAlign w:val="center"/>
          </w:tcPr>
          <w:p>
            <w:pPr>
              <w:pStyle w:val="TableHeading"/>
              <w:jc w:val="left"/>
              <w:rPr>
                <w:b/>
                <w:color w:val="172B4D"/>
              </w:rPr>
            </w:pPr>
            <w:r>
              <w:rPr>
                <w:b/>
                <w:color w:val="172B4D"/>
              </w:rPr>
              <w:t>交期</w:t>
            </w:r>
          </w:p>
        </w:tc>
      </w:tr>
      <w:tr>
        <w:trPr/>
        <w:tc>
          <w:tcPr>
            <w:tcW w:w="3337"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DF5FF" w:val="clear"/>
            <w:tcMar>
              <w:left w:w="149" w:type="dxa"/>
            </w:tcMar>
            <w:vAlign w:val="center"/>
          </w:tcPr>
          <w:p>
            <w:pPr>
              <w:pStyle w:val="TableContents"/>
              <w:numPr>
                <w:ilvl w:val="0"/>
                <w:numId w:val="1"/>
              </w:numPr>
              <w:pBdr/>
              <w:tabs>
                <w:tab w:val="left" w:pos="0" w:leader="none"/>
              </w:tabs>
              <w:spacing w:before="0" w:after="0"/>
              <w:ind w:left="0" w:right="0" w:hanging="283"/>
              <w:jc w:val="left"/>
              <w:rPr/>
            </w:pPr>
            <w:r>
              <w:rPr/>
              <w:t>DMAI API</w:t>
            </w:r>
            <w:r>
              <w:rPr/>
              <w:t>接口细化，并更新</w:t>
            </w:r>
            <w:r>
              <w:rPr/>
              <w:t>API</w:t>
            </w:r>
            <w:r>
              <w:rPr/>
              <w:t>文档</w:t>
            </w:r>
          </w:p>
          <w:p>
            <w:pPr>
              <w:pStyle w:val="TableContents"/>
              <w:spacing w:before="150" w:after="0"/>
              <w:ind w:left="0" w:right="0" w:hanging="0"/>
              <w:jc w:val="left"/>
              <w:rPr/>
            </w:pPr>
            <w:r>
              <w:rPr/>
              <w:t>A)/api/v1/cctrl/query</w:t>
            </w:r>
            <w:r>
              <w:rPr/>
              <w:t>接口，根据之前的讨论，建议在</w:t>
            </w:r>
          </w:p>
          <w:p>
            <w:pPr>
              <w:pStyle w:val="TableContents"/>
              <w:spacing w:before="150" w:after="0"/>
              <w:ind w:left="0" w:right="0" w:hanging="0"/>
              <w:jc w:val="left"/>
              <w:rPr/>
            </w:pPr>
            <w:r>
              <w:rPr/>
              <w:t>请求中新增时间戳、手机所在时区等参数</w:t>
            </w:r>
          </w:p>
          <w:p>
            <w:pPr>
              <w:pStyle w:val="TableContents"/>
              <w:spacing w:before="150" w:after="0"/>
              <w:ind w:left="0" w:right="0" w:hanging="0"/>
              <w:jc w:val="left"/>
              <w:rPr/>
            </w:pPr>
            <w:r>
              <w:rPr/>
              <w:t>确定响应中对文本解析的结果格式（</w:t>
            </w:r>
            <w:r>
              <w:rPr/>
              <w:t>result</w:t>
            </w:r>
            <w:r>
              <w:rPr/>
              <w:t>字段），如</w:t>
            </w:r>
            <w:r>
              <w:rPr/>
              <w:t>domain, intent, slots, response, score</w:t>
            </w:r>
            <w:r>
              <w:rPr/>
              <w:t>等</w:t>
            </w:r>
          </w:p>
        </w:tc>
        <w:tc>
          <w:tcPr>
            <w:tcW w:w="5489"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DF5FF" w:val="clear"/>
            <w:tcMar>
              <w:left w:w="149" w:type="dxa"/>
            </w:tcMar>
            <w:vAlign w:val="center"/>
          </w:tcPr>
          <w:p>
            <w:pPr>
              <w:pStyle w:val="TableContents"/>
              <w:jc w:val="left"/>
              <w:rPr/>
            </w:pPr>
            <w:r>
              <w:rPr/>
              <w:t>这块儿接口协议本周我们会提供给你们。</w:t>
            </w:r>
            <w:r>
              <w:rPr/>
              <w:br/>
            </w:r>
            <w:r>
              <w:rPr/>
              <w:t>需要提醒注意的是虽然制定了协议我们云端的这块儿功能交付需要一定时间，我们可以依据协议分别独立进行编码测试</w:t>
            </w:r>
          </w:p>
        </w:tc>
        <w:tc>
          <w:tcPr>
            <w:tcW w:w="812"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DF5FF" w:val="clear"/>
            <w:tcMar>
              <w:left w:w="149" w:type="dxa"/>
            </w:tcMar>
            <w:vAlign w:val="center"/>
          </w:tcPr>
          <w:p>
            <w:pPr>
              <w:pStyle w:val="TableContents"/>
              <w:jc w:val="left"/>
              <w:rPr/>
            </w:pPr>
            <w:r>
              <w:rPr/>
              <w:t>本周五</w:t>
            </w:r>
          </w:p>
        </w:tc>
      </w:tr>
      <w:tr>
        <w:trPr/>
        <w:tc>
          <w:tcPr>
            <w:tcW w:w="3337"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DF5FF" w:val="clear"/>
            <w:tcMar>
              <w:left w:w="149" w:type="dxa"/>
            </w:tcMar>
            <w:vAlign w:val="center"/>
          </w:tcPr>
          <w:p>
            <w:pPr>
              <w:pStyle w:val="TableContents"/>
              <w:numPr>
                <w:ilvl w:val="0"/>
                <w:numId w:val="2"/>
              </w:numPr>
              <w:pBdr/>
              <w:tabs>
                <w:tab w:val="left" w:pos="0" w:leader="none"/>
              </w:tabs>
              <w:spacing w:before="0" w:after="0"/>
              <w:ind w:left="0" w:right="0" w:hanging="283"/>
              <w:jc w:val="left"/>
              <w:rPr/>
            </w:pPr>
            <w:r>
              <w:rPr/>
              <w:t>DMAI API</w:t>
            </w:r>
            <w:r>
              <w:rPr/>
              <w:t>接口细化，并更新</w:t>
            </w:r>
            <w:r>
              <w:rPr/>
              <w:t>API</w:t>
            </w:r>
            <w:r>
              <w:rPr/>
              <w:t>文档</w:t>
            </w:r>
          </w:p>
          <w:p>
            <w:pPr>
              <w:pStyle w:val="TableContents"/>
              <w:spacing w:before="150" w:after="0"/>
              <w:ind w:left="0" w:right="0" w:hanging="0"/>
              <w:jc w:val="left"/>
              <w:rPr/>
            </w:pPr>
            <w:r>
              <w:rPr/>
              <w:t>B)</w:t>
            </w:r>
            <w:r>
              <w:rPr/>
              <w:t>状态同步接口及参数定义（如</w:t>
            </w:r>
            <w:r>
              <w:rPr/>
              <w:t>SDK</w:t>
            </w:r>
            <w:r>
              <w:rPr/>
              <w:t>将本地信息同步到云端）</w:t>
            </w:r>
          </w:p>
        </w:tc>
        <w:tc>
          <w:tcPr>
            <w:tcW w:w="5489"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DF5FF" w:val="clear"/>
            <w:tcMar>
              <w:left w:w="149" w:type="dxa"/>
            </w:tcMar>
            <w:vAlign w:val="center"/>
          </w:tcPr>
          <w:p>
            <w:pPr>
              <w:pStyle w:val="TableContents"/>
              <w:jc w:val="left"/>
              <w:rPr/>
            </w:pPr>
            <w:r>
              <w:rPr/>
              <w:t>同上</w:t>
            </w:r>
          </w:p>
        </w:tc>
        <w:tc>
          <w:tcPr>
            <w:tcW w:w="812"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DF5FF" w:val="clear"/>
            <w:tcMar>
              <w:left w:w="149" w:type="dxa"/>
            </w:tcMar>
            <w:vAlign w:val="center"/>
          </w:tcPr>
          <w:p>
            <w:pPr>
              <w:pStyle w:val="TableContents"/>
              <w:jc w:val="left"/>
              <w:rPr/>
            </w:pPr>
            <w:r>
              <w:rPr/>
              <w:t>同上</w:t>
            </w:r>
          </w:p>
        </w:tc>
      </w:tr>
      <w:tr>
        <w:trPr/>
        <w:tc>
          <w:tcPr>
            <w:tcW w:w="3337"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DF5FF" w:val="clear"/>
            <w:tcMar>
              <w:left w:w="149" w:type="dxa"/>
            </w:tcMar>
            <w:vAlign w:val="center"/>
          </w:tcPr>
          <w:p>
            <w:pPr>
              <w:pStyle w:val="TableContents"/>
              <w:numPr>
                <w:ilvl w:val="0"/>
                <w:numId w:val="3"/>
              </w:numPr>
              <w:pBdr/>
              <w:tabs>
                <w:tab w:val="left" w:pos="0" w:leader="none"/>
              </w:tabs>
              <w:spacing w:before="0" w:after="0"/>
              <w:ind w:left="0" w:right="0" w:hanging="283"/>
              <w:jc w:val="left"/>
              <w:rPr/>
            </w:pPr>
            <w:r>
              <w:rPr/>
              <w:t>附件包含</w:t>
            </w:r>
            <w:r>
              <w:rPr/>
              <w:t>UX</w:t>
            </w:r>
            <w:r>
              <w:rPr/>
              <w:t>业务交互《语音助手</w:t>
            </w:r>
            <w:r>
              <w:rPr/>
              <w:t>20200709_</w:t>
            </w:r>
            <w:r>
              <w:rPr/>
              <w:t>业务交互</w:t>
            </w:r>
            <w:r>
              <w:rPr/>
              <w:t>.pdf</w:t>
            </w:r>
            <w:r>
              <w:rPr/>
              <w:t>》，请参考并考虑设计端云交互方式（注意一些敏感信息不能同步到云端）</w:t>
            </w:r>
          </w:p>
        </w:tc>
        <w:tc>
          <w:tcPr>
            <w:tcW w:w="5489"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DF5FF" w:val="clear"/>
            <w:tcMar>
              <w:left w:w="149" w:type="dxa"/>
            </w:tcMar>
            <w:vAlign w:val="center"/>
          </w:tcPr>
          <w:p>
            <w:pPr>
              <w:pStyle w:val="TableContents"/>
              <w:spacing w:before="0" w:after="0"/>
              <w:ind w:left="0" w:right="0" w:hanging="0"/>
              <w:jc w:val="left"/>
              <w:rPr/>
            </w:pPr>
            <w:r>
              <w:rPr/>
              <w:t>方案</w:t>
            </w:r>
            <w:r>
              <w:rPr/>
              <w:t>1</w:t>
            </w:r>
            <w:r>
              <w:rPr/>
              <w:t>：敏感信息不收到私有云</w:t>
            </w:r>
            <w:r>
              <w:rPr/>
              <w:br/>
            </w:r>
            <w:r>
              <w:rPr/>
              <w:t>用指令回复替代直接文本回复，敏感信息由终端程序收到相关的指令后，填充模板形成用户回复，以发短消息为例：</w:t>
            </w:r>
          </w:p>
          <w:p>
            <w:pPr>
              <w:pStyle w:val="TableContents"/>
              <w:spacing w:before="150" w:after="0"/>
              <w:ind w:left="0" w:right="0" w:hanging="0"/>
              <w:jc w:val="left"/>
              <w:rPr/>
            </w:pPr>
            <w:r>
              <w:rPr/>
              <w:t>手机端收到用户</w:t>
            </w:r>
            <w:r>
              <w:rPr/>
              <w:t>Query</w:t>
            </w:r>
            <w:r>
              <w:rPr/>
              <w:t>（给</w:t>
            </w:r>
            <w:r>
              <w:rPr/>
              <w:t>[</w:t>
            </w:r>
            <w:r>
              <w:rPr/>
              <w:t>李某</w:t>
            </w:r>
            <w:r>
              <w:rPr/>
              <w:t>]</w:t>
            </w:r>
            <w:r>
              <w:rPr/>
              <w:t>发消息</w:t>
            </w:r>
            <w:r>
              <w:rPr/>
              <w:t>[</w:t>
            </w:r>
            <w:r>
              <w:rPr/>
              <w:t>我今晚不回家吃饭了</w:t>
            </w:r>
            <w:r>
              <w:rPr/>
              <w:t>]</w:t>
            </w:r>
            <w:r>
              <w:rPr/>
              <w:t>）</w:t>
            </w:r>
            <w:r>
              <w:rPr/>
              <w:br/>
              <w:t>--&gt;</w:t>
            </w:r>
            <w:r>
              <w:rPr/>
              <w:t>手机端解析用户意图</w:t>
            </w:r>
            <w:r>
              <w:rPr/>
              <w:t>[MessageRead]</w:t>
            </w:r>
            <w:r>
              <w:rPr/>
              <w:t>（</w:t>
            </w:r>
            <w:r>
              <w:rPr/>
              <w:t>sendMsg:[**name**</w:t>
            </w:r>
            <w:r>
              <w:rPr/>
              <w:t>，</w:t>
            </w:r>
            <w:r>
              <w:rPr/>
              <w:t>××content**]</w:t>
            </w:r>
            <w:r>
              <w:rPr/>
              <w:t>）</w:t>
            </w:r>
            <w:r>
              <w:rPr/>
              <w:br/>
              <w:t>--&gt;</w:t>
            </w:r>
            <w:r>
              <w:rPr/>
              <w:t>手机端将脱敏的数据格式发送到云端（给</w:t>
            </w:r>
            <w:r>
              <w:rPr/>
              <w:t>[**name**]</w:t>
            </w:r>
            <w:r>
              <w:rPr/>
              <w:t>发消息</w:t>
            </w:r>
            <w:r>
              <w:rPr/>
              <w:t>[××content**]</w:t>
            </w:r>
            <w:r>
              <w:rPr/>
              <w:t>）</w:t>
            </w:r>
            <w:r>
              <w:rPr/>
              <w:br/>
              <w:t>--&gt;</w:t>
            </w:r>
            <w:r>
              <w:rPr/>
              <w:t>云端</w:t>
            </w:r>
            <w:r>
              <w:rPr/>
              <w:t>NLU+</w:t>
            </w:r>
            <w:r>
              <w:rPr/>
              <w:t>多轮对话处理（完成意图识别，对话流判断，以及将脱敏信息填槽等）</w:t>
            </w:r>
            <w:r>
              <w:rPr/>
              <w:br/>
              <w:t>--&gt;</w:t>
            </w:r>
            <w:r>
              <w:rPr/>
              <w:t>云端给终端发送脱敏的短信指令（</w:t>
            </w:r>
            <w:r>
              <w:rPr/>
              <w:t>sendMsg_action:[**name**</w:t>
            </w:r>
            <w:r>
              <w:rPr/>
              <w:t>，</w:t>
            </w:r>
            <w:r>
              <w:rPr/>
              <w:t>××content**]</w:t>
            </w:r>
            <w:r>
              <w:rPr/>
              <w:t>）</w:t>
            </w:r>
            <w:r>
              <w:rPr/>
              <w:br/>
              <w:t>--&gt;</w:t>
            </w:r>
            <w:r>
              <w:rPr/>
              <w:t>终端程序将脱敏的指令内容还原后，套入话术模板</w:t>
            </w:r>
            <w:r>
              <w:rPr/>
              <w:br/>
              <w:t>--&gt;TTS</w:t>
            </w:r>
          </w:p>
          <w:p>
            <w:pPr>
              <w:pStyle w:val="TableContents"/>
              <w:spacing w:before="150" w:after="0"/>
              <w:ind w:left="0" w:right="0" w:hanging="0"/>
              <w:jc w:val="left"/>
              <w:rPr/>
            </w:pPr>
            <w:r>
              <w:rPr/>
              <w:t>在这个场景中，短信内容和人名不需要上传到云，对话平台仅负责</w:t>
            </w:r>
            <w:r>
              <w:rPr/>
              <w:t>NLU</w:t>
            </w:r>
            <w:r>
              <w:rPr/>
              <w:t>和对话管理部分，</w:t>
            </w:r>
            <w:r>
              <w:rPr/>
              <w:t>NLG</w:t>
            </w:r>
            <w:r>
              <w:rPr/>
              <w:t>由终端程序套用话术模板和敏感内容完成</w:t>
            </w:r>
          </w:p>
          <w:p>
            <w:pPr>
              <w:pStyle w:val="TableContents"/>
              <w:spacing w:before="150" w:after="0"/>
              <w:ind w:left="0" w:right="0" w:hanging="0"/>
              <w:jc w:val="left"/>
              <w:rPr/>
            </w:pPr>
            <w:r>
              <w:rPr/>
              <w:br/>
            </w:r>
            <w:r>
              <w:rPr/>
              <w:t>方案</w:t>
            </w:r>
            <w:r>
              <w:rPr/>
              <w:t>2</w:t>
            </w:r>
            <w:r>
              <w:rPr/>
              <w:t>：敏感信息收到私有云，但对话平台不处理</w:t>
            </w:r>
            <w:r>
              <w:rPr/>
              <w:br/>
              <w:br/>
            </w:r>
            <w:r>
              <w:rPr/>
              <w:t>用指令回复替代直接文本回复，敏感信息由终端程序收到相关的指令后，填充模板形成用户回复，比如：</w:t>
            </w:r>
            <w:r>
              <w:rPr/>
              <w:br/>
              <w:br/>
            </w:r>
            <w:r>
              <w:rPr/>
              <w:t>对话平台收到用户</w:t>
            </w:r>
            <w:r>
              <w:rPr/>
              <w:t>Query--&gt;</w:t>
            </w:r>
            <w:r>
              <w:rPr/>
              <w:t>解析用户意图</w:t>
            </w:r>
            <w:r>
              <w:rPr/>
              <w:t>[MessageRead]--&gt;</w:t>
            </w:r>
            <w:r>
              <w:rPr/>
              <w:t>多轮对话填槽</w:t>
            </w:r>
            <w:r>
              <w:rPr/>
              <w:t>--&gt;</w:t>
            </w:r>
            <w:r>
              <w:rPr/>
              <w:t>发送阅读</w:t>
            </w:r>
            <w:r>
              <w:rPr/>
              <w:t>XXX</w:t>
            </w:r>
            <w:r>
              <w:rPr/>
              <w:t>的短信指令</w:t>
            </w:r>
            <w:r>
              <w:rPr/>
              <w:t>--&gt;</w:t>
            </w:r>
            <w:r>
              <w:rPr/>
              <w:t>终端程序读取短信内容，套入话术模板→</w:t>
            </w:r>
            <w:r>
              <w:rPr/>
              <w:t>TTS</w:t>
              <w:br/>
              <w:br/>
            </w:r>
            <w:r>
              <w:rPr/>
              <w:t>在这个场景中，短信内容和短信列表不需要上传到云，对话平台仅负责</w:t>
            </w:r>
            <w:r>
              <w:rPr/>
              <w:t>NLU</w:t>
            </w:r>
            <w:r>
              <w:rPr/>
              <w:t>和对话管理部分，</w:t>
            </w:r>
            <w:r>
              <w:rPr/>
              <w:t>NLG</w:t>
            </w:r>
            <w:r>
              <w:rPr/>
              <w:t>由终端程序套用话术模板和敏感内容完成</w:t>
            </w:r>
          </w:p>
        </w:tc>
        <w:tc>
          <w:tcPr>
            <w:tcW w:w="812"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DF5FF" w:val="clear"/>
            <w:tcMar>
              <w:left w:w="149" w:type="dxa"/>
            </w:tcMar>
            <w:vAlign w:val="center"/>
          </w:tcPr>
          <w:p>
            <w:pPr>
              <w:pStyle w:val="TableContents"/>
              <w:jc w:val="left"/>
              <w:rPr/>
            </w:pPr>
            <w:r>
              <w:rPr/>
              <w:t>跟随项目交付</w:t>
            </w:r>
          </w:p>
        </w:tc>
      </w:tr>
      <w:tr>
        <w:trPr/>
        <w:tc>
          <w:tcPr>
            <w:tcW w:w="3337"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DF5FF" w:val="clear"/>
            <w:tcMar>
              <w:left w:w="149" w:type="dxa"/>
            </w:tcMar>
            <w:vAlign w:val="center"/>
          </w:tcPr>
          <w:p>
            <w:pPr>
              <w:pStyle w:val="TableContents"/>
              <w:numPr>
                <w:ilvl w:val="0"/>
                <w:numId w:val="4"/>
              </w:numPr>
              <w:pBdr/>
              <w:tabs>
                <w:tab w:val="left" w:pos="0" w:leader="none"/>
              </w:tabs>
              <w:spacing w:before="0" w:after="0"/>
              <w:ind w:left="0" w:right="0" w:hanging="283"/>
              <w:jc w:val="left"/>
              <w:rPr/>
            </w:pPr>
            <w:r>
              <w:rPr/>
              <w:t>附件包含部分实体取值列表，完整版本</w:t>
            </w:r>
            <w:r>
              <w:rPr/>
              <w:t>7.30</w:t>
            </w:r>
            <w:r>
              <w:rPr/>
              <w:t>之前提供</w:t>
            </w:r>
          </w:p>
        </w:tc>
        <w:tc>
          <w:tcPr>
            <w:tcW w:w="5489"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DF5FF" w:val="clear"/>
            <w:tcMar>
              <w:left w:w="149" w:type="dxa"/>
            </w:tcMar>
            <w:vAlign w:val="center"/>
          </w:tcPr>
          <w:p>
            <w:pPr>
              <w:pStyle w:val="TableContents"/>
              <w:spacing w:before="0" w:after="0"/>
              <w:ind w:left="0" w:right="0" w:hanging="0"/>
              <w:jc w:val="left"/>
              <w:rPr/>
            </w:pPr>
            <w:r>
              <w:rPr/>
              <w:t>这个实体取值列表很重要，希望对方尽早提供，起码所有类别以及部分实体本周能够提供出来。</w:t>
            </w:r>
            <w:r>
              <w:rPr/>
              <w:br/>
            </w:r>
            <w:r>
              <w:rPr/>
              <w:t>我们的系统在</w:t>
            </w:r>
            <w:r>
              <w:rPr/>
              <w:t>NLU</w:t>
            </w:r>
            <w:r>
              <w:rPr/>
              <w:t>这块儿会综合机器学习模型以及规则模型来实现，这个实体取值列表在这两块儿都有影响：</w:t>
            </w:r>
          </w:p>
          <w:p>
            <w:pPr>
              <w:pStyle w:val="TableContents"/>
              <w:spacing w:before="150" w:after="0"/>
              <w:ind w:left="0" w:right="0" w:hanging="0"/>
              <w:jc w:val="left"/>
              <w:rPr/>
            </w:pPr>
            <w:r>
              <w:rPr/>
              <w:t xml:space="preserve">1 </w:t>
            </w:r>
            <w:r>
              <w:rPr/>
              <w:t>从机器学习模型实现</w:t>
            </w:r>
            <w:r>
              <w:rPr/>
              <w:t>NLU</w:t>
            </w:r>
            <w:r>
              <w:rPr/>
              <w:t>角度来说，在数据标注和采集的时候尽可能融入我们场景必要的实体项，这样训练的效果会更加符合我们实际场景需要</w:t>
            </w:r>
          </w:p>
          <w:p>
            <w:pPr>
              <w:pStyle w:val="TableContents"/>
              <w:spacing w:before="150" w:after="0"/>
              <w:ind w:left="0" w:right="0" w:hanging="0"/>
              <w:jc w:val="left"/>
              <w:rPr/>
            </w:pPr>
            <w:r>
              <w:rPr/>
              <w:t xml:space="preserve">2 </w:t>
            </w:r>
            <w:r>
              <w:rPr/>
              <w:t>从规则实现</w:t>
            </w:r>
            <w:r>
              <w:rPr/>
              <w:t>NLU</w:t>
            </w:r>
            <w:r>
              <w:rPr/>
              <w:t>角度来说，全部实体可以让我们规则约束更加完善，我们平台提供用户定义实体类型功能就是做这个用的。特别的涉及离线端的一些场景如果涉及相关约束实体项，更需要提供完整列表，然后才能写出符合场景的规则话术。</w:t>
            </w:r>
          </w:p>
        </w:tc>
        <w:tc>
          <w:tcPr>
            <w:tcW w:w="812"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DF5FF" w:val="clear"/>
            <w:tcMar>
              <w:left w:w="149" w:type="dxa"/>
            </w:tcMar>
            <w:vAlign w:val="center"/>
          </w:tcPr>
          <w:p>
            <w:pPr>
              <w:pStyle w:val="TableContents"/>
              <w:jc w:val="left"/>
              <w:rPr/>
            </w:pPr>
            <w:r>
              <w:rPr/>
              <w:t>本周五</w:t>
            </w:r>
          </w:p>
        </w:tc>
      </w:tr>
      <w:tr>
        <w:trPr/>
        <w:tc>
          <w:tcPr>
            <w:tcW w:w="3337"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DF5FF" w:val="clear"/>
            <w:tcMar>
              <w:left w:w="149" w:type="dxa"/>
            </w:tcMar>
            <w:vAlign w:val="center"/>
          </w:tcPr>
          <w:p>
            <w:pPr>
              <w:pStyle w:val="TableContents"/>
              <w:numPr>
                <w:ilvl w:val="0"/>
                <w:numId w:val="5"/>
              </w:numPr>
              <w:pBdr/>
              <w:tabs>
                <w:tab w:val="left" w:pos="0" w:leader="none"/>
              </w:tabs>
              <w:spacing w:before="0" w:after="0"/>
              <w:ind w:left="0" w:right="0" w:hanging="283"/>
              <w:jc w:val="left"/>
              <w:rPr/>
            </w:pPr>
            <w:r>
              <w:rPr/>
              <w:t>离线端暂定支持</w:t>
            </w:r>
            <w:r>
              <w:rPr/>
              <w:t>Camera</w:t>
            </w:r>
            <w:r>
              <w:rPr/>
              <w:t>、</w:t>
            </w:r>
            <w:r>
              <w:rPr/>
              <w:t>Launcher</w:t>
            </w:r>
            <w:r>
              <w:rPr/>
              <w:t>、</w:t>
            </w:r>
            <w:r>
              <w:rPr/>
              <w:t>Device Actions</w:t>
            </w:r>
            <w:r>
              <w:rPr/>
              <w:t>和</w:t>
            </w:r>
            <w:r>
              <w:rPr/>
              <w:t>Generic</w:t>
            </w:r>
            <w:r>
              <w:rPr/>
              <w:t>四个域对应所有意图的部分话术功能，期望能提供对应的话术模板</w:t>
            </w:r>
          </w:p>
        </w:tc>
        <w:tc>
          <w:tcPr>
            <w:tcW w:w="5489"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DF5FF" w:val="clear"/>
            <w:tcMar>
              <w:left w:w="149" w:type="dxa"/>
            </w:tcMar>
            <w:vAlign w:val="center"/>
          </w:tcPr>
          <w:p>
            <w:pPr>
              <w:pStyle w:val="TableContents"/>
              <w:jc w:val="left"/>
              <w:rPr/>
            </w:pPr>
            <w:r>
              <w:rPr/>
              <w:t>这四个域的意图规则话术内容较多暂时无法给出，等你们提供完整的实体列表，以及数据采集标注完成后我们再提供。</w:t>
            </w:r>
          </w:p>
        </w:tc>
        <w:tc>
          <w:tcPr>
            <w:tcW w:w="812"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DF5FF" w:val="clear"/>
            <w:tcMar>
              <w:left w:w="149" w:type="dxa"/>
            </w:tcMar>
            <w:vAlign w:val="center"/>
          </w:tcPr>
          <w:p>
            <w:pPr>
              <w:pStyle w:val="TableContents"/>
              <w:jc w:val="left"/>
              <w:rPr/>
            </w:pPr>
            <w:r>
              <w:rPr/>
              <w:t>完成数据工作之后</w:t>
            </w:r>
          </w:p>
        </w:tc>
      </w:tr>
      <w:tr>
        <w:trPr/>
        <w:tc>
          <w:tcPr>
            <w:tcW w:w="3337"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DF5FF" w:val="clear"/>
            <w:tcMar>
              <w:left w:w="149" w:type="dxa"/>
            </w:tcMar>
            <w:vAlign w:val="center"/>
          </w:tcPr>
          <w:p>
            <w:pPr>
              <w:pStyle w:val="TableContents"/>
              <w:numPr>
                <w:ilvl w:val="0"/>
                <w:numId w:val="6"/>
              </w:numPr>
              <w:pBdr/>
              <w:tabs>
                <w:tab w:val="left" w:pos="0" w:leader="none"/>
              </w:tabs>
              <w:spacing w:before="0" w:after="0"/>
              <w:ind w:left="0" w:right="0" w:hanging="283"/>
              <w:jc w:val="left"/>
              <w:rPr/>
            </w:pPr>
            <w:r>
              <w:rPr/>
              <w:t>如果用户只说</w:t>
            </w:r>
            <w:r>
              <w:rPr/>
              <w:t>app</w:t>
            </w:r>
            <w:r>
              <w:rPr/>
              <w:t>名，则默认走打开</w:t>
            </w:r>
            <w:r>
              <w:rPr/>
              <w:t>app</w:t>
            </w:r>
            <w:r>
              <w:rPr/>
              <w:t>流程</w:t>
            </w:r>
          </w:p>
        </w:tc>
        <w:tc>
          <w:tcPr>
            <w:tcW w:w="5489"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DF5FF" w:val="clear"/>
            <w:tcMar>
              <w:left w:w="149" w:type="dxa"/>
            </w:tcMar>
            <w:vAlign w:val="center"/>
          </w:tcPr>
          <w:p>
            <w:pPr>
              <w:pStyle w:val="TableContents"/>
              <w:jc w:val="left"/>
              <w:rPr/>
            </w:pPr>
            <w:r>
              <w:rPr/>
              <w:t>这个功能实现没有问题，我们会把</w:t>
            </w:r>
            <w:r>
              <w:rPr/>
              <w:t>app</w:t>
            </w:r>
            <w:r>
              <w:rPr/>
              <w:t>实体的识别作为</w:t>
            </w:r>
            <w:r>
              <w:rPr/>
              <w:t>launcher</w:t>
            </w:r>
            <w:r>
              <w:rPr/>
              <w:t>意图的触发项。具体实现时间跟随整个项目的交付时间</w:t>
            </w:r>
          </w:p>
        </w:tc>
        <w:tc>
          <w:tcPr>
            <w:tcW w:w="812"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DF5FF" w:val="clear"/>
            <w:tcMar>
              <w:left w:w="149" w:type="dxa"/>
            </w:tcMar>
            <w:vAlign w:val="center"/>
          </w:tcPr>
          <w:p>
            <w:pPr>
              <w:pStyle w:val="TableContents"/>
              <w:jc w:val="left"/>
              <w:rPr/>
            </w:pPr>
            <w:r>
              <w:rPr/>
              <w:t>跟随项目交付</w:t>
            </w:r>
          </w:p>
        </w:tc>
      </w:tr>
      <w:tr>
        <w:trPr/>
        <w:tc>
          <w:tcPr>
            <w:tcW w:w="3337"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DF5FF" w:val="clear"/>
            <w:tcMar>
              <w:left w:w="149" w:type="dxa"/>
            </w:tcMar>
            <w:vAlign w:val="center"/>
          </w:tcPr>
          <w:p>
            <w:pPr>
              <w:pStyle w:val="TableContents"/>
              <w:numPr>
                <w:ilvl w:val="0"/>
                <w:numId w:val="7"/>
              </w:numPr>
              <w:pBdr/>
              <w:tabs>
                <w:tab w:val="left" w:pos="0" w:leader="none"/>
              </w:tabs>
              <w:spacing w:before="0" w:after="0"/>
              <w:ind w:left="0" w:right="0" w:hanging="283"/>
              <w:jc w:val="left"/>
              <w:rPr/>
            </w:pPr>
            <w:r>
              <w:rPr/>
              <w:t>DMAI</w:t>
            </w:r>
            <w:r>
              <w:rPr/>
              <w:t>平台相关文档，如模型训练、数据存储等</w:t>
            </w:r>
          </w:p>
        </w:tc>
        <w:tc>
          <w:tcPr>
            <w:tcW w:w="5489"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DF5FF" w:val="clear"/>
            <w:tcMar>
              <w:left w:w="149" w:type="dxa"/>
            </w:tcMar>
            <w:vAlign w:val="center"/>
          </w:tcPr>
          <w:p>
            <w:pPr>
              <w:pStyle w:val="TableContents"/>
              <w:jc w:val="left"/>
              <w:rPr/>
            </w:pPr>
            <w:r>
              <w:rPr/>
              <w:t>补充文档</w:t>
            </w:r>
          </w:p>
        </w:tc>
        <w:tc>
          <w:tcPr>
            <w:tcW w:w="812" w:type="dxa"/>
            <w:tcBorders>
              <w:top w:val="single" w:sz="2" w:space="0" w:color="C1C7D0"/>
              <w:left w:val="single" w:sz="2" w:space="0" w:color="C1C7D0"/>
              <w:bottom w:val="single" w:sz="2" w:space="0" w:color="C1C7D0"/>
              <w:right w:val="single" w:sz="2" w:space="0" w:color="C1C7D0"/>
              <w:insideH w:val="single" w:sz="2" w:space="0" w:color="C1C7D0"/>
              <w:insideV w:val="single" w:sz="2" w:space="0" w:color="C1C7D0"/>
            </w:tcBorders>
            <w:shd w:fill="EDF5FF" w:val="clear"/>
            <w:tcMar>
              <w:left w:w="149" w:type="dxa"/>
            </w:tcMar>
            <w:vAlign w:val="center"/>
          </w:tcPr>
          <w:p>
            <w:pPr>
              <w:pStyle w:val="TableContents"/>
              <w:jc w:val="left"/>
              <w:rPr/>
            </w:pPr>
            <w:r>
              <w:rPr/>
              <w:t>本周五</w:t>
            </w:r>
          </w:p>
        </w:tc>
      </w:tr>
    </w:tbl>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2</Pages>
  <Words>1217</Words>
  <Characters>1506</Characters>
  <CharactersWithSpaces>1531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2020-07-13T16:23:47Z</dcterms:created>
  <dc:creator/>
  <dc:description/>
  <dc:language>en-US</dc:language>
  <cp:lastModifiedBy/>
  <dcterms:modified xsi:type="dcterms:W3CDTF">2020-07-13T16:25:15Z</dcterms:modified>
  <cp:revision>1</cp:revision>
  <dc:subject/>
  <dc:title/>
</cp:coreProperties>
</file>