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实验方法 Methods</w:t>
      </w:r>
    </w:p>
    <w:p>
      <w:r>
        <w:t>本研究共纳入 42 名受试者，随机分为两组。</w:t>
      </w:r>
    </w:p>
    <w:p>
      <w:r>
        <w:drawing>
          <wp:inline xmlns:wp="http://schemas.openxmlformats.org/drawingml/2006/wordprocessingDrawing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r>
        <w:tc>
          <w:p>
            <w:r>
              <w:t>组别</w:t>
            </w:r>
          </w:p>
        </w:tc>
        <w:tc>
          <w:p>
            <w:r>
              <w:t>N</w:t>
            </w:r>
          </w:p>
        </w:tc>
      </w:tr>
      <w:tr>
        <w:tc>
          <w:p>
            <w:r>
              <w:t>干预组</w:t>
            </w:r>
          </w:p>
        </w:tc>
        <w:tc>
          <w:p>
            <w:r>
              <w:t>21</w:t>
            </w:r>
          </w:p>
        </w:tc>
      </w:tr>
    </w:tbl>
    <w:p>
      <w:r>
        <w:t>Statistical analysis was performed with R 4.3.</w:t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Img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