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4d0c49" w14:textId="14d0c49">
      <w:pPr>
        <w15:collapsed w:val="false"/>
      </w:pPr>
      <w:r>
        <w:t/>
      </w:r>
      <w:r>
        <w:t xml:space="preserve">In this dataset, there are 74 models</w:t>
      </w:r>
      <w:r>
        <w:t xml:space="preserve"> of automobiles. The maximum MPG among them is </w:t>
      </w:r>
      <w:r>
        <w:rPr>
          <w:b w:val="true"/>
        </w:rPr>
        <w:t xml:space="preserve">41</w:t>
      </w:r>
      <w:r>
        <w:t xml:space="preserve">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mpg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weight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-.0065879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-.0078583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-.0053175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foreign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-1.650029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-3.7955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.4954422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41.6797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37.36172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45.99768</w:t>
            </w:r>
          </w:p>
        </w:tc>
      </w:tr>
    </w:tbl>
    <w:p>
      <w:r>
        <w:t/>
      </w:r>
    </w:p>
    <w:tbl>
      <w:tblPr>
        <w:tblStyle w:val="TableGrid"/>
      </w:tblPr>
      <w:tblGrid>
        <w:gridCol w:w="3120"/>
        <w:gridCol w:w="3120"/>
        <w:gridCol w:w="3120"/>
      </w:tblGrid>
      <w:tr>
        <w:tc>
          <w:tcPr>
            <w:tcW w:w="3120" w:type="dxa"/>
          </w:tcPr>
          <w:p>
            <w:pPr>
              <w:spacing w:after="0"/>
            </w:pPr>
            <w:r>
              <w:t xml:space="preserve">make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price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mpg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AMC Concord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4,099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AMC Pacer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4,749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17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AMC Spirit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3,799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22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Buick Century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4,816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Buick Electra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7,827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Buick LeSabre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5,788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18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Buick Opel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4,453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Buick Regal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5,189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20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Buick Riviera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10,372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Buick Skylark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4,082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19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Cad. Deville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11,385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Cad. Eldorado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14,500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14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Cad. Seville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15,906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21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Chev. Chevette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3,299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29</w:t>
            </w:r>
          </w:p>
        </w:tc>
      </w:tr>
      <w:tr>
        <w:tc>
          <w:tcPr>
            <w:tcW w:w="3120" w:type="dxa"/>
          </w:tcPr>
          <w:p>
            <w:pPr>
              <w:spacing w:after="0"/>
            </w:pPr>
            <w:r>
              <w:t xml:space="preserve">Chev. Impala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5,705</w:t>
            </w:r>
          </w:p>
        </w:tc>
        <w:tc>
          <w:tcPr>
            <w:tcW w:w="3120" w:type="dxa"/>
          </w:tcPr>
          <w:p>
            <w:pPr>
              <w:spacing w:after="0"/>
            </w:pPr>
            <w:r>
              <w:t xml:space="preserve">16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