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F59D1">
      <w:pPr>
        <w:jc w:val="center"/>
        <w:rPr>
          <w:rFonts w:ascii="黑体" w:hAnsi="黑体" w:eastAsia="黑体" w:cs="黑体"/>
          <w:b/>
          <w:bCs/>
          <w:sz w:val="30"/>
          <w:szCs w:val="30"/>
        </w:rPr>
      </w:pPr>
      <w:r>
        <w:rPr>
          <w:rFonts w:hint="eastAsia" w:ascii="黑体" w:hAnsi="黑体" w:eastAsia="黑体" w:cs="黑体"/>
          <w:b/>
          <w:bCs/>
          <w:sz w:val="30"/>
          <w:szCs w:val="30"/>
        </w:rPr>
        <w:t>中国传媒大学硕士研究生学位论文及</w:t>
      </w:r>
    </w:p>
    <w:p w14:paraId="1B659F90">
      <w:pPr>
        <w:jc w:val="center"/>
        <w:rPr>
          <w:rFonts w:ascii="黑体" w:hAnsi="黑体" w:eastAsia="黑体" w:cs="黑体"/>
          <w:b/>
          <w:bCs/>
          <w:sz w:val="30"/>
          <w:szCs w:val="30"/>
        </w:rPr>
      </w:pPr>
      <w:r>
        <w:rPr>
          <w:rFonts w:hint="eastAsia" w:ascii="黑体" w:hAnsi="黑体" w:eastAsia="黑体" w:cs="黑体"/>
          <w:b/>
          <w:bCs/>
          <w:sz w:val="30"/>
          <w:szCs w:val="30"/>
        </w:rPr>
        <w:t>毕业作品选题报告审核表</w:t>
      </w:r>
    </w:p>
    <w:p w14:paraId="24A71BB9">
      <w:pPr>
        <w:jc w:val="left"/>
        <w:rPr>
          <w:rFonts w:ascii="宋体" w:hAnsi="宋体" w:cs="宋体"/>
          <w:szCs w:val="21"/>
        </w:rPr>
      </w:pPr>
    </w:p>
    <w:p w14:paraId="39DF5BD4">
      <w:pPr>
        <w:ind w:firstLine="420" w:firstLineChars="200"/>
        <w:jc w:val="left"/>
        <w:rPr>
          <w:rFonts w:ascii="宋体" w:hAnsi="宋体" w:cs="宋体"/>
          <w:szCs w:val="21"/>
        </w:rPr>
      </w:pPr>
      <w:r>
        <w:rPr>
          <w:rFonts w:hint="eastAsia" w:ascii="宋体" w:hAnsi="宋体" w:cs="宋体"/>
          <w:szCs w:val="21"/>
        </w:rPr>
        <w:t>姓    名：张艺鹏                     学    号：202520085411016</w:t>
      </w:r>
    </w:p>
    <w:p w14:paraId="48D2A2C4">
      <w:pPr>
        <w:ind w:firstLine="420" w:firstLineChars="200"/>
        <w:jc w:val="left"/>
        <w:rPr>
          <w:rFonts w:ascii="宋体" w:hAnsi="宋体" w:cs="宋体"/>
          <w:szCs w:val="21"/>
        </w:rPr>
      </w:pPr>
      <w:r>
        <w:rPr>
          <w:rFonts w:hint="eastAsia" w:ascii="宋体" w:hAnsi="宋体" w:cs="宋体"/>
          <w:szCs w:val="21"/>
        </w:rPr>
        <w:t>导    师：黄浩程                     培养单位：媒体融合与传播国家重点实验室</w:t>
      </w:r>
    </w:p>
    <w:p w14:paraId="53BB0F5F">
      <w:pPr>
        <w:ind w:firstLine="420" w:firstLineChars="200"/>
        <w:jc w:val="left"/>
        <w:rPr>
          <w:rFonts w:ascii="宋体" w:hAnsi="宋体" w:cs="宋体"/>
          <w:szCs w:val="21"/>
        </w:rPr>
      </w:pPr>
      <w:r>
        <w:rPr>
          <w:rFonts w:hint="eastAsia" w:ascii="宋体" w:hAnsi="宋体" w:cs="宋体"/>
          <w:szCs w:val="21"/>
        </w:rPr>
        <w:t>一级学科及代码：085411               研究方向：数据智能技术与应用</w:t>
      </w:r>
    </w:p>
    <w:tbl>
      <w:tblPr>
        <w:tblStyle w:val="4"/>
        <w:tblW w:w="86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2474"/>
        <w:gridCol w:w="1863"/>
        <w:gridCol w:w="3086"/>
      </w:tblGrid>
      <w:tr w14:paraId="342AD8E1">
        <w:trPr>
          <w:trHeight w:val="521" w:hRule="atLeast"/>
          <w:jc w:val="center"/>
        </w:trPr>
        <w:tc>
          <w:tcPr>
            <w:tcW w:w="1240" w:type="dxa"/>
            <w:vAlign w:val="center"/>
          </w:tcPr>
          <w:p w14:paraId="4A498501">
            <w:pPr>
              <w:jc w:val="center"/>
              <w:rPr>
                <w:rFonts w:ascii="宋体" w:hAnsi="宋体" w:cs="宋体"/>
                <w:b/>
                <w:szCs w:val="21"/>
              </w:rPr>
            </w:pPr>
            <w:r>
              <w:rPr>
                <w:rFonts w:hint="eastAsia" w:ascii="宋体" w:hAnsi="宋体" w:cs="宋体"/>
                <w:szCs w:val="21"/>
              </w:rPr>
              <w:t>论文题目</w:t>
            </w:r>
          </w:p>
        </w:tc>
        <w:tc>
          <w:tcPr>
            <w:tcW w:w="7423" w:type="dxa"/>
            <w:gridSpan w:val="3"/>
            <w:vAlign w:val="center"/>
          </w:tcPr>
          <w:p w14:paraId="01805ADF">
            <w:pPr>
              <w:rPr>
                <w:rFonts w:ascii="宋体" w:hAnsi="宋体" w:cs="宋体"/>
                <w:b/>
                <w:szCs w:val="21"/>
              </w:rPr>
            </w:pPr>
            <w:r>
              <w:rPr>
                <w:rFonts w:ascii="宋体" w:hAnsi="宋体"/>
              </w:rPr>
              <w:t>融合推荐机制校准的社交仿真平台设计与实现</w:t>
            </w:r>
          </w:p>
        </w:tc>
      </w:tr>
      <w:tr w14:paraId="7CE0175B">
        <w:trPr>
          <w:trHeight w:val="521" w:hRule="atLeast"/>
          <w:jc w:val="center"/>
        </w:trPr>
        <w:tc>
          <w:tcPr>
            <w:tcW w:w="1240" w:type="dxa"/>
            <w:vAlign w:val="center"/>
          </w:tcPr>
          <w:p w14:paraId="6ACF0E99">
            <w:pPr>
              <w:jc w:val="center"/>
              <w:rPr>
                <w:rFonts w:ascii="Calibri" w:hAnsi="Calibri"/>
                <w:szCs w:val="24"/>
              </w:rPr>
            </w:pPr>
            <w:r>
              <w:rPr>
                <w:rFonts w:hint="eastAsia" w:ascii="Calibri" w:hAnsi="Calibri"/>
                <w:szCs w:val="24"/>
              </w:rPr>
              <w:t>作品题目</w:t>
            </w:r>
          </w:p>
          <w:p w14:paraId="246FE747">
            <w:pPr>
              <w:jc w:val="center"/>
              <w:rPr>
                <w:rFonts w:ascii="宋体" w:hAnsi="宋体" w:cs="宋体"/>
                <w:szCs w:val="21"/>
              </w:rPr>
            </w:pPr>
            <w:r>
              <w:rPr>
                <w:rFonts w:hint="eastAsia" w:ascii="Calibri" w:hAnsi="Calibri"/>
                <w:szCs w:val="24"/>
              </w:rPr>
              <w:t>（选填）</w:t>
            </w:r>
          </w:p>
        </w:tc>
        <w:tc>
          <w:tcPr>
            <w:tcW w:w="7423" w:type="dxa"/>
            <w:gridSpan w:val="3"/>
            <w:vAlign w:val="center"/>
          </w:tcPr>
          <w:p w14:paraId="740848DC">
            <w:pPr>
              <w:rPr>
                <w:rFonts w:ascii="宋体" w:hAnsi="宋体" w:cs="宋体"/>
                <w:b/>
                <w:szCs w:val="21"/>
              </w:rPr>
            </w:pPr>
            <w:r>
              <w:rPr>
                <w:rFonts w:ascii="宋体" w:hAnsi="宋体"/>
              </w:rPr>
              <w:t>无</w:t>
            </w:r>
          </w:p>
        </w:tc>
      </w:tr>
      <w:tr w14:paraId="72C0EEC7">
        <w:trPr>
          <w:trHeight w:val="521" w:hRule="atLeast"/>
          <w:jc w:val="center"/>
        </w:trPr>
        <w:tc>
          <w:tcPr>
            <w:tcW w:w="1240" w:type="dxa"/>
            <w:vAlign w:val="center"/>
          </w:tcPr>
          <w:p w14:paraId="3BECEC6E">
            <w:pPr>
              <w:jc w:val="center"/>
              <w:rPr>
                <w:rFonts w:ascii="宋体" w:hAnsi="宋体" w:cs="宋体"/>
                <w:szCs w:val="21"/>
              </w:rPr>
            </w:pPr>
            <w:r>
              <w:rPr>
                <w:rFonts w:hint="eastAsia" w:ascii="宋体" w:hAnsi="宋体" w:cs="宋体"/>
                <w:szCs w:val="21"/>
              </w:rPr>
              <w:t>时 间</w:t>
            </w:r>
          </w:p>
        </w:tc>
        <w:tc>
          <w:tcPr>
            <w:tcW w:w="2474" w:type="dxa"/>
            <w:vAlign w:val="center"/>
          </w:tcPr>
          <w:p w14:paraId="0B3700DF">
            <w:pPr>
              <w:jc w:val="center"/>
              <w:rPr>
                <w:rFonts w:ascii="宋体" w:hAnsi="宋体" w:cs="宋体"/>
                <w:b/>
                <w:szCs w:val="21"/>
              </w:rPr>
            </w:pPr>
            <w:r>
              <w:rPr>
                <w:rFonts w:hint="eastAsia" w:ascii="宋体" w:hAnsi="宋体" w:cs="宋体"/>
                <w:szCs w:val="21"/>
              </w:rPr>
              <w:t>2026年 7 月 1 日</w:t>
            </w:r>
          </w:p>
        </w:tc>
        <w:tc>
          <w:tcPr>
            <w:tcW w:w="1863" w:type="dxa"/>
            <w:vAlign w:val="center"/>
          </w:tcPr>
          <w:p w14:paraId="5829145F">
            <w:pPr>
              <w:jc w:val="center"/>
              <w:rPr>
                <w:rFonts w:ascii="宋体" w:hAnsi="宋体" w:cs="宋体"/>
                <w:b/>
                <w:szCs w:val="21"/>
              </w:rPr>
            </w:pPr>
            <w:r>
              <w:rPr>
                <w:rFonts w:hint="eastAsia" w:ascii="宋体" w:hAnsi="宋体" w:cs="宋体"/>
                <w:bCs/>
                <w:szCs w:val="21"/>
              </w:rPr>
              <w:t>地 点</w:t>
            </w:r>
          </w:p>
        </w:tc>
        <w:tc>
          <w:tcPr>
            <w:tcW w:w="3086" w:type="dxa"/>
            <w:vAlign w:val="center"/>
          </w:tcPr>
          <w:p w14:paraId="3AFF648B">
            <w:pPr>
              <w:jc w:val="center"/>
              <w:rPr>
                <w:rFonts w:hint="eastAsia" w:ascii="宋体" w:hAnsi="宋体" w:cs="宋体"/>
                <w:b/>
                <w:szCs w:val="21"/>
              </w:rPr>
            </w:pPr>
            <w:r>
              <w:rPr>
                <w:rFonts w:ascii="宋体" w:hAnsi="宋体" w:cs="宋体"/>
                <w:b/>
                <w:szCs w:val="21"/>
              </w:rPr>
              <w:t>国重710</w:t>
            </w:r>
          </w:p>
        </w:tc>
      </w:tr>
      <w:tr w14:paraId="6C78EB02">
        <w:trPr>
          <w:trHeight w:val="9128" w:hRule="atLeast"/>
          <w:jc w:val="center"/>
        </w:trPr>
        <w:tc>
          <w:tcPr>
            <w:tcW w:w="8663" w:type="dxa"/>
            <w:gridSpan w:val="4"/>
          </w:tcPr>
          <w:p w14:paraId="4E0832D3">
            <w:pPr>
              <w:rPr>
                <w:rFonts w:ascii="宋体" w:hAnsi="宋体"/>
              </w:rPr>
            </w:pPr>
            <w:r>
              <w:rPr>
                <w:rFonts w:ascii="宋体" w:hAnsi="宋体"/>
              </w:rPr>
              <w:t>选题报告会记录：</w:t>
            </w:r>
          </w:p>
          <w:p w14:paraId="4026E051">
            <w:pPr>
              <w:rPr>
                <w:rFonts w:ascii="宋体" w:hAnsi="宋体"/>
              </w:rPr>
            </w:pPr>
            <w:r>
              <w:rPr>
                <w:rFonts w:ascii="宋体" w:hAnsi="宋体"/>
              </w:rPr>
              <w:t>张艺鹏：各位老师好，我的论文题目是《融合推荐机制校准的社交仿真平台设计与实现》。本课题主要面向社交媒体舆论传播和平台推荐机制仿真问题，尝试构建一个从真实传播数据到在线社交仿真的闭环系统。真实社交平台中，用户能够看到哪些内容、以什么顺序看到内容，很大程度上受到推荐系统影响；但平台推荐算法、完整曝光日志和用户互动链路通常难以直接获得，在真实平台上开展大规模对照实验也受到隐私、伦理和监管限制。因此，本课题希望通过用户画像生成、推荐系统参数校准和在线 Agent 仿真，构建一个可控、可复现、可验证的社交仿真平台。系统整体流程包括数据处理、用户画像生成、推荐参数校准、配置注入、在线仿真运行和结果归档验证。</w:t>
            </w:r>
          </w:p>
          <w:p w14:paraId="59A4B6A0">
            <w:pPr>
              <w:rPr>
                <w:rFonts w:ascii="宋体" w:hAnsi="宋体"/>
              </w:rPr>
            </w:pPr>
          </w:p>
          <w:p w14:paraId="3780EC4A">
            <w:pPr>
              <w:rPr>
                <w:rFonts w:ascii="宋体" w:hAnsi="宋体"/>
              </w:rPr>
            </w:pPr>
            <w:r>
              <w:rPr>
                <w:rFonts w:ascii="宋体" w:hAnsi="宋体"/>
              </w:rPr>
              <w:t>石磊：你刚才汇报中提到了用户画像、推荐系统、Agent 决策、在线平台等很多内容，我还没有完全听明白你这个课题最主要做的是什么。你能不能再概括一下，你的核心工作到底是什么？</w:t>
            </w:r>
          </w:p>
          <w:p w14:paraId="54BF8019">
            <w:pPr>
              <w:rPr>
                <w:rFonts w:ascii="宋体" w:hAnsi="宋体"/>
              </w:rPr>
            </w:pPr>
          </w:p>
          <w:p w14:paraId="52440BAC">
            <w:pPr>
              <w:rPr>
                <w:rFonts w:ascii="宋体" w:hAnsi="宋体"/>
              </w:rPr>
            </w:pPr>
            <w:r>
              <w:rPr>
                <w:rFonts w:ascii="宋体" w:hAnsi="宋体"/>
              </w:rPr>
              <w:t>张艺鹏：好的老师。我的课题不是单纯开发一个社交媒体平台界面，也不是泛泛地做 LLM Agent 社交模拟，而是重点围绕社交仿真中的推荐曝光机制开展研究。核心工作是推荐系统参数校准。具体来说，我会把仿真平台中的推荐评分拆解为几个可解释维度，包括兴趣匹配、内容热度、时间衰减和随机探索等，然后利用真实传播结果去拟合这些参数。这样仿真系统中推荐给用户的 Feed 内容，就不是完全由研究者主观设定，而是尽量参考真实平台上的传播数据和互动分布。</w:t>
            </w:r>
          </w:p>
          <w:p w14:paraId="52CB7AC9">
            <w:pPr>
              <w:rPr>
                <w:rFonts w:ascii="宋体" w:hAnsi="宋体"/>
              </w:rPr>
            </w:pPr>
          </w:p>
          <w:p w14:paraId="1BA54924">
            <w:pPr>
              <w:rPr>
                <w:rFonts w:ascii="宋体" w:hAnsi="宋体"/>
              </w:rPr>
            </w:pPr>
            <w:r>
              <w:rPr>
                <w:rFonts w:ascii="宋体" w:hAnsi="宋体"/>
              </w:rPr>
              <w:t>石磊：那你这个推荐参数具体是怎么校准的？如果不知道真实平台内部算法，你怎么确定这些参数？</w:t>
            </w:r>
          </w:p>
          <w:p w14:paraId="52A285C0">
            <w:pPr>
              <w:rPr>
                <w:rFonts w:ascii="宋体" w:hAnsi="宋体"/>
              </w:rPr>
            </w:pPr>
          </w:p>
          <w:p w14:paraId="3F03C9E6">
            <w:pPr>
              <w:rPr>
                <w:rFonts w:ascii="宋体" w:hAnsi="宋体"/>
              </w:rPr>
            </w:pPr>
            <w:r>
              <w:rPr>
                <w:rFonts w:ascii="宋体" w:hAnsi="宋体"/>
              </w:rPr>
              <w:t>张艺鹏：老师，这里并不是要还原真实商业平台内部的推荐算法，而是在仿真系统中构建一个可解释、可配置的近似推荐机制。校准主要放在离线阶段完成。系统首先从真实平台数据中整理用户、帖子、互动行为和传播结果等观测信息，再结合用户画像和内容特征计算兴趣匹配、热度、时间间隔等分数。之后通过离线 ABM 仿真建立推荐可见概率与传播结果之间的对应关系，并通过误差函数和参数搜索方法估计推荐权重、时间衰减系数以及内容基础传播概率等参数。校准完成后，系统会输出统一配置文件，在线仿真平台启动时直接读取该配置，并将这些参数注入推荐服务，用来驱动 Feed 排序。</w:t>
            </w:r>
          </w:p>
          <w:p w14:paraId="3E540AFE">
            <w:pPr>
              <w:rPr>
                <w:rFonts w:ascii="宋体" w:hAnsi="宋体"/>
              </w:rPr>
            </w:pPr>
          </w:p>
          <w:p w14:paraId="7BE3AF21">
            <w:pPr>
              <w:rPr>
                <w:rFonts w:ascii="宋体" w:hAnsi="宋体"/>
              </w:rPr>
            </w:pPr>
            <w:r>
              <w:rPr>
                <w:rFonts w:ascii="宋体" w:hAnsi="宋体"/>
              </w:rPr>
              <w:t>元芳：你提到了 OASIS 这样的现有社交仿真系统。那相对于 OASIS，你这个系统的优点或者创新点主要在哪里？</w:t>
            </w:r>
          </w:p>
          <w:p w14:paraId="060A022E">
            <w:pPr>
              <w:rPr>
                <w:rFonts w:ascii="宋体" w:hAnsi="宋体"/>
              </w:rPr>
            </w:pPr>
          </w:p>
          <w:p w14:paraId="2F8741E7">
            <w:pPr>
              <w:rPr>
                <w:rFonts w:ascii="宋体" w:hAnsi="宋体"/>
              </w:rPr>
            </w:pPr>
            <w:r>
              <w:rPr>
                <w:rFonts w:ascii="宋体" w:hAnsi="宋体"/>
              </w:rPr>
              <w:t>张艺鹏：老师，OASIS 在大规模 Agent 运行、社交平台环境和推荐模块集成方面已经做得比较完整，但它的推荐机制参数更多依赖预设规则、经验公式或系统内置设定。我的课题相对于 OASIS 的一个主要改进，是增加了推荐系统参数校准模块，希望利用真实传播数据反推仿真推荐机制中的关键参数，使仿真时推荐给用户的推文，在传播规模、互动分布和时间变化趋势上更接近真实平台数据。这样仿真结果不只是由人工设定的推荐权重产生，而是能够和真实传播观测数据建立更明确的对应关系</w:t>
            </w:r>
            <w:r>
              <w:rPr>
                <w:rFonts w:hint="eastAsia" w:ascii="宋体" w:hAnsi="宋体"/>
                <w:lang w:eastAsia="zh-CN"/>
              </w:rPr>
              <w:t>，</w:t>
            </w:r>
            <w:bookmarkStart w:id="0" w:name="_GoBack"/>
            <w:bookmarkEnd w:id="0"/>
            <w:r>
              <w:rPr>
                <w:rFonts w:hint="eastAsia" w:ascii="宋体" w:hAnsi="宋体"/>
                <w:lang w:val="en-US" w:eastAsia="zh-CN"/>
              </w:rPr>
              <w:t>同时，</w:t>
            </w:r>
            <w:r>
              <w:rPr>
                <w:rFonts w:ascii="宋体" w:hAnsi="宋体"/>
              </w:rPr>
              <w:t>我的系统还会增加用户画像生成模块。这个模块会从真实用户资料、历史发帖内容、互动行为、活跃规律和影响力指标中生成更细致的用户表征。画像会分为几个层次，包括稳定画像、行为画像和 Agent 运行画像。稳定画像主要描述用户的长期兴趣、立场倾向、表达风格和社会角色；行为画像主要描述用户的活跃时间、互动偏好、发帖习惯和触发规则；运行画像则压缩成 Agent 决策时可以直接使用的字段。相比 OASIS 中相对简单或模板化的用户画像，我希望通过这种方式更好地仿真个人用户差异，让不同用户在发帖、评论、点赞、转发等行为上更符合其历史数据特征。</w:t>
            </w:r>
          </w:p>
          <w:p w14:paraId="31BCEE19">
            <w:pPr>
              <w:rPr>
                <w:rFonts w:ascii="宋体" w:hAnsi="宋体"/>
              </w:rPr>
            </w:pPr>
          </w:p>
          <w:p w14:paraId="016CCA11">
            <w:pPr>
              <w:rPr>
                <w:rFonts w:ascii="宋体" w:hAnsi="宋体"/>
              </w:rPr>
            </w:pPr>
            <w:r>
              <w:rPr>
                <w:rFonts w:ascii="宋体" w:hAnsi="宋体"/>
              </w:rPr>
              <w:t>元芳：那你的推荐系统参数校准主要能校准哪个平台？</w:t>
            </w:r>
          </w:p>
          <w:p w14:paraId="57C19EE9">
            <w:pPr>
              <w:rPr>
                <w:rFonts w:ascii="宋体" w:hAnsi="宋体"/>
              </w:rPr>
            </w:pPr>
          </w:p>
          <w:p w14:paraId="4E987912">
            <w:pPr>
              <w:rPr>
                <w:rFonts w:ascii="宋体" w:hAnsi="宋体"/>
              </w:rPr>
            </w:pPr>
            <w:r>
              <w:rPr>
                <w:rFonts w:ascii="宋体" w:hAnsi="宋体"/>
              </w:rPr>
              <w:t>张艺鹏：实验阶段我主要计划以 X 平台相关数据为对象进行验证，因为 X 平台中的推文、转发、评论、点赞和时间序列传播数据比较适合做传播建模，也和现有很多社交仿真研究中的 Twitter/X 场景比较接近。但从方法逻辑上看，这个校准流程并不只适用于 X 平台。只要其他平台能够提供用户信息、内容文本、互动行为和传播结果等基础观测数据，理论上也可以按照类似流程进行参数校准。比如微博、Reddit 等平台也可以迁移，只是需要根据具体平台的数据字段、互动类型和评价指标做适配。</w:t>
            </w:r>
          </w:p>
          <w:p w14:paraId="4C86D88E">
            <w:pPr>
              <w:rPr>
                <w:rFonts w:ascii="宋体" w:hAnsi="宋体"/>
              </w:rPr>
            </w:pPr>
          </w:p>
          <w:p w14:paraId="55C5F97B">
            <w:pPr>
              <w:rPr>
                <w:rFonts w:ascii="宋体" w:hAnsi="宋体"/>
              </w:rPr>
            </w:pPr>
            <w:r>
              <w:rPr>
                <w:rFonts w:ascii="宋体" w:hAnsi="宋体"/>
              </w:rPr>
              <w:t>黄浩程：你的系统设计整体比较完整，数据处理、画像生成、参数校准、在线仿真和结果归档都有考虑。不过我觉得现在实验结果的校验方法还不够充分。你后续准备怎么证明仿真结果是有效的？</w:t>
            </w:r>
          </w:p>
          <w:p w14:paraId="62FD8924">
            <w:pPr>
              <w:rPr>
                <w:rFonts w:ascii="宋体" w:hAnsi="宋体"/>
              </w:rPr>
            </w:pPr>
          </w:p>
          <w:p w14:paraId="4902A8F3">
            <w:pPr>
              <w:rPr>
                <w:rFonts w:ascii="宋体" w:hAnsi="宋体"/>
              </w:rPr>
            </w:pPr>
            <w:r>
              <w:rPr>
                <w:rFonts w:ascii="宋体" w:hAnsi="宋体"/>
              </w:rPr>
              <w:t>张艺鹏：老师，这个问题确实是后续需要重点完善的部分。目前 LLM Agent 社交仿真的有效性评估在学术界还没有形成完全统一的标准，不同研究会采用传播曲线相似度、态度演化一致性、互动行为分布、消融实验、多随机种子稳定性等不同方式进行检验。我的后续计划是在实验过程中逐步完善验证方案，一方面比较校准参数、均匀权重、经验权重和去推荐模块等不同设置下的仿真结果差异，另一方面结合 MAE、MRE、Pearson、DTW、态度分布偏差和行为分布差异等指标，评估推荐参数校准是否真的提升了仿真结果与真实传播数据之间的一致性。</w:t>
            </w:r>
          </w:p>
          <w:p w14:paraId="6E7E0CFB"/>
          <w:p w14:paraId="6E9530AA">
            <w:pPr>
              <w:rPr>
                <w:rFonts w:hint="eastAsia"/>
              </w:rPr>
            </w:pPr>
          </w:p>
        </w:tc>
      </w:tr>
      <w:tr w14:paraId="29E58770">
        <w:trPr>
          <w:trHeight w:val="479" w:hRule="atLeast"/>
          <w:jc w:val="center"/>
        </w:trPr>
        <w:tc>
          <w:tcPr>
            <w:tcW w:w="8663" w:type="dxa"/>
            <w:gridSpan w:val="4"/>
            <w:vAlign w:val="bottom"/>
          </w:tcPr>
          <w:p w14:paraId="75DC924D">
            <w:pPr>
              <w:ind w:firstLine="2940" w:firstLineChars="1400"/>
              <w:rPr>
                <w:rFonts w:ascii="宋体" w:hAnsi="宋体" w:cs="宋体"/>
                <w:bCs/>
                <w:szCs w:val="21"/>
              </w:rPr>
            </w:pPr>
            <w:r>
              <w:rPr>
                <w:rFonts w:hint="eastAsia" w:ascii="宋体" w:hAnsi="宋体" w:cs="宋体"/>
                <w:bCs/>
                <w:szCs w:val="21"/>
              </w:rPr>
              <w:t>记录人：                             年   月   日</w:t>
            </w:r>
          </w:p>
        </w:tc>
      </w:tr>
    </w:tbl>
    <w:tbl>
      <w:tblPr>
        <w:tblStyle w:val="5"/>
        <w:tblW w:w="8656" w:type="dxa"/>
        <w:tblInd w:w="-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
        <w:gridCol w:w="1242"/>
        <w:gridCol w:w="1731"/>
        <w:gridCol w:w="1731"/>
        <w:gridCol w:w="140"/>
        <w:gridCol w:w="1523"/>
        <w:gridCol w:w="68"/>
        <w:gridCol w:w="1732"/>
      </w:tblGrid>
      <w:tr w14:paraId="6D4EABA9">
        <w:trPr>
          <w:trHeight w:val="23" w:hRule="atLeast"/>
        </w:trPr>
        <w:tc>
          <w:tcPr>
            <w:tcW w:w="8656" w:type="dxa"/>
            <w:gridSpan w:val="8"/>
          </w:tcPr>
          <w:p w14:paraId="6589AA14">
            <w:pPr>
              <w:spacing w:line="360" w:lineRule="auto"/>
              <w:jc w:val="center"/>
              <w:rPr>
                <w:rFonts w:asciiTheme="minorEastAsia" w:hAnsiTheme="minorEastAsia" w:eastAsiaTheme="minorEastAsia" w:cstheme="minorEastAsia"/>
                <w:b/>
                <w:bCs/>
                <w:szCs w:val="21"/>
              </w:rPr>
            </w:pPr>
            <w:r>
              <w:rPr>
                <w:rFonts w:hint="eastAsia" w:ascii="宋体" w:hAnsi="宋体" w:cs="宋体"/>
                <w:b/>
                <w:bCs/>
                <w:szCs w:val="21"/>
              </w:rPr>
              <w:t>选题报告考评记分</w:t>
            </w:r>
          </w:p>
        </w:tc>
      </w:tr>
      <w:tr w14:paraId="1DEC030D">
        <w:trPr>
          <w:trHeight w:val="23" w:hRule="atLeast"/>
        </w:trPr>
        <w:tc>
          <w:tcPr>
            <w:tcW w:w="5333" w:type="dxa"/>
            <w:gridSpan w:val="5"/>
          </w:tcPr>
          <w:p w14:paraId="7E1C6FE5">
            <w:pPr>
              <w:spacing w:line="360" w:lineRule="auto"/>
              <w:jc w:val="center"/>
              <w:rPr>
                <w:rFonts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rPr>
              <w:t>考评项目</w:t>
            </w:r>
          </w:p>
        </w:tc>
        <w:tc>
          <w:tcPr>
            <w:tcW w:w="1523" w:type="dxa"/>
          </w:tcPr>
          <w:p w14:paraId="23FDADFD">
            <w:pPr>
              <w:spacing w:line="360" w:lineRule="auto"/>
              <w:jc w:val="center"/>
              <w:rPr>
                <w:rFonts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rPr>
              <w:t>分项</w:t>
            </w:r>
          </w:p>
        </w:tc>
        <w:tc>
          <w:tcPr>
            <w:tcW w:w="1800" w:type="dxa"/>
            <w:gridSpan w:val="2"/>
          </w:tcPr>
          <w:p w14:paraId="560877E2">
            <w:pPr>
              <w:spacing w:line="360" w:lineRule="auto"/>
              <w:jc w:val="center"/>
              <w:rPr>
                <w:rFonts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rPr>
              <w:t>计分</w:t>
            </w:r>
          </w:p>
        </w:tc>
      </w:tr>
      <w:tr w14:paraId="7957834C">
        <w:trPr>
          <w:trHeight w:val="23" w:hRule="atLeast"/>
        </w:trPr>
        <w:tc>
          <w:tcPr>
            <w:tcW w:w="489" w:type="dxa"/>
            <w:vMerge w:val="restart"/>
            <w:vAlign w:val="center"/>
          </w:tcPr>
          <w:p w14:paraId="023DDD6C">
            <w:pPr>
              <w:jc w:val="center"/>
              <w:rPr>
                <w:rFonts w:asciiTheme="minorEastAsia" w:hAnsiTheme="minorEastAsia" w:eastAsiaTheme="minorEastAsia" w:cstheme="minorEastAsia"/>
                <w:szCs w:val="21"/>
                <w:highlight w:val="lightGray"/>
              </w:rPr>
            </w:pPr>
            <w:r>
              <w:rPr>
                <w:rFonts w:hint="eastAsia" w:asciiTheme="minorEastAsia" w:hAnsiTheme="minorEastAsia" w:eastAsiaTheme="minorEastAsia" w:cstheme="minorEastAsia"/>
                <w:szCs w:val="21"/>
              </w:rPr>
              <w:t>书面报告</w:t>
            </w:r>
          </w:p>
        </w:tc>
        <w:tc>
          <w:tcPr>
            <w:tcW w:w="4844" w:type="dxa"/>
            <w:gridSpan w:val="4"/>
          </w:tcPr>
          <w:p w14:paraId="1A642797">
            <w:pPr>
              <w:spacing w:line="360" w:lineRule="auto"/>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1.选题相关文献、案例等调研情况</w:t>
            </w:r>
          </w:p>
        </w:tc>
        <w:tc>
          <w:tcPr>
            <w:tcW w:w="1523" w:type="dxa"/>
          </w:tcPr>
          <w:p w14:paraId="0F4F9DE8">
            <w:pPr>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满分15分</w:t>
            </w:r>
          </w:p>
        </w:tc>
        <w:tc>
          <w:tcPr>
            <w:tcW w:w="1800" w:type="dxa"/>
            <w:gridSpan w:val="2"/>
          </w:tcPr>
          <w:p w14:paraId="7C6993C9">
            <w:pPr>
              <w:spacing w:line="360" w:lineRule="auto"/>
              <w:jc w:val="left"/>
              <w:rPr>
                <w:rFonts w:asciiTheme="minorEastAsia" w:hAnsiTheme="minorEastAsia" w:eastAsiaTheme="minorEastAsia" w:cstheme="minorEastAsia"/>
                <w:szCs w:val="21"/>
              </w:rPr>
            </w:pPr>
          </w:p>
        </w:tc>
      </w:tr>
      <w:tr w14:paraId="296B32A1">
        <w:trPr>
          <w:trHeight w:val="23" w:hRule="atLeast"/>
        </w:trPr>
        <w:tc>
          <w:tcPr>
            <w:tcW w:w="489" w:type="dxa"/>
            <w:vMerge w:val="continue"/>
            <w:vAlign w:val="center"/>
          </w:tcPr>
          <w:p w14:paraId="2D54EF6D">
            <w:pPr>
              <w:jc w:val="center"/>
              <w:rPr>
                <w:rFonts w:asciiTheme="minorEastAsia" w:hAnsiTheme="minorEastAsia" w:eastAsiaTheme="minorEastAsia" w:cstheme="minorEastAsia"/>
                <w:szCs w:val="21"/>
                <w:highlight w:val="lightGray"/>
              </w:rPr>
            </w:pPr>
          </w:p>
        </w:tc>
        <w:tc>
          <w:tcPr>
            <w:tcW w:w="4844" w:type="dxa"/>
            <w:gridSpan w:val="4"/>
          </w:tcPr>
          <w:p w14:paraId="2E71E2F8">
            <w:pPr>
              <w:spacing w:line="360" w:lineRule="auto"/>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2.选题依据</w:t>
            </w:r>
          </w:p>
        </w:tc>
        <w:tc>
          <w:tcPr>
            <w:tcW w:w="1523" w:type="dxa"/>
          </w:tcPr>
          <w:p w14:paraId="621D0AAD">
            <w:pPr>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满分15分</w:t>
            </w:r>
          </w:p>
        </w:tc>
        <w:tc>
          <w:tcPr>
            <w:tcW w:w="1800" w:type="dxa"/>
            <w:gridSpan w:val="2"/>
          </w:tcPr>
          <w:p w14:paraId="0F2F6CBC">
            <w:pPr>
              <w:spacing w:line="360" w:lineRule="auto"/>
              <w:jc w:val="left"/>
              <w:rPr>
                <w:rFonts w:asciiTheme="minorEastAsia" w:hAnsiTheme="minorEastAsia" w:eastAsiaTheme="minorEastAsia" w:cstheme="minorEastAsia"/>
                <w:szCs w:val="21"/>
              </w:rPr>
            </w:pPr>
          </w:p>
        </w:tc>
      </w:tr>
      <w:tr w14:paraId="4653C9C6">
        <w:trPr>
          <w:trHeight w:val="23" w:hRule="atLeast"/>
        </w:trPr>
        <w:tc>
          <w:tcPr>
            <w:tcW w:w="489" w:type="dxa"/>
            <w:vMerge w:val="continue"/>
          </w:tcPr>
          <w:p w14:paraId="10820529">
            <w:pPr>
              <w:spacing w:line="360" w:lineRule="auto"/>
              <w:jc w:val="left"/>
              <w:rPr>
                <w:rFonts w:asciiTheme="minorEastAsia" w:hAnsiTheme="minorEastAsia" w:eastAsiaTheme="minorEastAsia" w:cstheme="minorEastAsia"/>
                <w:szCs w:val="21"/>
                <w:highlight w:val="lightGray"/>
              </w:rPr>
            </w:pPr>
          </w:p>
        </w:tc>
        <w:tc>
          <w:tcPr>
            <w:tcW w:w="4844" w:type="dxa"/>
            <w:gridSpan w:val="4"/>
          </w:tcPr>
          <w:p w14:paraId="670CB1FC">
            <w:pPr>
              <w:spacing w:line="360" w:lineRule="auto"/>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3.创新性</w:t>
            </w:r>
          </w:p>
        </w:tc>
        <w:tc>
          <w:tcPr>
            <w:tcW w:w="1523" w:type="dxa"/>
          </w:tcPr>
          <w:p w14:paraId="6D15044F">
            <w:pPr>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满分15分</w:t>
            </w:r>
          </w:p>
        </w:tc>
        <w:tc>
          <w:tcPr>
            <w:tcW w:w="1800" w:type="dxa"/>
            <w:gridSpan w:val="2"/>
          </w:tcPr>
          <w:p w14:paraId="5A533CE3">
            <w:pPr>
              <w:spacing w:line="360" w:lineRule="auto"/>
              <w:jc w:val="left"/>
              <w:rPr>
                <w:rFonts w:asciiTheme="minorEastAsia" w:hAnsiTheme="minorEastAsia" w:eastAsiaTheme="minorEastAsia" w:cstheme="minorEastAsia"/>
                <w:szCs w:val="21"/>
              </w:rPr>
            </w:pPr>
          </w:p>
        </w:tc>
      </w:tr>
      <w:tr w14:paraId="40ABABEC">
        <w:trPr>
          <w:trHeight w:val="23" w:hRule="atLeast"/>
        </w:trPr>
        <w:tc>
          <w:tcPr>
            <w:tcW w:w="489" w:type="dxa"/>
            <w:vMerge w:val="continue"/>
          </w:tcPr>
          <w:p w14:paraId="17708DB2">
            <w:pPr>
              <w:spacing w:line="360" w:lineRule="auto"/>
              <w:jc w:val="left"/>
              <w:rPr>
                <w:rFonts w:asciiTheme="minorEastAsia" w:hAnsiTheme="minorEastAsia" w:eastAsiaTheme="minorEastAsia" w:cstheme="minorEastAsia"/>
                <w:szCs w:val="21"/>
                <w:highlight w:val="lightGray"/>
              </w:rPr>
            </w:pPr>
          </w:p>
        </w:tc>
        <w:tc>
          <w:tcPr>
            <w:tcW w:w="4844" w:type="dxa"/>
            <w:gridSpan w:val="4"/>
          </w:tcPr>
          <w:p w14:paraId="53F89432">
            <w:pPr>
              <w:spacing w:line="360" w:lineRule="auto"/>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4.选题难度和可行性</w:t>
            </w:r>
          </w:p>
        </w:tc>
        <w:tc>
          <w:tcPr>
            <w:tcW w:w="1523" w:type="dxa"/>
          </w:tcPr>
          <w:p w14:paraId="025A144A">
            <w:pPr>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满分5分</w:t>
            </w:r>
          </w:p>
        </w:tc>
        <w:tc>
          <w:tcPr>
            <w:tcW w:w="1800" w:type="dxa"/>
            <w:gridSpan w:val="2"/>
          </w:tcPr>
          <w:p w14:paraId="54C9115B">
            <w:pPr>
              <w:spacing w:line="360" w:lineRule="auto"/>
              <w:jc w:val="left"/>
              <w:rPr>
                <w:rFonts w:asciiTheme="minorEastAsia" w:hAnsiTheme="minorEastAsia" w:eastAsiaTheme="minorEastAsia" w:cstheme="minorEastAsia"/>
                <w:szCs w:val="21"/>
              </w:rPr>
            </w:pPr>
          </w:p>
        </w:tc>
      </w:tr>
      <w:tr w14:paraId="430C7BB1">
        <w:trPr>
          <w:trHeight w:val="23" w:hRule="atLeast"/>
        </w:trPr>
        <w:tc>
          <w:tcPr>
            <w:tcW w:w="489" w:type="dxa"/>
            <w:vMerge w:val="continue"/>
          </w:tcPr>
          <w:p w14:paraId="14EF61BE">
            <w:pPr>
              <w:spacing w:line="360" w:lineRule="auto"/>
              <w:jc w:val="left"/>
              <w:rPr>
                <w:rFonts w:asciiTheme="minorEastAsia" w:hAnsiTheme="minorEastAsia" w:eastAsiaTheme="minorEastAsia" w:cstheme="minorEastAsia"/>
                <w:szCs w:val="21"/>
                <w:highlight w:val="lightGray"/>
              </w:rPr>
            </w:pPr>
          </w:p>
        </w:tc>
        <w:tc>
          <w:tcPr>
            <w:tcW w:w="4844" w:type="dxa"/>
            <w:gridSpan w:val="4"/>
          </w:tcPr>
          <w:p w14:paraId="3E8563CE">
            <w:pPr>
              <w:spacing w:line="360" w:lineRule="auto"/>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5.研究工作方案的合理性</w:t>
            </w:r>
          </w:p>
        </w:tc>
        <w:tc>
          <w:tcPr>
            <w:tcW w:w="1523" w:type="dxa"/>
          </w:tcPr>
          <w:p w14:paraId="1E52AF01">
            <w:pPr>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满分5分</w:t>
            </w:r>
          </w:p>
        </w:tc>
        <w:tc>
          <w:tcPr>
            <w:tcW w:w="1800" w:type="dxa"/>
            <w:gridSpan w:val="2"/>
          </w:tcPr>
          <w:p w14:paraId="651072AE">
            <w:pPr>
              <w:spacing w:line="360" w:lineRule="auto"/>
              <w:jc w:val="left"/>
              <w:rPr>
                <w:rFonts w:asciiTheme="minorEastAsia" w:hAnsiTheme="minorEastAsia" w:eastAsiaTheme="minorEastAsia" w:cstheme="minorEastAsia"/>
                <w:szCs w:val="21"/>
              </w:rPr>
            </w:pPr>
          </w:p>
        </w:tc>
      </w:tr>
      <w:tr w14:paraId="42E4C53C">
        <w:trPr>
          <w:trHeight w:val="23" w:hRule="atLeast"/>
        </w:trPr>
        <w:tc>
          <w:tcPr>
            <w:tcW w:w="489" w:type="dxa"/>
            <w:vMerge w:val="continue"/>
          </w:tcPr>
          <w:p w14:paraId="50F20027">
            <w:pPr>
              <w:spacing w:line="360" w:lineRule="auto"/>
              <w:jc w:val="left"/>
              <w:rPr>
                <w:rFonts w:asciiTheme="minorEastAsia" w:hAnsiTheme="minorEastAsia" w:eastAsiaTheme="minorEastAsia" w:cstheme="minorEastAsia"/>
                <w:szCs w:val="21"/>
                <w:highlight w:val="lightGray"/>
              </w:rPr>
            </w:pPr>
          </w:p>
        </w:tc>
        <w:tc>
          <w:tcPr>
            <w:tcW w:w="4844" w:type="dxa"/>
            <w:gridSpan w:val="4"/>
          </w:tcPr>
          <w:p w14:paraId="6EFCC39D">
            <w:pPr>
              <w:spacing w:line="360" w:lineRule="auto"/>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6.科研工作时间安排的合理性</w:t>
            </w:r>
          </w:p>
        </w:tc>
        <w:tc>
          <w:tcPr>
            <w:tcW w:w="1523" w:type="dxa"/>
          </w:tcPr>
          <w:p w14:paraId="71E94A01">
            <w:pPr>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满分5分</w:t>
            </w:r>
          </w:p>
        </w:tc>
        <w:tc>
          <w:tcPr>
            <w:tcW w:w="1800" w:type="dxa"/>
            <w:gridSpan w:val="2"/>
          </w:tcPr>
          <w:p w14:paraId="1DC8FED4">
            <w:pPr>
              <w:spacing w:line="360" w:lineRule="auto"/>
              <w:jc w:val="left"/>
              <w:rPr>
                <w:rFonts w:asciiTheme="minorEastAsia" w:hAnsiTheme="minorEastAsia" w:eastAsiaTheme="minorEastAsia" w:cstheme="minorEastAsia"/>
                <w:szCs w:val="21"/>
              </w:rPr>
            </w:pPr>
          </w:p>
        </w:tc>
      </w:tr>
      <w:tr w14:paraId="329C5D4F">
        <w:trPr>
          <w:trHeight w:val="23" w:hRule="atLeast"/>
        </w:trPr>
        <w:tc>
          <w:tcPr>
            <w:tcW w:w="489" w:type="dxa"/>
            <w:vMerge w:val="continue"/>
          </w:tcPr>
          <w:p w14:paraId="5D6F6DCE">
            <w:pPr>
              <w:spacing w:line="360" w:lineRule="auto"/>
              <w:jc w:val="left"/>
              <w:rPr>
                <w:rFonts w:asciiTheme="minorEastAsia" w:hAnsiTheme="minorEastAsia" w:eastAsiaTheme="minorEastAsia" w:cstheme="minorEastAsia"/>
                <w:szCs w:val="21"/>
                <w:highlight w:val="lightGray"/>
              </w:rPr>
            </w:pPr>
          </w:p>
        </w:tc>
        <w:tc>
          <w:tcPr>
            <w:tcW w:w="4844" w:type="dxa"/>
            <w:gridSpan w:val="4"/>
          </w:tcPr>
          <w:p w14:paraId="16D45DF7">
            <w:pPr>
              <w:spacing w:line="360" w:lineRule="auto"/>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7.表述规范性及引用文献合理性</w:t>
            </w:r>
          </w:p>
        </w:tc>
        <w:tc>
          <w:tcPr>
            <w:tcW w:w="1523" w:type="dxa"/>
          </w:tcPr>
          <w:p w14:paraId="6C25964F">
            <w:pPr>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满分10分</w:t>
            </w:r>
          </w:p>
        </w:tc>
        <w:tc>
          <w:tcPr>
            <w:tcW w:w="1800" w:type="dxa"/>
            <w:gridSpan w:val="2"/>
          </w:tcPr>
          <w:p w14:paraId="79043CC5">
            <w:pPr>
              <w:spacing w:line="360" w:lineRule="auto"/>
              <w:jc w:val="left"/>
              <w:rPr>
                <w:rFonts w:asciiTheme="minorEastAsia" w:hAnsiTheme="minorEastAsia" w:eastAsiaTheme="minorEastAsia" w:cstheme="minorEastAsia"/>
                <w:szCs w:val="21"/>
              </w:rPr>
            </w:pPr>
          </w:p>
        </w:tc>
      </w:tr>
      <w:tr w14:paraId="312B6B58">
        <w:trPr>
          <w:trHeight w:val="23" w:hRule="atLeast"/>
        </w:trPr>
        <w:tc>
          <w:tcPr>
            <w:tcW w:w="489" w:type="dxa"/>
            <w:vMerge w:val="restart"/>
          </w:tcPr>
          <w:p w14:paraId="33B47066">
            <w:pPr>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口头报告</w:t>
            </w:r>
          </w:p>
        </w:tc>
        <w:tc>
          <w:tcPr>
            <w:tcW w:w="4844" w:type="dxa"/>
            <w:gridSpan w:val="4"/>
          </w:tcPr>
          <w:p w14:paraId="2C48C495">
            <w:pPr>
              <w:spacing w:line="360" w:lineRule="auto"/>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8.条理清晰，层次分明</w:t>
            </w:r>
          </w:p>
        </w:tc>
        <w:tc>
          <w:tcPr>
            <w:tcW w:w="1523" w:type="dxa"/>
          </w:tcPr>
          <w:p w14:paraId="7EAA6590">
            <w:pPr>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满分10分</w:t>
            </w:r>
          </w:p>
        </w:tc>
        <w:tc>
          <w:tcPr>
            <w:tcW w:w="1800" w:type="dxa"/>
            <w:gridSpan w:val="2"/>
          </w:tcPr>
          <w:p w14:paraId="6A07328E">
            <w:pPr>
              <w:spacing w:line="360" w:lineRule="auto"/>
              <w:jc w:val="left"/>
              <w:rPr>
                <w:rFonts w:asciiTheme="minorEastAsia" w:hAnsiTheme="minorEastAsia" w:eastAsiaTheme="minorEastAsia" w:cstheme="minorEastAsia"/>
                <w:szCs w:val="21"/>
              </w:rPr>
            </w:pPr>
          </w:p>
        </w:tc>
      </w:tr>
      <w:tr w14:paraId="19162B10">
        <w:trPr>
          <w:trHeight w:val="23" w:hRule="atLeast"/>
        </w:trPr>
        <w:tc>
          <w:tcPr>
            <w:tcW w:w="489" w:type="dxa"/>
            <w:vMerge w:val="continue"/>
          </w:tcPr>
          <w:p w14:paraId="69C1EF2D">
            <w:pPr>
              <w:spacing w:line="360" w:lineRule="auto"/>
              <w:jc w:val="left"/>
              <w:rPr>
                <w:rFonts w:asciiTheme="minorEastAsia" w:hAnsiTheme="minorEastAsia" w:eastAsiaTheme="minorEastAsia" w:cstheme="minorEastAsia"/>
                <w:szCs w:val="21"/>
              </w:rPr>
            </w:pPr>
          </w:p>
        </w:tc>
        <w:tc>
          <w:tcPr>
            <w:tcW w:w="4844" w:type="dxa"/>
            <w:gridSpan w:val="4"/>
          </w:tcPr>
          <w:p w14:paraId="500173E1">
            <w:pPr>
              <w:spacing w:line="360" w:lineRule="auto"/>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9.基本概念清楚，明确选题在学科中的意义</w:t>
            </w:r>
          </w:p>
        </w:tc>
        <w:tc>
          <w:tcPr>
            <w:tcW w:w="1523" w:type="dxa"/>
          </w:tcPr>
          <w:p w14:paraId="62C7531B">
            <w:pPr>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满分10分</w:t>
            </w:r>
          </w:p>
        </w:tc>
        <w:tc>
          <w:tcPr>
            <w:tcW w:w="1800" w:type="dxa"/>
            <w:gridSpan w:val="2"/>
          </w:tcPr>
          <w:p w14:paraId="13CC20E2">
            <w:pPr>
              <w:spacing w:line="360" w:lineRule="auto"/>
              <w:jc w:val="left"/>
              <w:rPr>
                <w:rFonts w:asciiTheme="minorEastAsia" w:hAnsiTheme="minorEastAsia" w:eastAsiaTheme="minorEastAsia" w:cstheme="minorEastAsia"/>
                <w:szCs w:val="21"/>
              </w:rPr>
            </w:pPr>
          </w:p>
        </w:tc>
      </w:tr>
      <w:tr w14:paraId="129A4676">
        <w:trPr>
          <w:trHeight w:val="23" w:hRule="atLeast"/>
        </w:trPr>
        <w:tc>
          <w:tcPr>
            <w:tcW w:w="489" w:type="dxa"/>
            <w:vMerge w:val="continue"/>
          </w:tcPr>
          <w:p w14:paraId="027EB7B1">
            <w:pPr>
              <w:spacing w:line="360" w:lineRule="auto"/>
              <w:jc w:val="left"/>
              <w:rPr>
                <w:rFonts w:asciiTheme="minorEastAsia" w:hAnsiTheme="minorEastAsia" w:eastAsiaTheme="minorEastAsia" w:cstheme="minorEastAsia"/>
                <w:szCs w:val="21"/>
              </w:rPr>
            </w:pPr>
          </w:p>
        </w:tc>
        <w:tc>
          <w:tcPr>
            <w:tcW w:w="4844" w:type="dxa"/>
            <w:gridSpan w:val="4"/>
          </w:tcPr>
          <w:p w14:paraId="5259C197">
            <w:pPr>
              <w:spacing w:line="360" w:lineRule="auto"/>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10.论证严密，逻辑性强</w:t>
            </w:r>
          </w:p>
        </w:tc>
        <w:tc>
          <w:tcPr>
            <w:tcW w:w="1523" w:type="dxa"/>
          </w:tcPr>
          <w:p w14:paraId="586491DA">
            <w:pPr>
              <w:spacing w:line="360" w:lineRule="auto"/>
              <w:jc w:val="center"/>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满分10分</w:t>
            </w:r>
          </w:p>
        </w:tc>
        <w:tc>
          <w:tcPr>
            <w:tcW w:w="1800" w:type="dxa"/>
            <w:gridSpan w:val="2"/>
          </w:tcPr>
          <w:p w14:paraId="253C3A6E">
            <w:pPr>
              <w:spacing w:line="360" w:lineRule="auto"/>
              <w:jc w:val="left"/>
              <w:rPr>
                <w:rFonts w:asciiTheme="minorEastAsia" w:hAnsiTheme="minorEastAsia" w:eastAsiaTheme="minorEastAsia" w:cstheme="minorEastAsia"/>
                <w:szCs w:val="21"/>
              </w:rPr>
            </w:pPr>
          </w:p>
        </w:tc>
      </w:tr>
      <w:tr w14:paraId="42990060">
        <w:trPr>
          <w:trHeight w:val="23" w:hRule="atLeast"/>
        </w:trPr>
        <w:tc>
          <w:tcPr>
            <w:tcW w:w="6856" w:type="dxa"/>
            <w:gridSpan w:val="6"/>
          </w:tcPr>
          <w:p w14:paraId="438DCEB2">
            <w:pPr>
              <w:spacing w:line="360" w:lineRule="auto"/>
              <w:jc w:val="right"/>
              <w:rPr>
                <w:rFonts w:asciiTheme="minorEastAsia" w:hAnsiTheme="minorEastAsia" w:eastAsiaTheme="minorEastAsia" w:cstheme="minorEastAsia"/>
                <w:szCs w:val="21"/>
              </w:rPr>
            </w:pPr>
            <w:r>
              <w:rPr>
                <w:rFonts w:hint="eastAsia" w:asciiTheme="minorEastAsia" w:hAnsiTheme="minorEastAsia" w:eastAsiaTheme="minorEastAsia" w:cstheme="minorEastAsia"/>
                <w:b/>
                <w:bCs/>
                <w:szCs w:val="21"/>
              </w:rPr>
              <w:t>总分</w:t>
            </w:r>
          </w:p>
        </w:tc>
        <w:tc>
          <w:tcPr>
            <w:tcW w:w="1800" w:type="dxa"/>
            <w:gridSpan w:val="2"/>
          </w:tcPr>
          <w:p w14:paraId="323F547D">
            <w:pPr>
              <w:spacing w:line="360" w:lineRule="auto"/>
              <w:jc w:val="left"/>
              <w:rPr>
                <w:rFonts w:asciiTheme="minorEastAsia" w:hAnsiTheme="minorEastAsia" w:eastAsiaTheme="minorEastAsia" w:cstheme="minorEastAsia"/>
                <w:szCs w:val="21"/>
              </w:rPr>
            </w:pPr>
          </w:p>
        </w:tc>
      </w:tr>
      <w:tr w14:paraId="47ACB689">
        <w:trPr>
          <w:trHeight w:val="2174" w:hRule="atLeast"/>
        </w:trPr>
        <w:tc>
          <w:tcPr>
            <w:tcW w:w="8656" w:type="dxa"/>
            <w:gridSpan w:val="8"/>
          </w:tcPr>
          <w:p w14:paraId="02B028DD">
            <w:pPr>
              <w:spacing w:line="360" w:lineRule="auto"/>
              <w:jc w:val="left"/>
              <w:rPr>
                <w:rFonts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rPr>
              <w:t>选题报告专家委员会意见：</w:t>
            </w:r>
          </w:p>
          <w:p w14:paraId="3B1C4C6D">
            <w:pPr>
              <w:spacing w:line="360" w:lineRule="auto"/>
              <w:jc w:val="left"/>
              <w:rPr>
                <w:rFonts w:asciiTheme="minorEastAsia" w:hAnsiTheme="minorEastAsia" w:eastAsiaTheme="minorEastAsia" w:cstheme="minorEastAsia"/>
                <w:szCs w:val="21"/>
              </w:rPr>
            </w:pPr>
          </w:p>
        </w:tc>
      </w:tr>
      <w:tr w14:paraId="7BF7089C">
        <w:trPr>
          <w:trHeight w:val="454" w:hRule="atLeast"/>
        </w:trPr>
        <w:tc>
          <w:tcPr>
            <w:tcW w:w="8656" w:type="dxa"/>
            <w:gridSpan w:val="8"/>
            <w:vAlign w:val="center"/>
          </w:tcPr>
          <w:p w14:paraId="47E37472">
            <w:pPr>
              <w:jc w:val="center"/>
              <w:rPr>
                <w:rFonts w:asciiTheme="minorEastAsia" w:hAnsiTheme="minorEastAsia" w:eastAsiaTheme="minorEastAsia" w:cstheme="minorEastAsia"/>
                <w:szCs w:val="21"/>
              </w:rPr>
            </w:pPr>
            <w:r>
              <w:rPr>
                <w:rFonts w:hint="eastAsia"/>
                <w:b/>
                <w:bCs/>
              </w:rPr>
              <w:t>选题报告专家委员会</w:t>
            </w:r>
          </w:p>
        </w:tc>
      </w:tr>
      <w:tr w14:paraId="0DDB23AA">
        <w:trPr>
          <w:trHeight w:val="454" w:hRule="atLeast"/>
        </w:trPr>
        <w:tc>
          <w:tcPr>
            <w:tcW w:w="1731" w:type="dxa"/>
            <w:gridSpan w:val="2"/>
            <w:vAlign w:val="center"/>
          </w:tcPr>
          <w:p w14:paraId="4F1248A6"/>
        </w:tc>
        <w:tc>
          <w:tcPr>
            <w:tcW w:w="1731" w:type="dxa"/>
            <w:vAlign w:val="center"/>
          </w:tcPr>
          <w:p w14:paraId="0B79EB70">
            <w:pPr>
              <w:jc w:val="center"/>
            </w:pPr>
            <w:r>
              <w:rPr>
                <w:rFonts w:hint="eastAsia"/>
              </w:rPr>
              <w:t>姓名</w:t>
            </w:r>
          </w:p>
        </w:tc>
        <w:tc>
          <w:tcPr>
            <w:tcW w:w="1731" w:type="dxa"/>
            <w:vAlign w:val="center"/>
          </w:tcPr>
          <w:p w14:paraId="5F49E713">
            <w:pPr>
              <w:jc w:val="center"/>
            </w:pPr>
            <w:r>
              <w:rPr>
                <w:rFonts w:hint="eastAsia"/>
              </w:rPr>
              <w:t>职称</w:t>
            </w:r>
          </w:p>
        </w:tc>
        <w:tc>
          <w:tcPr>
            <w:tcW w:w="1731" w:type="dxa"/>
            <w:gridSpan w:val="3"/>
            <w:vAlign w:val="center"/>
          </w:tcPr>
          <w:p w14:paraId="3132B75E">
            <w:pPr>
              <w:jc w:val="center"/>
            </w:pPr>
            <w:r>
              <w:rPr>
                <w:rFonts w:hint="eastAsia"/>
              </w:rPr>
              <w:t>所在单位</w:t>
            </w:r>
          </w:p>
        </w:tc>
        <w:tc>
          <w:tcPr>
            <w:tcW w:w="1732" w:type="dxa"/>
            <w:vAlign w:val="center"/>
          </w:tcPr>
          <w:p w14:paraId="01B16778">
            <w:pPr>
              <w:jc w:val="center"/>
            </w:pPr>
            <w:r>
              <w:rPr>
                <w:rFonts w:hint="eastAsia"/>
              </w:rPr>
              <w:t>签字</w:t>
            </w:r>
          </w:p>
        </w:tc>
      </w:tr>
      <w:tr w14:paraId="6C038E0E">
        <w:trPr>
          <w:trHeight w:val="454" w:hRule="atLeast"/>
        </w:trPr>
        <w:tc>
          <w:tcPr>
            <w:tcW w:w="1731" w:type="dxa"/>
            <w:gridSpan w:val="2"/>
            <w:vAlign w:val="center"/>
          </w:tcPr>
          <w:p w14:paraId="2AF3E5A9">
            <w:pPr>
              <w:jc w:val="center"/>
            </w:pPr>
            <w:r>
              <w:rPr>
                <w:rFonts w:hint="eastAsia"/>
              </w:rPr>
              <w:t>主席</w:t>
            </w:r>
          </w:p>
        </w:tc>
        <w:tc>
          <w:tcPr>
            <w:tcW w:w="1731" w:type="dxa"/>
            <w:vAlign w:val="center"/>
          </w:tcPr>
          <w:p w14:paraId="69BE5803"/>
        </w:tc>
        <w:tc>
          <w:tcPr>
            <w:tcW w:w="1731" w:type="dxa"/>
            <w:vAlign w:val="center"/>
          </w:tcPr>
          <w:p w14:paraId="46436034"/>
        </w:tc>
        <w:tc>
          <w:tcPr>
            <w:tcW w:w="1731" w:type="dxa"/>
            <w:gridSpan w:val="3"/>
            <w:vAlign w:val="center"/>
          </w:tcPr>
          <w:p w14:paraId="21CE810F"/>
        </w:tc>
        <w:tc>
          <w:tcPr>
            <w:tcW w:w="1732" w:type="dxa"/>
            <w:vAlign w:val="center"/>
          </w:tcPr>
          <w:p w14:paraId="0A39F1F2"/>
        </w:tc>
      </w:tr>
      <w:tr w14:paraId="17C5E14F">
        <w:trPr>
          <w:trHeight w:val="454" w:hRule="atLeast"/>
        </w:trPr>
        <w:tc>
          <w:tcPr>
            <w:tcW w:w="1731" w:type="dxa"/>
            <w:gridSpan w:val="2"/>
            <w:vMerge w:val="restart"/>
            <w:vAlign w:val="center"/>
          </w:tcPr>
          <w:p w14:paraId="5F6D9151">
            <w:pPr>
              <w:jc w:val="center"/>
            </w:pPr>
            <w:r>
              <w:rPr>
                <w:rFonts w:hint="eastAsia"/>
              </w:rPr>
              <w:t>委员</w:t>
            </w:r>
          </w:p>
        </w:tc>
        <w:tc>
          <w:tcPr>
            <w:tcW w:w="1731" w:type="dxa"/>
            <w:vAlign w:val="center"/>
          </w:tcPr>
          <w:p w14:paraId="096CAF5D"/>
        </w:tc>
        <w:tc>
          <w:tcPr>
            <w:tcW w:w="1731" w:type="dxa"/>
            <w:vAlign w:val="center"/>
          </w:tcPr>
          <w:p w14:paraId="29903B95"/>
        </w:tc>
        <w:tc>
          <w:tcPr>
            <w:tcW w:w="1731" w:type="dxa"/>
            <w:gridSpan w:val="3"/>
            <w:vAlign w:val="center"/>
          </w:tcPr>
          <w:p w14:paraId="1D4A90D5"/>
        </w:tc>
        <w:tc>
          <w:tcPr>
            <w:tcW w:w="1732" w:type="dxa"/>
            <w:vAlign w:val="center"/>
          </w:tcPr>
          <w:p w14:paraId="50A2FCB7"/>
        </w:tc>
      </w:tr>
      <w:tr w14:paraId="7DD75124">
        <w:trPr>
          <w:trHeight w:val="454" w:hRule="atLeast"/>
        </w:trPr>
        <w:tc>
          <w:tcPr>
            <w:tcW w:w="1731" w:type="dxa"/>
            <w:gridSpan w:val="2"/>
            <w:vMerge w:val="continue"/>
            <w:vAlign w:val="center"/>
          </w:tcPr>
          <w:p w14:paraId="1D614B99"/>
        </w:tc>
        <w:tc>
          <w:tcPr>
            <w:tcW w:w="1731" w:type="dxa"/>
            <w:vAlign w:val="center"/>
          </w:tcPr>
          <w:p w14:paraId="389DF364"/>
        </w:tc>
        <w:tc>
          <w:tcPr>
            <w:tcW w:w="1731" w:type="dxa"/>
            <w:vAlign w:val="center"/>
          </w:tcPr>
          <w:p w14:paraId="1E8F0FC2"/>
        </w:tc>
        <w:tc>
          <w:tcPr>
            <w:tcW w:w="1731" w:type="dxa"/>
            <w:gridSpan w:val="3"/>
            <w:vAlign w:val="center"/>
          </w:tcPr>
          <w:p w14:paraId="715C4371"/>
        </w:tc>
        <w:tc>
          <w:tcPr>
            <w:tcW w:w="1732" w:type="dxa"/>
            <w:vAlign w:val="center"/>
          </w:tcPr>
          <w:p w14:paraId="7B942834"/>
        </w:tc>
      </w:tr>
      <w:tr w14:paraId="03C13BDA">
        <w:trPr>
          <w:trHeight w:val="454" w:hRule="atLeast"/>
        </w:trPr>
        <w:tc>
          <w:tcPr>
            <w:tcW w:w="1731" w:type="dxa"/>
            <w:gridSpan w:val="2"/>
            <w:vMerge w:val="continue"/>
            <w:vAlign w:val="center"/>
          </w:tcPr>
          <w:p w14:paraId="4850D4D4"/>
        </w:tc>
        <w:tc>
          <w:tcPr>
            <w:tcW w:w="1731" w:type="dxa"/>
            <w:vAlign w:val="center"/>
          </w:tcPr>
          <w:p w14:paraId="6001A181"/>
        </w:tc>
        <w:tc>
          <w:tcPr>
            <w:tcW w:w="1731" w:type="dxa"/>
            <w:vAlign w:val="center"/>
          </w:tcPr>
          <w:p w14:paraId="399DBF8F"/>
        </w:tc>
        <w:tc>
          <w:tcPr>
            <w:tcW w:w="1731" w:type="dxa"/>
            <w:gridSpan w:val="3"/>
            <w:vAlign w:val="center"/>
          </w:tcPr>
          <w:p w14:paraId="73CAA7CA"/>
        </w:tc>
        <w:tc>
          <w:tcPr>
            <w:tcW w:w="1732" w:type="dxa"/>
            <w:vAlign w:val="center"/>
          </w:tcPr>
          <w:p w14:paraId="4093DE3A"/>
        </w:tc>
      </w:tr>
      <w:tr w14:paraId="4853956C">
        <w:trPr>
          <w:trHeight w:val="454" w:hRule="atLeast"/>
        </w:trPr>
        <w:tc>
          <w:tcPr>
            <w:tcW w:w="1731" w:type="dxa"/>
            <w:gridSpan w:val="2"/>
            <w:vMerge w:val="continue"/>
            <w:vAlign w:val="center"/>
          </w:tcPr>
          <w:p w14:paraId="2721D970"/>
        </w:tc>
        <w:tc>
          <w:tcPr>
            <w:tcW w:w="1731" w:type="dxa"/>
            <w:vAlign w:val="center"/>
          </w:tcPr>
          <w:p w14:paraId="589F5CDA"/>
        </w:tc>
        <w:tc>
          <w:tcPr>
            <w:tcW w:w="1731" w:type="dxa"/>
            <w:vAlign w:val="center"/>
          </w:tcPr>
          <w:p w14:paraId="74B9F5C0"/>
        </w:tc>
        <w:tc>
          <w:tcPr>
            <w:tcW w:w="1731" w:type="dxa"/>
            <w:gridSpan w:val="3"/>
            <w:vAlign w:val="center"/>
          </w:tcPr>
          <w:p w14:paraId="1D15CFCC"/>
        </w:tc>
        <w:tc>
          <w:tcPr>
            <w:tcW w:w="1732" w:type="dxa"/>
            <w:vAlign w:val="center"/>
          </w:tcPr>
          <w:p w14:paraId="68D18120"/>
        </w:tc>
      </w:tr>
      <w:tr w14:paraId="4396C6D6">
        <w:trPr>
          <w:trHeight w:val="454" w:hRule="atLeast"/>
        </w:trPr>
        <w:tc>
          <w:tcPr>
            <w:tcW w:w="1731" w:type="dxa"/>
            <w:gridSpan w:val="2"/>
            <w:vAlign w:val="center"/>
          </w:tcPr>
          <w:p w14:paraId="4998202F">
            <w:pPr>
              <w:jc w:val="center"/>
            </w:pPr>
            <w:r>
              <w:rPr>
                <w:rFonts w:hint="eastAsia"/>
              </w:rPr>
              <w:t>秘书</w:t>
            </w:r>
          </w:p>
        </w:tc>
        <w:tc>
          <w:tcPr>
            <w:tcW w:w="1731" w:type="dxa"/>
            <w:vAlign w:val="center"/>
          </w:tcPr>
          <w:p w14:paraId="6C177DA5">
            <w:pPr>
              <w:jc w:val="center"/>
            </w:pPr>
          </w:p>
        </w:tc>
        <w:tc>
          <w:tcPr>
            <w:tcW w:w="1731" w:type="dxa"/>
            <w:vAlign w:val="center"/>
          </w:tcPr>
          <w:p w14:paraId="5C3C0339">
            <w:pPr>
              <w:jc w:val="center"/>
            </w:pPr>
          </w:p>
        </w:tc>
        <w:tc>
          <w:tcPr>
            <w:tcW w:w="1731" w:type="dxa"/>
            <w:gridSpan w:val="3"/>
            <w:vAlign w:val="center"/>
          </w:tcPr>
          <w:p w14:paraId="05548B49">
            <w:pPr>
              <w:jc w:val="center"/>
            </w:pPr>
          </w:p>
        </w:tc>
        <w:tc>
          <w:tcPr>
            <w:tcW w:w="1732" w:type="dxa"/>
            <w:vAlign w:val="center"/>
          </w:tcPr>
          <w:p w14:paraId="17702060">
            <w:pPr>
              <w:jc w:val="center"/>
            </w:pPr>
          </w:p>
        </w:tc>
      </w:tr>
      <w:tr w14:paraId="744B1903">
        <w:trPr>
          <w:trHeight w:val="1577" w:hRule="atLeast"/>
        </w:trPr>
        <w:tc>
          <w:tcPr>
            <w:tcW w:w="8656" w:type="dxa"/>
            <w:gridSpan w:val="8"/>
          </w:tcPr>
          <w:p w14:paraId="0A56CFEB">
            <w:r>
              <w:rPr>
                <w:rFonts w:hint="eastAsia"/>
                <w:b/>
                <w:bCs/>
              </w:rPr>
              <w:t>培养单位审核意见：</w:t>
            </w:r>
          </w:p>
          <w:p w14:paraId="3F732B7C"/>
          <w:p w14:paraId="405807F8">
            <w:pPr>
              <w:ind w:firstLine="4830" w:firstLineChars="2300"/>
            </w:pPr>
            <w:r>
              <w:rPr>
                <w:rFonts w:hint="eastAsia"/>
              </w:rPr>
              <w:t xml:space="preserve">主管领导：（签字）     </w:t>
            </w:r>
          </w:p>
          <w:p w14:paraId="0C36795B">
            <w:pPr>
              <w:jc w:val="center"/>
            </w:pPr>
            <w:r>
              <w:rPr>
                <w:rFonts w:hint="eastAsia"/>
              </w:rPr>
              <w:t xml:space="preserve">                              （培养单位公章）</w:t>
            </w:r>
          </w:p>
          <w:p w14:paraId="20DA5DBE">
            <w:pPr>
              <w:jc w:val="right"/>
            </w:pPr>
            <w:r>
              <w:rPr>
                <w:rFonts w:hint="eastAsia"/>
              </w:rPr>
              <w:t>年   月   日</w:t>
            </w:r>
          </w:p>
        </w:tc>
      </w:tr>
    </w:tbl>
    <w:p w14:paraId="000B83E0"/>
    <w:sectPr>
      <w:pgSz w:w="11906" w:h="16838"/>
      <w:pgMar w:top="1361" w:right="1800" w:bottom="1361"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3MTE2ODM2ZjYzYWM0ZmNjM2FiYWNhNDY1MDAwMWIifQ=="/>
  </w:docVars>
  <w:rsids>
    <w:rsidRoot w:val="3F874908"/>
    <w:rsid w:val="00143F5B"/>
    <w:rsid w:val="001474E5"/>
    <w:rsid w:val="001D7D96"/>
    <w:rsid w:val="001F475E"/>
    <w:rsid w:val="002A6AF3"/>
    <w:rsid w:val="0032239A"/>
    <w:rsid w:val="003436F5"/>
    <w:rsid w:val="003C5D8C"/>
    <w:rsid w:val="005721CC"/>
    <w:rsid w:val="00635D1C"/>
    <w:rsid w:val="0087690B"/>
    <w:rsid w:val="008A4A45"/>
    <w:rsid w:val="00931680"/>
    <w:rsid w:val="00971427"/>
    <w:rsid w:val="00A01998"/>
    <w:rsid w:val="00AB6B1E"/>
    <w:rsid w:val="00B5111C"/>
    <w:rsid w:val="00B90A3F"/>
    <w:rsid w:val="00C55B60"/>
    <w:rsid w:val="00E2100F"/>
    <w:rsid w:val="00E511F5"/>
    <w:rsid w:val="00E62045"/>
    <w:rsid w:val="00ED5E1D"/>
    <w:rsid w:val="00F3334D"/>
    <w:rsid w:val="00F7123D"/>
    <w:rsid w:val="0CE44A20"/>
    <w:rsid w:val="0DAE3185"/>
    <w:rsid w:val="17A34B99"/>
    <w:rsid w:val="187E0549"/>
    <w:rsid w:val="193D7D2A"/>
    <w:rsid w:val="1F5833A8"/>
    <w:rsid w:val="33701F8D"/>
    <w:rsid w:val="35E10FAC"/>
    <w:rsid w:val="36BA23DF"/>
    <w:rsid w:val="3E3C741C"/>
    <w:rsid w:val="3E6E06EB"/>
    <w:rsid w:val="3F874908"/>
    <w:rsid w:val="3FD07AEF"/>
    <w:rsid w:val="3FE12719"/>
    <w:rsid w:val="47C43BCF"/>
    <w:rsid w:val="4FBD0128"/>
    <w:rsid w:val="535425A5"/>
    <w:rsid w:val="54CD493C"/>
    <w:rsid w:val="57C13A46"/>
    <w:rsid w:val="58467CC8"/>
    <w:rsid w:val="5B2B4D76"/>
    <w:rsid w:val="6AE53F08"/>
    <w:rsid w:val="70821353"/>
    <w:rsid w:val="762B4562"/>
    <w:rsid w:val="A536ED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0"/>
    <w:rPr>
      <w:rFonts w:ascii="Times New Roman" w:hAnsi="Times New Roman" w:eastAsia="宋体" w:cs="Times New Roman"/>
      <w:kern w:val="2"/>
      <w:sz w:val="18"/>
      <w:szCs w:val="18"/>
    </w:rPr>
  </w:style>
  <w:style w:type="character" w:customStyle="1" w:styleId="8">
    <w:name w:val="页脚 字符"/>
    <w:basedOn w:val="6"/>
    <w:link w:val="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425</Words>
  <Characters>2429</Characters>
  <Lines>20</Lines>
  <Paragraphs>5</Paragraphs>
  <TotalTime>12</TotalTime>
  <ScaleCrop>false</ScaleCrop>
  <LinksUpToDate>false</LinksUpToDate>
  <CharactersWithSpaces>2849</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2021-05-12T17:39:00Z</dcterms:created>
  <dc:creator>sihan</dc:creator>
  <cp:lastModifiedBy>　　　</cp:lastModifiedBy>
  <cp:lastPrinted>2023-04-03T16:44:00Z</cp:lastPrinted>
  <dcterms:modified xsi:type="dcterms:W3CDTF">2026-07-06T22:59:18Z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32DFF6B3CED646129BF39649DE443186</vt:lpwstr>
  </property>
  <property fmtid="{D5CDD505-2E9C-101B-9397-08002B2CF9AE}" pid="4" name="KSOTemplateDocerSaveRecord">
    <vt:lpwstr>eyJoZGlkIjoiZDM2YjVmZjRhNGUwYTYyZWNiZDNhNmNiZGVmMmMzOTUiLCJ1c2VySWQiOiIyMjIzMTg5MjEifQ==</vt:lpwstr>
  </property>
</Properties>
</file>