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rPr>
          <w:b w:val="true"/>
        </w:rPr>
        <w:t xml:space="preserve">Table 1. Interaction Analysis of EVI and O3 Exposure on BAA</w:t>
      </w:r>
    </w:p>
    <w:p>
      <w:r>
        <w:t/>
      </w:r>
      <w:r>
        <w:t xml:space="preserve">Analytical objective: To assess whether enhanced vegetation index (EVI) modifies the association between ozone (O3) exposure and biological age acceleration (BAA).</w:t>
      </w:r>
      <w:r>
        <w:t xml:space="preserve">Methodology: Stratified analysis by O3 exposure groups (low vs high) using mixed-effects models with inverse probability weighting, adjusted for demographic, socioeconomic, lifestyle, climatic, and health-related covariates.</w:t>
      </w:r>
    </w:p>
    <w:p>
      <w:pPr>
        <w:pStyle w:val="Heading2"/>
      </w:pPr>
      <w:r>
        <w:t/>
      </w:r>
      <w:r>
        <w:t xml:space="preserve"/>
      </w:r>
      <w:r>
        <w:t xml:space="preserve">Interaction Analysis Summary</w:t>
      </w:r>
    </w:p>
    <w:tbl>
      <w:tblPr>
        <w:tblStyle w:val="TableGrid"/>
        <w:tblW w:w="5000" w:type="pct"/>
        <w:tblBorders>
          <w:top w:val="single" w:color="000000" w:shadow="false"/>
          <w:left w:val="single" w:color="000000" w:shadow="false"/>
          <w:bottom w:val="single" w:color="000000" w:shadow="false"/>
          <w:right w:val="single" w:color="000000" w:shadow="false"/>
          <w:insideH w:val="single" w:color="000000" w:shadow="false"/>
          <w:insideV w:val="single" w:color="000000" w:shadow="fals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Exposure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Buffer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Inter_Coeff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Inter_P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EVI_LowO3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EVI_HighO3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Eff_Diff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Eff_Diff_P</w:t>
            </w:r>
          </w:p>
        </w:tc>
      </w:tr>
      <w:tr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EVI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1 km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0.6931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0.4754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-1.3652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-1.3892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-0.0241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0.9804</w:t>
            </w:r>
          </w:p>
        </w:tc>
      </w:tr>
      <w:tr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EVI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500 m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1.0347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0.3609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-1.0432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-1.4393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-0.3962</w:t>
            </w:r>
          </w:p>
        </w:tc>
        <w:tc>
          <w:tcPr>
            <w:tcW w:w="1170" w:type="dxa"/>
          </w:tcPr>
          <w:p>
            <w:pPr>
              <w:spacing w:after="0"/>
              <w:jc w:val="center"/>
            </w:pPr>
            <w:r>
              <w:t xml:space="preserve">0.7269</w:t>
            </w:r>
          </w:p>
        </w:tc>
      </w:tr>
    </w:tbl>
    <w:p>
      <w:r>
        <w:t/>
      </w:r>
    </w:p>
    <w:p>
      <w:r>
        <w:t/>
      </w:r>
      <w:r>
        <w:rPr>
          <w:i w:val="true"/>
        </w:rPr>
        <w:t xml:space="preserve">Table notes: All models were adjusted for age, sex, education, socioeconomic status, lifestyle factors, climate principal components, and health conditions.</w:t>
      </w:r>
      <w:r>
        <w:rPr>
          <w:i w:val="true"/>
        </w:rPr>
        <w:t xml:space="preserve">Abbreviations: Inter_Coeff = Interaction coefficient; Inter_P = P-value for interaction term; EVI_LowO3 = EVI effect in low O3 group; EVI_HighO3 = EVI effect in high O3 group; Eff_Diff = Effect difference (EVI_HighO3 - EVI_LowO3); Eff_Diff_P = P-value for effect difference.</w:t>
      </w:r>
      <w:r>
        <w:rPr>
          <w:i w:val="true"/>
        </w:rPr>
        <w:t xml:space="preserve">Statistical significance: P &lt; 0.05 indicates statistical significance. Negative EVI effects indicate protective associations with biological aging.</w:t>
      </w:r>
    </w:p>
    <w:p>
      <w:pPr>
        <w:pStyle w:val="Heading2"/>
      </w:pPr>
      <w:r>
        <w:t/>
      </w:r>
      <w:r>
        <w:t xml:space="preserve"/>
      </w:r>
      <w:r>
        <w:t xml:space="preserve">Interpretation of Results</w:t>
      </w:r>
      <w:r>
        <w:t xml:space="preserve">No statistically significant interaction effects were observed (all interaction P-values ≥ 0.05).</w:t>
      </w:r>
      <w:r>
        <w:t xml:space="preserve">Stratified analysis did not reveal significant effect modification (all effect difference P-values ≥ 0.05).</w:t>
      </w:r>
      <w:r>
        <w:t xml:space="preserve">At 1 km buffer: EVI protective effect was 1.8% weaker in high O3 environments.</w:t>
      </w:r>
      <w:r>
        <w:t xml:space="preserve">At 500 m buffer: EVI protective effect was 38.0% weaker in high O3 environments.</w:t>
      </w:r>
    </w:p>
    <w:p>
      <w:pPr>
        <w:pStyle w:val="Heading2"/>
      </w:pPr>
      <w:r>
        <w:t/>
      </w:r>
      <w:r>
        <w:t xml:space="preserve"/>
      </w:r>
      <w:r>
        <w:t xml:space="preserve">Principal Findings and Implications</w:t>
      </w:r>
      <w:r>
        <w:t xml:space="preserve">Limited evidence indicates possible effect modification, though statistical evidence remains insufficient.</w:t>
      </w:r>
      <w:r>
        <w:t xml:space="preserve">Evidence strength: Low</w:t>
      </w:r>
      <w:r>
        <w:t xml:space="preserve">Research implication: Additional studies are needed to explore these relationships across different populations and environmental contexts.</w:t>
      </w:r>
    </w:p>
    <w:p>
      <w:pPr>
        <w:pStyle w:val="Heading2"/>
      </w:pPr>
      <w:r>
        <w:t/>
      </w:r>
      <w:r>
        <w:t xml:space="preserve"/>
      </w:r>
      <w:r>
        <w:t xml:space="preserve">Methodological Considerations</w:t>
      </w:r>
      <w:r>
        <w:t xml:space="preserve">Analytical strengths:</w:t>
      </w:r>
      <w:r>
        <w:t xml:space="preserve">• Mixed-effects modeling accounting for individual-level clustering</w:t>
      </w:r>
      <w:r>
        <w:t xml:space="preserve">• Inverse probability weighting to address potential selection bias</w:t>
      </w:r>
      <w:r>
        <w:t xml:space="preserve">• Comprehensive adjustment for demographic, socioeconomic, and environmental covariates</w:t>
      </w:r>
      <w:r>
        <w:t xml:space="preserve">• Stratified analysis to examine effect modification across pollution gradients</w:t>
      </w:r>
      <w:r>
        <w:t xml:space="preserve">Limitations:</w:t>
      </w:r>
      <w:r>
        <w:t xml:space="preserve">• Observational design precludes causal inference</w:t>
      </w:r>
      <w:r>
        <w:t xml:space="preserve">• Potential for residual confounding despite extensive covariate adjustment</w:t>
      </w:r>
      <w:r>
        <w:t xml:space="preserve">• Exposure measurement error inherent in satellite-based estimates</w:t>
      </w:r>
      <w:r>
        <w:t xml:space="preserve">• Limited statistical power for interaction detection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