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Title"/>
      </w:pPr>
      <w:r>
        <w:t/>
      </w:r>
      <w:r>
        <w:t xml:space="preserve"/>
      </w:r>
      <w:r>
        <w:t xml:space="preserve">Instrumental Variable Analysis Results Summary</w:t>
      </w:r>
    </w:p>
    <w:p>
      <w:r>
        <w:t/>
      </w:r>
      <w:r>
        <w:t xml:space="preserve">Table: Instrumental variable estimates for EVI and O3 exposures on Phenotypic Age Acceleration</w:t>
      </w:r>
      <w:r>
        <w:t xml:space="preserve"> using slope squared as IV for EVI and temperature inversion days as IV for O3</w:t>
      </w:r>
    </w:p>
    <w:tbl>
      <w:tblPr>
        <w:tblStyle w:val="TableGrid"/>
        <w:tblW w:w="5000" w:type="pct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Exposure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Model Type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Buffer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Coefficient (SE)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P-value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95% CI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EVI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Single-exposure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1KM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-33.917 (15.863)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0.0326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[-65.020, -2.813]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EVI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Single-exposure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500m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-44.672 (21.154)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0.0348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[-86.149, -3.195]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O3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Single-exposure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1KM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27.211 (6.491)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&lt;0.0001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[14.483, 39.938]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O3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Single-exposure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500m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26.771 (6.396)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&lt;0.0001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[14.230, 39.313]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EVI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Dual-exposure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1KM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-29.192 (16.288)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0.0732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[-61.129, 2.744]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O3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Dual-exposure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1KM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23.164 (7.294)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0.0015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[8.862, 37.465]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EVI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Dual-exposure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500m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-35.917 (21.034)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0.0878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[-77.159, 5.324]</w:t>
            </w:r>
          </w:p>
        </w:tc>
      </w:tr>
      <w:tr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O3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Dual-exposure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500m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26.860 (6.847)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&lt;0.0001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[13.436, 40.284]</w:t>
            </w:r>
          </w:p>
        </w:tc>
      </w:tr>
    </w:tbl>
    <w:p>
      <w:r>
        <w:t/>
      </w:r>
    </w:p>
    <w:p>
      <w:r>
        <w:t/>
      </w:r>
      <w:r>
        <w:t xml:space="preserve">Note: Single-exposure models include only one exposure (EVI or O3), while dual-exposure models include both exposures simultaneously.</w:t>
      </w:r>
    </w:p>
    <w:p>
      <w:r>
        <w:br w:type="page"/>
      </w:r>
    </w:p>
    <w:p>
      <w:pPr>
        <w:pStyle w:val="Heading1"/>
      </w:pPr>
      <w:r>
        <w:t/>
      </w:r>
      <w:r>
        <w:t xml:space="preserve"/>
      </w:r>
      <w:r>
        <w:t xml:space="preserve">Forest Plot of Instrumental Variable Estimates</w:t>
      </w:r>
    </w:p>
    <w:p>
      <w:r>
        <w:t/>
      </w:r>
      <w:r>
        <w:drawing>
          <wp:inline distT="0" distB="0" distL="0" distR="0">
            <wp:extent cx="5943600" cy="432396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/>
      </w:r>
      <w:r>
        <w:t xml:space="preserve"/>
      </w:r>
      <w:r>
        <w:t xml:space="preserve">Methods</w:t>
      </w:r>
    </w:p>
    <w:p>
      <w:r>
        <w:t/>
      </w:r>
      <w:r>
        <w:t xml:space="preserve">Instrumental variable analysis was conducted to estimate the causal effects of:</w:t>
      </w:r>
      <w:r>
        <w:t xml:space="preserve"> (1) Green vegetation exposure measured by Enhanced Vegetation Index (EVI) and</w:t>
      </w:r>
      <w:r>
        <w:t xml:space="preserve"> (2) Ozone pollution exposure (O3) on phenotypic age acceleration.</w:t>
      </w:r>
    </w:p>
    <w:p>
      <w:r>
        <w:t/>
      </w:r>
      <w:r>
        <w:t xml:space="preserve">Instrumental variables:</w:t>
      </w:r>
      <w:r>
        <w:t xml:space="preserve"> - EVI: squared slope within 500m buffer (25-degree threshold)</w:t>
      </w:r>
      <w:r>
        <w:t xml:space="preserve"> - O3: temperature inversion days</w:t>
      </w:r>
    </w:p>
    <w:p>
      <w:r>
        <w:t/>
      </w:r>
      <w:r>
        <w:t xml:space="preserve">All models were adjusted for age, sex, education, household consumption, retirement status,</w:t>
      </w:r>
      <w:r>
        <w:t xml:space="preserve">pension insurance, smoking, drinking, BMI, hypertension, dyslipidemia, year fixed effects,</w:t>
      </w:r>
      <w:r>
        <w:t xml:space="preserve">and principal components of climate variables.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document_image_rId3.p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