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pStyle w:val="Title"/>
      </w:pPr>
      <w:r>
        <w:t/>
      </w:r>
      <w:r>
        <w:t xml:space="preserve"/>
      </w:r>
      <w:r>
        <w:t xml:space="preserve">Instrumental Variable Validity Tests</w:t>
      </w:r>
      <w:r>
        <w:t xml:space="preserve"> for Environmental Exposures and Phenotypic Aging</w:t>
      </w:r>
    </w:p>
    <w:p>
      <w:r>
        <w:t/>
      </w:r>
      <w:r>
        <w:rPr>
          <w:b w:val="true"/>
        </w:rPr>
        <w:t xml:space="preserve">Table 1. Instrumental variable validity tests for green vegetation and ozone exposure models</w:t>
      </w:r>
    </w:p>
    <w:tbl>
      <w:tblPr>
        <w:tblStyle w:val="TableGrid"/>
        <w:tblW w:w="0" w:type="auto"/>
        <w:tblBorders>
          <w:top w:val="single" w:color="000000" w:shadow="false"/>
          <w:left w:val="single" w:color="000000" w:shadow="false"/>
          <w:bottom w:val="single" w:color="000000" w:shadow="false"/>
          <w:right w:val="single" w:color="000000" w:shadow="false"/>
          <w:insideH w:val="single" w:color="000000" w:shadow="false"/>
          <w:insideV w:val="single" w:color="000000" w:shadow="false"/>
        </w:tblBorders>
      </w:tblPr>
      <w:tblGrid>
        <w:gridCol w:w="1040"/>
        <w:gridCol w:w="1040"/>
        <w:gridCol w:w="1040"/>
        <w:gridCol w:w="1040"/>
        <w:gridCol w:w="1040"/>
        <w:gridCol w:w="1040"/>
        <w:gridCol w:w="1040"/>
        <w:gridCol w:w="1040"/>
        <w:gridCol w:w="1040"/>
      </w:tblGrid>
      <w:tr>
        <w:tc>
          <w:tcPr>
            <w:tcW w:w="0" w:type="auto"/>
          </w:tcPr>
          <w:p>
            <w:pPr>
              <w:spacing w:after="0"/>
              <w:jc w:val="center"/>
            </w:pPr>
            <w:r>
              <w:rPr>
                <w:b w:val="true"/>
              </w:rPr>
              <w:t xml:space="preserve">Exposure</w:t>
            </w:r>
          </w:p>
        </w:tc>
        <w:tc>
          <w:tcPr>
            <w:tcW w:w="0" w:type="auto"/>
          </w:tcPr>
          <w:p>
            <w:pPr>
              <w:spacing w:after="0"/>
              <w:jc w:val="center"/>
            </w:pPr>
            <w:r>
              <w:rPr>
                <w:b w:val="true"/>
              </w:rPr>
              <w:t xml:space="preserve">Model</w:t>
            </w:r>
          </w:p>
        </w:tc>
        <w:tc>
          <w:tcPr>
            <w:tcW w:w="0" w:type="auto"/>
          </w:tcPr>
          <w:p>
            <w:pPr>
              <w:spacing w:after="0"/>
              <w:jc w:val="center"/>
            </w:pPr>
            <w:r>
              <w:rPr>
                <w:b w:val="true"/>
              </w:rPr>
              <w:t xml:space="preserve">Buffer</w:t>
            </w:r>
          </w:p>
        </w:tc>
        <w:tc>
          <w:tcPr>
            <w:tcW w:w="0" w:type="auto"/>
          </w:tcPr>
          <w:p>
            <w:pPr>
              <w:spacing w:after="0"/>
              <w:jc w:val="center"/>
            </w:pPr>
            <w:r>
              <w:rPr>
                <w:b w:val="true"/>
              </w:rPr>
              <w:t xml:space="preserve">IV</w:t>
            </w:r>
          </w:p>
        </w:tc>
        <w:tc>
          <w:tcPr>
            <w:tcW w:w="0" w:type="auto"/>
          </w:tcPr>
          <w:p>
            <w:pPr>
              <w:spacing w:after="0"/>
              <w:jc w:val="center"/>
            </w:pPr>
            <w:r>
              <w:rPr>
                <w:b w:val="true"/>
              </w:rPr>
              <w:t xml:space="preserve">F-stat</w:t>
            </w:r>
          </w:p>
        </w:tc>
        <w:tc>
          <w:tcPr>
            <w:tcW w:w="0" w:type="auto"/>
          </w:tcPr>
          <w:p>
            <w:pPr>
              <w:spacing w:after="0"/>
              <w:jc w:val="center"/>
            </w:pPr>
            <w:r>
              <w:rPr>
                <w:b w:val="true"/>
              </w:rPr>
              <w:t xml:space="preserve">Weak IV</w:t>
            </w:r>
          </w:p>
        </w:tc>
        <w:tc>
          <w:tcPr>
            <w:tcW w:w="0" w:type="auto"/>
          </w:tcPr>
          <w:p>
            <w:pPr>
              <w:spacing w:after="0"/>
              <w:jc w:val="center"/>
            </w:pPr>
            <w:r>
              <w:rPr>
                <w:b w:val="true"/>
              </w:rPr>
              <w:t xml:space="preserve">Endog P</w:t>
            </w:r>
          </w:p>
        </w:tc>
        <w:tc>
          <w:tcPr>
            <w:tcW w:w="0" w:type="auto"/>
          </w:tcPr>
          <w:p>
            <w:pPr>
              <w:spacing w:after="0"/>
              <w:jc w:val="center"/>
            </w:pPr>
            <w:r>
              <w:rPr>
                <w:b w:val="true"/>
              </w:rPr>
              <w:t xml:space="preserve">Endog</w:t>
            </w:r>
          </w:p>
        </w:tc>
        <w:tc>
          <w:tcPr>
            <w:tcW w:w="0" w:type="auto"/>
          </w:tcPr>
          <w:p>
            <w:pPr>
              <w:spacing w:after="0"/>
              <w:jc w:val="center"/>
            </w:pPr>
            <w:r>
              <w:rPr>
                <w:b w:val="true"/>
              </w:rPr>
              <w:t xml:space="preserve">ID</w:t>
            </w:r>
          </w:p>
        </w:tc>
      </w:tr>
      <w:tr>
        <w:tc>
          <w:tcPr>
            <w:tcW w:w="0" w:type="auto"/>
          </w:tcPr>
          <w:p>
            <w:pPr>
              <w:spacing w:after="0"/>
              <w:jc w:val="center"/>
            </w:pPr>
            <w:r>
              <w:t xml:space="preserve">log(EVI)</w:t>
            </w:r>
          </w:p>
        </w:tc>
        <w:tc>
          <w:tcPr>
            <w:tcW w:w="0" w:type="auto"/>
          </w:tcPr>
          <w:p>
            <w:pPr>
              <w:spacing w:after="0"/>
              <w:jc w:val="center"/>
            </w:pPr>
            <w:r>
              <w:t xml:space="preserve">Single</w:t>
            </w:r>
          </w:p>
        </w:tc>
        <w:tc>
          <w:tcPr>
            <w:tcW w:w="0" w:type="auto"/>
          </w:tcPr>
          <w:p>
            <w:pPr>
              <w:spacing w:after="0"/>
              <w:jc w:val="center"/>
            </w:pPr>
            <w:r>
              <w:t xml:space="preserve">1KM</w:t>
            </w:r>
          </w:p>
        </w:tc>
        <w:tc>
          <w:tcPr>
            <w:tcW w:w="0" w:type="auto"/>
          </w:tcPr>
          <w:p>
            <w:pPr>
              <w:spacing w:after="0"/>
              <w:jc w:val="center"/>
            </w:pPr>
            <w:r>
              <w:t xml:space="preserve">Steep slope squared</w:t>
            </w:r>
          </w:p>
        </w:tc>
        <w:tc>
          <w:tcPr>
            <w:tcW w:w="0" w:type="auto"/>
          </w:tcPr>
          <w:p>
            <w:pPr>
              <w:spacing w:after="0"/>
              <w:jc w:val="center"/>
            </w:pPr>
            <w:r>
              <w:t xml:space="preserve">88.51</w:t>
            </w:r>
          </w:p>
        </w:tc>
        <w:tc>
          <w:tcPr>
            <w:tcW w:w="0" w:type="auto"/>
          </w:tcPr>
          <w:p>
            <w:pPr>
              <w:spacing w:after="0"/>
              <w:jc w:val="center"/>
            </w:pPr>
            <w:r>
              <w:t xml:space="preserve">Strong</w:t>
            </w:r>
          </w:p>
        </w:tc>
        <w:tc>
          <w:tcPr>
            <w:tcW w:w="0" w:type="auto"/>
          </w:tcPr>
          <w:p>
            <w:pPr>
              <w:spacing w:after="0"/>
              <w:jc w:val="center"/>
            </w:pPr>
            <w:r>
              <w:t xml:space="preserve">0.049</w:t>
            </w:r>
          </w:p>
        </w:tc>
        <w:tc>
          <w:tcPr>
            <w:tcW w:w="0" w:type="auto"/>
          </w:tcPr>
          <w:p>
            <w:pPr>
              <w:spacing w:after="0"/>
              <w:jc w:val="center"/>
            </w:pPr>
            <w:r>
              <w:t xml:space="preserve">Present</w:t>
            </w:r>
          </w:p>
        </w:tc>
        <w:tc>
          <w:tcPr>
            <w:tcW w:w="0" w:type="auto"/>
          </w:tcPr>
          <w:p>
            <w:pPr>
              <w:spacing w:after="0"/>
              <w:jc w:val="center"/>
            </w:pPr>
            <w:r>
              <w:t xml:space="preserve">Exact</w:t>
            </w:r>
          </w:p>
        </w:tc>
      </w:tr>
      <w:tr>
        <w:tc>
          <w:tcPr>
            <w:tcW w:w="0" w:type="auto"/>
          </w:tcPr>
          <w:p>
            <w:pPr>
              <w:spacing w:after="0"/>
              <w:jc w:val="center"/>
            </w:pPr>
            <w:r>
              <w:t xml:space="preserve">log(EVI)</w:t>
            </w:r>
          </w:p>
        </w:tc>
        <w:tc>
          <w:tcPr>
            <w:tcW w:w="0" w:type="auto"/>
          </w:tcPr>
          <w:p>
            <w:pPr>
              <w:spacing w:after="0"/>
              <w:jc w:val="center"/>
            </w:pPr>
            <w:r>
              <w:t xml:space="preserve">Single</w:t>
            </w:r>
          </w:p>
        </w:tc>
        <w:tc>
          <w:tcPr>
            <w:tcW w:w="0" w:type="auto"/>
          </w:tcPr>
          <w:p>
            <w:pPr>
              <w:spacing w:after="0"/>
              <w:jc w:val="center"/>
            </w:pPr>
            <w:r>
              <w:t xml:space="preserve">500m</w:t>
            </w:r>
          </w:p>
        </w:tc>
        <w:tc>
          <w:tcPr>
            <w:tcW w:w="0" w:type="auto"/>
          </w:tcPr>
          <w:p>
            <w:pPr>
              <w:spacing w:after="0"/>
              <w:jc w:val="center"/>
            </w:pPr>
            <w:r>
              <w:t xml:space="preserve">Steep slope squared</w:t>
            </w:r>
          </w:p>
        </w:tc>
        <w:tc>
          <w:tcPr>
            <w:tcW w:w="0" w:type="auto"/>
          </w:tcPr>
          <w:p>
            <w:pPr>
              <w:spacing w:after="0"/>
              <w:jc w:val="center"/>
            </w:pPr>
            <w:r>
              <w:t xml:space="preserve">58.09</w:t>
            </w:r>
          </w:p>
        </w:tc>
        <w:tc>
          <w:tcPr>
            <w:tcW w:w="0" w:type="auto"/>
          </w:tcPr>
          <w:p>
            <w:pPr>
              <w:spacing w:after="0"/>
              <w:jc w:val="center"/>
            </w:pPr>
            <w:r>
              <w:t xml:space="preserve">Strong</w:t>
            </w:r>
          </w:p>
        </w:tc>
        <w:tc>
          <w:tcPr>
            <w:tcW w:w="0" w:type="auto"/>
          </w:tcPr>
          <w:p>
            <w:pPr>
              <w:spacing w:after="0"/>
              <w:jc w:val="center"/>
            </w:pPr>
            <w:r>
              <w:t xml:space="preserve">0.042</w:t>
            </w:r>
          </w:p>
        </w:tc>
        <w:tc>
          <w:tcPr>
            <w:tcW w:w="0" w:type="auto"/>
          </w:tcPr>
          <w:p>
            <w:pPr>
              <w:spacing w:after="0"/>
              <w:jc w:val="center"/>
            </w:pPr>
            <w:r>
              <w:t xml:space="preserve">Present</w:t>
            </w:r>
          </w:p>
        </w:tc>
        <w:tc>
          <w:tcPr>
            <w:tcW w:w="0" w:type="auto"/>
          </w:tcPr>
          <w:p>
            <w:pPr>
              <w:spacing w:after="0"/>
              <w:jc w:val="center"/>
            </w:pPr>
            <w:r>
              <w:t xml:space="preserve">Exact</w:t>
            </w:r>
          </w:p>
        </w:tc>
      </w:tr>
      <w:tr>
        <w:tc>
          <w:tcPr>
            <w:tcW w:w="0" w:type="auto"/>
          </w:tcPr>
          <w:p>
            <w:pPr>
              <w:spacing w:after="0"/>
              <w:jc w:val="center"/>
            </w:pPr>
            <w:r>
              <w:t xml:space="preserve">log(O3)</w:t>
            </w:r>
          </w:p>
        </w:tc>
        <w:tc>
          <w:tcPr>
            <w:tcW w:w="0" w:type="auto"/>
          </w:tcPr>
          <w:p>
            <w:pPr>
              <w:spacing w:after="0"/>
              <w:jc w:val="center"/>
            </w:pPr>
            <w:r>
              <w:t xml:space="preserve">Single</w:t>
            </w:r>
          </w:p>
        </w:tc>
        <w:tc>
          <w:tcPr>
            <w:tcW w:w="0" w:type="auto"/>
          </w:tcPr>
          <w:p>
            <w:pPr>
              <w:spacing w:after="0"/>
              <w:jc w:val="center"/>
            </w:pPr>
            <w:r>
              <w:t xml:space="preserve">1KM</w:t>
            </w:r>
          </w:p>
        </w:tc>
        <w:tc>
          <w:tcPr>
            <w:tcW w:w="0" w:type="auto"/>
          </w:tcPr>
          <w:p>
            <w:pPr>
              <w:spacing w:after="0"/>
              <w:jc w:val="center"/>
            </w:pPr>
            <w:r>
              <w:t xml:space="preserve">Temp. inversion freq.</w:t>
            </w:r>
          </w:p>
        </w:tc>
        <w:tc>
          <w:tcPr>
            <w:tcW w:w="0" w:type="auto"/>
          </w:tcPr>
          <w:p>
            <w:pPr>
              <w:spacing w:after="0"/>
              <w:jc w:val="center"/>
            </w:pPr>
            <w:r>
              <w:t xml:space="preserve">981.23</w:t>
            </w:r>
          </w:p>
        </w:tc>
        <w:tc>
          <w:tcPr>
            <w:tcW w:w="0" w:type="auto"/>
          </w:tcPr>
          <w:p>
            <w:pPr>
              <w:spacing w:after="0"/>
              <w:jc w:val="center"/>
            </w:pPr>
            <w:r>
              <w:t xml:space="preserve">Strong</w:t>
            </w:r>
          </w:p>
        </w:tc>
        <w:tc>
          <w:tcPr>
            <w:tcW w:w="0" w:type="auto"/>
          </w:tcPr>
          <w:p>
            <w:pPr>
              <w:spacing w:after="0"/>
              <w:jc w:val="center"/>
            </w:pPr>
            <w:r>
              <w:t xml:space="preserve">&lt;0.001</w:t>
            </w:r>
          </w:p>
        </w:tc>
        <w:tc>
          <w:tcPr>
            <w:tcW w:w="0" w:type="auto"/>
          </w:tcPr>
          <w:p>
            <w:pPr>
              <w:spacing w:after="0"/>
              <w:jc w:val="center"/>
            </w:pPr>
            <w:r>
              <w:t xml:space="preserve">Present</w:t>
            </w:r>
          </w:p>
        </w:tc>
        <w:tc>
          <w:tcPr>
            <w:tcW w:w="0" w:type="auto"/>
          </w:tcPr>
          <w:p>
            <w:pPr>
              <w:spacing w:after="0"/>
              <w:jc w:val="center"/>
            </w:pPr>
            <w:r>
              <w:t xml:space="preserve">Exact</w:t>
            </w:r>
          </w:p>
        </w:tc>
      </w:tr>
      <w:tr>
        <w:tc>
          <w:tcPr>
            <w:tcW w:w="0" w:type="auto"/>
          </w:tcPr>
          <w:p>
            <w:pPr>
              <w:spacing w:after="0"/>
              <w:jc w:val="center"/>
            </w:pPr>
            <w:r>
              <w:t xml:space="preserve">log(O3)</w:t>
            </w:r>
          </w:p>
        </w:tc>
        <w:tc>
          <w:tcPr>
            <w:tcW w:w="0" w:type="auto"/>
          </w:tcPr>
          <w:p>
            <w:pPr>
              <w:spacing w:after="0"/>
              <w:jc w:val="center"/>
            </w:pPr>
            <w:r>
              <w:t xml:space="preserve">Single</w:t>
            </w:r>
          </w:p>
        </w:tc>
        <w:tc>
          <w:tcPr>
            <w:tcW w:w="0" w:type="auto"/>
          </w:tcPr>
          <w:p>
            <w:pPr>
              <w:spacing w:after="0"/>
              <w:jc w:val="center"/>
            </w:pPr>
            <w:r>
              <w:t xml:space="preserve">500m</w:t>
            </w:r>
          </w:p>
        </w:tc>
        <w:tc>
          <w:tcPr>
            <w:tcW w:w="0" w:type="auto"/>
          </w:tcPr>
          <w:p>
            <w:pPr>
              <w:spacing w:after="0"/>
              <w:jc w:val="center"/>
            </w:pPr>
            <w:r>
              <w:t xml:space="preserve">Temp. inversion freq.</w:t>
            </w:r>
          </w:p>
        </w:tc>
        <w:tc>
          <w:tcPr>
            <w:tcW w:w="0" w:type="auto"/>
          </w:tcPr>
          <w:p>
            <w:pPr>
              <w:spacing w:after="0"/>
              <w:jc w:val="center"/>
            </w:pPr>
            <w:r>
              <w:t xml:space="preserve">925.70</w:t>
            </w:r>
          </w:p>
        </w:tc>
        <w:tc>
          <w:tcPr>
            <w:tcW w:w="0" w:type="auto"/>
          </w:tcPr>
          <w:p>
            <w:pPr>
              <w:spacing w:after="0"/>
              <w:jc w:val="center"/>
            </w:pPr>
            <w:r>
              <w:t xml:space="preserve">Strong</w:t>
            </w:r>
          </w:p>
        </w:tc>
        <w:tc>
          <w:tcPr>
            <w:tcW w:w="0" w:type="auto"/>
          </w:tcPr>
          <w:p>
            <w:pPr>
              <w:spacing w:after="0"/>
              <w:jc w:val="center"/>
            </w:pPr>
            <w:r>
              <w:t xml:space="preserve">&lt;0.001</w:t>
            </w:r>
          </w:p>
        </w:tc>
        <w:tc>
          <w:tcPr>
            <w:tcW w:w="0" w:type="auto"/>
          </w:tcPr>
          <w:p>
            <w:pPr>
              <w:spacing w:after="0"/>
              <w:jc w:val="center"/>
            </w:pPr>
            <w:r>
              <w:t xml:space="preserve">Present</w:t>
            </w:r>
          </w:p>
        </w:tc>
        <w:tc>
          <w:tcPr>
            <w:tcW w:w="0" w:type="auto"/>
          </w:tcPr>
          <w:p>
            <w:pPr>
              <w:spacing w:after="0"/>
              <w:jc w:val="center"/>
            </w:pPr>
            <w:r>
              <w:t xml:space="preserve">Exact</w:t>
            </w:r>
          </w:p>
        </w:tc>
      </w:tr>
      <w:tr>
        <w:tc>
          <w:tcPr>
            <w:tcW w:w="0" w:type="auto"/>
          </w:tcPr>
          <w:p>
            <w:pPr>
              <w:spacing w:after="0"/>
              <w:jc w:val="center"/>
            </w:pPr>
            <w:r>
              <w:t xml:space="preserve">log(EVI)</w:t>
            </w:r>
          </w:p>
        </w:tc>
        <w:tc>
          <w:tcPr>
            <w:tcW w:w="0" w:type="auto"/>
          </w:tcPr>
          <w:p>
            <w:pPr>
              <w:spacing w:after="0"/>
              <w:jc w:val="center"/>
            </w:pPr>
            <w:r>
              <w:t xml:space="preserve">Dual</w:t>
            </w:r>
          </w:p>
        </w:tc>
        <w:tc>
          <w:tcPr>
            <w:tcW w:w="0" w:type="auto"/>
          </w:tcPr>
          <w:p>
            <w:pPr>
              <w:spacing w:after="0"/>
              <w:jc w:val="center"/>
            </w:pPr>
            <w:r>
              <w:t xml:space="preserve">1KM</w:t>
            </w:r>
          </w:p>
        </w:tc>
        <w:tc>
          <w:tcPr>
            <w:tcW w:w="0" w:type="auto"/>
          </w:tcPr>
          <w:p>
            <w:pPr>
              <w:spacing w:after="0"/>
              <w:jc w:val="center"/>
            </w:pPr>
            <w:r>
              <w:t xml:space="preserve">Steep slope + Temp. inversion</w:t>
            </w:r>
          </w:p>
        </w:tc>
        <w:tc>
          <w:tcPr>
            <w:tcW w:w="0" w:type="auto"/>
          </w:tcPr>
          <w:p>
            <w:pPr>
              <w:spacing w:after="0"/>
              <w:jc w:val="center"/>
            </w:pPr>
            <w:r>
              <w:t xml:space="preserve">43.11</w:t>
            </w:r>
          </w:p>
        </w:tc>
        <w:tc>
          <w:tcPr>
            <w:tcW w:w="0" w:type="auto"/>
          </w:tcPr>
          <w:p>
            <w:pPr>
              <w:spacing w:after="0"/>
              <w:jc w:val="center"/>
            </w:pPr>
            <w:r>
              <w:t xml:space="preserve">Strong</w:t>
            </w:r>
          </w:p>
        </w:tc>
        <w:tc>
          <w:tcPr>
            <w:tcW w:w="0" w:type="auto"/>
          </w:tcPr>
          <w:p>
            <w:pPr>
              <w:spacing w:after="0"/>
              <w:jc w:val="center"/>
            </w:pPr>
            <w:r>
              <w:t xml:space="preserve">0.103</w:t>
            </w:r>
          </w:p>
        </w:tc>
        <w:tc>
          <w:tcPr>
            <w:tcW w:w="0" w:type="auto"/>
          </w:tcPr>
          <w:p>
            <w:pPr>
              <w:spacing w:after="0"/>
              <w:jc w:val="center"/>
            </w:pPr>
            <w:r>
              <w:t xml:space="preserve">Not detected</w:t>
            </w:r>
          </w:p>
        </w:tc>
        <w:tc>
          <w:tcPr>
            <w:tcW w:w="0" w:type="auto"/>
          </w:tcPr>
          <w:p>
            <w:pPr>
              <w:spacing w:after="0"/>
              <w:jc w:val="center"/>
            </w:pPr>
            <w:r>
              <w:t xml:space="preserve">Exact</w:t>
            </w:r>
          </w:p>
        </w:tc>
      </w:tr>
      <w:tr>
        <w:tc>
          <w:tcPr>
            <w:tcW w:w="0" w:type="auto"/>
          </w:tcPr>
          <w:p>
            <w:pPr>
              <w:spacing w:after="0"/>
              <w:jc w:val="center"/>
            </w:pPr>
            <w:r>
              <w:t xml:space="preserve">log(O3)</w:t>
            </w:r>
          </w:p>
        </w:tc>
        <w:tc>
          <w:tcPr>
            <w:tcW w:w="0" w:type="auto"/>
          </w:tcPr>
          <w:p>
            <w:pPr>
              <w:spacing w:after="0"/>
              <w:jc w:val="center"/>
            </w:pPr>
            <w:r>
              <w:t xml:space="preserve">Dual</w:t>
            </w:r>
          </w:p>
        </w:tc>
        <w:tc>
          <w:tcPr>
            <w:tcW w:w="0" w:type="auto"/>
          </w:tcPr>
          <w:p>
            <w:pPr>
              <w:spacing w:after="0"/>
              <w:jc w:val="center"/>
            </w:pPr>
            <w:r>
              <w:t xml:space="preserve">1KM</w:t>
            </w:r>
          </w:p>
        </w:tc>
        <w:tc>
          <w:tcPr>
            <w:tcW w:w="0" w:type="auto"/>
          </w:tcPr>
          <w:p>
            <w:pPr>
              <w:spacing w:after="0"/>
              <w:jc w:val="center"/>
            </w:pPr>
            <w:r>
              <w:t xml:space="preserve">Steep slope + Temp. inversion</w:t>
            </w:r>
          </w:p>
        </w:tc>
        <w:tc>
          <w:tcPr>
            <w:tcW w:w="0" w:type="auto"/>
          </w:tcPr>
          <w:p>
            <w:pPr>
              <w:spacing w:after="0"/>
              <w:jc w:val="center"/>
            </w:pPr>
            <w:r>
              <w:t xml:space="preserve">4,640.85</w:t>
            </w:r>
          </w:p>
        </w:tc>
        <w:tc>
          <w:tcPr>
            <w:tcW w:w="0" w:type="auto"/>
          </w:tcPr>
          <w:p>
            <w:pPr>
              <w:spacing w:after="0"/>
              <w:jc w:val="center"/>
            </w:pPr>
            <w:r>
              <w:t xml:space="preserve">Strong</w:t>
            </w:r>
          </w:p>
        </w:tc>
        <w:tc>
          <w:tcPr>
            <w:tcW w:w="0" w:type="auto"/>
          </w:tcPr>
          <w:p>
            <w:pPr>
              <w:spacing w:after="0"/>
              <w:jc w:val="center"/>
            </w:pPr>
            <w:r>
              <w:t xml:space="preserve">0.005</w:t>
            </w:r>
          </w:p>
        </w:tc>
        <w:tc>
          <w:tcPr>
            <w:tcW w:w="0" w:type="auto"/>
          </w:tcPr>
          <w:p>
            <w:pPr>
              <w:spacing w:after="0"/>
              <w:jc w:val="center"/>
            </w:pPr>
            <w:r>
              <w:t xml:space="preserve">Present</w:t>
            </w:r>
          </w:p>
        </w:tc>
        <w:tc>
          <w:tcPr>
            <w:tcW w:w="0" w:type="auto"/>
          </w:tcPr>
          <w:p>
            <w:pPr>
              <w:spacing w:after="0"/>
              <w:jc w:val="center"/>
            </w:pPr>
            <w:r>
              <w:t xml:space="preserve">Exact</w:t>
            </w:r>
          </w:p>
        </w:tc>
      </w:tr>
      <w:tr>
        <w:tc>
          <w:tcPr>
            <w:tcW w:w="0" w:type="auto"/>
          </w:tcPr>
          <w:p>
            <w:pPr>
              <w:spacing w:after="0"/>
              <w:jc w:val="center"/>
            </w:pPr>
            <w:r>
              <w:t xml:space="preserve">log(EVI)</w:t>
            </w:r>
          </w:p>
        </w:tc>
        <w:tc>
          <w:tcPr>
            <w:tcW w:w="0" w:type="auto"/>
          </w:tcPr>
          <w:p>
            <w:pPr>
              <w:spacing w:after="0"/>
              <w:jc w:val="center"/>
            </w:pPr>
            <w:r>
              <w:t xml:space="preserve">Dual</w:t>
            </w:r>
          </w:p>
        </w:tc>
        <w:tc>
          <w:tcPr>
            <w:tcW w:w="0" w:type="auto"/>
          </w:tcPr>
          <w:p>
            <w:pPr>
              <w:spacing w:after="0"/>
              <w:jc w:val="center"/>
            </w:pPr>
            <w:r>
              <w:t xml:space="preserve">500m</w:t>
            </w:r>
          </w:p>
        </w:tc>
        <w:tc>
          <w:tcPr>
            <w:tcW w:w="0" w:type="auto"/>
          </w:tcPr>
          <w:p>
            <w:pPr>
              <w:spacing w:after="0"/>
              <w:jc w:val="center"/>
            </w:pPr>
            <w:r>
              <w:t xml:space="preserve">Steep slope + Temp. inversion</w:t>
            </w:r>
          </w:p>
        </w:tc>
        <w:tc>
          <w:tcPr>
            <w:tcW w:w="0" w:type="auto"/>
          </w:tcPr>
          <w:p>
            <w:pPr>
              <w:spacing w:after="0"/>
              <w:jc w:val="center"/>
            </w:pPr>
            <w:r>
              <w:t xml:space="preserve">56.39</w:t>
            </w:r>
          </w:p>
        </w:tc>
        <w:tc>
          <w:tcPr>
            <w:tcW w:w="0" w:type="auto"/>
          </w:tcPr>
          <w:p>
            <w:pPr>
              <w:spacing w:after="0"/>
              <w:jc w:val="center"/>
            </w:pPr>
            <w:r>
              <w:t xml:space="preserve">Strong</w:t>
            </w:r>
          </w:p>
        </w:tc>
        <w:tc>
          <w:tcPr>
            <w:tcW w:w="0" w:type="auto"/>
          </w:tcPr>
          <w:p>
            <w:pPr>
              <w:spacing w:after="0"/>
              <w:jc w:val="center"/>
            </w:pPr>
            <w:r>
              <w:t xml:space="preserve">0.109</w:t>
            </w:r>
          </w:p>
        </w:tc>
        <w:tc>
          <w:tcPr>
            <w:tcW w:w="0" w:type="auto"/>
          </w:tcPr>
          <w:p>
            <w:pPr>
              <w:spacing w:after="0"/>
              <w:jc w:val="center"/>
            </w:pPr>
            <w:r>
              <w:t xml:space="preserve">Not detected</w:t>
            </w:r>
          </w:p>
        </w:tc>
        <w:tc>
          <w:tcPr>
            <w:tcW w:w="0" w:type="auto"/>
          </w:tcPr>
          <w:p>
            <w:pPr>
              <w:spacing w:after="0"/>
              <w:jc w:val="center"/>
            </w:pPr>
            <w:r>
              <w:t xml:space="preserve">Exact</w:t>
            </w:r>
          </w:p>
        </w:tc>
      </w:tr>
      <w:tr>
        <w:tc>
          <w:tcPr>
            <w:tcW w:w="0" w:type="auto"/>
          </w:tcPr>
          <w:p>
            <w:pPr>
              <w:spacing w:after="0"/>
              <w:jc w:val="center"/>
            </w:pPr>
            <w:r>
              <w:t xml:space="preserve">log(O3)</w:t>
            </w:r>
          </w:p>
        </w:tc>
        <w:tc>
          <w:tcPr>
            <w:tcW w:w="0" w:type="auto"/>
          </w:tcPr>
          <w:p>
            <w:pPr>
              <w:spacing w:after="0"/>
              <w:jc w:val="center"/>
            </w:pPr>
            <w:r>
              <w:t xml:space="preserve">Dual</w:t>
            </w:r>
          </w:p>
        </w:tc>
        <w:tc>
          <w:tcPr>
            <w:tcW w:w="0" w:type="auto"/>
          </w:tcPr>
          <w:p>
            <w:pPr>
              <w:spacing w:after="0"/>
              <w:jc w:val="center"/>
            </w:pPr>
            <w:r>
              <w:t xml:space="preserve">500m</w:t>
            </w:r>
          </w:p>
        </w:tc>
        <w:tc>
          <w:tcPr>
            <w:tcW w:w="0" w:type="auto"/>
          </w:tcPr>
          <w:p>
            <w:pPr>
              <w:spacing w:after="0"/>
              <w:jc w:val="center"/>
            </w:pPr>
            <w:r>
              <w:t xml:space="preserve">Steep slope + Temp. inversion</w:t>
            </w:r>
          </w:p>
        </w:tc>
        <w:tc>
          <w:tcPr>
            <w:tcW w:w="0" w:type="auto"/>
          </w:tcPr>
          <w:p>
            <w:pPr>
              <w:spacing w:after="0"/>
              <w:jc w:val="center"/>
            </w:pPr>
            <w:r>
              <w:t xml:space="preserve">911.82</w:t>
            </w:r>
          </w:p>
        </w:tc>
        <w:tc>
          <w:tcPr>
            <w:tcW w:w="0" w:type="auto"/>
          </w:tcPr>
          <w:p>
            <w:pPr>
              <w:spacing w:after="0"/>
              <w:jc w:val="center"/>
            </w:pPr>
            <w:r>
              <w:t xml:space="preserve">Strong</w:t>
            </w:r>
          </w:p>
        </w:tc>
        <w:tc>
          <w:tcPr>
            <w:tcW w:w="0" w:type="auto"/>
          </w:tcPr>
          <w:p>
            <w:pPr>
              <w:spacing w:after="0"/>
              <w:jc w:val="center"/>
            </w:pPr>
            <w:r>
              <w:t xml:space="preserve">&lt;0.001</w:t>
            </w:r>
          </w:p>
        </w:tc>
        <w:tc>
          <w:tcPr>
            <w:tcW w:w="0" w:type="auto"/>
          </w:tcPr>
          <w:p>
            <w:pPr>
              <w:spacing w:after="0"/>
              <w:jc w:val="center"/>
            </w:pPr>
            <w:r>
              <w:t xml:space="preserve">Present</w:t>
            </w:r>
          </w:p>
        </w:tc>
        <w:tc>
          <w:tcPr>
            <w:tcW w:w="0" w:type="auto"/>
          </w:tcPr>
          <w:p>
            <w:pPr>
              <w:spacing w:after="0"/>
              <w:jc w:val="center"/>
            </w:pPr>
            <w:r>
              <w:t xml:space="preserve">Exact</w:t>
            </w:r>
          </w:p>
        </w:tc>
      </w:tr>
    </w:tbl>
    <w:p>
      <w:r>
        <w:t/>
      </w:r>
    </w:p>
    <w:p>
      <w:r>
        <w:t/>
      </w:r>
      <w:r>
        <w:t xml:space="preserve">Abbreviations: IV, instrumental variable; Endog, endogeneity; ID, identification; Temp., temperature; freq., frequency.</w:t>
      </w:r>
      <w:r>
        <w:t xml:space="preserve"> Model: Single, single-exposure; Dual, dual-exposure. Weak IV: Strong indicates F-statistic &gt;10. Endog: Present indicates P &lt; 0.10. ID: Exact, exactly identified.</w:t>
      </w:r>
    </w:p>
    <w:p>
      <w:r>
        <w:t/>
      </w:r>
      <w:r>
        <w:t xml:space="preserve">Instrumental variables: For log(EVI), squared proportion of steep slopes (&gt;=25 deg.) within 500-m buffers; for log(O3), temperature inversion frequency. All models adjusted for age, sex, education, household consumption, retirement status, pension insurance, smoking, alcohol consumption, BMI, hypertension, dyslipidemia, year fixed effects, and principal components of climate variables (temperature, precipitation, snow cover, elevation, latitude), with standard errors clustered at the individual level.</w:t>
      </w:r>
    </w:p>
    <w:p>
      <w:r>
        <w:t/>
      </w:r>
      <w:r>
        <w:t xml:space="preserve">First-stage F-statistics: EVI instruments: 58.09-88.51; O3 instruments: 925.70-981.23. In dual-exposure models, Sanderson-Windmeijer conditional F-statistics were 43.11-56.39 for EVI and 911.82-4,640.85 for O3, indicating strong instruments.</w:t>
      </w:r>
    </w:p>
    <w:p>
      <w:r>
        <w:br w:type="page"/>
      </w:r>
    </w:p>
    <w:p>
      <w:pPr>
        <w:pStyle w:val="Heading1"/>
      </w:pPr>
      <w:r>
        <w:t/>
      </w:r>
      <w:r>
        <w:t xml:space="preserve"/>
      </w:r>
      <w:r>
        <w:t xml:space="preserve">Methodological Details</w:t>
      </w:r>
    </w:p>
    <w:p>
      <w:r>
        <w:t/>
      </w:r>
      <w:r>
        <w:rPr>
          <w:b w:val="true"/>
        </w:rPr>
        <w:t xml:space="preserve">Study Population and Design:</w:t>
      </w:r>
      <w:r>
        <w:t xml:space="preserve"> Analysis included adults aged 46-89 years from a longitudinal cohort study. Instrumental variable analysis was employed to address potential endogeneity in environmental exposure assessments.</w:t>
      </w:r>
    </w:p>
    <w:p>
      <w:r>
        <w:t/>
      </w:r>
      <w:r>
        <w:rPr>
          <w:b w:val="true"/>
        </w:rPr>
        <w:t xml:space="preserve">Environmental Exposures:</w:t>
      </w:r>
      <w:r>
        <w:t xml:space="preserve">- Enhanced Vegetation Index (EVI): Measure of green vegetation density</w:t>
      </w:r>
      <w:r>
        <w:t xml:space="preserve">- Ozone (O3): Air pollutant concentration</w:t>
      </w:r>
      <w:r>
        <w:t xml:space="preserve">- Exposures assessed at 1KM and 500m buffers around residential addresses</w:t>
      </w:r>
    </w:p>
    <w:p>
      <w:r>
        <w:t/>
      </w:r>
      <w:r>
        <w:rPr>
          <w:b w:val="true"/>
        </w:rPr>
        <w:t xml:space="preserve">Instrumental Variables:</w:t>
      </w:r>
      <w:r>
        <w:t xml:space="preserve">- EVI: Squared proportion of steep slopes (&gt;=25 deg.) within 500-m buffers (theoretical justification: topography influences vegetation but not aging directly)</w:t>
      </w:r>
      <w:r>
        <w:t xml:space="preserve">- O3: Temperature inversion frequency (theoretical justification: meteorological condition affects pollution dispersion but not aging directly)</w:t>
      </w:r>
    </w:p>
    <w:p>
      <w:r>
        <w:t/>
      </w:r>
      <w:r>
        <w:rPr>
          <w:b w:val="true"/>
        </w:rPr>
        <w:t xml:space="preserve">Statistical Analysis:</w:t>
      </w:r>
      <w:r>
        <w:t xml:space="preserve">- Two-stage least squares (2SLS) estimation</w:t>
      </w:r>
      <w:r>
        <w:t xml:space="preserve">- Cluster-robust standard errors at individual level</w:t>
      </w:r>
      <w:r>
        <w:t xml:space="preserve">- Weak instrument test: F-statistic &gt;10 indicates adequate strength</w:t>
      </w:r>
      <w:r>
        <w:t xml:space="preserve">- Endogeneity test: Durbin-Wu-Hausman test</w:t>
      </w:r>
    </w:p>
    <w:p>
      <w:r>
        <w:br w:type="page"/>
      </w:r>
    </w:p>
    <w:p>
      <w:pPr>
        <w:pStyle w:val="Heading1"/>
      </w:pPr>
      <w:r>
        <w:t/>
      </w:r>
      <w:r>
        <w:t xml:space="preserve"/>
      </w:r>
      <w:r>
        <w:t xml:space="preserve">Validity Assessment</w:t>
      </w:r>
    </w:p>
    <w:p>
      <w:r>
        <w:t/>
      </w:r>
      <w:r>
        <w:rPr>
          <w:b w:val="true"/>
        </w:rPr>
        <w:t xml:space="preserve">Relevance Condition:</w:t>
      </w:r>
      <w:r>
        <w:t xml:space="preserve"> All instruments demonstrate strong first-stage relationships with respective endogenous variables (F-statistics: EVI 58.09-88.51; O3 925.70-981.23; dual-exposure Sanderson-Windmeijer conditional F-statistics: EVI 43.11-56.39, O3 911.82-4,640.85), substantially exceeding the conventional threshold of 10.</w:t>
      </w:r>
    </w:p>
    <w:p>
      <w:r>
        <w:t/>
      </w:r>
      <w:r>
        <w:rPr>
          <w:b w:val="true"/>
        </w:rPr>
        <w:t xml:space="preserve">Exclusion Restriction:</w:t>
      </w:r>
      <w:r>
        <w:t xml:space="preserve"> Theoretical justification supports the exclusion restriction:</w:t>
      </w:r>
      <w:r>
        <w:t xml:space="preserve">- Steep slopes affect vegetation patterns but unlikely to influence aging through pathways other than green space</w:t>
      </w:r>
      <w:r>
        <w:t xml:space="preserve">- Temperature inversions affect pollution concentrations but unlikely to influence aging through pathways other than air pollution</w:t>
      </w:r>
    </w:p>
    <w:p>
      <w:r>
        <w:t/>
      </w:r>
      <w:r>
        <w:rPr>
          <w:b w:val="true"/>
        </w:rPr>
        <w:t xml:space="preserve">Endogeneity Evidence: Significant endogeneity (Durbin-Wu-Hausman P &lt; 0.10) was detected in all single-exposure models and in the dual-exposure O3 models (P = 0.005 and P &lt; 0.001), but not for EVI in the dual-exposure models (P = 0.103 and P = 0.109), overall supporting the use of instrumental variable methods over ordinary least squares.</w:t>
      </w:r>
      <w:r>
        <w:t xml:space="preserve"/>
      </w:r>
    </w:p>
    <w:sectPr>
      <w:pgSz w:w="12240" w:h="15840" w:code="1"/>
      <w:pgMar w:top="1440" w:right="1440" w:bottom="1440"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