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Nonlinearity Assessment of Environmental Exposures on Biological Aging</w:t>
      </w:r>
    </w:p>
    <w:p>
      <w:r>
        <w:t/>
      </w:r>
      <w:r>
        <w:rPr>
          <w:b w:val="true"/>
        </w:rPr>
        <w:t xml:space="preserve">Table 1. Nonlinearity Test Results for Environmental Exposure Variables and Biological Age Acceleration</w:t>
      </w:r>
    </w:p>
    <w:tbl>
      <w:tblPr>
        <w:tblStyle w:val="TableGrid"/>
        <w:tblW w:w="5000" w:type="pct"/>
        <w:tblBorders>
          <w:top w:val="single" w:color="000000" w:shadow="false"/>
          <w:left w:val="single" w:color="000000" w:shadow="false"/>
          <w:bottom w:val="single" w:color="000000" w:shadow="false"/>
          <w:right w:val="single" w:color="000000" w:shadow="false"/>
          <w:insideH w:val="single" w:color="000000" w:shadow="false"/>
          <w:insideV w:val="single" w:color="000000" w:shadow="fals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Exposure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Buffer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Nonlinearity P-value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AIC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BIC</w:t>
            </w:r>
          </w:p>
        </w:tc>
      </w:tr>
      <w:tr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EVI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 km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0.5376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104689.7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104852.1</w:t>
            </w:r>
          </w:p>
        </w:tc>
      </w:tr>
      <w:tr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EVI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500 m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0.5842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104006.1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104168.6</w:t>
            </w:r>
          </w:p>
        </w:tc>
      </w:tr>
      <w:tr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Ozone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 km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0.3297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105552.7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105715.3</w:t>
            </w:r>
          </w:p>
        </w:tc>
      </w:tr>
      <w:tr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Ozone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500 m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0.3729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105554.4</w:t>
            </w:r>
          </w:p>
        </w:tc>
        <w:tc>
          <w:tcPr>
            <w:tcW w:w="1872" w:type="dxa"/>
          </w:tcPr>
          <w:p>
            <w:pPr>
              <w:spacing w:after="0"/>
              <w:jc w:val="center"/>
            </w:pPr>
            <w:r>
              <w:t xml:space="preserve">105717.0</w:t>
            </w:r>
          </w:p>
        </w:tc>
      </w:tr>
    </w:tbl>
    <w:p>
      <w:r>
        <w:t/>
      </w:r>
    </w:p>
    <w:p>
      <w:r>
        <w:t/>
      </w:r>
      <w:r>
        <w:rPr>
          <w:i w:val="true"/>
        </w:rPr>
        <w:t xml:space="preserve">Notes: All models adjusted for age, sex, education, socioeconomic status, lifestyle factors, health conditions, and climate principal components. Mixed-effects models with individual random intercepts were used. P-values &gt; 0.05 indicate no significant nonlinear relationship.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