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Title"/>
      </w:pPr>
      <w:r>
        <w:t/>
      </w:r>
      <w:r>
        <w:t xml:space="preserve"/>
      </w:r>
      <w:r>
        <w:t xml:space="preserve">Associations of Green Space and Ozone Exposure with Phenotypic Aging Acceleration (Delta BAA)</w:t>
      </w:r>
    </w:p>
    <w:p>
      <w:r>
        <w:t/>
      </w:r>
      <w:r>
        <w:t xml:space="preserve">Table shows regression coefficients, standard errors, P-values, and 95% confidence intervals for single- and dual-exposure models at 1 km and 500 m buffers.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t xml:space="preserve">Exposure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Buffer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Coef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SE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P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CI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EVI(Single-exposure)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 km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-1.197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0.530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0.024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[-2.235, -0.158]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EVI(Single-exposure)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500 m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-1.380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0.665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0.038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[-2.683, -0.076]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O3(Single-exposure)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 km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1.050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0.533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0.049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[0.006, 2.094]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O3(Single-exposure)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500 m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1.050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0.533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0.049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[0.006, 2.094]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EVI(Dual-exposure)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 km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-1.094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0.551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0.047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[-2.173, -0.014]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O3(Dual-exposure)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 km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1.355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0.548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0.013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[0.281, 2.429]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EVI(Dual-exposure)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500 m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-1.241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0.691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0.072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[-2.595, 0.112]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O3(Dual-exposure)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500 m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1.469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0.660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0.026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[0.175, 2.762]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