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模型可解释性分析报告（LightGBM v1 调优模型）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1. 概述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 LightGBM v1 调优模型（51 个入模特征）做三层解释：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全局可解释性：通过特征重要性、SHAP 均值重要性和全局摘要图，识别前十核心因子；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局部可解释性：高/低风险典型样本各 3 个的 SHAP 力导图；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合规性校验：性别、地域评级分群预测差异检查，确保符合公平信贷原则。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2. 全局可解释性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4"/>
        </w:rPr>
        <w:t>2.1 核心因子排序（SHAP 均值重要性 Top10，附阶段一 IV 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排名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特征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SHAP均值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阶段一IV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业务含义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EXT_SOURCE_2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0.3176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0.3066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外部征信评分2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EXT_SOURCE_3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0.2953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0.3294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外部征信评分3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EXT_SOURCE_1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0.1741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0.1509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外部征信评分1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inst_overdue_ratio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0.1614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分期还款逾期占比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CREDIT_GOODS_RATIO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0.1274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贷款金额/商品价值比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CODE_GENDER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0.1135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性别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NAME_EDUCATION_TYPE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0.0897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0.0508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教育水平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DAYS_BIRTH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0.0881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0.0842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年龄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DAYS_EMPLOYED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0.0868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0.1012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工作天数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OWN_CAR_AGE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0.0829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车龄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注：IV 列为横线（—）表示阶段一 IV 表未覆盖的衍生或类别字段。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三个外部征信评分（EXT_SOURCE_1/2/3）的 SHAP 均值排名前三，与阶段一单变量 IV 排序（EXT_SOURCE_3/2/1 前三）一致；模型 Gain 重要性同样由三者占据前三（EXT_SOURCE_1/3/2）。三类证据互相印证，核心驱动因子结论与 IV 分析及行业常识对齐。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3. 局部可解释性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 SHAP 抽样子集（2000 行）中选取：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高风险样本 3 个：TARGET=1 且预测违约概率最高的客户（产出中的 shap_force_high_risk_1~3.png）；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低风险样本 3 个：TARGET=0 且预测概率最低的客户（产出中的 shap_force_low_risk_1~3.png）。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图片展示了单个客户的评分构成：即不同特征驱动的违约方向和安全方向。图内红色为推高违约概率的因素、蓝色为压低因素，可直接用于审核对客户的解释。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4. 合规性校验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4"/>
        </w:rPr>
        <w:t>4.1 性别分群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性别编码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样本数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实际违约率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平均预测违约概率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60,826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7.01%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7.05%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31,426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10.14%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9.95%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11.86%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sz w:val="24"/>
        </w:rPr>
        <w:t>4.2 地域评级分群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地域评级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样本数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实际违约率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平均预测违约概率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1（最优）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9,646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5.00%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4.98%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68,138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7.82%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7.87%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3（最差）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14,470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11.33%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10.88%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sz w:val="24"/>
        </w:rPr>
        <w:t>4.3 结论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模型没有放大群体差异：模型给男性群体预测的平均违约概率是 9.95%，而男性实际违约率是 10.14%；给女性预测 7.05%，实际 7.01%，预测和现实几乎一致（差不到 0.5%）；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差异来源是数据本身：男性实际违约率 10.14% 高于女性 7.01%，劣质地区实际 11.33% 高于优质地区 5.00%，说明模型如实反映了数据里的真实规律，并非对性别、地域的额外加权；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公平信贷结论：模型在性别、地域上无额外偏差，差异属风险相关且可解释；如监管要求更严，可在风控策略层面对敏感维度单独约束（属业务决策，非模型问题）。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5. 业务化风险因子总结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结合 SHAP 与 IV 两类证据，核心风险驱动因素：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外部信用评分（EXT_SOURCE_1/2/3）：SHAP 与 IV 双证据下最强的驱动因子，第三方征信评分高低直接决定违约风险；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历史逾期与负债结构（inst_overdue_ratio、CREDIT_GOODS_RATIO）：分期还款逾期占比高、贷款金额相对商品价值过高是重要预警信号；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客户基础画像（CODE_GENDER、NAME_EDUCATION_TYPE、DAYS_BIRTH）：性别、低学历、年轻客群违约偏高；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工作与收入稳定性（DAYS_EMPLOYED、OWN_CAR_AGE、AMT_ANNUITY）：失业/短期雇佣、车龄信息与还款能力相关。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