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风险分层与审批策略方案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1. 方案设计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4"/>
        </w:rPr>
        <w:t>1.1 三档风险分层体系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按评分卡分数从低到高（风险从高到低）划分三档：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档位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低风险自动通过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分数高于通过线，机器直接放行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中风险人工审核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通过线与拒绝线之间，转人工复核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高风险自动拒绝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分数低于拒绝线，直接拒绝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sz w:val="24"/>
        </w:rPr>
        <w:t>1.2 两套阈值方案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自动通过线（分位）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自动拒绝线（分位）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思路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稳健方案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60%（仅放行前40%高分）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严进：自动化率低、坏账低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进取方案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40%（放行前60%高分）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宽进：自动化率高、覆盖广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sz w:val="24"/>
        </w:rPr>
        <w:t>1.3 人工审核拦截能力假设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中风险档转人工审核后，假设可拦截一半违约客户（REVIEW_BLOCK_RATE=0.5），放行其余。该比例为业务假设，实际按审核团队质量与核查规则调整。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计算口径：最终坏账率 =（自动通过档坏账笔数 + 中风险档坏账笔数 ×（1 − 拦截率））/ 最终放款笔数。各档坏账笔数按测试集 TARGET 实算，坏账率统一为放款客群口径（通过并放款客户中违约占比）。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2. 两套方案的三档测算（测试集）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稳健方案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进取方案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低风险自动通过占比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39.99%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59.99%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中风险人工审核占比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29.99%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20.00%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高风险自动拒绝占比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30.02%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20.00%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低风险档坏账率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2.28%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3.24%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中风险档坏账率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6.03%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9.53%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高风险档坏账率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17.83%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21.11%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自动审批率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60.0%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人工审核占比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30.0%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20.0%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最终通过率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69.98%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80.00%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最终坏账率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2.60%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3.62%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3. 策略效果模拟：基线对比模型分层策略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策略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通过率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坏账率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人工审核占比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自动审批率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纯规则基线（全部通过）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8.07%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极端情形参考：无任何风控，非行业真实水平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传统规则引擎基线（行业参考）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85%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4.0%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85%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行业参考基线（主对比基准），模拟值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稳健方案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69.98%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2.60%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模型驱动三档分层策略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进取方案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80.00%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3.62%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60%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模型驱动三档分层策略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口径说明：坏账率统一为放款客群坏账率（通过并放款客户中违约占比）。纯规则基线（全部通过）只是极端情形参考，不代表行业真实风控水平；主对比基准为传统规则引擎基线（行业参考），按行业常见风控水平设定（通过率 85%、坏账率 4.0%，模拟值）。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3.1 结论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以行业参考基线（坏账率 4.0%）为对比基准，模型分层把坏账率压到 2.6%～3.6%：稳健方案降幅约 35%、进取方案降幅约 9.5%。若与无风控极端情形（8.07%）相比，降幅为 68% 与 55%，但该情形并非银行/持牌机构真实规则引擎水平，不作为主对比基准；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2. 代价是客群覆盖：稳健方案拒掉约 30% 客户（其中约一半是潜在好客户，即误拒），进取方案拒掉约 20%；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3. 两套方案给业务留出明确选择：要资产质量选稳健（坏账 2.6%、通过率约 70%），要规模选进取（坏账 3.62%、通过率 80%），需根据实际业务判断当前更缺质量还是更缺量。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4. 人工审核核查项建议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中风险档客户建议重点核查：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收入稳定性：近 6 个月工资流水是否连续、有无大额异常进出；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2. 工作信息的真实性：单位信息是否可核验，任职年限与申请信息是否一致；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3. 负债压力：新增贷款后月供占收入比是否超过一半；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4. 历史逾期解释：近 1 年逾期记录的原因说明与证明材料；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5. 资料一致性：申请表、征信报告、流水中的联系方式与住址是否一致。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5. 局限与落地注意事项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拦截率是假设：REVIEW_BLOCK_RATE=0.5 需在试点中校准，若实际拦截率低于 50%，最终坏账率将上浮（可按第 1.3 节公式复算）；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2. 成本未量化：未计入人工审核人力成本、误拒客户的流失损失，落地前需结合阶段四价值评估；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3. 阈值可按额度分层：同一客户不同贷款额度可用不同通过线（低额度放宽、高额度收紧），本方案给出的是单一阈值基准；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4. 行业参考基线为模拟值：基线（通过率 85%、坏账率 4.0%）按行业常见水平设定，正式上线前需结合本机构实际规则引擎水平校准；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5. 全量重测：当前基于测试集约 9.2 万样本，正式上线前需在全量数据 + 新样本上做时间外验证。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