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风险分层与审批策略方案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sz w:val="32"/>
        </w:rPr>
        <w:t>1. 方案设计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sz w:val="28"/>
        </w:rPr>
        <w:t>1.1 三档风险分层体系</w:t>
      </w:r>
    </w:p>
    <w:p>
      <w:r>
        <w:rPr>
          <w:rFonts w:ascii="Times New Roman" w:hAnsi="Times New Roman" w:eastAsia="宋体"/>
          <w:b w:val="0"/>
          <w:sz w:val="24"/>
        </w:rPr>
        <w:t>按评分卡分数从低到高（风险从高到低）划分三档：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档位</w:t>
            </w:r>
          </w:p>
        </w:tc>
        <w:tc>
          <w:tcPr>
            <w:tcW w:type="dxa" w:w="432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处理方式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低风险自动通过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分数高于通过线，机器直接放行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中风险人工审核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通过线与拒绝线之间，转人工复核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高风险自动拒绝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分数低于拒绝线，直接拒绝</w:t>
            </w:r>
          </w:p>
        </w:tc>
      </w:tr>
    </w:tbl>
    <w:p>
      <w:pPr>
        <w:spacing w:before="220" w:after="100"/>
        <w:ind w:firstLine="0"/>
      </w:pPr>
      <w:r>
        <w:rPr>
          <w:rFonts w:ascii="Times New Roman" w:hAnsi="Times New Roman" w:eastAsia="黑体"/>
          <w:b/>
          <w:sz w:val="28"/>
        </w:rPr>
        <w:t>1.2 两套阈值方案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自动通过线（分位）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自动拒绝线（分位）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思路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稳健方案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60%（仅放行前40%高分）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严进：自动化率低、坏账低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进取方案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40%（放行前60%高分）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宽进：自动化率高、覆盖广</w:t>
            </w:r>
          </w:p>
        </w:tc>
      </w:tr>
    </w:tbl>
    <w:p>
      <w:pPr>
        <w:spacing w:before="220" w:after="100"/>
        <w:ind w:firstLine="0"/>
      </w:pPr>
      <w:r>
        <w:rPr>
          <w:rFonts w:ascii="Times New Roman" w:hAnsi="Times New Roman" w:eastAsia="黑体"/>
          <w:b/>
          <w:sz w:val="28"/>
        </w:rPr>
        <w:t>1.3 人工审核拦截能力假设</w:t>
      </w:r>
    </w:p>
    <w:p>
      <w:r>
        <w:rPr>
          <w:rFonts w:ascii="Times New Roman" w:hAnsi="Times New Roman" w:eastAsia="宋体"/>
          <w:b w:val="0"/>
          <w:sz w:val="24"/>
        </w:rPr>
        <w:t>中风险档转人工审核后，假设可拦截一半违约客户（REVIEW_BLOCK_RATE=0.5），放行其余。该比例为业务假设，实际按审核团队质量与核查规则调整。</w:t>
      </w:r>
    </w:p>
    <w:p>
      <w:r>
        <w:rPr>
          <w:rFonts w:ascii="Times New Roman" w:hAnsi="Times New Roman" w:eastAsia="宋体"/>
          <w:b w:val="0"/>
          <w:sz w:val="24"/>
        </w:rPr>
        <w:t>计算口径：最终坏账率 =（自动通过档坏账笔数 + 中风险档坏账笔数 ×（1 − 拦截率））/ 最终放款笔数。各档坏账笔数按测试集 TARGET 实算，坏账率统一为放款客群口径（通过并放款客户中违约占比）。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sz w:val="32"/>
        </w:rPr>
        <w:t>2. 两套方案的三档测算（测试集）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88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稳健方案</w:t>
            </w:r>
          </w:p>
        </w:tc>
        <w:tc>
          <w:tcPr>
            <w:tcW w:type="dxa" w:w="288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进取方案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低风险自动通过占比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39.99%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59.99%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中风险人工审核占比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29.99%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高风险自动拒绝占比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30.02%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低风险档坏账率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中风险档坏账率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6.03%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9.53%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高风险档坏账率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17.83%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21.11%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自动审批率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人工审核占比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最终通过率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69.98%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80.00%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最终坏账率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2.60%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3.62%</w:t>
            </w:r>
          </w:p>
        </w:tc>
      </w:tr>
    </w:tbl>
    <w:p>
      <w:pPr>
        <w:spacing w:before="280" w:after="120"/>
        <w:ind w:firstLine="0"/>
      </w:pPr>
      <w:r>
        <w:rPr>
          <w:rFonts w:ascii="Times New Roman" w:hAnsi="Times New Roman" w:eastAsia="黑体"/>
          <w:b/>
          <w:sz w:val="32"/>
        </w:rPr>
        <w:t>3. 策略效果模拟：基线对比模型分层策略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策略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通过率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坏账率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人工审核占比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自动审批率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传统规则引擎基线（行业参考）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行业参考基线（主对比基准），模拟值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稳健方案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69.98%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模型驱动三档分层策略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进取方案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模型驱动三档分层策略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口径说明：坏账率统一为放款客群坏账率（通过并放款客户中违约占比）。主对比基准为传统规则引擎基线（行业参考），按行业常见风控水平设定（通过率 85%、坏账率 4.0%，模拟值）。</w:t>
      </w:r>
    </w:p>
    <w:p>
      <w:pPr>
        <w:spacing w:before="220" w:after="100"/>
        <w:ind w:firstLine="0"/>
      </w:pPr>
      <w:r>
        <w:rPr>
          <w:rFonts w:ascii="Times New Roman" w:hAnsi="Times New Roman" w:eastAsia="黑体"/>
          <w:b/>
          <w:sz w:val="28"/>
        </w:rPr>
        <w:t>3.1 结论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1. 以行业参考基线（坏账率 4.0%）为对比基准，模型分层把坏账率压到 2.6%～3.6%：稳健方案降幅约 35%、进取方案降幅约 9.5%；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2. 代价是客群覆盖：稳健方案拒掉约 30% 客户（其中约一半是潜在好客户，即误拒），进取方案拒掉约 20%；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3. 两套方案给业务留出明确选择：要资产质量选稳健（坏账 2.6%、通过率约 70%），要规模选进取（坏账 3.62%、通过率 80%），需根据实际业务判断当前更缺质量还是更缺量。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sz w:val="32"/>
        </w:rPr>
        <w:t>4. 人工审核核查项建议</w:t>
      </w:r>
    </w:p>
    <w:p>
      <w:r>
        <w:rPr>
          <w:rFonts w:ascii="Times New Roman" w:hAnsi="Times New Roman" w:eastAsia="宋体"/>
          <w:b w:val="0"/>
          <w:sz w:val="24"/>
        </w:rPr>
        <w:t>中风险档客户建议重点核查：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1. 收入稳定性：近 6 个月工资流水是否连续、有无大额异常进出；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2. 工作信息的真实性：单位信息是否可核验，任职年限与申请信息是否一致；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3. 负债压力：新增贷款后月供占收入比是否超过一半；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4. 历史逾期解释：近 1 年逾期记录的原因说明与证明材料；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5. 资料一致性：申请表、征信报告、流水中的联系方式与住址是否一致。</w:t>
      </w:r>
    </w:p>
    <w:p>
      <w:pPr>
        <w:spacing w:before="280" w:after="120"/>
        <w:ind w:firstLine="0"/>
      </w:pPr>
      <w:r>
        <w:rPr>
          <w:rFonts w:ascii="Times New Roman" w:hAnsi="Times New Roman" w:eastAsia="黑体"/>
          <w:b/>
          <w:sz w:val="32"/>
        </w:rPr>
        <w:t>5. 局限与落地注意事项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1. 拦截率是假设：REVIEW_BLOCK_RATE=0.5 需在试点中校准，若实际拦截率低于 50%，最终坏账率将上浮（可按第 1.3 节公式复算）；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2. 成本未量化：未计入人工审核人力成本、误拒客户的流失损失，落地前需结合阶段四价值评估；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3. 阈值可按额度分层：同一客户不同贷款额度可用不同通过线（低额度放宽、高额度收紧），本方案给出的是单一阈值基准；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4. 行业参考基线为模拟值：基线（通过率 85%、坏账率 4.0%）按行业常见水平设定，正式上线前需结合本机构实际规则引擎水平校准；</w:t>
      </w:r>
    </w:p>
    <w:p>
      <w:pPr>
        <w:ind w:left="480"/>
      </w:pPr>
      <w:r>
        <w:rPr>
          <w:rFonts w:ascii="Times New Roman" w:hAnsi="Times New Roman" w:eastAsia="宋体"/>
          <w:b w:val="0"/>
          <w:sz w:val="24"/>
        </w:rPr>
        <w:t>5. 全量重测：当前基于测试集约 9.2 万样本，正式上线前需在全量数据 + 新样本上做时间外验证。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