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806EB">
      <w:pPr>
        <w:spacing w:before="480" w:after="480" w:line="288" w:lineRule="auto"/>
        <w:ind w:lef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52"/>
        </w:rPr>
        <w:t>IT项目成本估算监控系统 全量UI/UX设计方案</w:t>
      </w:r>
    </w:p>
    <w:p w14:paraId="1787548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2"/>
        </w:rPr>
        <w:t>一、PRD文档核心解析成果</w:t>
      </w:r>
      <w:bookmarkEnd w:id="0"/>
    </w:p>
    <w:p w14:paraId="4905973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0"/>
        </w:rPr>
        <w:t>1.1 系统核心定位</w:t>
      </w:r>
      <w:bookmarkEnd w:id="1"/>
    </w:p>
    <w:p w14:paraId="5875CC3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本系统是</w:t>
      </w:r>
      <w:r>
        <w:rPr>
          <w:rFonts w:hint="default" w:ascii="Times New Roman" w:hAnsi="Times New Roman" w:eastAsia="宋体" w:cs="Times New Roman"/>
          <w:b/>
          <w:sz w:val="22"/>
        </w:rPr>
        <w:t>面向国有大行科技子公司IT项目管理场景的一站式成本全生命周期智能管控平台</w:t>
      </w:r>
      <w:r>
        <w:rPr>
          <w:rFonts w:hint="default" w:ascii="Times New Roman" w:hAnsi="Times New Roman" w:eastAsia="宋体" w:cs="Times New Roman"/>
          <w:sz w:val="22"/>
        </w:rPr>
        <w:t>，融合AI大模型、OCR智能识别与结构化成本算法引擎，核心解决传统项目管理中「需求评估无标准、成本管控效率低、偏差监控不及时」三大核心痛点，为项目经理提供从需求评估→成本核算→偏差监控的全流程闭环管理工具，同时为项目总监、部门负责人提供全局数据决策支撑。</w:t>
      </w:r>
    </w:p>
    <w:p w14:paraId="3F9985B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0"/>
        </w:rPr>
        <w:t>1.2 全量页面架构大纲</w:t>
      </w:r>
      <w:bookmarkEnd w:id="2"/>
    </w:p>
    <w:p w14:paraId="69071B3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严格对齐PRD需求，实现全业务链路、全功能点无死角覆盖，完整页面架构如下：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5A6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DA2D3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IT项目成本估算监控系统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一、权限基础模块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登录页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账号锁定提示页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 通用异常页（403无权限/404页面不存在/500系统错误/网络异常）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二、首页/仪表盘模块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 首页（工作台/仪表盘）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三、实施成本预估模块（核心业务）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需求文档上传与校验页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评估参数配置页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 评估结果详情页（含总览视图/详细分析视图/合规校验视图）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四、成本消耗预估模块（核心业务）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项目信息录入页（含OCR识别）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成本核算结果页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 人员方案调整弹窗/侧边栏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五、成本偏差监控模块（核心业务）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项目信息录入页（含大模型识别）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 偏差分析结果页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 六、辅助管理模块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我的项目列表页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项目详情编辑页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└─ 个人设置页</w:t>
            </w:r>
          </w:p>
        </w:tc>
      </w:tr>
    </w:tbl>
    <w:p w14:paraId="100C77C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0"/>
        </w:rPr>
        <w:t>1.3 功能覆盖总清单</w:t>
      </w:r>
      <w:bookmarkEnd w:id="3"/>
    </w:p>
    <w:p w14:paraId="35ACE12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100%对齐PRD内P0/P1/P2全量功能点，无需求遗漏，核心功能覆盖清单如下：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A3C7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602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071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610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BEA7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设计覆盖情况</w:t>
            </w:r>
          </w:p>
        </w:tc>
      </w:tr>
      <w:tr w14:paraId="15AABE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74E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8C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账号密码登录、身份校验、错误锁定、数据权限隔离、会话管理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18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E7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全覆盖</w:t>
            </w:r>
          </w:p>
        </w:tc>
      </w:tr>
      <w:tr w14:paraId="4A8D8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7D2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仪表盘首页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FDC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项目总量统计、成本健康监控、进度健康监控、三大核心功能入口跳转、数据自动刷新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0C6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D89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全覆盖</w:t>
            </w:r>
          </w:p>
        </w:tc>
      </w:tr>
      <w:tr w14:paraId="409D5B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C1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182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需求文档上传与格式/内容校验、文档智能解析、6大类参数配置与校验、标准化工作量计算、各团队成本自动核算、多维度结果视图、重新计算、Excel报告导出、计算轨迹追溯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AF8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P0/P1/P2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202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全覆盖</w:t>
            </w:r>
          </w:p>
        </w:tc>
      </w:tr>
      <w:tr w14:paraId="663C7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240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4ED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OA截图上传与OCR识别、项目信息确认与补充、人员等级与日成本映射、核心成本指标自动核算、人员方案动态调整与重算、项目数据持久化保存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AA75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P0/P1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43B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全覆盖</w:t>
            </w:r>
          </w:p>
        </w:tc>
      </w:tr>
      <w:tr w14:paraId="64A00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24A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71B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项目信息截图上传与大模型识别、成员信息补充、偏差分析基准双模式选择、阶段/团队成本自动核算、偏差值计算、多维度可视化图表展示、AI调整建议生成、详细成本明细展示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381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P0/P1/P2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9EC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全覆盖</w:t>
            </w:r>
          </w:p>
        </w:tc>
      </w:tr>
    </w:tbl>
    <w:p w14:paraId="436F4E9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2"/>
        </w:rPr>
        <w:t>二、全系统统一UI/UX设计规范体系</w:t>
      </w:r>
      <w:bookmarkEnd w:id="4"/>
    </w:p>
    <w:p w14:paraId="593D6A6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0"/>
        </w:rPr>
        <w:t>2.1 核心设计理念</w:t>
      </w:r>
      <w:bookmarkEnd w:id="5"/>
    </w:p>
    <w:p w14:paraId="0576502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基于国有大行科技子公司的内部系统属性，遵循四大核心设计原则：</w:t>
      </w:r>
    </w:p>
    <w:p w14:paraId="1E9793B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金融级严谨性</w:t>
      </w:r>
      <w:r>
        <w:rPr>
          <w:rFonts w:hint="default" w:ascii="Times New Roman" w:hAnsi="Times New Roman" w:eastAsia="宋体" w:cs="Times New Roman"/>
          <w:sz w:val="22"/>
        </w:rPr>
        <w:t>：界面风格稳重、专业，数据展示精准无歧义，符合银行内部系统的合规性要求；</w:t>
      </w:r>
    </w:p>
    <w:p w14:paraId="0C6CB1A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效率优先</w:t>
      </w:r>
      <w:r>
        <w:rPr>
          <w:rFonts w:hint="default" w:ascii="Times New Roman" w:hAnsi="Times New Roman" w:eastAsia="宋体" w:cs="Times New Roman"/>
          <w:sz w:val="22"/>
        </w:rPr>
        <w:t>：面向项目经理高频操作场景，简化操作链路，核心功能操作步骤≤3步，降低使用门槛；</w:t>
      </w:r>
    </w:p>
    <w:p w14:paraId="4C1657C1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数据可视化驱动</w:t>
      </w:r>
      <w:r>
        <w:rPr>
          <w:rFonts w:hint="default" w:ascii="Times New Roman" w:hAnsi="Times New Roman" w:eastAsia="宋体" w:cs="Times New Roman"/>
          <w:sz w:val="22"/>
        </w:rPr>
        <w:t>：以数据为核心，通过分层可视化设计，让成本数据、风险预警一目了然；</w:t>
      </w:r>
    </w:p>
    <w:p w14:paraId="5E385CD5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全链路一致性</w:t>
      </w:r>
      <w:r>
        <w:rPr>
          <w:rFonts w:hint="default" w:ascii="Times New Roman" w:hAnsi="Times New Roman" w:eastAsia="宋体" w:cs="Times New Roman"/>
          <w:sz w:val="22"/>
        </w:rPr>
        <w:t>：全页面视觉、交互、组件完全统一，降低用户学习成本，保障体验连贯。</w:t>
      </w:r>
    </w:p>
    <w:p w14:paraId="703A28D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0"/>
        </w:rPr>
        <w:t>2.2 色彩规范</w:t>
      </w:r>
      <w:bookmarkEnd w:id="6"/>
    </w:p>
    <w:p w14:paraId="2CAD59A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采用金融行业通用的稳重色彩体系，兼顾专业性与视觉舒适度，所有色值均满足WCAG 2.1 AA级可访问性标准。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22F5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3B9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色彩类型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AE8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色值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E8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应用场景</w:t>
            </w:r>
          </w:p>
        </w:tc>
      </w:tr>
      <w:tr w14:paraId="11F040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B74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主色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853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#165DFF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544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主要按钮、高亮选中态、核心标题、品牌标识、链接文字</w:t>
            </w:r>
          </w:p>
        </w:tc>
      </w:tr>
      <w:tr w14:paraId="6A7B3E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92B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主色梯度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93BD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#E8F3FF / #BEDAFF / #94BFFF / #699EFF / #4080FF / #165DFF / #0E42D2 / #092BA6 / #051A79 / #03104C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BA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按钮hover/active态、背景填充、进度条、标签、弱提示</w:t>
            </w:r>
          </w:p>
        </w:tc>
      </w:tr>
      <w:tr w14:paraId="5D4B0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C634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功能色-成功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DFD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#00B42A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C53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成功状态提示、完成态标识、正向数据</w:t>
            </w:r>
          </w:p>
        </w:tc>
      </w:tr>
      <w:tr w14:paraId="160F1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42D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功能色-警告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FE2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#FF7D00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1F2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警告提示、中等风险数据、待确认状态</w:t>
            </w:r>
          </w:p>
        </w:tc>
      </w:tr>
      <w:tr w14:paraId="7ABCC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C74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功能色-危险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A1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#F53F3F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246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错误提示、成本超支/高风险数据标红、删除/危险操作</w:t>
            </w:r>
          </w:p>
        </w:tc>
      </w:tr>
      <w:tr w14:paraId="0850C8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57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功能色-提示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95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#165DFF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AC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普通提示、信息告知、中性提醒</w:t>
            </w:r>
          </w:p>
        </w:tc>
      </w:tr>
      <w:tr w14:paraId="0C5AD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BF72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中性色-白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CC7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#FFFFFF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35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页面背景、卡片背景、输入框背景</w:t>
            </w:r>
          </w:p>
        </w:tc>
      </w:tr>
      <w:tr w14:paraId="60200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23B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中性色-灰阶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3AE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#F2F3F5 / #E5E6EB / #C9CDD4 / #86909C / #4E5969 / #272E3B / #1D2129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898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分割线、禁用态、辅助文字、次要文字、正文文字、标题文字</w:t>
            </w:r>
          </w:p>
        </w:tc>
      </w:tr>
    </w:tbl>
    <w:p w14:paraId="28666EC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30"/>
        </w:rPr>
        <w:t>2.3 字体与字号规范</w:t>
      </w:r>
      <w:bookmarkEnd w:id="7"/>
    </w:p>
    <w:p w14:paraId="2B4D007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采用企业级后台系统通用字体方案，保障全平台渲染一致性与可读性。</w:t>
      </w:r>
    </w:p>
    <w:p w14:paraId="59337B66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字体家族</w:t>
      </w:r>
      <w:r>
        <w:rPr>
          <w:rFonts w:hint="default" w:ascii="Times New Roman" w:hAnsi="Times New Roman" w:eastAsia="宋体" w:cs="Times New Roman"/>
          <w:sz w:val="22"/>
        </w:rPr>
        <w:t>：中文采用「思源黑体 Source Han Sans SC」，英文/数字采用「Roboto」，Windows平台兜底「微软雅黑」，Mac平台兜底「苹方」；</w:t>
      </w:r>
    </w:p>
    <w:p w14:paraId="19BEC1C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字重规范</w:t>
      </w:r>
      <w:r>
        <w:rPr>
          <w:rFonts w:hint="default" w:ascii="Times New Roman" w:hAnsi="Times New Roman" w:eastAsia="宋体" w:cs="Times New Roman"/>
          <w:sz w:val="22"/>
        </w:rPr>
        <w:t>：标题使用500/600字重，正文使用400字重，强调内容使用500字重，辅助文字使用400字重；</w:t>
      </w:r>
    </w:p>
    <w:p w14:paraId="6F11C9FC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字号与行高规范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36961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EE1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200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8E5A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行高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739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应用场景</w:t>
            </w:r>
          </w:p>
        </w:tc>
      </w:tr>
      <w:tr w14:paraId="705303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2795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一级标题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409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A2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28px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521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页面主标题、卡片大标题</w:t>
            </w:r>
          </w:p>
        </w:tc>
      </w:tr>
      <w:tr w14:paraId="13F86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7E2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二级标题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909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16px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227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24px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D76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模块标题、卡片副标题、表格列标题</w:t>
            </w:r>
          </w:p>
        </w:tc>
      </w:tr>
      <w:tr w14:paraId="71BE4B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93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正文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EC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14px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3BF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22px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348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页面正文、表单标签、表格内容、按钮文字</w:t>
            </w:r>
          </w:p>
        </w:tc>
      </w:tr>
      <w:tr w14:paraId="0166B7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36F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辅助文字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2C5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12px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BE6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18px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9987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提示文字、标签、备注、数据标注、页脚信息</w:t>
            </w:r>
          </w:p>
        </w:tc>
      </w:tr>
    </w:tbl>
    <w:p w14:paraId="4852581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0"/>
        </w:rPr>
        <w:t>2.4 栅格与间距规范</w:t>
      </w:r>
      <w:bookmarkEnd w:id="8"/>
    </w:p>
    <w:p w14:paraId="14602961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栅格系统</w:t>
      </w:r>
      <w:r>
        <w:rPr>
          <w:rFonts w:hint="default" w:ascii="Times New Roman" w:hAnsi="Times New Roman" w:eastAsia="宋体" w:cs="Times New Roman"/>
          <w:sz w:val="22"/>
        </w:rPr>
        <w:t>：采用后台系统通用12列栅格布局，主设计分辨率1920×1080，兼容最小分辨率1366×768；</w:t>
      </w:r>
    </w:p>
    <w:p w14:paraId="0CBB09D7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页面左右安全边距：24px；</w:t>
      </w:r>
    </w:p>
    <w:p w14:paraId="4CB81BA8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列与列之间水槽宽度：16px；</w:t>
      </w:r>
    </w:p>
    <w:p w14:paraId="324AD2CE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内容区最大宽度：1440px，居中展示；</w:t>
      </w:r>
    </w:p>
    <w:p w14:paraId="018C97F2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间距规范</w:t>
      </w:r>
      <w:r>
        <w:rPr>
          <w:rFonts w:hint="default" w:ascii="Times New Roman" w:hAnsi="Times New Roman" w:eastAsia="宋体" w:cs="Times New Roman"/>
          <w:sz w:val="22"/>
        </w:rPr>
        <w:t>：采用8px基准网格体系，所有页面内边距、外边距、元素间距均为8px的倍数，核心间距取值：4px/8px/16px/24px/32px/48px，禁止出现非8倍数的不规则间距。</w:t>
      </w:r>
    </w:p>
    <w:p w14:paraId="77F769B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0"/>
        </w:rPr>
        <w:t>2.5 通用组件规范</w:t>
      </w:r>
      <w:bookmarkEnd w:id="9"/>
    </w:p>
    <w:p w14:paraId="6013C4F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全系统组件统一规范，确保视觉与交互一致性，可直接用于前端还原开发。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F4BC0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75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组件类型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CDA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规范详情</w:t>
            </w:r>
          </w:p>
        </w:tc>
      </w:tr>
      <w:tr w14:paraId="51F747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B13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7BA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分4种类型、3种尺寸：&lt;br&gt;1. 主要按钮：主色填充，圆角4px，用于核心确认操作；&lt;br&gt;2. 次要按钮：主色描边+白底，圆角4px，用于次要操作；&lt;br&gt;3. 文本按钮：无背景无描边，hover时主色背景填充，用于轻量操作；&lt;br&gt;4. 危险按钮：危险色填充/描边，用于删除/取消等风险操作；&lt;br&gt;尺寸：大（40px高）、中（32px高）、小（24px高），按钮内左右边距统一16px</w:t>
            </w:r>
          </w:p>
        </w:tc>
      </w:tr>
      <w:tr w14:paraId="0704C6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6DF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表单控件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2F8A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框/下拉选择器/日期选择器：高度32px，圆角4px，描边#C9CDD4，focus时主色高亮，禁用态灰阶填充；&lt;br&gt;单选/复选框：选中态主色填充，尺寸16px×16px，与文字基线对齐；&lt;br&gt;表单校验：实时校验，错误提示红色12px文字，位于控件下方8px处，输入框同步红色描边</w:t>
            </w:r>
          </w:p>
        </w:tc>
      </w:tr>
      <w:tr w14:paraId="60F177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61D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卡片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15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白底填充，圆角8px，阴影0 2px 8px 0 rgba(0,0,0,0.06)，内边距24px，卡片间距24px，标题区与内容区分隔线#E5E6EB</w:t>
            </w:r>
          </w:p>
        </w:tc>
      </w:tr>
      <w:tr w14:paraId="669045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174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表格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F65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表头背景#F2F3F5，表头文字14px 500字重，表体斑马纹隔行#F7F8FA填充，行高48px，边框#E5E6EB，支持hover行高亮</w:t>
            </w:r>
          </w:p>
        </w:tc>
      </w:tr>
      <w:tr w14:paraId="677B5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6D9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步骤条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50F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横向步骤条，步骤节点24px×24px，完成态主色填充，进行态主色描边，未完成态灰阶填充，步骤间距80px，步骤文字14px</w:t>
            </w:r>
          </w:p>
        </w:tc>
      </w:tr>
      <w:tr w14:paraId="635DC5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DE9E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弹窗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C90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圆角8px，遮罩层rgba(0,0,0,0.5)，最小宽度400px，最大宽度900px，头部标题16px 500字重，底部操作区右对齐，主按钮在最右侧</w:t>
            </w:r>
          </w:p>
        </w:tc>
      </w:tr>
      <w:tr w14:paraId="7DFFF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150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提示反馈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D0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局Toast：顶部居中展示，自动消失时长3s，分成功/警告/错误/信息4种类型；&lt;br&gt;气泡提示：hover触发，深色背景+白色文字，圆角4px，展示辅助说明；&lt;br&gt;二次确认弹窗：危险操作必须弹出二次确认，主按钮为危险色</w:t>
            </w:r>
          </w:p>
        </w:tc>
      </w:tr>
      <w:tr w14:paraId="10A516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B30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图表组件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53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统一采用AntV/G2Plot规范，配色与系统主色体系一致，折线图/柱状图/饼图的坐标轴、图例、tooltip样式统一，tooltip展示完整明细数据</w:t>
            </w:r>
          </w:p>
        </w:tc>
      </w:tr>
    </w:tbl>
    <w:p w14:paraId="4DED85A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0"/>
        </w:rPr>
        <w:t>2.6 交互通用规范</w:t>
      </w:r>
      <w:bookmarkEnd w:id="10"/>
    </w:p>
    <w:p w14:paraId="3BCABEF9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权限控制交互</w:t>
      </w:r>
      <w:r>
        <w:rPr>
          <w:rFonts w:hint="default" w:ascii="Times New Roman" w:hAnsi="Times New Roman" w:eastAsia="宋体" w:cs="Times New Roman"/>
          <w:sz w:val="22"/>
        </w:rPr>
        <w:t>：用户无权限的功能入口隐藏，无权限的操作按钮置灰并添加「无权限」气泡提示，确保数据隔离符合PRD要求；</w:t>
      </w:r>
    </w:p>
    <w:p w14:paraId="58899A6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加载状态</w:t>
      </w:r>
      <w:r>
        <w:rPr>
          <w:rFonts w:hint="default" w:ascii="Times New Roman" w:hAnsi="Times New Roman" w:eastAsia="宋体" w:cs="Times New Roman"/>
          <w:sz w:val="22"/>
        </w:rPr>
        <w:t>：页面初始加载展示骨架屏，接口请求中按钮展示loading态，文件上传/大模型解析/成本计算过程展示进度条与加载提示，禁止页面无响应；</w:t>
      </w:r>
    </w:p>
    <w:p w14:paraId="24283054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操作反馈</w:t>
      </w:r>
      <w:r>
        <w:rPr>
          <w:rFonts w:hint="default" w:ascii="Times New Roman" w:hAnsi="Times New Roman" w:eastAsia="宋体" w:cs="Times New Roman"/>
          <w:sz w:val="22"/>
        </w:rPr>
        <w:t>：所有用户操作均有即时反馈，表单输入实时校验，操作成功/失败均有Toast提示，核心操作（如删除、覆盖重算）需二次确认；</w:t>
      </w:r>
    </w:p>
    <w:p w14:paraId="08BB898E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数据刷新规则</w:t>
      </w:r>
      <w:r>
        <w:rPr>
          <w:rFonts w:hint="default" w:ascii="Times New Roman" w:hAnsi="Times New Roman" w:eastAsia="宋体" w:cs="Times New Roman"/>
          <w:sz w:val="22"/>
        </w:rPr>
        <w:t>：页面首次加载自动拉取数据，从子功能页返回首页自动刷新统计数据，用户手动点击「刷新」按钮强制更新数据，数据刷新延迟≤3s；</w:t>
      </w:r>
    </w:p>
    <w:p w14:paraId="51A83704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异常处理</w:t>
      </w:r>
      <w:r>
        <w:rPr>
          <w:rFonts w:hint="default" w:ascii="Times New Roman" w:hAnsi="Times New Roman" w:eastAsia="宋体" w:cs="Times New Roman"/>
          <w:sz w:val="22"/>
        </w:rPr>
        <w:t>：网络异常时展示友好提示与「重试」按钮，接口报错展示具体错误原因，无数据时展示空状态插画与提示文字，不隐藏区域；</w:t>
      </w:r>
    </w:p>
    <w:p w14:paraId="7007C904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数据标红规则</w:t>
      </w:r>
      <w:r>
        <w:rPr>
          <w:rFonts w:hint="default" w:ascii="Times New Roman" w:hAnsi="Times New Roman" w:eastAsia="宋体" w:cs="Times New Roman"/>
          <w:sz w:val="22"/>
        </w:rPr>
        <w:t>：严格对齐PRD业务规则，成本超支、高风险项目、进度滞后、负向偏差数据统一使用危险色#F53F3F标红展示，异常数字加粗强调。</w:t>
      </w:r>
    </w:p>
    <w:p w14:paraId="18D4E20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32"/>
        </w:rPr>
        <w:t>三、全量页面详细设计方案</w:t>
      </w:r>
      <w:bookmarkEnd w:id="11"/>
    </w:p>
    <w:p w14:paraId="19D6736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30"/>
        </w:rPr>
        <w:t>3.1 权限基础模块</w:t>
      </w:r>
      <w:bookmarkEnd w:id="12"/>
    </w:p>
    <w:p w14:paraId="29D21145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28"/>
        </w:rPr>
        <w:t>3.1.1 登录页</w:t>
      </w:r>
      <w:bookmarkEnd w:id="13"/>
    </w:p>
    <w:p w14:paraId="53E0DB6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：系统唯一访问入口，完成用户身份校验与权限分配，对应PRD 4.1模块用户登录功能。</w:t>
      </w:r>
    </w:p>
    <w:p w14:paraId="3A39C82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：账号密码输入、登录校验、错误提示、账号锁定提示、会话状态初始化。</w:t>
      </w:r>
    </w:p>
    <w:p w14:paraId="447F812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38757F8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页面整体左右分栏布局，左侧品牌区占比50%，右侧登录表单区占比50%，垂直居中对齐；</w:t>
      </w:r>
    </w:p>
    <w:p w14:paraId="2C198116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左侧品牌区：深蓝色渐变背景，居中展示系统全称「IT项目成本估算监控系统」、产品Slogan「智能估算，精准管控——让每一分项目成本清晰可见」，搭配金融科技风格的低多边形背景图案；</w:t>
      </w:r>
    </w:p>
    <w:p w14:paraId="6125D1E7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右侧登录区：白色背景，居中放置登录卡片，卡片内从上到下依次为：系统简称logo、「项目经理成本监控估算工具」副标题、用户名输入框、密码输入框、登录按钮。</w:t>
      </w:r>
    </w:p>
    <w:p w14:paraId="0D49C35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B484A25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登录卡片宽度400px，圆角8px，内边距40px 32px；</w:t>
      </w:r>
    </w:p>
    <w:p w14:paraId="2FF02016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输入框高度40px，宽度100%，下方8px处展示错误提示；</w:t>
      </w:r>
    </w:p>
    <w:p w14:paraId="74386460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登录按钮为主要按钮，宽度100%，高度40px，字号14px 500字重；</w:t>
      </w:r>
    </w:p>
    <w:p w14:paraId="3969E873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页面背景色#F7F8FA，品牌区主色渐变#165DFF → #0E42D2。</w:t>
      </w:r>
    </w:p>
    <w:p w14:paraId="78CB02E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716D0E1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初始状态：用户名、密码输入框为空，登录按钮置灰不可点击；</w:t>
      </w:r>
    </w:p>
    <w:p w14:paraId="2B59182E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输入校验：用户名、密码任意一项为空，登录按钮保持置灰；两项均填写后，按钮点亮可点击；</w:t>
      </w:r>
    </w:p>
    <w:p w14:paraId="4367D23E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登录校验：</w:t>
      </w:r>
    </w:p>
    <w:p w14:paraId="01B68A44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账号密码正确：生成登录态token，自动跳转至首页仪表盘；</w:t>
      </w:r>
    </w:p>
    <w:p w14:paraId="53615B0F">
      <w:pPr>
        <w:numPr>
          <w:ilvl w:val="0"/>
          <w:numId w:val="3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账号密码错误：输入框下方红色12px文字提示「账号或密码错误，请重新输入」，清空密码输入框，记录错误次数；</w:t>
      </w:r>
    </w:p>
    <w:p w14:paraId="710C617A"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密码连续错误5次：弹出账号锁定提示，锁定账号15分钟，期间禁止登录尝试；</w:t>
      </w:r>
    </w:p>
    <w:p w14:paraId="4C521ED6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权限规则：未登录状态下，访问系统任何页面均自动重定向至登录页，符合PRD R-0101规则。</w:t>
      </w:r>
    </w:p>
    <w:p w14:paraId="5EA36B0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757AC4C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密码输入框默认脱敏显示，右侧提供「显示/隐藏密码」切换按钮；</w:t>
      </w:r>
    </w:p>
    <w:p w14:paraId="53234B5E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按下回车键可触发登录操作，与点击登录按钮逻辑一致；</w:t>
      </w:r>
    </w:p>
    <w:p w14:paraId="1511C03A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登录过程中，按钮展示loading态，文字变为「登录中...」，禁止重复点击；</w:t>
      </w:r>
    </w:p>
    <w:p w14:paraId="17124CF8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账号锁定时，展示锁定倒计时，倒计时结束后自动解锁输入框。</w:t>
      </w:r>
    </w:p>
    <w:p w14:paraId="355D6A46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28"/>
        </w:rPr>
        <w:t>3.1.2 账号锁定提示页</w:t>
      </w:r>
      <w:bookmarkEnd w:id="14"/>
    </w:p>
    <w:p w14:paraId="6AD0BE8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：账号多次密码错误锁定后的专属提示页，告知用户锁定状态与解锁时间。</w:t>
      </w:r>
    </w:p>
    <w:p w14:paraId="3AECE36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：展示锁定原因、剩余锁定时间、解锁规则说明。</w:t>
      </w:r>
    </w:p>
    <w:p w14:paraId="3A278FB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：页面垂直居中布局，顶部为警告图标，中间为锁定提示标题与详情，底部为「返回登录页」按钮。</w:t>
      </w:r>
    </w:p>
    <w:p w14:paraId="4A4B540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：警告图标使用#FF7D00，标题文字18px 500字重，详情文字14px #4E5969，按钮为次要按钮。</w:t>
      </w:r>
    </w:p>
    <w:p w14:paraId="1635D41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：页面实时刷新剩余锁定时间，倒计时结束后自动跳转至登录页，点击「返回登录页」按钮可手动跳转。</w:t>
      </w:r>
    </w:p>
    <w:p w14:paraId="2E5EABCD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28"/>
        </w:rPr>
        <w:t>3.1.3 通用异常页</w:t>
      </w:r>
      <w:bookmarkEnd w:id="15"/>
    </w:p>
    <w:p w14:paraId="5D1DC8B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包含4个标准异常页，统一布局规范，垂直居中展示，顶部异常图标、中间标题与详情说明、底部「返回首页/重试」按钮：</w:t>
      </w:r>
    </w:p>
    <w:p w14:paraId="528E497A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403无权限页</w:t>
      </w:r>
      <w:r>
        <w:rPr>
          <w:rFonts w:hint="default" w:ascii="Times New Roman" w:hAnsi="Times New Roman" w:eastAsia="宋体" w:cs="Times New Roman"/>
          <w:sz w:val="22"/>
        </w:rPr>
        <w:t>：展示「您暂无访问该页面的权限，请联系系统管理员」，底部「返回首页」按钮；</w:t>
      </w:r>
    </w:p>
    <w:p w14:paraId="23341A62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404页面不存在页</w:t>
      </w:r>
      <w:r>
        <w:rPr>
          <w:rFonts w:hint="default" w:ascii="Times New Roman" w:hAnsi="Times New Roman" w:eastAsia="宋体" w:cs="Times New Roman"/>
          <w:sz w:val="22"/>
        </w:rPr>
        <w:t>：展示「抱歉，您访问的页面不存在」，底部「返回首页」按钮；</w:t>
      </w:r>
    </w:p>
    <w:p w14:paraId="474B16E8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500系统错误页</w:t>
      </w:r>
      <w:r>
        <w:rPr>
          <w:rFonts w:hint="default" w:ascii="Times New Roman" w:hAnsi="Times New Roman" w:eastAsia="宋体" w:cs="Times New Roman"/>
          <w:sz w:val="22"/>
        </w:rPr>
        <w:t>：展示「系统开小差了，请稍后重试」，底部「刷新重试」「返回首页」按钮；</w:t>
      </w:r>
    </w:p>
    <w:p w14:paraId="187892F1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网络异常页</w:t>
      </w:r>
      <w:r>
        <w:rPr>
          <w:rFonts w:hint="default" w:ascii="Times New Roman" w:hAnsi="Times New Roman" w:eastAsia="宋体" w:cs="Times New Roman"/>
          <w:sz w:val="22"/>
        </w:rPr>
        <w:t>：展示「网络连接异常，请检查网络后重试」，底部「刷新重试」按钮。</w:t>
      </w:r>
    </w:p>
    <w:p w14:paraId="1CBF1B4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30"/>
        </w:rPr>
        <w:t>3.2 首页/仪表盘模块</w:t>
      </w:r>
      <w:bookmarkEnd w:id="16"/>
    </w:p>
    <w:p w14:paraId="68DEEDDA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28"/>
        </w:rPr>
        <w:t>首页（工作台/仪表盘）</w:t>
      </w:r>
      <w:bookmarkEnd w:id="17"/>
    </w:p>
    <w:p w14:paraId="500975D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：用户登录后的核心落地页，全局项目数据总览与核心功能入口，对应PRD 4.2模块仪表盘首页功能。</w:t>
      </w:r>
    </w:p>
    <w:p w14:paraId="553733E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：项目总量统计、成本健康监控、进度健康监控、三大核心功能入口跳转、数据自动刷新、异常项目快速定位。</w:t>
      </w:r>
    </w:p>
    <w:p w14:paraId="0A62224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A639F4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页面采用「顶部导航栏+左侧菜单栏+主内容区」的后台系统经典布局，主内容区分为上下两大模块，从上到下依次为：</w:t>
      </w:r>
    </w:p>
    <w:p w14:paraId="0C460235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顶部面包屑导航</w:t>
      </w:r>
      <w:r>
        <w:rPr>
          <w:rFonts w:hint="default" w:ascii="Times New Roman" w:hAnsi="Times New Roman" w:eastAsia="宋体" w:cs="Times New Roman"/>
          <w:sz w:val="22"/>
        </w:rPr>
        <w:t>：展示「首页」位置，右侧展示用户姓名、头像、退出登录按钮；</w:t>
      </w:r>
    </w:p>
    <w:p w14:paraId="4D3A07FC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核心统计卡片区</w:t>
      </w:r>
      <w:r>
        <w:rPr>
          <w:rFonts w:hint="default" w:ascii="Times New Roman" w:hAnsi="Times New Roman" w:eastAsia="宋体" w:cs="Times New Roman"/>
          <w:sz w:val="22"/>
        </w:rPr>
        <w:t>：一行3列等宽卡片，分别为「项目总量统计」「成本健康监控」「进度健康监控」；</w:t>
      </w:r>
    </w:p>
    <w:p w14:paraId="75ABC18F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功能入口区</w:t>
      </w:r>
      <w:r>
        <w:rPr>
          <w:rFonts w:hint="default" w:ascii="Times New Roman" w:hAnsi="Times New Roman" w:eastAsia="宋体" w:cs="Times New Roman"/>
          <w:sz w:val="22"/>
        </w:rPr>
        <w:t>：一行3列等宽卡片，分别为「成本估算工作台」「成本监控中心」「成本核算中心」三大核心功能入口；</w:t>
      </w:r>
    </w:p>
    <w:p w14:paraId="5D53C8A7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异常项目预警区</w:t>
      </w:r>
      <w:r>
        <w:rPr>
          <w:rFonts w:hint="default" w:ascii="Times New Roman" w:hAnsi="Times New Roman" w:eastAsia="宋体" w:cs="Times New Roman"/>
          <w:sz w:val="22"/>
        </w:rPr>
        <w:t>：表格形式展示高风险/成本异常项目列表，快速查看项目名称、燃尽日期、风险等级、操作按钮。</w:t>
      </w:r>
    </w:p>
    <w:p w14:paraId="460C269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10DDBCAA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顶部导航栏高度64px，背景#FFFFFF，底部边框#E5E6EB，左侧系统logo与名称，右侧用户信息；</w:t>
      </w:r>
    </w:p>
    <w:p w14:paraId="174FBD83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左侧菜单栏宽度240px，背景#1D2129，菜单文字白色，选中项主色高亮，固定不随页面滚动；</w:t>
      </w:r>
    </w:p>
    <w:p w14:paraId="513FEFB6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主内容区背景#F7F8FA，内边距24px，卡片间距24px；</w:t>
      </w:r>
    </w:p>
    <w:p w14:paraId="3931EE54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统计卡片：圆角8px，内边距24px，标题14px #4E5969，核心数字32px 600字重，正常数字主色#165DFF，异常数字危险色#F53F3F；</w:t>
      </w:r>
    </w:p>
    <w:p w14:paraId="5CDF356D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功能入口卡片：圆角8px，内边距32px，hover时卡片阴影加深，向上浮动2px的微动效，标题18px 500字重，副标题14px #86909C，左侧搭配对应功能的线性图标；</w:t>
      </w:r>
    </w:p>
    <w:p w14:paraId="53DC5EBF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异常项目表格：宽度100%，表头背景#F2F3F5，风险等级列高风险标红，中风险标橙，低风险标绿。</w:t>
      </w:r>
    </w:p>
    <w:p w14:paraId="02968E5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EA9A1C5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页面加载：登录成功后进入首页，自动查询当前用户的项目数据，完成统计计算与页面渲染，加载过程展示骨架屏；</w:t>
      </w:r>
    </w:p>
    <w:p w14:paraId="3C644D31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数据刷新：页面首次加载自动统计，从功能子页面返回首页时自动重新统计，数据延迟≤3s，支持手动点击刷新按钮更新数据；</w:t>
      </w:r>
    </w:p>
    <w:p w14:paraId="2B566DBF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功能跳转：点击三大功能入口卡片，直接跳转至对应功能页面，跳转逻辑符合PRD业务流程；</w:t>
      </w:r>
    </w:p>
    <w:p w14:paraId="399F604C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异常项目交互：点击异常项目名称，可直接跳转至该项目的详情页/成本监控页，快速处理风险；</w:t>
      </w:r>
    </w:p>
    <w:p w14:paraId="0415F54A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权限规则：首页所有统计数据仅展示当前登录用户的项目数据，不展示其他用户的任何项目信息，已完成项目不进入成本异常、进度偏差统计，严格对齐PRD R-0201/R-0202规则。</w:t>
      </w:r>
    </w:p>
    <w:p w14:paraId="6EF0033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96F8ED1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成本异常判定：可消耗成本＜0、可消耗天数＜7天的项目标记为异常，数字标红，符合PRD R-0203规则；</w:t>
      </w:r>
    </w:p>
    <w:p w14:paraId="3CB00F4D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高风险判定：可消耗天数＜7天的项目标记为高风险，在预警区置顶展示，符合PRD R-0204规则；</w:t>
      </w:r>
    </w:p>
    <w:p w14:paraId="7131FD31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无数据处理：用户无任何项目时，统计数字显示0，不隐藏区域，功能入口正常展示，中间区域展示「暂无项目数据，快去创建你的第一个项目成本估算吧」空状态提示；</w:t>
      </w:r>
    </w:p>
    <w:p w14:paraId="6B5BC0FF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网络异常：数据加载失败时，展示「数据加载失败，请刷新重试」提示与刷新按钮，不展示错误数据，符合PRD R-0207规则。</w:t>
      </w:r>
    </w:p>
    <w:p w14:paraId="0B84D10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30"/>
        </w:rPr>
        <w:t>3.3 实施成本预估模块</w:t>
      </w:r>
      <w:bookmarkEnd w:id="18"/>
    </w:p>
    <w:p w14:paraId="62534057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28"/>
        </w:rPr>
        <w:t>3.3.1 需求文档上传与校验页</w:t>
      </w:r>
      <w:bookmarkEnd w:id="19"/>
    </w:p>
    <w:p w14:paraId="71135F7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：实施成本预估业务的第一步，完成需求文档的上传、格式与内容校验、智能解析，对应PRD 4.3.1子模块功能。</w:t>
      </w:r>
    </w:p>
    <w:p w14:paraId="452D81D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：需求文档上传、格式校验、内容完整性校验、文档智能解析、解析结果反馈、下一步流程跳转。</w:t>
      </w:r>
    </w:p>
    <w:p w14:paraId="474D6AC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2C112A13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页面顶部：横向步骤条，高亮「1. 文件上传」步骤，后续「2. 参数配置」「3. 成本计算」「4. 结果导出」步骤置灰；</w:t>
      </w:r>
    </w:p>
    <w:p w14:paraId="0724EA95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主内容区：分为上下两部分，上半部分为文档上传区域，下半部分为文档要求说明与校验结果反馈区；</w:t>
      </w:r>
    </w:p>
    <w:p w14:paraId="0BC8E45F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底部操作区：左对齐「返回首页」按钮，右对齐「下一步」按钮，按钮初始置灰。</w:t>
      </w:r>
    </w:p>
    <w:p w14:paraId="78F05CE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2011F4C8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步骤条宽度100%，最大宽度800px，页面居中展示，上下边距32px；</w:t>
      </w:r>
    </w:p>
    <w:p w14:paraId="46F0F6C7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上传区域：宽度100%，高度300px，虚线边框#C9CDD4，圆角8px，背景#F7F8FA，居中展示上传图标、标题、格式提示，支持拖拽/点击上传；</w:t>
      </w:r>
    </w:p>
    <w:p w14:paraId="20190894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文档要求区：卡片式布局，内边距24px，标题16px 500字重，要求列表用14px文字，分点展示；</w:t>
      </w:r>
    </w:p>
    <w:p w14:paraId="0A067029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校验结果区：校验失败时红色背景卡片，展示具体缺失项；校验成功时绿色背景卡片，展示「文档校验通过，已完成智能解析」提示。</w:t>
      </w:r>
    </w:p>
    <w:p w14:paraId="6EB6125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18FD8AE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上传限制：仅支持DOC/DOCX格式，文件大小≤10MB，不符合格式的文件自动拒绝，弹出红色Toast提示「仅支持DOC/DOCX格式文档，请重新上传」，符合PRD R-0301规则；</w:t>
      </w:r>
    </w:p>
    <w:p w14:paraId="156AECD4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上传过程：文件上传时展示进度条，实时反馈上传进度，禁止重复上传；</w:t>
      </w:r>
    </w:p>
    <w:p w14:paraId="0DCBCFAC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校验流程：上传完成后，自动执行格式校验→内容完整性校验，校验规则严格对齐PRD R-0303/R-0304/R-0305规则；</w:t>
      </w:r>
    </w:p>
    <w:p w14:paraId="530A0B2F">
      <w:pPr>
        <w:numPr>
          <w:ilvl w:val="0"/>
          <w:numId w:val="7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校验不通过：在页面下方展示具体的错误原因与缺失项，「下一步」按钮保持置灰；</w:t>
      </w:r>
    </w:p>
    <w:p w14:paraId="4CBD6BD2">
      <w:pPr>
        <w:numPr>
          <w:ilvl w:val="0"/>
          <w:numId w:val="7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校验通过：自动触发文档智能解析，提取功能模块、技术栈、业务流程等关键信息，解析完成后「下一步」按钮点亮，可点击进入参数配置页；</w:t>
      </w:r>
    </w:p>
    <w:p w14:paraId="3BDDFAD1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重试机制：文档解析失败时，自动重试1次，仍失败则终止并反馈具体原因，支持用户重新上传文档，符合PRD R-0306规则；</w:t>
      </w:r>
    </w:p>
    <w:p w14:paraId="507C8FD8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流程控制：未完成文档校验与解析，无法进入下一步参数配置环节。</w:t>
      </w:r>
    </w:p>
    <w:p w14:paraId="34C9FB7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1EE4D67B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上传区域hover时，边框变为主色，背景变为#E8F3FF，提供视觉反馈；</w:t>
      </w:r>
    </w:p>
    <w:p w14:paraId="30AD8672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文档校验的缺失项需精准定位到具体章节，例如「第三章3.2节功能描述缺少业务流程说明」，而非泛泛提示；</w:t>
      </w:r>
    </w:p>
    <w:p w14:paraId="2ACC3CB0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解析过程中，页面展示加载动画与「正在智能解析文档内容，请稍候...」提示，解析时长≤30s，符合非功能需求指标。</w:t>
      </w:r>
    </w:p>
    <w:p w14:paraId="709B454E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28"/>
        </w:rPr>
        <w:t>3.3.2 评估参数配置页</w:t>
      </w:r>
      <w:bookmarkEnd w:id="20"/>
    </w:p>
    <w:p w14:paraId="6961340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：实施成本预估业务的第二步，完成6大类评估参数的配置与校验，对应PRD 4.3.2子模块功能。</w:t>
      </w:r>
    </w:p>
    <w:p w14:paraId="1FFC56E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：默认参数加载、6大类参数可视化配置、参数合理性校验、参数模板保存、上一步/下一步流程跳转。</w:t>
      </w:r>
    </w:p>
    <w:p w14:paraId="1C4F03B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C536292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页面顶部：横向步骤条，高亮「2. 参数配置」步骤，「1. 文件上传」步骤已完成打勾，后续步骤置灰；</w:t>
      </w:r>
    </w:p>
    <w:p w14:paraId="1D2BB15E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主内容区：采用卡片式布局，分为6个参数配置卡片，依次为「复杂度基准配置」「系统关联度系数配置」「流程系数配置」「技术栈难度系数配置」「人天单价配置」「管理系数配置」；</w:t>
      </w:r>
    </w:p>
    <w:p w14:paraId="475223A4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底部操作区：左对齐「上一步」按钮，中间「保存为个人模板」按钮，右对齐「开始计算」按钮。</w:t>
      </w:r>
    </w:p>
    <w:p w14:paraId="7A8F91C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9CAFC80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每个参数配置卡片宽度100%，圆角8px，内边距24px，卡片间距24px；</w:t>
      </w:r>
    </w:p>
    <w:p w14:paraId="28056FA7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卡片标题16px 500字重，下方搭配12px辅助说明文字；</w:t>
      </w:r>
    </w:p>
    <w:p w14:paraId="2719D0BC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参数配置采用表格/表单项布局，标签右对齐，输入框/下拉选择器左对齐，表单项间距16px；</w:t>
      </w:r>
    </w:p>
    <w:p w14:paraId="6488E069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系统默认值用浅灰色文字标注「系统默认」，用户修改后变为黑色文字，标注「已自定义」。</w:t>
      </w:r>
    </w:p>
    <w:p w14:paraId="266A0A2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8730D1F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页面加载：进入页面后，系统基于文档解析结果自动加载默认参数配置，无需用户手动输入，符合PRD R-0313规则；</w:t>
      </w:r>
    </w:p>
    <w:p w14:paraId="4AED61B1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参数编辑：所有参数均支持用户手动调整，输入框实时校验，所有参数值必须为非负数，人天单价需为正整数，系数值需为正数，不符合规则的输入实时标红提示，符合PRD R-0311规则；</w:t>
      </w:r>
    </w:p>
    <w:p w14:paraId="3081187B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合理性校验：用户修改参数后，系统自动校验参数与文档解析的技术选型、功能复杂度的匹配度，存在明显不合理时，弹出气泡提示「该参数与文档解析的技术选型存在差异，确认是否继续？」；</w:t>
      </w:r>
    </w:p>
    <w:p w14:paraId="3807A5A1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模板保存：用户点击「保存为个人模板」，弹出弹窗输入模板名称，确认后保存当前参数配置，后续项目可直接选用；</w:t>
      </w:r>
    </w:p>
    <w:p w14:paraId="6BA6B96A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流程跳转：点击「上一步」返回文档上传页，点击「开始计算」，系统校验所有参数合法后，进入成本计算环节，跳转至结果详情页。</w:t>
      </w:r>
    </w:p>
    <w:p w14:paraId="2BEBAAB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5729AC0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每个参数配置项均附带「？」帮助图标，hover时展示该参数的定义、适用场景与计算规则，降低用户理解成本；</w:t>
      </w:r>
    </w:p>
    <w:p w14:paraId="2A12D880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复杂度基准、系统关联度系数等配置项，提供下拉选择与手动输入两种模式，兼顾便捷性与灵活性；</w:t>
      </w:r>
    </w:p>
    <w:p w14:paraId="7A037FD2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人天单价配置支持新增自定义角色，自定义角色的单价可编辑，默认角色的单价支持修改但不支持删除；</w:t>
      </w:r>
    </w:p>
    <w:p w14:paraId="7E465130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管理系数配置根据用户输入的团队规模，自动推荐对应系数，用户可手动调整。</w:t>
      </w:r>
    </w:p>
    <w:p w14:paraId="2045D5C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28"/>
        </w:rPr>
        <w:t>3.3.3 评估结果详情页</w:t>
      </w:r>
      <w:bookmarkEnd w:id="21"/>
    </w:p>
    <w:p w14:paraId="2A3587A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：实施成本预估业务的最终环节，展示多维度计算结果，提供重新计算、导出报告等操作，对应PRD 4.3.3/4.3.4/4.3.5子模块全量功能。</w:t>
      </w:r>
    </w:p>
    <w:p w14:paraId="7956910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：总览视图展示、详细分析视图展示、合规校验视图展示、计算轨迹追溯、重新计算、Excel报告导出、标准化表格导出。</w:t>
      </w:r>
    </w:p>
    <w:p w14:paraId="1DA8E0B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9AA9253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页面顶部：横向步骤条，高亮「4. 结果导出」步骤，前序步骤均已完成打勾；</w:t>
      </w:r>
    </w:p>
    <w:p w14:paraId="5DD8F856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页面次顶部：视图切换Tab栏，包含「总览视图」「详细分析视图」「合规校验视图」3个标签页，默认选中「总览视图」；</w:t>
      </w:r>
    </w:p>
    <w:p w14:paraId="051E7293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主内容区：根据选中的Tab展示对应视图内容；</w:t>
      </w:r>
    </w:p>
    <w:p w14:paraId="4BF72D7D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底部操作区：左对齐「返回首页」按钮，中间「重新计算」按钮，右对齐「导出Excel报告」「导出标准化估算表」按钮。</w:t>
      </w:r>
    </w:p>
    <w:p w14:paraId="0328EFE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D3F5B96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Tab栏高度48px，标签文字14px 500字重，选中态主色高亮，底部有主色下划线；</w:t>
      </w:r>
    </w:p>
    <w:p w14:paraId="3F024F21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核心指标卡片：一行4列等宽布局，卡片内顶部为指标名称，底部为指标数值，数字醒目，间距24px；</w:t>
      </w:r>
    </w:p>
    <w:p w14:paraId="55C80759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图表区域：饼图与柱状图左右分栏布局，各占50%宽度，图表高度350px，配有图例与hover tooltip；</w:t>
      </w:r>
    </w:p>
    <w:p w14:paraId="731F7C13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表格区域：宽度100%，表头固定，支持滚动，行高48px，数据对齐方式统一；</w:t>
      </w:r>
    </w:p>
    <w:p w14:paraId="21E312AC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计算轨迹区域：代码块样式，背景#F7F8FA，圆角4px，内边距16px，12px等宽字体，支持折叠/展开。</w:t>
      </w:r>
    </w:p>
    <w:p w14:paraId="4315545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交互逻辑与分视图详情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A95FBF1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总览视图（默认）</w:t>
      </w:r>
    </w:p>
    <w:p w14:paraId="5154AA79">
      <w:pPr>
        <w:numPr>
          <w:ilvl w:val="0"/>
          <w:numId w:val="10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核心指标卡片：展示总人天、预估成本、功能模块数量、人月4项核心指标，严格对齐PRD要求；</w:t>
      </w:r>
    </w:p>
    <w:p w14:paraId="4B0F889D">
      <w:pPr>
        <w:numPr>
          <w:ilvl w:val="0"/>
          <w:numId w:val="10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团队工作量分布饼图：展示研发、UI、产品、测试、管理团队的工作量占比，hover时展示具体人天与成本数值；</w:t>
      </w:r>
    </w:p>
    <w:p w14:paraId="68378770">
      <w:pPr>
        <w:numPr>
          <w:ilvl w:val="0"/>
          <w:numId w:val="10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各阶段工作量柱状图：展示需求分析、设计、开发、技术测试、性能测试、上线支持6个阶段的工作量分布，hover时展示具体人天与占比；</w:t>
      </w:r>
    </w:p>
    <w:p w14:paraId="2095839E">
      <w:pPr>
        <w:numPr>
          <w:ilvl w:val="0"/>
          <w:numId w:val="10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交互：图表支持下载保存，点击饼图的团队模块，可联动展示该团队的详细工作量明细。</w:t>
      </w:r>
    </w:p>
    <w:p w14:paraId="6C386446"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详细分析视图</w:t>
      </w:r>
    </w:p>
    <w:p w14:paraId="2E2A285D">
      <w:pPr>
        <w:numPr>
          <w:ilvl w:val="0"/>
          <w:numId w:val="10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阶段详细分解表：展示每个阶段的工作量、成本、占比，支持按工作量/成本升序/降序排序；</w:t>
      </w:r>
    </w:p>
    <w:p w14:paraId="4ABE6A53">
      <w:pPr>
        <w:numPr>
          <w:ilvl w:val="0"/>
          <w:numId w:val="10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功能模块详细分析表：按功能模块展示功能复杂度、技术栈难度评分、各角色在该模块的工作量明细，支持按模块展开/折叠；</w:t>
      </w:r>
    </w:p>
    <w:p w14:paraId="124A7715">
      <w:pPr>
        <w:numPr>
          <w:ilvl w:val="0"/>
          <w:numId w:val="11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交互：表格支持搜索、筛选，可导出单表格数据。</w:t>
      </w:r>
    </w:p>
    <w:p w14:paraId="7A69E0C5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合规校验视图</w:t>
      </w:r>
    </w:p>
    <w:p w14:paraId="03492989">
      <w:pPr>
        <w:numPr>
          <w:ilvl w:val="0"/>
          <w:numId w:val="11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各阶段工作量占比合规校验：展示每个阶段的实际占比、合理区间、校验结果，超出合理区间的标红提示，展示系统调整流程系数的过程；</w:t>
      </w:r>
    </w:p>
    <w:p w14:paraId="04CB4CC7">
      <w:pPr>
        <w:numPr>
          <w:ilvl w:val="0"/>
          <w:numId w:val="11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计算轨迹追溯：按功能点展示完整的计算过程，包含功能名称、各系数值、计算公式、结果、时间戳，严格对齐PRD格式要求，支持每个功能点的轨迹展开/折叠；</w:t>
      </w:r>
    </w:p>
    <w:p w14:paraId="6BCE979C">
      <w:pPr>
        <w:numPr>
          <w:ilvl w:val="0"/>
          <w:numId w:val="11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交互：支持全量计算轨迹一键复制，导出为文本文件。</w:t>
      </w:r>
    </w:p>
    <w:p w14:paraId="6C4075B0">
      <w:pPr>
        <w:numPr>
          <w:ilvl w:val="0"/>
          <w:numId w:val="1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通用操作逻辑</w:t>
      </w:r>
    </w:p>
    <w:p w14:paraId="5BF6BD2A">
      <w:pPr>
        <w:numPr>
          <w:ilvl w:val="0"/>
          <w:numId w:val="11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重新计算：点击按钮后，基于当前参数配置和文档解析数据，重新执行成本计算，刷新页面所有结果数据，计算过程展示loading态；</w:t>
      </w:r>
    </w:p>
    <w:p w14:paraId="7F4CF220">
      <w:pPr>
        <w:numPr>
          <w:ilvl w:val="0"/>
          <w:numId w:val="11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导出Excel报告：点击后自动生成包含所有视图数据的Excel文件，触发浏览器下载，生成时间≤10s，符合非功能需求指标；</w:t>
      </w:r>
    </w:p>
    <w:p w14:paraId="3B1DF117">
      <w:pPr>
        <w:numPr>
          <w:ilvl w:val="0"/>
          <w:numId w:val="11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导出标准化估算表：点击后生成符合公司模板的标准化工作量估算Excel表，严格对齐PRD的映射规则，触发浏览器下载；</w:t>
      </w:r>
    </w:p>
    <w:p w14:paraId="78720E28">
      <w:pPr>
        <w:numPr>
          <w:ilvl w:val="0"/>
          <w:numId w:val="11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项目保存：计算结果自动持久化保存，用户下次登录可在「我的项目」中查看与编辑。</w:t>
      </w:r>
    </w:p>
    <w:p w14:paraId="1D2161A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7F5DD12">
      <w:pPr>
        <w:numPr>
          <w:ilvl w:val="0"/>
          <w:numId w:val="12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各阶段工作量占比严格控制在PRD规定的合理区间内，超出区间时系统自动调整流程系数，调整过程完整记录在计算轨迹中，符合PRD R-0322/R-0323规则；</w:t>
      </w:r>
    </w:p>
    <w:p w14:paraId="16734D39">
      <w:pPr>
        <w:numPr>
          <w:ilvl w:val="0"/>
          <w:numId w:val="1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人天计算最小单位为0.5人天，小于0.5人天的按0.5人天取值，符合PRD R-0324规则；</w:t>
      </w:r>
    </w:p>
    <w:p w14:paraId="49AC7AAF">
      <w:pPr>
        <w:numPr>
          <w:ilvl w:val="0"/>
          <w:numId w:val="1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同一功能点的复杂度基准值在所有团队计算中保持一致，符合PRD R-0321规则；</w:t>
      </w:r>
    </w:p>
    <w:p w14:paraId="06C9541D">
      <w:pPr>
        <w:numPr>
          <w:ilvl w:val="0"/>
          <w:numId w:val="1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导出的Excel文件需包含完整的计算明细与公式，支持线下二次编辑。</w:t>
      </w:r>
    </w:p>
    <w:p w14:paraId="6AFD298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2" w:name="heading_22"/>
      <w:r>
        <w:rPr>
          <w:rFonts w:hint="default" w:ascii="Times New Roman" w:hAnsi="Times New Roman" w:eastAsia="宋体" w:cs="Times New Roman"/>
          <w:b/>
          <w:sz w:val="30"/>
        </w:rPr>
        <w:t>3.4 成本消耗预估模块</w:t>
      </w:r>
      <w:bookmarkEnd w:id="22"/>
    </w:p>
    <w:p w14:paraId="0FCC08F4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3" w:name="heading_23"/>
      <w:r>
        <w:rPr>
          <w:rFonts w:hint="default" w:ascii="Times New Roman" w:hAnsi="Times New Roman" w:eastAsia="宋体" w:cs="Times New Roman"/>
          <w:b/>
          <w:sz w:val="28"/>
        </w:rPr>
        <w:t>3.4.1 项目信息录入页</w:t>
      </w:r>
      <w:bookmarkEnd w:id="23"/>
    </w:p>
    <w:p w14:paraId="674FF76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：成本消耗预估业务的核心录入页，完成OA截图上传、OCR识别、项目信息确认、人员信息补充，对应PRD 4.4.1/4.4.2子模块功能。</w:t>
      </w:r>
    </w:p>
    <w:p w14:paraId="1A02729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：OA截图上传、OCR智能识别、项目信息编辑、项目成员管理、人员等级与日成本映射、成本计算、项目保存。</w:t>
      </w:r>
    </w:p>
    <w:p w14:paraId="0A90461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D0FEE31"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页面顶部：页面主标题「成本消耗预估」，面包屑导航「首页 &gt; 成本监控中心 &gt; 成本消耗预估」；</w:t>
      </w:r>
    </w:p>
    <w:p w14:paraId="6C02885F">
      <w:pPr>
        <w:numPr>
          <w:ilvl w:val="0"/>
          <w:numId w:val="1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主内容区：分为左右两栏布局，左侧占比60%为项目信息表单区，右侧占比40%为截图上传与OCR识别区；</w:t>
      </w:r>
    </w:p>
    <w:p w14:paraId="1EA0A49E"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表单区从上到下依次为：项目基本信息（合同金额、售前比例、税率等6个字段）、项目成员管理表格；</w:t>
      </w:r>
    </w:p>
    <w:p w14:paraId="0EA09FD8">
      <w:pPr>
        <w:numPr>
          <w:ilvl w:val="0"/>
          <w:numId w:val="1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底部操作区：右对齐「重置」「保存项目」「计算成本」按钮，「计算成本」按钮初始置灰。</w:t>
      </w:r>
    </w:p>
    <w:p w14:paraId="6F0C244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8CB008C">
      <w:pPr>
        <w:numPr>
          <w:ilvl w:val="0"/>
          <w:numId w:val="1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截图上传区域：虚线边框，高度200px，支持多张图片上传，上传后的图片以缩略图形式展示在下方，支持删除/预览；</w:t>
      </w:r>
    </w:p>
    <w:p w14:paraId="60C4858A">
      <w:pPr>
        <w:numPr>
          <w:ilvl w:val="0"/>
          <w:numId w:val="12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表单输入框：宽度100%，高度32px，标签14px，必填项标红*号；</w:t>
      </w:r>
    </w:p>
    <w:p w14:paraId="1C891E8F">
      <w:pPr>
        <w:numPr>
          <w:ilvl w:val="0"/>
          <w:numId w:val="13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成员管理表格：宽度100%，包含姓名、等级、日成本、入项时间、离项时间、操作列，支持新增/删除行；</w:t>
      </w:r>
    </w:p>
    <w:p w14:paraId="035A3F0F">
      <w:pPr>
        <w:numPr>
          <w:ilvl w:val="0"/>
          <w:numId w:val="13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人员等级下拉选择器：选项包含P5/P6/P7/P8，选中后自动回填对应日成本。</w:t>
      </w:r>
    </w:p>
    <w:p w14:paraId="61F913F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4F1E158"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截图上传：支持JPG/PNG格式，可上传多张，同一字段多张图片识别结果以最后一张为准，符合PRD R-0401/R-0402规则；</w:t>
      </w:r>
    </w:p>
    <w:p w14:paraId="75474AB6">
      <w:pPr>
        <w:numPr>
          <w:ilvl w:val="0"/>
          <w:numId w:val="13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OCR识别：图片上传完成后自动触发OCR识别，提取合同金额、售前比例、税率、外采金额、当前人力成本、项目成员列表6类关键字段，自动填充到左侧表单中；</w:t>
      </w:r>
    </w:p>
    <w:p w14:paraId="72DDE04B">
      <w:pPr>
        <w:numPr>
          <w:ilvl w:val="0"/>
          <w:numId w:val="13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信息编辑：OCR识别为空的字段支持用户手动填写，识别结果支持用户修改编辑，符合PRD R-0403规则；</w:t>
      </w:r>
    </w:p>
    <w:p w14:paraId="52431AF4">
      <w:pPr>
        <w:numPr>
          <w:ilvl w:val="0"/>
          <w:numId w:val="13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成员管理：</w:t>
      </w:r>
    </w:p>
    <w:p w14:paraId="6C8FC50B">
      <w:pPr>
        <w:numPr>
          <w:ilvl w:val="0"/>
          <w:numId w:val="13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成员必须选择等级，否则「计算成本」按钮置灰，符合PRD R-0411规则；</w:t>
      </w:r>
    </w:p>
    <w:p w14:paraId="0CA8103D">
      <w:pPr>
        <w:numPr>
          <w:ilvl w:val="0"/>
          <w:numId w:val="13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选择人员等级后，系统自动回填对应日成本，日成本不允许手动修改，符合PRD R-0412规则；</w:t>
      </w:r>
    </w:p>
    <w:p w14:paraId="365548E4">
      <w:pPr>
        <w:numPr>
          <w:ilvl w:val="0"/>
          <w:numId w:val="13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支持新增成员、删除成员、设置入项/离项时间；</w:t>
      </w:r>
    </w:p>
    <w:p w14:paraId="5E641656">
      <w:pPr>
        <w:numPr>
          <w:ilvl w:val="0"/>
          <w:numId w:val="13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按钮控制：项目名称、合同金额、至少1个有效成员信息填写完成后，「计算成本」按钮点亮可点击；</w:t>
      </w:r>
    </w:p>
    <w:p w14:paraId="25BB40CD">
      <w:pPr>
        <w:numPr>
          <w:ilvl w:val="0"/>
          <w:numId w:val="14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项目保存：点击「保存项目」，当前录入的所有信息持久化保存，下次登录可继续编辑。</w:t>
      </w:r>
    </w:p>
    <w:p w14:paraId="06F553A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7C0B05B">
      <w:pPr>
        <w:numPr>
          <w:ilvl w:val="0"/>
          <w:numId w:val="14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上传的图片缩略图支持点击预览大图，查看识别内容；</w:t>
      </w:r>
    </w:p>
    <w:p w14:paraId="7C71C9ED">
      <w:pPr>
        <w:numPr>
          <w:ilvl w:val="0"/>
          <w:numId w:val="14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OCR识别过程中，展示加载动画与「正在识别图片内容，请稍候...」提示，单张图片识别时间≤5s，符合非功能需求指标；</w:t>
      </w:r>
    </w:p>
    <w:p w14:paraId="5496D64F">
      <w:pPr>
        <w:numPr>
          <w:ilvl w:val="0"/>
          <w:numId w:val="14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日成本字段禁用编辑，仅可通过选择等级自动回填，数值保留2位小数；</w:t>
      </w:r>
    </w:p>
    <w:p w14:paraId="0CC0927D">
      <w:pPr>
        <w:numPr>
          <w:ilvl w:val="0"/>
          <w:numId w:val="14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入项时间、离项时间使用日期选择器，限制离项时间必须晚于入项时间。</w:t>
      </w:r>
    </w:p>
    <w:p w14:paraId="3875FCD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4" w:name="heading_24"/>
      <w:r>
        <w:rPr>
          <w:rFonts w:hint="default" w:ascii="Times New Roman" w:hAnsi="Times New Roman" w:eastAsia="宋体" w:cs="Times New Roman"/>
          <w:b/>
          <w:sz w:val="28"/>
        </w:rPr>
        <w:t>3.4.2 成本核算结果页</w:t>
      </w:r>
      <w:bookmarkEnd w:id="24"/>
    </w:p>
    <w:p w14:paraId="787F438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：成本消耗预估业务的结果展示页，展示核心成本核算指标，支持人员方案调整与重算，对应PRD 4.4.3/4.4.4子模块功能。</w:t>
      </w:r>
    </w:p>
    <w:p w14:paraId="521DD8D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：4项核心成本指标展示、计算公式说明、人员方案调整、成本重算、项目数据保存、返回首页。</w:t>
      </w:r>
    </w:p>
    <w:p w14:paraId="3CF339B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223252B">
      <w:pPr>
        <w:numPr>
          <w:ilvl w:val="0"/>
          <w:numId w:val="14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页面顶部：主标题「成本核算结果」，面包屑导航；</w:t>
      </w:r>
    </w:p>
    <w:p w14:paraId="7899C077">
      <w:pPr>
        <w:numPr>
          <w:ilvl w:val="0"/>
          <w:numId w:val="14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核心指标区：一行4列等宽卡片，分别展示「可消耗成本」「日人力成本」「可消耗天数」「成本燃尽日期」；</w:t>
      </w:r>
    </w:p>
    <w:p w14:paraId="2694E497">
      <w:pPr>
        <w:numPr>
          <w:ilvl w:val="0"/>
          <w:numId w:val="14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中间区域：左右分栏，左侧为「人员方案调整区」，右侧为「计算公式说明区」；</w:t>
      </w:r>
      <w:bookmarkStart w:id="35" w:name="_GoBack"/>
      <w:bookmarkEnd w:id="35"/>
    </w:p>
    <w:p w14:paraId="2A0E570F">
      <w:pPr>
        <w:numPr>
          <w:ilvl w:val="0"/>
          <w:numId w:val="14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底部操作区：左对齐「返回上一步」按钮，中间「重新计算」按钮，右对齐「保存项目」「返回首页」按钮。</w:t>
      </w:r>
    </w:p>
    <w:p w14:paraId="3228D96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0813EA6">
      <w:pPr>
        <w:numPr>
          <w:ilvl w:val="0"/>
          <w:numId w:val="14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核心指标卡片：正常数值主题蓝色，可消耗成本为负时数值标红，附带「已超支」红色标签，符合PRD R-0422规则；</w:t>
      </w:r>
    </w:p>
    <w:p w14:paraId="387D4308">
      <w:pPr>
        <w:numPr>
          <w:ilvl w:val="0"/>
          <w:numId w:val="15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人员方案表格：与录入页表格样式一致，支持编辑成员信息、新增/移除成员、设置入项/离项时间；</w:t>
      </w:r>
    </w:p>
    <w:p w14:paraId="0AD27E7A">
      <w:pPr>
        <w:numPr>
          <w:ilvl w:val="0"/>
          <w:numId w:val="15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计算公式说明区：白底卡片，内边距24px，标题16px 500字重，公式用代码块样式展示，附带文字说明。</w:t>
      </w:r>
    </w:p>
    <w:p w14:paraId="75AAAB1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2D7A0B2F">
      <w:pPr>
        <w:numPr>
          <w:ilvl w:val="0"/>
          <w:numId w:val="15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页面加载：进入页面后，系统基于录入的信息自动执行成本核算，按PRD规定的4个公式计算核心指标，展示在页面中；</w:t>
      </w:r>
    </w:p>
    <w:p w14:paraId="6CB698F4">
      <w:pPr>
        <w:numPr>
          <w:ilvl w:val="0"/>
          <w:numId w:val="15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异常处理：</w:t>
      </w:r>
    </w:p>
    <w:p w14:paraId="09EBCD7C">
      <w:pPr>
        <w:numPr>
          <w:ilvl w:val="0"/>
          <w:numId w:val="15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日人力成本=0时，提示「无人员成本，无法计算天数」，可消耗天数和燃尽日期不展示，符合PRD R-0421规则；</w:t>
      </w:r>
    </w:p>
    <w:p w14:paraId="37AD0368">
      <w:pPr>
        <w:numPr>
          <w:ilvl w:val="0"/>
          <w:numId w:val="15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可消耗成本为负时，数值标红，卡片右上角展示红色「已超支」标签；</w:t>
      </w:r>
    </w:p>
    <w:p w14:paraId="696880C8">
      <w:pPr>
        <w:numPr>
          <w:ilvl w:val="0"/>
          <w:numId w:val="15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人员方案调整：用户修改成员信息、新增/移除成员、设置入项/离项时间后，「重新计算」按钮点亮，点击后系统按人员时间区间逐日摊算成本，重算核心指标，覆盖原有结果，符合PRD R-0433/R-0434规则；</w:t>
      </w:r>
    </w:p>
    <w:p w14:paraId="2B1FCD88">
      <w:pPr>
        <w:numPr>
          <w:ilvl w:val="0"/>
          <w:numId w:val="15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日期计算：燃尽日期仅计算工作日，剔除周六、周日，不考虑法定节假日，符合PRD R-0423规则；</w:t>
      </w:r>
    </w:p>
    <w:p w14:paraId="0FEB03B5">
      <w:pPr>
        <w:numPr>
          <w:ilvl w:val="0"/>
          <w:numId w:val="15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项目保存：点击「保存项目」，核算结果与人员方案持久化保存，同步更新首页仪表盘的统计数据。</w:t>
      </w:r>
    </w:p>
    <w:p w14:paraId="3A464AC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DA05013">
      <w:pPr>
        <w:numPr>
          <w:ilvl w:val="0"/>
          <w:numId w:val="15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所有金额数值均保留2位小数，单位为万元，可消耗天数取整；</w:t>
      </w:r>
    </w:p>
    <w:p w14:paraId="08895501">
      <w:pPr>
        <w:numPr>
          <w:ilvl w:val="0"/>
          <w:numId w:val="16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人员离项时间为空时，表格内标注「在岗至成本耗尽」，符合PRD R-0432规则；</w:t>
      </w:r>
    </w:p>
    <w:p w14:paraId="7789314E">
      <w:pPr>
        <w:numPr>
          <w:ilvl w:val="0"/>
          <w:numId w:val="16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重新计算后，页面展示「计算结果已更新」的成功Toast提示；</w:t>
      </w:r>
    </w:p>
    <w:p w14:paraId="15B61F46">
      <w:pPr>
        <w:numPr>
          <w:ilvl w:val="0"/>
          <w:numId w:val="16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入项时间≤当前系统时间≤离项时间，不符合的日期选择器自动拦截并提示，符合PRD R-0431规则。</w:t>
      </w:r>
    </w:p>
    <w:p w14:paraId="18830D9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5" w:name="heading_25"/>
      <w:r>
        <w:rPr>
          <w:rFonts w:hint="default" w:ascii="Times New Roman" w:hAnsi="Times New Roman" w:eastAsia="宋体" w:cs="Times New Roman"/>
          <w:b/>
          <w:sz w:val="30"/>
        </w:rPr>
        <w:t>3.5 成本偏差监控模块</w:t>
      </w:r>
      <w:bookmarkEnd w:id="25"/>
    </w:p>
    <w:p w14:paraId="0D8B16E0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6" w:name="heading_26"/>
      <w:r>
        <w:rPr>
          <w:rFonts w:hint="default" w:ascii="Times New Roman" w:hAnsi="Times New Roman" w:eastAsia="宋体" w:cs="Times New Roman"/>
          <w:b/>
          <w:sz w:val="28"/>
        </w:rPr>
        <w:t>3.5.1 项目信息录入页</w:t>
      </w:r>
      <w:bookmarkEnd w:id="26"/>
    </w:p>
    <w:p w14:paraId="10F4AC8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：成本偏差监控业务的录入页，完成项目信息截图上传、大模型识别、成员信息补充、偏差分析基准选择，对应PRD 4.5.1/4.5.2子模块功能。</w:t>
      </w:r>
    </w:p>
    <w:p w14:paraId="3207986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：4类项目截图上传、大模型智能识别、成员信息补充与编辑、偏差分析基准双模式选择、预期利润设置、下一步分析跳转。</w:t>
      </w:r>
    </w:p>
    <w:p w14:paraId="3008076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4226CAB">
      <w:pPr>
        <w:numPr>
          <w:ilvl w:val="0"/>
          <w:numId w:val="16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页面顶部：主标题「成本偏差监控」，面包屑导航；</w:t>
      </w:r>
    </w:p>
    <w:p w14:paraId="70D78C17">
      <w:pPr>
        <w:numPr>
          <w:ilvl w:val="0"/>
          <w:numId w:val="16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主内容区：分为3个卡片模块，从上到下依次为「项目信息上传区」「项目信息确认与成员管理区」「偏差分析基准设置区」；</w:t>
      </w:r>
    </w:p>
    <w:p w14:paraId="4B1E6F31">
      <w:pPr>
        <w:numPr>
          <w:ilvl w:val="0"/>
          <w:numId w:val="16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底部操作区：左对齐「返回首页」按钮，右对齐「开始偏差分析」按钮，初始置灰。</w:t>
      </w:r>
    </w:p>
    <w:p w14:paraId="4410651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600C8BD">
      <w:pPr>
        <w:numPr>
          <w:ilvl w:val="0"/>
          <w:numId w:val="16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截图上传区：支持多图上传，缩略图展示，标注4类截图的上传要求（项目合同金额、当前人力成本、成员明细、DevOps进度）；</w:t>
      </w:r>
    </w:p>
    <w:p w14:paraId="1CCAA11E">
      <w:pPr>
        <w:numPr>
          <w:ilvl w:val="0"/>
          <w:numId w:val="16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成员管理表格：包含姓名、职级、角色、已报工时、日成本、操作列，职级下拉选择包含P3-P8与外包，外包单价支持手动编辑；</w:t>
      </w:r>
    </w:p>
    <w:p w14:paraId="77F3C727">
      <w:pPr>
        <w:numPr>
          <w:ilvl w:val="0"/>
          <w:numId w:val="16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基准选择区：两个单选选项，分别为「模式1：上传工作量评估附件（推荐）」「模式2：使用系统默认阶段成本比例」，选中模式后展示对应的配置项。</w:t>
      </w:r>
    </w:p>
    <w:p w14:paraId="2907C21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A75EA86">
      <w:pPr>
        <w:numPr>
          <w:ilvl w:val="0"/>
          <w:numId w:val="16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图片上传：支持JPG/PNG格式，张数不限，上传完成后自动触发大模型识别，提取项目名称、合同金额、当前人力成本、成员信息、DevOps进度5类关键信息，符合PRD R-0501规则；</w:t>
      </w:r>
    </w:p>
    <w:p w14:paraId="36E6DE59">
      <w:pPr>
        <w:numPr>
          <w:ilvl w:val="0"/>
          <w:numId w:val="17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信息确认：大模型识别结果自动回显到表单中，支持用户修改编辑，识别失败的字段允许手动填写，符合PRD R-0503规则；</w:t>
      </w:r>
    </w:p>
    <w:p w14:paraId="78990E51">
      <w:pPr>
        <w:numPr>
          <w:ilvl w:val="0"/>
          <w:numId w:val="17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成员信息补充：</w:t>
      </w:r>
    </w:p>
    <w:p w14:paraId="3BEB730E">
      <w:pPr>
        <w:numPr>
          <w:ilvl w:val="0"/>
          <w:numId w:val="17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选择职级后自动回填对应日成本，外包职级的日成本支持手动编辑；</w:t>
      </w:r>
    </w:p>
    <w:p w14:paraId="34BF5AA1">
      <w:pPr>
        <w:numPr>
          <w:ilvl w:val="0"/>
          <w:numId w:val="17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成员角色支持下拉选择（项目负责人/产品经理/UI设计/开发工程师等），支持增删改查；</w:t>
      </w:r>
    </w:p>
    <w:p w14:paraId="7E2537BC">
      <w:pPr>
        <w:numPr>
          <w:ilvl w:val="0"/>
          <w:numId w:val="17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偏差分析基准选择：</w:t>
      </w:r>
    </w:p>
    <w:p w14:paraId="05B7894E">
      <w:pPr>
        <w:numPr>
          <w:ilvl w:val="0"/>
          <w:numId w:val="17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模式1：上传工作量评估附件，系统自动解析附件，计算各阶段工作量占整体比例，附件要求至少包含项目阶段和工作量2项内容，符合PRD R-0512规则；</w:t>
      </w:r>
    </w:p>
    <w:p w14:paraId="0C5331D7">
      <w:pPr>
        <w:numPr>
          <w:ilvl w:val="0"/>
          <w:numId w:val="17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模式2：展示系统默认阶段比例（需求15%、设计16%、开发35%、技术测试20%、性能测试8%、投产6%），支持用户修改，实时校验各阶段比例之和必须=100%，不符合则标红提示，符合PRD R-0513规则；</w:t>
      </w:r>
    </w:p>
    <w:p w14:paraId="75F4AEFF">
      <w:pPr>
        <w:numPr>
          <w:ilvl w:val="0"/>
          <w:numId w:val="17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按钮控制：项目合同金额、成员信息、分析基准配置完成后，「开始偏差分析」按钮点亮，点击后进入偏差分析结果页。</w:t>
      </w:r>
    </w:p>
    <w:p w14:paraId="1C7584F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49D2785">
      <w:pPr>
        <w:numPr>
          <w:ilvl w:val="0"/>
          <w:numId w:val="17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大模型识别响应时间≤15s，符合非功能需求指标，识别过程展示加载提示；</w:t>
      </w:r>
    </w:p>
    <w:p w14:paraId="0283192E">
      <w:pPr>
        <w:numPr>
          <w:ilvl w:val="0"/>
          <w:numId w:val="17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多张图片同字段冲突时，以最后一张的识别信息为准，符合PRD R-0502规则；</w:t>
      </w:r>
    </w:p>
    <w:p w14:paraId="3A8AC110">
      <w:pPr>
        <w:numPr>
          <w:ilvl w:val="0"/>
          <w:numId w:val="18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模式2的比例修改时，实时计算合计值，合计≠100%时，底部红色提示「各阶段比例之和必须等于100%，当前合计：XX%」；</w:t>
      </w:r>
    </w:p>
    <w:p w14:paraId="266BAB5E">
      <w:pPr>
        <w:numPr>
          <w:ilvl w:val="0"/>
          <w:numId w:val="18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已报工时单位为小时，仅支持输入正整数。</w:t>
      </w:r>
    </w:p>
    <w:p w14:paraId="765DEC34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7" w:name="heading_27"/>
      <w:r>
        <w:rPr>
          <w:rFonts w:hint="default" w:ascii="Times New Roman" w:hAnsi="Times New Roman" w:eastAsia="宋体" w:cs="Times New Roman"/>
          <w:b/>
          <w:sz w:val="28"/>
        </w:rPr>
        <w:t>3.5.2 偏差分析结果页</w:t>
      </w:r>
      <w:bookmarkEnd w:id="27"/>
    </w:p>
    <w:p w14:paraId="2AA6958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：成本偏差监控业务的结果展示页，展示成本核算结果、偏差分析、可视化图表与AI调整建议，对应PRD 4.5.3/4.5.4子模块全量功能。</w:t>
      </w:r>
    </w:p>
    <w:p w14:paraId="51B6344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：核心指标展示、成本消耗与进度比对、阶段成本偏差折线图、团队成本使用柱形图、AI人员调整建议、详细成本分析表、数据导出。</w:t>
      </w:r>
    </w:p>
    <w:p w14:paraId="2B8880E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195025A">
      <w:pPr>
        <w:numPr>
          <w:ilvl w:val="0"/>
          <w:numId w:val="18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页面顶部：主标题「成本偏差分析结果」，面包屑导航；</w:t>
      </w:r>
    </w:p>
    <w:p w14:paraId="737FA8A4">
      <w:pPr>
        <w:numPr>
          <w:ilvl w:val="0"/>
          <w:numId w:val="18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核心指标区：一行3列等宽卡片，展示项目合同金额、当前成本消耗、任务完成进度；</w:t>
      </w:r>
    </w:p>
    <w:p w14:paraId="3C61F3A2">
      <w:pPr>
        <w:numPr>
          <w:ilvl w:val="0"/>
          <w:numId w:val="18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成本与进度比对区：横向条形对比图，展示成本消耗占比与任务完成进度，标注偏差程度与风险提示；</w:t>
      </w:r>
    </w:p>
    <w:p w14:paraId="3C97E84D">
      <w:pPr>
        <w:numPr>
          <w:ilvl w:val="0"/>
          <w:numId w:val="18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图表区：左右分栏布局，左侧为「各阶段成本偏差折线图」，右侧为「各团队人员成本使用柱形图」；</w:t>
      </w:r>
    </w:p>
    <w:p w14:paraId="0D6EB43C">
      <w:pPr>
        <w:numPr>
          <w:ilvl w:val="0"/>
          <w:numId w:val="18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AI建议区：卡片式布局，展示分阶段的人员调整建议与总体建议；</w:t>
      </w:r>
    </w:p>
    <w:p w14:paraId="549CF9E6">
      <w:pPr>
        <w:numPr>
          <w:ilvl w:val="0"/>
          <w:numId w:val="18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详细成本分析表：全宽度表格，展示各阶段的预期比例、实际比例、实际成本、偏差数据；</w:t>
      </w:r>
    </w:p>
    <w:p w14:paraId="0C8F8D7B">
      <w:pPr>
        <w:numPr>
          <w:ilvl w:val="0"/>
          <w:numId w:val="18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底部操作区：左对齐「返回上一步」按钮，右对齐「导出分析报告」「返回首页」按钮。</w:t>
      </w:r>
    </w:p>
    <w:p w14:paraId="1C7CE30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EA08133">
      <w:pPr>
        <w:numPr>
          <w:ilvl w:val="0"/>
          <w:numId w:val="18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核心指标卡片：进度滞后/成本超支时，数值标红，附带风险提示标签；</w:t>
      </w:r>
    </w:p>
    <w:p w14:paraId="53E1AD33">
      <w:pPr>
        <w:numPr>
          <w:ilvl w:val="0"/>
          <w:numId w:val="19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条形对比图：成本消耗条用主色，任务进度条用灰色，偏差值正数标红，负数标绿；</w:t>
      </w:r>
    </w:p>
    <w:p w14:paraId="5810D57D">
      <w:pPr>
        <w:numPr>
          <w:ilvl w:val="0"/>
          <w:numId w:val="19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折线图：实际成本折线用危险色#F53F3F，预期成本折线用主色#165DFF，横轴为项目6个阶段，纵轴为成本占比；</w:t>
      </w:r>
    </w:p>
    <w:p w14:paraId="68AD9EDA">
      <w:pPr>
        <w:numPr>
          <w:ilvl w:val="0"/>
          <w:numId w:val="19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双柱形图：预期成本用浅主色，实际成本用深主色，横轴为5个团队，纵轴为成本占比；</w:t>
      </w:r>
    </w:p>
    <w:p w14:paraId="5205598B">
      <w:pPr>
        <w:numPr>
          <w:ilvl w:val="0"/>
          <w:numId w:val="19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AI建议区：分阶段建议用列表展示，正向建议标绿，负向风险标红，总体建议加粗展示；</w:t>
      </w:r>
    </w:p>
    <w:p w14:paraId="13180DAC">
      <w:pPr>
        <w:numPr>
          <w:ilvl w:val="0"/>
          <w:numId w:val="19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详细分析表：偏差列为正数时标红，负数时标绿，0值时灰色。</w:t>
      </w:r>
    </w:p>
    <w:p w14:paraId="3998862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8CB48DA">
      <w:pPr>
        <w:numPr>
          <w:ilvl w:val="0"/>
          <w:numId w:val="19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页面加载：进入页面后，系统基于录入的信息自动执行成本核算，按PRD公式计算各阶段实际成本、团队成本、成本偏差值，完成图表渲染，加载过程展示骨架屏；</w:t>
      </w:r>
    </w:p>
    <w:p w14:paraId="43909A5C">
      <w:pPr>
        <w:numPr>
          <w:ilvl w:val="0"/>
          <w:numId w:val="19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图表交互：</w:t>
      </w:r>
    </w:p>
    <w:p w14:paraId="15F9F921">
      <w:pPr>
        <w:numPr>
          <w:ilvl w:val="0"/>
          <w:numId w:val="19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折线图hover时，展示对应阶段的实际成本占比、预期成本占比、当前阶段实际成本；</w:t>
      </w:r>
    </w:p>
    <w:p w14:paraId="52095FE7">
      <w:pPr>
        <w:numPr>
          <w:ilvl w:val="0"/>
          <w:numId w:val="19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柱形图hover时，展示对应团队的实际成本占比、预期成本占比、当前团队实际成本；</w:t>
      </w:r>
    </w:p>
    <w:p w14:paraId="600CB9E6">
      <w:pPr>
        <w:numPr>
          <w:ilvl w:val="0"/>
          <w:numId w:val="19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AI建议生成：大模型基于成本偏差、团队成本使用、进度情况，自动生成人员调整建议，包含各阶段优化方向与执行后的预期效果；</w:t>
      </w:r>
    </w:p>
    <w:p w14:paraId="4CFBCDB9">
      <w:pPr>
        <w:numPr>
          <w:ilvl w:val="0"/>
          <w:numId w:val="20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导出功能：点击「导出分析报告」，自动生成包含所有图表、明细、建议的Excel报告，触发浏览器下载；</w:t>
      </w:r>
    </w:p>
    <w:p w14:paraId="33C9EBCE">
      <w:pPr>
        <w:numPr>
          <w:ilvl w:val="0"/>
          <w:numId w:val="20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项目保存：分析结果自动持久化保存，同步更新首页仪表盘的异常项目统计数据。</w:t>
      </w:r>
    </w:p>
    <w:p w14:paraId="51213B0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细节要求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0EAB522">
      <w:pPr>
        <w:numPr>
          <w:ilvl w:val="0"/>
          <w:numId w:val="20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成本核算公式严格对齐PRD规定，确保计算结果100%准确；</w:t>
      </w:r>
    </w:p>
    <w:p w14:paraId="1B9194E4">
      <w:pPr>
        <w:numPr>
          <w:ilvl w:val="0"/>
          <w:numId w:val="20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成本偏差=实际成本消耗占比-标准阶段成本占比，偏差为正表示成本超支，标红展示；偏差为负表示成本结余，标绿展示；</w:t>
      </w:r>
    </w:p>
    <w:p w14:paraId="6FDEBED2">
      <w:pPr>
        <w:numPr>
          <w:ilvl w:val="0"/>
          <w:numId w:val="20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任务完成进度可手动更新，更新后自动重算偏差数据，刷新图表；</w:t>
      </w:r>
    </w:p>
    <w:p w14:paraId="1EA30247">
      <w:pPr>
        <w:numPr>
          <w:ilvl w:val="0"/>
          <w:numId w:val="20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详细成本分析表支持导出、打印，数据与图表完全一致，无逻辑偏差。</w:t>
      </w:r>
    </w:p>
    <w:p w14:paraId="49EEA34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8" w:name="heading_28"/>
      <w:r>
        <w:rPr>
          <w:rFonts w:hint="default" w:ascii="Times New Roman" w:hAnsi="Times New Roman" w:eastAsia="宋体" w:cs="Times New Roman"/>
          <w:b/>
          <w:sz w:val="30"/>
        </w:rPr>
        <w:t>3.6 辅助管理模块</w:t>
      </w:r>
      <w:bookmarkEnd w:id="28"/>
    </w:p>
    <w:p w14:paraId="684EA54C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9" w:name="heading_29"/>
      <w:r>
        <w:rPr>
          <w:rFonts w:hint="default" w:ascii="Times New Roman" w:hAnsi="Times New Roman" w:eastAsia="宋体" w:cs="Times New Roman"/>
          <w:b/>
          <w:sz w:val="28"/>
        </w:rPr>
        <w:t>3.6.1 我的项目列表页</w:t>
      </w:r>
      <w:bookmarkEnd w:id="29"/>
    </w:p>
    <w:p w14:paraId="2531835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：用户所有项目的统一管理页，支持项目查看、编辑、删除、筛选搜索。</w:t>
      </w:r>
    </w:p>
    <w:p w14:paraId="05F8AE1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：项目列表展示、项目状态筛选、关键词搜索、项目编辑/查看/删除操作、新建项目快速入口。</w:t>
      </w:r>
    </w:p>
    <w:p w14:paraId="14EFF04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54A45C1">
      <w:pPr>
        <w:numPr>
          <w:ilvl w:val="0"/>
          <w:numId w:val="20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页面顶部：主标题「我的项目」，右侧「新建项目」下拉按钮，包含3个核心业务的快速入口；</w:t>
      </w:r>
    </w:p>
    <w:p w14:paraId="2EC4B7CE">
      <w:pPr>
        <w:numPr>
          <w:ilvl w:val="0"/>
          <w:numId w:val="20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筛选区：项目状态筛选（全部/进行中/已完成）、创建时间筛选、搜索框；</w:t>
      </w:r>
    </w:p>
    <w:p w14:paraId="46788951">
      <w:pPr>
        <w:numPr>
          <w:ilvl w:val="0"/>
          <w:numId w:val="20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列表区：表格形式展示项目名称、项目类型、创建时间、项目状态、成本健康度、操作列；</w:t>
      </w:r>
    </w:p>
    <w:p w14:paraId="1C12589D">
      <w:pPr>
        <w:numPr>
          <w:ilvl w:val="0"/>
          <w:numId w:val="20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分页区：列表底部分页控件，支持页码切换、每页条数调整。</w:t>
      </w:r>
    </w:p>
    <w:p w14:paraId="1AD0348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32D5C19">
      <w:pPr>
        <w:numPr>
          <w:ilvl w:val="0"/>
          <w:numId w:val="21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成本健康度列：健康用绿色标签、异常用红色标签、高风险用红色闪烁标签；</w:t>
      </w:r>
    </w:p>
    <w:p w14:paraId="57FE8185">
      <w:pPr>
        <w:numPr>
          <w:ilvl w:val="0"/>
          <w:numId w:val="2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操作列：「查看」「编辑」「删除」按钮，「删除」按钮为红色文本按钮。</w:t>
      </w:r>
    </w:p>
    <w:p w14:paraId="2FB78BB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D44557D">
      <w:pPr>
        <w:numPr>
          <w:ilvl w:val="0"/>
          <w:numId w:val="2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列表仅展示当前登录用户创建的项目，严格遵循数据隔离规则；</w:t>
      </w:r>
    </w:p>
    <w:p w14:paraId="498AEC12">
      <w:pPr>
        <w:numPr>
          <w:ilvl w:val="0"/>
          <w:numId w:val="21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点击「查看」进入对应项目的详情/结果页，点击「编辑」进入项目的信息录入页，支持修改后重新计算；</w:t>
      </w:r>
    </w:p>
    <w:p w14:paraId="5C7D7D0B">
      <w:pPr>
        <w:numPr>
          <w:ilvl w:val="0"/>
          <w:numId w:val="21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点击「删除」弹出二次确认弹窗，确认后删除项目数据，同步更新首页统计数据；</w:t>
      </w:r>
    </w:p>
    <w:p w14:paraId="22B0256F">
      <w:pPr>
        <w:numPr>
          <w:ilvl w:val="0"/>
          <w:numId w:val="2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支持按项目名称模糊搜索，按状态、创建时间精准筛选。</w:t>
      </w:r>
    </w:p>
    <w:p w14:paraId="3726668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0" w:name="heading_30"/>
      <w:r>
        <w:rPr>
          <w:rFonts w:hint="default" w:ascii="Times New Roman" w:hAnsi="Times New Roman" w:eastAsia="宋体" w:cs="Times New Roman"/>
          <w:b/>
          <w:sz w:val="28"/>
        </w:rPr>
        <w:t>3.6.2 个人设置页</w:t>
      </w:r>
      <w:bookmarkEnd w:id="30"/>
    </w:p>
    <w:p w14:paraId="39DCA1D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页面定位</w:t>
      </w:r>
      <w:r>
        <w:rPr>
          <w:rFonts w:hint="default" w:ascii="Times New Roman" w:hAnsi="Times New Roman" w:eastAsia="宋体" w:cs="Times New Roman"/>
          <w:sz w:val="22"/>
        </w:rPr>
        <w:t>：用户个人信息与系统偏好设置页。</w:t>
      </w:r>
    </w:p>
    <w:p w14:paraId="40A8456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核心功能</w:t>
      </w:r>
      <w:r>
        <w:rPr>
          <w:rFonts w:hint="default" w:ascii="Times New Roman" w:hAnsi="Times New Roman" w:eastAsia="宋体" w:cs="Times New Roman"/>
          <w:sz w:val="22"/>
        </w:rPr>
        <w:t>：个人信息查看、密码修改、个人参数模板管理、操作日志查看。</w:t>
      </w:r>
    </w:p>
    <w:p w14:paraId="58C7065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布局结构</w:t>
      </w:r>
      <w:r>
        <w:rPr>
          <w:rFonts w:hint="default" w:ascii="Times New Roman" w:hAnsi="Times New Roman" w:eastAsia="宋体" w:cs="Times New Roman"/>
          <w:sz w:val="22"/>
        </w:rPr>
        <w:t>：左侧侧边栏Tab，右侧对应内容区，Tab包含「个人信息」「密码修改」「参数模板管理」「操作日志」。</w:t>
      </w:r>
    </w:p>
    <w:p w14:paraId="7D96D54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E76BC61">
      <w:pPr>
        <w:numPr>
          <w:ilvl w:val="0"/>
          <w:numId w:val="21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密码修改：需输入原密码、新密码、确认新密码，校验通过后修改成功，重新登录；</w:t>
      </w:r>
    </w:p>
    <w:p w14:paraId="44F3A5DB">
      <w:pPr>
        <w:numPr>
          <w:ilvl w:val="0"/>
          <w:numId w:val="2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参数模板管理：展示用户保存的个人参数模板，支持编辑、删除、设为默认模板；</w:t>
      </w:r>
    </w:p>
    <w:p w14:paraId="4F5581F7">
      <w:pPr>
        <w:numPr>
          <w:ilvl w:val="0"/>
          <w:numId w:val="2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操作日志：展示用户的系统操作记录，包含操作时间、操作内容、操作IP，支持筛选与导出。</w:t>
      </w:r>
    </w:p>
    <w:p w14:paraId="49F3152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31" w:name="heading_31"/>
      <w:r>
        <w:rPr>
          <w:rFonts w:hint="default" w:ascii="Times New Roman" w:hAnsi="Times New Roman" w:eastAsia="宋体" w:cs="Times New Roman"/>
          <w:b/>
          <w:sz w:val="32"/>
        </w:rPr>
        <w:t>四、特殊场景与复杂流程交互补充说明</w:t>
      </w:r>
      <w:bookmarkEnd w:id="31"/>
    </w:p>
    <w:p w14:paraId="0025827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2" w:name="heading_32"/>
      <w:r>
        <w:rPr>
          <w:rFonts w:hint="default" w:ascii="Times New Roman" w:hAnsi="Times New Roman" w:eastAsia="宋体" w:cs="Times New Roman"/>
          <w:b/>
          <w:sz w:val="30"/>
        </w:rPr>
        <w:t>4.1 多角色权限差异设计</w:t>
      </w:r>
      <w:bookmarkEnd w:id="32"/>
    </w:p>
    <w:p w14:paraId="04A3AF4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严格对齐PRD的目标用户角色，设计差异化的权限与页面展示：</w:t>
      </w:r>
    </w:p>
    <w:p w14:paraId="3B1531B2">
      <w:pPr>
        <w:numPr>
          <w:ilvl w:val="0"/>
          <w:numId w:val="2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项目经理（核心用户）</w:t>
      </w:r>
      <w:r>
        <w:rPr>
          <w:rFonts w:hint="default" w:ascii="Times New Roman" w:hAnsi="Times New Roman" w:eastAsia="宋体" w:cs="Times New Roman"/>
          <w:sz w:val="22"/>
        </w:rPr>
        <w:t>：拥有所有功能的完整权限，可创建、编辑、删除自己的项目，查看自己的所有项目数据；</w:t>
      </w:r>
    </w:p>
    <w:p w14:paraId="7D006117">
      <w:pPr>
        <w:numPr>
          <w:ilvl w:val="0"/>
          <w:numId w:val="22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项目总监（次要用户）</w:t>
      </w:r>
      <w:r>
        <w:rPr>
          <w:rFonts w:hint="default" w:ascii="Times New Roman" w:hAnsi="Times New Roman" w:eastAsia="宋体" w:cs="Times New Roman"/>
          <w:sz w:val="22"/>
        </w:rPr>
        <w:t>：无项目创建/编辑权限，可查看所辖范围内所有项目经理的项目数据，首页仪表盘展示全局多项目统计，支持多项目横向对比，异常项目一键导出汇总报表；</w:t>
      </w:r>
    </w:p>
    <w:p w14:paraId="072EC2C1">
      <w:pPr>
        <w:numPr>
          <w:ilvl w:val="0"/>
          <w:numId w:val="2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部门负责人</w:t>
      </w:r>
      <w:r>
        <w:rPr>
          <w:rFonts w:hint="default" w:ascii="Times New Roman" w:hAnsi="Times New Roman" w:eastAsia="宋体" w:cs="Times New Roman"/>
          <w:sz w:val="22"/>
        </w:rPr>
        <w:t>：仅可查看部门整体项目成本统计报表，无项目明细编辑权限；</w:t>
      </w:r>
    </w:p>
    <w:p w14:paraId="4C632D85">
      <w:pPr>
        <w:numPr>
          <w:ilvl w:val="0"/>
          <w:numId w:val="2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财务核算人员</w:t>
      </w:r>
      <w:r>
        <w:rPr>
          <w:rFonts w:hint="default" w:ascii="Times New Roman" w:hAnsi="Times New Roman" w:eastAsia="宋体" w:cs="Times New Roman"/>
          <w:sz w:val="22"/>
        </w:rPr>
        <w:t>：仅可查看项目成本明细与核算报表，支持导出标准化财务数据，无编辑权限。</w:t>
      </w:r>
    </w:p>
    <w:p w14:paraId="624AAB0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3" w:name="heading_33"/>
      <w:r>
        <w:rPr>
          <w:rFonts w:hint="default" w:ascii="Times New Roman" w:hAnsi="Times New Roman" w:eastAsia="宋体" w:cs="Times New Roman"/>
          <w:b/>
          <w:sz w:val="30"/>
        </w:rPr>
        <w:t>4.2 长流程业务断点续接设计</w:t>
      </w:r>
      <w:bookmarkEnd w:id="33"/>
    </w:p>
    <w:p w14:paraId="29D6426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针对三大核心业务的多步骤流程，设计断点续接能力：</w:t>
      </w:r>
    </w:p>
    <w:p w14:paraId="59D0F291">
      <w:pPr>
        <w:numPr>
          <w:ilvl w:val="0"/>
          <w:numId w:val="2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用户在实施成本预估、成本消耗预估、成本偏差监控的操作过程中，每一步的输入数据均自动实时保存草稿；</w:t>
      </w:r>
    </w:p>
    <w:p w14:paraId="53D3AF0C">
      <w:pPr>
        <w:numPr>
          <w:ilvl w:val="0"/>
          <w:numId w:val="2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若用户中途退出页面、关闭浏览器，下次进入对应功能时，自动恢复到上次操作的步骤与已填写的内容，无需重新输入；</w:t>
      </w:r>
    </w:p>
    <w:p w14:paraId="42E34558">
      <w:pPr>
        <w:numPr>
          <w:ilvl w:val="0"/>
          <w:numId w:val="2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草稿数据仅对当前用户可见，保存期限为7天，7天后自动清除。</w:t>
      </w:r>
    </w:p>
    <w:p w14:paraId="79BF23C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4" w:name="heading_34"/>
      <w:r>
        <w:rPr>
          <w:rFonts w:hint="default" w:ascii="Times New Roman" w:hAnsi="Times New Roman" w:eastAsia="宋体" w:cs="Times New Roman"/>
          <w:b/>
          <w:sz w:val="30"/>
        </w:rPr>
        <w:t>4.3 大模型/OCR识别异常兜底设计</w:t>
      </w:r>
      <w:bookmarkEnd w:id="34"/>
    </w:p>
    <w:p w14:paraId="03B33E0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针对AI能力不稳定的场景，设计完整的人工兜底方案：</w:t>
      </w:r>
    </w:p>
    <w:p w14:paraId="57872318">
      <w:pPr>
        <w:numPr>
          <w:ilvl w:val="0"/>
          <w:numId w:val="2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OCR识别/大模型识别失败时，不阻断业务流程，页面提示「识别失败，请手动填写相关信息」，所有字段开放手动编辑权限；</w:t>
      </w:r>
    </w:p>
    <w:p w14:paraId="17649565">
      <w:pPr>
        <w:numPr>
          <w:ilvl w:val="0"/>
          <w:numId w:val="2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识别结果准确率低时，用户可一键清空识别结果，手动输入全部信息，系统计算逻辑不受影响；</w:t>
      </w:r>
    </w:p>
    <w:p w14:paraId="3B823225">
      <w:pPr>
        <w:numPr>
          <w:ilvl w:val="0"/>
          <w:numId w:val="2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大模型AI建议生成失败时，页面展示「AI建议生成失败，可查看详细成本明细手动调整」，不影响其他功能的正常使用。</w:t>
      </w:r>
    </w:p>
    <w:p w14:paraId="042D437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74B2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A93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941D12A9"/>
    <w:multiLevelType w:val="singleLevel"/>
    <w:tmpl w:val="941D12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52530A5"/>
    <w:multiLevelType w:val="singleLevel"/>
    <w:tmpl w:val="952530A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6E5236C"/>
    <w:multiLevelType w:val="singleLevel"/>
    <w:tmpl w:val="96E5236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98CD717A"/>
    <w:multiLevelType w:val="singleLevel"/>
    <w:tmpl w:val="98CD7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C919DE1"/>
    <w:multiLevelType w:val="singleLevel"/>
    <w:tmpl w:val="9C919DE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D5D7490"/>
    <w:multiLevelType w:val="singleLevel"/>
    <w:tmpl w:val="9D5D74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F81B9F9"/>
    <w:multiLevelType w:val="singleLevel"/>
    <w:tmpl w:val="9F81B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A5435042"/>
    <w:multiLevelType w:val="singleLevel"/>
    <w:tmpl w:val="A543504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A97D620A"/>
    <w:multiLevelType w:val="singleLevel"/>
    <w:tmpl w:val="A97D620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C38AFEB"/>
    <w:multiLevelType w:val="singleLevel"/>
    <w:tmpl w:val="AC38AFE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B0082E4F"/>
    <w:multiLevelType w:val="singleLevel"/>
    <w:tmpl w:val="B0082E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B08374AC"/>
    <w:multiLevelType w:val="singleLevel"/>
    <w:tmpl w:val="B08374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B4E02BC3"/>
    <w:multiLevelType w:val="singleLevel"/>
    <w:tmpl w:val="B4E02BC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B99465BD"/>
    <w:multiLevelType w:val="singleLevel"/>
    <w:tmpl w:val="B99465B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BF50FE6B"/>
    <w:multiLevelType w:val="singleLevel"/>
    <w:tmpl w:val="BF50FE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C560BE57"/>
    <w:multiLevelType w:val="singleLevel"/>
    <w:tmpl w:val="C560BE5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C90D1B09"/>
    <w:multiLevelType w:val="singleLevel"/>
    <w:tmpl w:val="C90D1B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CB0CECA5"/>
    <w:multiLevelType w:val="singleLevel"/>
    <w:tmpl w:val="CB0CEC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CB94649F"/>
    <w:multiLevelType w:val="singleLevel"/>
    <w:tmpl w:val="CB94649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0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1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4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E4D85DB5"/>
    <w:multiLevelType w:val="singleLevel"/>
    <w:tmpl w:val="E4D85D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8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6E98F67"/>
    <w:multiLevelType w:val="singleLevel"/>
    <w:tmpl w:val="E6E98F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1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A28CC15"/>
    <w:multiLevelType w:val="singleLevel"/>
    <w:tmpl w:val="EA28CC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4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066642F"/>
    <w:multiLevelType w:val="singleLevel"/>
    <w:tmpl w:val="F066642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2A81E1A"/>
    <w:multiLevelType w:val="singleLevel"/>
    <w:tmpl w:val="F2A81E1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0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3A33954"/>
    <w:multiLevelType w:val="singleLevel"/>
    <w:tmpl w:val="F3A339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2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4A942FE"/>
    <w:multiLevelType w:val="singleLevel"/>
    <w:tmpl w:val="F4A942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5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3">
    <w:nsid w:val="01836A6D"/>
    <w:multiLevelType w:val="singleLevel"/>
    <w:tmpl w:val="01836A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03C240C0"/>
    <w:multiLevelType w:val="singleLevel"/>
    <w:tmpl w:val="03C240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1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07F5BCC3"/>
    <w:multiLevelType w:val="singleLevel"/>
    <w:tmpl w:val="07F5B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0C0E1E13"/>
    <w:multiLevelType w:val="singleLevel"/>
    <w:tmpl w:val="0C0E1E1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4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6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13660E3F"/>
    <w:multiLevelType w:val="singleLevel"/>
    <w:tmpl w:val="13660E3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18F74015"/>
    <w:multiLevelType w:val="singleLevel"/>
    <w:tmpl w:val="18F740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7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1C01D09A"/>
    <w:multiLevelType w:val="singleLevel"/>
    <w:tmpl w:val="1C01D09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1DEB737C"/>
    <w:multiLevelType w:val="singleLevel"/>
    <w:tmpl w:val="1DEB73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5">
    <w:nsid w:val="2007DCFD"/>
    <w:multiLevelType w:val="singleLevel"/>
    <w:tmpl w:val="2007DC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21B3B1B1"/>
    <w:multiLevelType w:val="singleLevel"/>
    <w:tmpl w:val="21B3B1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1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252BF6AB"/>
    <w:multiLevelType w:val="singleLevel"/>
    <w:tmpl w:val="252BF6A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269945CE"/>
    <w:multiLevelType w:val="singleLevel"/>
    <w:tmpl w:val="269945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274D3D9B"/>
    <w:multiLevelType w:val="singleLevel"/>
    <w:tmpl w:val="274D3D9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6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7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1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2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1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2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4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446EAEE1"/>
    <w:multiLevelType w:val="singleLevel"/>
    <w:tmpl w:val="446EAEE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2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7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4EA76503"/>
    <w:multiLevelType w:val="singleLevel"/>
    <w:tmpl w:val="4EA7650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1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54701CA1"/>
    <w:multiLevelType w:val="singleLevel"/>
    <w:tmpl w:val="54701C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6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7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9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0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1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3">
    <w:nsid w:val="5FCE4367"/>
    <w:multiLevelType w:val="singleLevel"/>
    <w:tmpl w:val="5FCE4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610EFE5C"/>
    <w:multiLevelType w:val="singleLevel"/>
    <w:tmpl w:val="610EF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7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8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651422BE"/>
    <w:multiLevelType w:val="singleLevel"/>
    <w:tmpl w:val="651422B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1">
    <w:nsid w:val="659EB354"/>
    <w:multiLevelType w:val="singleLevel"/>
    <w:tmpl w:val="659EB3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2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3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6C0BE2D1"/>
    <w:multiLevelType w:val="singleLevel"/>
    <w:tmpl w:val="6C0BE2D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6">
    <w:nsid w:val="6D423078"/>
    <w:multiLevelType w:val="singleLevel"/>
    <w:tmpl w:val="6D4230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7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0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7499D7B3"/>
    <w:multiLevelType w:val="singleLevel"/>
    <w:tmpl w:val="7499D7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5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2"/>
  </w:num>
  <w:num w:numId="2">
    <w:abstractNumId w:val="75"/>
  </w:num>
  <w:num w:numId="3">
    <w:abstractNumId w:val="198"/>
  </w:num>
  <w:num w:numId="4">
    <w:abstractNumId w:val="63"/>
  </w:num>
  <w:num w:numId="5">
    <w:abstractNumId w:val="52"/>
  </w:num>
  <w:num w:numId="6">
    <w:abstractNumId w:val="119"/>
  </w:num>
  <w:num w:numId="7">
    <w:abstractNumId w:val="153"/>
  </w:num>
  <w:num w:numId="8">
    <w:abstractNumId w:val="219"/>
  </w:num>
  <w:num w:numId="9">
    <w:abstractNumId w:val="115"/>
  </w:num>
  <w:num w:numId="10">
    <w:abstractNumId w:val="12"/>
  </w:num>
  <w:num w:numId="11">
    <w:abstractNumId w:val="156"/>
  </w:num>
  <w:num w:numId="12">
    <w:abstractNumId w:val="200"/>
  </w:num>
  <w:num w:numId="13">
    <w:abstractNumId w:val="69"/>
  </w:num>
  <w:num w:numId="14">
    <w:abstractNumId w:val="186"/>
  </w:num>
  <w:num w:numId="15">
    <w:abstractNumId w:val="104"/>
  </w:num>
  <w:num w:numId="16">
    <w:abstractNumId w:val="150"/>
  </w:num>
  <w:num w:numId="17">
    <w:abstractNumId w:val="83"/>
  </w:num>
  <w:num w:numId="18">
    <w:abstractNumId w:val="80"/>
  </w:num>
  <w:num w:numId="19">
    <w:abstractNumId w:val="25"/>
  </w:num>
  <w:num w:numId="20">
    <w:abstractNumId w:val="183"/>
  </w:num>
  <w:num w:numId="21">
    <w:abstractNumId w:val="205"/>
  </w:num>
  <w:num w:numId="22">
    <w:abstractNumId w:val="127"/>
  </w:num>
  <w:num w:numId="23">
    <w:abstractNumId w:val="180"/>
  </w:num>
  <w:num w:numId="24">
    <w:abstractNumId w:val="44"/>
  </w:num>
  <w:num w:numId="25">
    <w:abstractNumId w:val="226"/>
  </w:num>
  <w:num w:numId="26">
    <w:abstractNumId w:val="224"/>
  </w:num>
  <w:num w:numId="27">
    <w:abstractNumId w:val="62"/>
  </w:num>
  <w:num w:numId="28">
    <w:abstractNumId w:val="207"/>
  </w:num>
  <w:num w:numId="29">
    <w:abstractNumId w:val="13"/>
  </w:num>
  <w:num w:numId="30">
    <w:abstractNumId w:val="169"/>
  </w:num>
  <w:num w:numId="31">
    <w:abstractNumId w:val="4"/>
  </w:num>
  <w:num w:numId="32">
    <w:abstractNumId w:val="196"/>
  </w:num>
  <w:num w:numId="33">
    <w:abstractNumId w:val="227"/>
  </w:num>
  <w:num w:numId="34">
    <w:abstractNumId w:val="1"/>
  </w:num>
  <w:num w:numId="35">
    <w:abstractNumId w:val="149"/>
  </w:num>
  <w:num w:numId="36">
    <w:abstractNumId w:val="188"/>
  </w:num>
  <w:num w:numId="37">
    <w:abstractNumId w:val="107"/>
  </w:num>
  <w:num w:numId="38">
    <w:abstractNumId w:val="85"/>
  </w:num>
  <w:num w:numId="39">
    <w:abstractNumId w:val="160"/>
  </w:num>
  <w:num w:numId="40">
    <w:abstractNumId w:val="225"/>
  </w:num>
  <w:num w:numId="41">
    <w:abstractNumId w:val="57"/>
  </w:num>
  <w:num w:numId="42">
    <w:abstractNumId w:val="10"/>
  </w:num>
  <w:num w:numId="43">
    <w:abstractNumId w:val="54"/>
  </w:num>
  <w:num w:numId="44">
    <w:abstractNumId w:val="202"/>
  </w:num>
  <w:num w:numId="45">
    <w:abstractNumId w:val="3"/>
  </w:num>
  <w:num w:numId="46">
    <w:abstractNumId w:val="138"/>
  </w:num>
  <w:num w:numId="47">
    <w:abstractNumId w:val="8"/>
  </w:num>
  <w:num w:numId="48">
    <w:abstractNumId w:val="204"/>
  </w:num>
  <w:num w:numId="49">
    <w:abstractNumId w:val="222"/>
  </w:num>
  <w:num w:numId="50">
    <w:abstractNumId w:val="184"/>
  </w:num>
  <w:num w:numId="51">
    <w:abstractNumId w:val="161"/>
  </w:num>
  <w:num w:numId="52">
    <w:abstractNumId w:val="212"/>
  </w:num>
  <w:num w:numId="53">
    <w:abstractNumId w:val="120"/>
  </w:num>
  <w:num w:numId="54">
    <w:abstractNumId w:val="125"/>
  </w:num>
  <w:num w:numId="55">
    <w:abstractNumId w:val="79"/>
  </w:num>
  <w:num w:numId="56">
    <w:abstractNumId w:val="163"/>
  </w:num>
  <w:num w:numId="57">
    <w:abstractNumId w:val="143"/>
  </w:num>
  <w:num w:numId="58">
    <w:abstractNumId w:val="96"/>
  </w:num>
  <w:num w:numId="59">
    <w:abstractNumId w:val="148"/>
  </w:num>
  <w:num w:numId="60">
    <w:abstractNumId w:val="49"/>
  </w:num>
  <w:num w:numId="61">
    <w:abstractNumId w:val="175"/>
  </w:num>
  <w:num w:numId="62">
    <w:abstractNumId w:val="129"/>
  </w:num>
  <w:num w:numId="63">
    <w:abstractNumId w:val="165"/>
  </w:num>
  <w:num w:numId="64">
    <w:abstractNumId w:val="117"/>
  </w:num>
  <w:num w:numId="65">
    <w:abstractNumId w:val="66"/>
  </w:num>
  <w:num w:numId="66">
    <w:abstractNumId w:val="132"/>
  </w:num>
  <w:num w:numId="67">
    <w:abstractNumId w:val="47"/>
  </w:num>
  <w:num w:numId="68">
    <w:abstractNumId w:val="171"/>
  </w:num>
  <w:num w:numId="69">
    <w:abstractNumId w:val="35"/>
  </w:num>
  <w:num w:numId="70">
    <w:abstractNumId w:val="106"/>
  </w:num>
  <w:num w:numId="71">
    <w:abstractNumId w:val="159"/>
  </w:num>
  <w:num w:numId="72">
    <w:abstractNumId w:val="111"/>
  </w:num>
  <w:num w:numId="73">
    <w:abstractNumId w:val="136"/>
  </w:num>
  <w:num w:numId="74">
    <w:abstractNumId w:val="217"/>
  </w:num>
  <w:num w:numId="75">
    <w:abstractNumId w:val="88"/>
  </w:num>
  <w:num w:numId="76">
    <w:abstractNumId w:val="67"/>
  </w:num>
  <w:num w:numId="77">
    <w:abstractNumId w:val="34"/>
  </w:num>
  <w:num w:numId="78">
    <w:abstractNumId w:val="223"/>
  </w:num>
  <w:num w:numId="79">
    <w:abstractNumId w:val="81"/>
  </w:num>
  <w:num w:numId="80">
    <w:abstractNumId w:val="53"/>
  </w:num>
  <w:num w:numId="81">
    <w:abstractNumId w:val="158"/>
  </w:num>
  <w:num w:numId="82">
    <w:abstractNumId w:val="91"/>
  </w:num>
  <w:num w:numId="83">
    <w:abstractNumId w:val="21"/>
  </w:num>
  <w:num w:numId="84">
    <w:abstractNumId w:val="199"/>
  </w:num>
  <w:num w:numId="85">
    <w:abstractNumId w:val="60"/>
  </w:num>
  <w:num w:numId="86">
    <w:abstractNumId w:val="43"/>
  </w:num>
  <w:num w:numId="87">
    <w:abstractNumId w:val="15"/>
  </w:num>
  <w:num w:numId="88">
    <w:abstractNumId w:val="28"/>
  </w:num>
  <w:num w:numId="89">
    <w:abstractNumId w:val="39"/>
  </w:num>
  <w:num w:numId="90">
    <w:abstractNumId w:val="11"/>
  </w:num>
  <w:num w:numId="91">
    <w:abstractNumId w:val="141"/>
  </w:num>
  <w:num w:numId="92">
    <w:abstractNumId w:val="61"/>
  </w:num>
  <w:num w:numId="93">
    <w:abstractNumId w:val="134"/>
  </w:num>
  <w:num w:numId="94">
    <w:abstractNumId w:val="76"/>
  </w:num>
  <w:num w:numId="95">
    <w:abstractNumId w:val="213"/>
  </w:num>
  <w:num w:numId="96">
    <w:abstractNumId w:val="0"/>
  </w:num>
  <w:num w:numId="97">
    <w:abstractNumId w:val="59"/>
  </w:num>
  <w:num w:numId="98">
    <w:abstractNumId w:val="105"/>
  </w:num>
  <w:num w:numId="99">
    <w:abstractNumId w:val="185"/>
  </w:num>
  <w:num w:numId="100">
    <w:abstractNumId w:val="130"/>
  </w:num>
  <w:num w:numId="101">
    <w:abstractNumId w:val="23"/>
  </w:num>
  <w:num w:numId="102">
    <w:abstractNumId w:val="84"/>
  </w:num>
  <w:num w:numId="103">
    <w:abstractNumId w:val="139"/>
  </w:num>
  <w:num w:numId="104">
    <w:abstractNumId w:val="181"/>
  </w:num>
  <w:num w:numId="105">
    <w:abstractNumId w:val="38"/>
  </w:num>
  <w:num w:numId="106">
    <w:abstractNumId w:val="206"/>
  </w:num>
  <w:num w:numId="107">
    <w:abstractNumId w:val="2"/>
  </w:num>
  <w:num w:numId="108">
    <w:abstractNumId w:val="7"/>
  </w:num>
  <w:num w:numId="109">
    <w:abstractNumId w:val="113"/>
  </w:num>
  <w:num w:numId="110">
    <w:abstractNumId w:val="32"/>
  </w:num>
  <w:num w:numId="111">
    <w:abstractNumId w:val="64"/>
  </w:num>
  <w:num w:numId="112">
    <w:abstractNumId w:val="70"/>
  </w:num>
  <w:num w:numId="113">
    <w:abstractNumId w:val="103"/>
  </w:num>
  <w:num w:numId="114">
    <w:abstractNumId w:val="203"/>
  </w:num>
  <w:num w:numId="115">
    <w:abstractNumId w:val="101"/>
  </w:num>
  <w:num w:numId="116">
    <w:abstractNumId w:val="195"/>
  </w:num>
  <w:num w:numId="117">
    <w:abstractNumId w:val="146"/>
  </w:num>
  <w:num w:numId="118">
    <w:abstractNumId w:val="20"/>
  </w:num>
  <w:num w:numId="119">
    <w:abstractNumId w:val="118"/>
  </w:num>
  <w:num w:numId="120">
    <w:abstractNumId w:val="31"/>
  </w:num>
  <w:num w:numId="121">
    <w:abstractNumId w:val="157"/>
  </w:num>
  <w:num w:numId="122">
    <w:abstractNumId w:val="194"/>
  </w:num>
  <w:num w:numId="123">
    <w:abstractNumId w:val="74"/>
  </w:num>
  <w:num w:numId="124">
    <w:abstractNumId w:val="24"/>
  </w:num>
  <w:num w:numId="125">
    <w:abstractNumId w:val="151"/>
  </w:num>
  <w:num w:numId="126">
    <w:abstractNumId w:val="176"/>
  </w:num>
  <w:num w:numId="127">
    <w:abstractNumId w:val="131"/>
  </w:num>
  <w:num w:numId="128">
    <w:abstractNumId w:val="187"/>
  </w:num>
  <w:num w:numId="129">
    <w:abstractNumId w:val="193"/>
  </w:num>
  <w:num w:numId="130">
    <w:abstractNumId w:val="147"/>
  </w:num>
  <w:num w:numId="131">
    <w:abstractNumId w:val="89"/>
  </w:num>
  <w:num w:numId="132">
    <w:abstractNumId w:val="29"/>
  </w:num>
  <w:num w:numId="133">
    <w:abstractNumId w:val="170"/>
  </w:num>
  <w:num w:numId="134">
    <w:abstractNumId w:val="173"/>
  </w:num>
  <w:num w:numId="135">
    <w:abstractNumId w:val="126"/>
  </w:num>
  <w:num w:numId="136">
    <w:abstractNumId w:val="216"/>
  </w:num>
  <w:num w:numId="137">
    <w:abstractNumId w:val="86"/>
  </w:num>
  <w:num w:numId="138">
    <w:abstractNumId w:val="145"/>
  </w:num>
  <w:num w:numId="139">
    <w:abstractNumId w:val="123"/>
  </w:num>
  <w:num w:numId="140">
    <w:abstractNumId w:val="93"/>
  </w:num>
  <w:num w:numId="141">
    <w:abstractNumId w:val="98"/>
  </w:num>
  <w:num w:numId="142">
    <w:abstractNumId w:val="78"/>
  </w:num>
  <w:num w:numId="143">
    <w:abstractNumId w:val="177"/>
  </w:num>
  <w:num w:numId="144">
    <w:abstractNumId w:val="102"/>
  </w:num>
  <w:num w:numId="145">
    <w:abstractNumId w:val="18"/>
  </w:num>
  <w:num w:numId="146">
    <w:abstractNumId w:val="97"/>
  </w:num>
  <w:num w:numId="147">
    <w:abstractNumId w:val="114"/>
  </w:num>
  <w:num w:numId="148">
    <w:abstractNumId w:val="71"/>
  </w:num>
  <w:num w:numId="149">
    <w:abstractNumId w:val="168"/>
  </w:num>
  <w:num w:numId="150">
    <w:abstractNumId w:val="214"/>
  </w:num>
  <w:num w:numId="151">
    <w:abstractNumId w:val="82"/>
  </w:num>
  <w:num w:numId="152">
    <w:abstractNumId w:val="37"/>
  </w:num>
  <w:num w:numId="153">
    <w:abstractNumId w:val="6"/>
  </w:num>
  <w:num w:numId="154">
    <w:abstractNumId w:val="42"/>
  </w:num>
  <w:num w:numId="155">
    <w:abstractNumId w:val="122"/>
  </w:num>
  <w:num w:numId="156">
    <w:abstractNumId w:val="48"/>
  </w:num>
  <w:num w:numId="157">
    <w:abstractNumId w:val="99"/>
  </w:num>
  <w:num w:numId="158">
    <w:abstractNumId w:val="152"/>
  </w:num>
  <w:num w:numId="159">
    <w:abstractNumId w:val="182"/>
  </w:num>
  <w:num w:numId="160">
    <w:abstractNumId w:val="46"/>
  </w:num>
  <w:num w:numId="161">
    <w:abstractNumId w:val="172"/>
  </w:num>
  <w:num w:numId="162">
    <w:abstractNumId w:val="140"/>
  </w:num>
  <w:num w:numId="163">
    <w:abstractNumId w:val="135"/>
  </w:num>
  <w:num w:numId="164">
    <w:abstractNumId w:val="108"/>
  </w:num>
  <w:num w:numId="165">
    <w:abstractNumId w:val="166"/>
  </w:num>
  <w:num w:numId="166">
    <w:abstractNumId w:val="65"/>
  </w:num>
  <w:num w:numId="167">
    <w:abstractNumId w:val="192"/>
  </w:num>
  <w:num w:numId="168">
    <w:abstractNumId w:val="174"/>
  </w:num>
  <w:num w:numId="169">
    <w:abstractNumId w:val="155"/>
  </w:num>
  <w:num w:numId="170">
    <w:abstractNumId w:val="95"/>
  </w:num>
  <w:num w:numId="171">
    <w:abstractNumId w:val="36"/>
  </w:num>
  <w:num w:numId="172">
    <w:abstractNumId w:val="221"/>
  </w:num>
  <w:num w:numId="173">
    <w:abstractNumId w:val="154"/>
  </w:num>
  <w:num w:numId="174">
    <w:abstractNumId w:val="215"/>
  </w:num>
  <w:num w:numId="175">
    <w:abstractNumId w:val="16"/>
  </w:num>
  <w:num w:numId="176">
    <w:abstractNumId w:val="211"/>
  </w:num>
  <w:num w:numId="177">
    <w:abstractNumId w:val="73"/>
  </w:num>
  <w:num w:numId="178">
    <w:abstractNumId w:val="208"/>
  </w:num>
  <w:num w:numId="179">
    <w:abstractNumId w:val="162"/>
  </w:num>
  <w:num w:numId="180">
    <w:abstractNumId w:val="220"/>
  </w:num>
  <w:num w:numId="181">
    <w:abstractNumId w:val="218"/>
  </w:num>
  <w:num w:numId="182">
    <w:abstractNumId w:val="77"/>
  </w:num>
  <w:num w:numId="183">
    <w:abstractNumId w:val="100"/>
  </w:num>
  <w:num w:numId="184">
    <w:abstractNumId w:val="110"/>
  </w:num>
  <w:num w:numId="185">
    <w:abstractNumId w:val="14"/>
  </w:num>
  <w:num w:numId="186">
    <w:abstractNumId w:val="50"/>
  </w:num>
  <w:num w:numId="187">
    <w:abstractNumId w:val="178"/>
  </w:num>
  <w:num w:numId="188">
    <w:abstractNumId w:val="51"/>
  </w:num>
  <w:num w:numId="189">
    <w:abstractNumId w:val="209"/>
  </w:num>
  <w:num w:numId="190">
    <w:abstractNumId w:val="191"/>
  </w:num>
  <w:num w:numId="191">
    <w:abstractNumId w:val="201"/>
  </w:num>
  <w:num w:numId="192">
    <w:abstractNumId w:val="58"/>
  </w:num>
  <w:num w:numId="193">
    <w:abstractNumId w:val="164"/>
  </w:num>
  <w:num w:numId="194">
    <w:abstractNumId w:val="92"/>
  </w:num>
  <w:num w:numId="195">
    <w:abstractNumId w:val="142"/>
  </w:num>
  <w:num w:numId="196">
    <w:abstractNumId w:val="5"/>
  </w:num>
  <w:num w:numId="197">
    <w:abstractNumId w:val="41"/>
  </w:num>
  <w:num w:numId="198">
    <w:abstractNumId w:val="133"/>
  </w:num>
  <w:num w:numId="199">
    <w:abstractNumId w:val="190"/>
  </w:num>
  <w:num w:numId="200">
    <w:abstractNumId w:val="210"/>
  </w:num>
  <w:num w:numId="201">
    <w:abstractNumId w:val="55"/>
  </w:num>
  <w:num w:numId="202">
    <w:abstractNumId w:val="30"/>
  </w:num>
  <w:num w:numId="203">
    <w:abstractNumId w:val="137"/>
  </w:num>
  <w:num w:numId="204">
    <w:abstractNumId w:val="109"/>
  </w:num>
  <w:num w:numId="205">
    <w:abstractNumId w:val="56"/>
  </w:num>
  <w:num w:numId="206">
    <w:abstractNumId w:val="45"/>
  </w:num>
  <w:num w:numId="207">
    <w:abstractNumId w:val="124"/>
  </w:num>
  <w:num w:numId="208">
    <w:abstractNumId w:val="128"/>
  </w:num>
  <w:num w:numId="209">
    <w:abstractNumId w:val="167"/>
  </w:num>
  <w:num w:numId="210">
    <w:abstractNumId w:val="116"/>
  </w:num>
  <w:num w:numId="211">
    <w:abstractNumId w:val="22"/>
  </w:num>
  <w:num w:numId="212">
    <w:abstractNumId w:val="197"/>
  </w:num>
  <w:num w:numId="213">
    <w:abstractNumId w:val="33"/>
  </w:num>
  <w:num w:numId="214">
    <w:abstractNumId w:val="9"/>
  </w:num>
  <w:num w:numId="215">
    <w:abstractNumId w:val="189"/>
  </w:num>
  <w:num w:numId="216">
    <w:abstractNumId w:val="27"/>
  </w:num>
  <w:num w:numId="217">
    <w:abstractNumId w:val="121"/>
  </w:num>
  <w:num w:numId="218">
    <w:abstractNumId w:val="94"/>
  </w:num>
  <w:num w:numId="219">
    <w:abstractNumId w:val="26"/>
  </w:num>
  <w:num w:numId="220">
    <w:abstractNumId w:val="17"/>
  </w:num>
  <w:num w:numId="221">
    <w:abstractNumId w:val="72"/>
  </w:num>
  <w:num w:numId="222">
    <w:abstractNumId w:val="19"/>
  </w:num>
  <w:num w:numId="223">
    <w:abstractNumId w:val="40"/>
  </w:num>
  <w:num w:numId="224">
    <w:abstractNumId w:val="179"/>
  </w:num>
  <w:num w:numId="225">
    <w:abstractNumId w:val="68"/>
  </w:num>
  <w:num w:numId="226">
    <w:abstractNumId w:val="144"/>
  </w:num>
  <w:num w:numId="227">
    <w:abstractNumId w:val="87"/>
  </w:num>
  <w:num w:numId="228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1335A"/>
    <w:rsid w:val="2CB74F17"/>
    <w:rsid w:val="3FDC7A00"/>
    <w:rsid w:val="42C817D4"/>
    <w:rsid w:val="434C41B3"/>
    <w:rsid w:val="646C34A0"/>
    <w:rsid w:val="6FC82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13384</Words>
  <Characters>15013</Characters>
  <TotalTime>0</TotalTime>
  <ScaleCrop>false</ScaleCrop>
  <LinksUpToDate>false</LinksUpToDate>
  <CharactersWithSpaces>15210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2026-04-03T07:52:00Z</dcterms:created>
  <dc:creator>Apache POI</dc:creator>
  <cp:lastModifiedBy>飘毅</cp:lastModifiedBy>
  <dcterms:modified xsi:type="dcterms:W3CDTF">2026-04-03T07:53:37Z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eyJoZGlkIjoiMzAwMWI1ZDlhZmExYzYzYmM4MTA2YmU3ZDYxZTczNmEiLCJ1c2VySWQiOiIxNjUxNzkxNzE3In0=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5A9EC1468F284545A183210AD6F7FC4D_13</vt:lpwstr>
  </property>
</Properties>
</file>