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84E9B">
      <w:pPr>
        <w:spacing w:before="480" w:after="480" w:line="288" w:lineRule="auto"/>
        <w:ind w:lef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52"/>
        </w:rPr>
        <w:t>IT项目成本估算监控系统产品需求文档（PRD）</w:t>
      </w:r>
    </w:p>
    <w:p w14:paraId="214FBC5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文档名称</w:t>
      </w:r>
      <w:r>
        <w:rPr>
          <w:rFonts w:hint="default" w:ascii="Times New Roman" w:hAnsi="Times New Roman" w:eastAsia="宋体" w:cs="Times New Roman"/>
          <w:sz w:val="22"/>
        </w:rPr>
        <w:t>：IT项目成本估算监控系统产品需求说明书</w:t>
      </w:r>
    </w:p>
    <w:p w14:paraId="1C98A46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文档版本</w:t>
      </w:r>
      <w:r>
        <w:rPr>
          <w:rFonts w:hint="default" w:ascii="Times New Roman" w:hAnsi="Times New Roman" w:eastAsia="宋体" w:cs="Times New Roman"/>
          <w:sz w:val="22"/>
        </w:rPr>
        <w:t>：V1.0</w:t>
      </w:r>
    </w:p>
    <w:p w14:paraId="13A6846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编 制 人</w:t>
      </w:r>
      <w:r>
        <w:rPr>
          <w:rFonts w:hint="default" w:ascii="Times New Roman" w:hAnsi="Times New Roman" w:eastAsia="宋体" w:cs="Times New Roman"/>
          <w:sz w:val="22"/>
        </w:rPr>
        <w:t>：产品研发部 产品专家</w:t>
      </w:r>
    </w:p>
    <w:p w14:paraId="74BCF67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编制日期</w:t>
      </w:r>
      <w:r>
        <w:rPr>
          <w:rFonts w:hint="default" w:ascii="Times New Roman" w:hAnsi="Times New Roman" w:eastAsia="宋体" w:cs="Times New Roman"/>
          <w:sz w:val="22"/>
        </w:rPr>
        <w:t>：2026年03月30日</w:t>
      </w:r>
    </w:p>
    <w:p w14:paraId="6DF6DBF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审批人</w:t>
      </w:r>
      <w:r>
        <w:rPr>
          <w:rFonts w:hint="default" w:ascii="Times New Roman" w:hAnsi="Times New Roman" w:eastAsia="宋体" w:cs="Times New Roman"/>
          <w:sz w:val="22"/>
        </w:rPr>
        <w:t>：产品研发部负责人、项目管理部负责人</w:t>
      </w:r>
    </w:p>
    <w:p w14:paraId="64A3595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生效日期</w:t>
      </w:r>
      <w:r>
        <w:rPr>
          <w:rFonts w:hint="default" w:ascii="Times New Roman" w:hAnsi="Times New Roman" w:eastAsia="宋体" w:cs="Times New Roman"/>
          <w:sz w:val="22"/>
        </w:rPr>
        <w:t>：2026年04月01日</w:t>
      </w:r>
    </w:p>
    <w:p w14:paraId="3C3FED1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保密等级</w:t>
      </w:r>
      <w:r>
        <w:rPr>
          <w:rFonts w:hint="default" w:ascii="Times New Roman" w:hAnsi="Times New Roman" w:eastAsia="宋体" w:cs="Times New Roman"/>
          <w:sz w:val="22"/>
        </w:rPr>
        <w:t>：内部机密</w:t>
      </w:r>
    </w:p>
    <w:p w14:paraId="53DA063E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0" w:name="heading_0"/>
      <w:r>
        <w:rPr>
          <w:rFonts w:hint="default" w:ascii="Times New Roman" w:hAnsi="Times New Roman" w:eastAsia="宋体" w:cs="Times New Roman"/>
          <w:b/>
          <w:sz w:val="32"/>
        </w:rPr>
        <w:t>文档修订记录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7CC9FA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99A8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版本号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57F1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修订日期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D0CD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修订类型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2C33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修订内容简述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C64D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修订人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9079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审批人</w:t>
            </w:r>
          </w:p>
        </w:tc>
      </w:tr>
      <w:tr w14:paraId="00B3C6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65D4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6C00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2026.03.30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301F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新增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8DA3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初始版本，完成系统全量需求定义、功能详述、迭代规划与验收标准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D127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产品专家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FD01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-</w:t>
            </w:r>
          </w:p>
        </w:tc>
      </w:tr>
    </w:tbl>
    <w:p w14:paraId="12FAABC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4CC678CA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" w:name="heading_1"/>
      <w:r>
        <w:rPr>
          <w:rFonts w:hint="default" w:ascii="Times New Roman" w:hAnsi="Times New Roman" w:eastAsia="宋体" w:cs="Times New Roman"/>
          <w:b/>
          <w:sz w:val="32"/>
        </w:rPr>
        <w:t>一、产品背景与目标</w:t>
      </w:r>
      <w:bookmarkEnd w:id="1"/>
    </w:p>
    <w:p w14:paraId="7A5D6C7F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" w:name="heading_2"/>
      <w:r>
        <w:rPr>
          <w:rFonts w:hint="default" w:ascii="Times New Roman" w:hAnsi="Times New Roman" w:eastAsia="宋体" w:cs="Times New Roman"/>
          <w:b/>
          <w:sz w:val="30"/>
        </w:rPr>
        <w:t>1.1 产品背景</w:t>
      </w:r>
      <w:bookmarkEnd w:id="2"/>
    </w:p>
    <w:p w14:paraId="05B5B3D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我司作为国有大行总行IT系统核心承建主体，常年并行管理数百个总行级IT研发与实施项目，项目管理全流程中，需求评估与成本管控环节已成为制约项目交付质效的核心痛点：</w:t>
      </w:r>
    </w:p>
    <w:p w14:paraId="4855BB8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需求评估无统一标准</w:t>
      </w:r>
      <w:r>
        <w:rPr>
          <w:rFonts w:hint="default" w:ascii="Times New Roman" w:hAnsi="Times New Roman" w:eastAsia="宋体" w:cs="Times New Roman"/>
          <w:sz w:val="22"/>
        </w:rPr>
        <w:t>：传统模式依赖项目经理人工拆解《产品需求说明书》并完成工作量评估，评估结果受个人经验影响极大，主观偏差显著，不同项目评估口径不统一，且单项目评估周期长达3-5个工作日，效率极低。</w:t>
      </w:r>
    </w:p>
    <w:p w14:paraId="62113DCE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成本核算繁琐易出错</w:t>
      </w:r>
      <w:r>
        <w:rPr>
          <w:rFonts w:hint="default" w:ascii="Times New Roman" w:hAnsi="Times New Roman" w:eastAsia="宋体" w:cs="Times New Roman"/>
          <w:sz w:val="22"/>
        </w:rPr>
        <w:t>：项目经理需手动整理OA、财务系统中的项目财务、人力信息，手动核算项目可消耗成本、人力成本与燃尽周期，核算流程繁琐、数据滞后、出错率高，无法支撑实时决策。</w:t>
      </w:r>
    </w:p>
    <w:p w14:paraId="2A5A856C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成本监控滞后风险高</w:t>
      </w:r>
      <w:r>
        <w:rPr>
          <w:rFonts w:hint="default" w:ascii="Times New Roman" w:hAnsi="Times New Roman" w:eastAsia="宋体" w:cs="Times New Roman"/>
          <w:sz w:val="22"/>
        </w:rPr>
        <w:t>：项目实际成本与计划成本的偏差无法实时捕捉，成本超支、预算燃尽等风险多为事后发现，应对措施被动，易导致项目超支、延期，甚至影响总行IT系统建设计划落地。</w:t>
      </w:r>
    </w:p>
    <w:p w14:paraId="71F360E7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数据安全与管控缺失</w:t>
      </w:r>
      <w:r>
        <w:rPr>
          <w:rFonts w:hint="default" w:ascii="Times New Roman" w:hAnsi="Times New Roman" w:eastAsia="宋体" w:cs="Times New Roman"/>
          <w:sz w:val="22"/>
        </w:rPr>
        <w:t>：项目成本数据分散在各项目经理本地文档中，无统一的存储、隔离与管控机制，存在数据泄露、数据混淆、审计追溯难等合规风险，不符合金融行业监管要求。</w:t>
      </w:r>
    </w:p>
    <w:p w14:paraId="745DF59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基于此，亟需打造一款</w:t>
      </w:r>
      <w:r>
        <w:rPr>
          <w:rFonts w:hint="default" w:ascii="Times New Roman" w:hAnsi="Times New Roman" w:eastAsia="宋体" w:cs="Times New Roman"/>
          <w:b/>
          <w:sz w:val="22"/>
        </w:rPr>
        <w:t>以AI数字人为核心的IT项目成本估算监控系统</w:t>
      </w:r>
      <w:r>
        <w:rPr>
          <w:rFonts w:hint="default" w:ascii="Times New Roman" w:hAnsi="Times New Roman" w:eastAsia="宋体" w:cs="Times New Roman"/>
          <w:sz w:val="22"/>
        </w:rPr>
        <w:t>，通过智能化技术替代人工繁琐操作，打通IT项目从预立项阶段成本估算、实施阶段成本核算、全周期成本监控的全流程闭环，破解当前项目管理核心痛点，实现项目成本管控的标准化、智能化、精细化。</w:t>
      </w:r>
    </w:p>
    <w:p w14:paraId="58BAE0FF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3" w:name="heading_3"/>
      <w:r>
        <w:rPr>
          <w:rFonts w:hint="default" w:ascii="Times New Roman" w:hAnsi="Times New Roman" w:eastAsia="宋体" w:cs="Times New Roman"/>
          <w:b/>
          <w:sz w:val="30"/>
        </w:rPr>
        <w:t>1.2 产品定位</w:t>
      </w:r>
      <w:bookmarkEnd w:id="3"/>
    </w:p>
    <w:p w14:paraId="3709E1C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本系统是面向国有大行科技子公司IT项目全生命周期的</w:t>
      </w:r>
      <w:r>
        <w:rPr>
          <w:rFonts w:hint="default" w:ascii="Times New Roman" w:hAnsi="Times New Roman" w:eastAsia="宋体" w:cs="Times New Roman"/>
          <w:b/>
          <w:sz w:val="22"/>
        </w:rPr>
        <w:t>一体化成本管控智能工具</w:t>
      </w:r>
      <w:r>
        <w:rPr>
          <w:rFonts w:hint="default" w:ascii="Times New Roman" w:hAnsi="Times New Roman" w:eastAsia="宋体" w:cs="Times New Roman"/>
          <w:sz w:val="22"/>
        </w:rPr>
        <w:t>，以AI大模型、OCR识别技术为核心支撑，为项目经理提供需求智能解析、工作量自动估算、成本精准核算、偏差实时监控、风险主动预警的全流程服务，同时为PMO、管理层、财务部门提供标准化的项目成本数据管控与决策支撑能力。</w:t>
      </w:r>
    </w:p>
    <w:p w14:paraId="34AD503D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4" w:name="heading_4"/>
      <w:r>
        <w:rPr>
          <w:rFonts w:hint="default" w:ascii="Times New Roman" w:hAnsi="Times New Roman" w:eastAsia="宋体" w:cs="Times New Roman"/>
          <w:b/>
          <w:sz w:val="30"/>
        </w:rPr>
        <w:t>1.3 核心目标</w:t>
      </w:r>
      <w:bookmarkEnd w:id="4"/>
    </w:p>
    <w:p w14:paraId="417BDCF2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5" w:name="heading_5"/>
      <w:r>
        <w:rPr>
          <w:rFonts w:hint="default" w:ascii="Times New Roman" w:hAnsi="Times New Roman" w:eastAsia="宋体" w:cs="Times New Roman"/>
          <w:b/>
          <w:sz w:val="28"/>
        </w:rPr>
        <w:t>1.3.1 业务目标</w:t>
      </w:r>
      <w:bookmarkEnd w:id="5"/>
    </w:p>
    <w:p w14:paraId="07BEC08C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统一全行IT项目成本评估标准，消除人工评估的主观偏差，实现项目成本估算偏差率≤±10%；</w:t>
      </w:r>
    </w:p>
    <w:p w14:paraId="0BF5E8FC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实现项目成本管控全流程自动化，将项目需求评估周期从平均5个工作日缩短至4小时内；</w:t>
      </w:r>
    </w:p>
    <w:p w14:paraId="45344055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实现项目成本风险前置管控，将全行IT项目平均成本超支率从15%降至5%以内，项目延期率降低40%；</w:t>
      </w:r>
    </w:p>
    <w:p w14:paraId="70AD5C52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建立标准化的项目成本数据资产体系，实现全量项目成本数据可追溯、可审计、可分析，满足金融行业监管要求。</w:t>
      </w:r>
    </w:p>
    <w:p w14:paraId="4A08E4D8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6" w:name="heading_6"/>
      <w:r>
        <w:rPr>
          <w:rFonts w:hint="default" w:ascii="Times New Roman" w:hAnsi="Times New Roman" w:eastAsia="宋体" w:cs="Times New Roman"/>
          <w:b/>
          <w:sz w:val="28"/>
        </w:rPr>
        <w:t>1.3.2 产品目标</w:t>
      </w:r>
      <w:bookmarkEnd w:id="6"/>
    </w:p>
    <w:p w14:paraId="16FF42AD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实现需求文档智能解析、工作量自动估算、成本可视化输出的全流程闭环，成本估算自动化率≥90%；</w:t>
      </w:r>
    </w:p>
    <w:p w14:paraId="58C1578F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实现项目成本数据OCR自动识别、自动核算、动态调整，成本核算自动化率100%，替代人工手动核算；</w:t>
      </w:r>
    </w:p>
    <w:p w14:paraId="0CE67A3B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实现项目成本偏差实时监控、可视化展示、智能预警，风险识别提前率≥80%；</w:t>
      </w:r>
    </w:p>
    <w:p w14:paraId="64D7321C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实现项目数据按用户级强隔离，保障数据安全与合规，满足等保三级监管要求。</w:t>
      </w:r>
    </w:p>
    <w:p w14:paraId="7D254F04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7" w:name="heading_7"/>
      <w:r>
        <w:rPr>
          <w:rFonts w:hint="default" w:ascii="Times New Roman" w:hAnsi="Times New Roman" w:eastAsia="宋体" w:cs="Times New Roman"/>
          <w:b/>
          <w:sz w:val="28"/>
        </w:rPr>
        <w:t>1.3.3 用户价值目标</w:t>
      </w:r>
      <w:bookmarkEnd w:id="7"/>
    </w:p>
    <w:p w14:paraId="0A6EF85D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释放项目经理30%以上的事务性工作时间，使其聚焦于项目需求管控、风险处置、干系人协调等高价值工作；</w:t>
      </w:r>
    </w:p>
    <w:p w14:paraId="54F1A39B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降低项目管理新人上手门槛，实现优秀项目管理经验的标准化、规模化复制；</w:t>
      </w:r>
    </w:p>
    <w:p w14:paraId="620E5F6C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为管理层、PMO、财务部门提供实时、精准的项目成本数据，支撑科学管理决策。</w:t>
      </w:r>
    </w:p>
    <w:p w14:paraId="4D1A469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2596B7DC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8" w:name="heading_8"/>
      <w:r>
        <w:rPr>
          <w:rFonts w:hint="default" w:ascii="Times New Roman" w:hAnsi="Times New Roman" w:eastAsia="宋体" w:cs="Times New Roman"/>
          <w:b/>
          <w:sz w:val="32"/>
        </w:rPr>
        <w:t>二、目标用户与用户画像</w:t>
      </w:r>
      <w:bookmarkEnd w:id="8"/>
    </w:p>
    <w:p w14:paraId="2FCCEA8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本系统的核心用户为公司IT项目全流程管理相关角色，具体用户画像与核心诉求如下：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33BDD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FA41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87F4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用户画像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A054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核心诉求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43D6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核心痛点</w:t>
            </w:r>
          </w:p>
        </w:tc>
      </w:tr>
      <w:tr w14:paraId="5DFE7A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D4D6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一线IT项目项目经理（核心用户）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0D6C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3-8年IT项目管理经验，同时负责2-3个总行级IT实施项目，熟悉项目管理全流程，对Excel、OA等办公工具操作熟练，核心KPI为项目按期交付率、成本控制率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3611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快速完成项目预立项阶段的需求拆解与成本估算，输出标准化评估报告&lt;br&gt;2. 实时掌握项目成本消耗、预算剩余、燃尽周期等核心数据&lt;br&gt;3. 自动完成项目日报/周报、成本核算表等材料编制&lt;br&gt;4. 提前识别项目成本超支、预算燃尽等风险，快速制定应对措施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DF3F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需求评估、成本核算等手工操作繁琐，占用大量工作时间&lt;br&gt;2. 成本数据更新滞后，风险发现不及时，易造成项目超支&lt;br&gt;3. 不同项目评估标准不统一，易出现估算偏差导致的项目风险&lt;br&gt;4. 多项目并行时，无法实时掌握每个项目的成本健康度</w:t>
            </w:r>
          </w:p>
        </w:tc>
      </w:tr>
      <w:tr w14:paraId="39DAD4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32BA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项目管理部/PMO管理人员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72A9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5年以上项目管理经验，负责全行IT项目整体管控、制度制定、流程规范，核心KPI为全行项目交付质效、管理规范落地率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7005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统一全行IT项目成本评估与管控标准，推动管理规范落地&lt;br&gt;2. 全局掌握全行项目成本健康度，批量识别高风险项目&lt;br&gt;3. 沉淀全行项目管理数据资产，优化项目管理模型&lt;br&gt;4. 降低项目合规审计风险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B601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各项目成本评估口径不统一，管理规范落地难&lt;br&gt;2. 项目成本数据分散，无法实现全局实时监控与风险管控&lt;br&gt;3. 项目管理经验无法标准化沉淀与复制，新人培养成本高&lt;br&gt;4. 合规审计需手动汇总大量项目数据，效率极低</w:t>
            </w:r>
          </w:p>
        </w:tc>
      </w:tr>
      <w:tr w14:paraId="4D99CF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E132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财务部项目核算人员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0510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3年以上财务核算经验，负责IT项目财务核算、预算管控、付款审核，核心KPI为项目财务数据准确率、核算合规性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33CC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获取精准、可追溯的项目成本明细数据，提升核算效率&lt;br&gt;2. 实时掌握项目预算执行情况，严控超预算付款&lt;br&gt;3. 实现项目财务数据与业务数据的对齐，降低核对成本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0486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项目业务成本数据与财务系统数据脱节，核对繁琐易出错&lt;br&gt;2. 项目预算执行情况无法实时掌握，超预算付款风险高&lt;br&gt;3. 项目成本核算无统一标准，追溯难度大</w:t>
            </w:r>
          </w:p>
        </w:tc>
      </w:tr>
      <w:tr w14:paraId="74E60B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2A62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研发部门负责人/总监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EE71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8年以上IT研发与管理经验，负责部门多项目统筹、资源调配、交付管理，核心KPI为部门项目交付率、成本利润率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C31C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实时掌握部门所有项目的成本健康度与进度情况&lt;br&gt;2. 基于项目成本数据优化部门人力资源调配&lt;br&gt;3. 提前识别部门高风险项目，推动问题解决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1B2D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多项目并行时，无法实时掌握每个项目的成本与进度偏差&lt;br&gt;2. 资源调配无精准的成本数据支撑，易造成人力浪费&lt;br&gt;3. 项目成本风险发现滞后，易造成部门利润损失</w:t>
            </w:r>
          </w:p>
        </w:tc>
      </w:tr>
    </w:tbl>
    <w:p w14:paraId="472D499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4896965D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9" w:name="heading_9"/>
      <w:r>
        <w:rPr>
          <w:rFonts w:hint="default" w:ascii="Times New Roman" w:hAnsi="Times New Roman" w:eastAsia="宋体" w:cs="Times New Roman"/>
          <w:b/>
          <w:sz w:val="32"/>
        </w:rPr>
        <w:t>三、需求描述</w:t>
      </w:r>
      <w:bookmarkEnd w:id="9"/>
    </w:p>
    <w:p w14:paraId="215EB866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0" w:name="heading_10"/>
      <w:r>
        <w:rPr>
          <w:rFonts w:hint="default" w:ascii="Times New Roman" w:hAnsi="Times New Roman" w:eastAsia="宋体" w:cs="Times New Roman"/>
          <w:b/>
          <w:sz w:val="30"/>
        </w:rPr>
        <w:t>3.1 用户故事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61571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3055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B0FF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29B0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用户故事（As a...I want...So that...）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E546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优先级</w:t>
            </w:r>
          </w:p>
        </w:tc>
      </w:tr>
      <w:tr w14:paraId="6A13EB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6BD9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1430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项目经理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99E0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作为IT项目项目经理，我希望能上传需求规格说明书后，系统自动拆解需求并完成工作量与成本估算，输出标准化评估报告，这样我可以大幅缩短预立项准备时间，避免人工估算的主观偏差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9180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4C8E19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36CD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705C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项目经理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5823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作为IT项目项目经理，我希望上传OA项目截图后，系统自动识别项目财务、人力信息并完成成本核算，自动计算可消耗成本与燃尽日期，这样我可以实时掌握项目成本情况，无需手动核算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9BFE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121AE8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17FB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9BBC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项目经理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D518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作为IT项目项目经理，我希望系统能实时监控项目实际成本与计划成本的偏差，可视化展示偏差情况并主动预警，同时给出优化建议，这样我可以提前识别成本风险，及时调整方案避免项目超支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AD70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4364EF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B00E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BB96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项目经理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108A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作为IT项目项目经理，我希望系统支持项目人员入项、离项的动态调整，并自动重新核算成本数据，这样我可以灵活调整项目人力方案，确保成本核算的精准性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0EF6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Should</w:t>
            </w:r>
          </w:p>
        </w:tc>
      </w:tr>
      <w:tr w14:paraId="4BE926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A7B2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FF78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PMO管理人员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3247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作为PMO管理人员，我希望能看到全行项目的成本健康度总览，批量识别高风险项目，这样我可以实现全局项目管控，推动管理规范落地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E37E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Should</w:t>
            </w:r>
          </w:p>
        </w:tc>
      </w:tr>
      <w:tr w14:paraId="023AFD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4226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US006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AB47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项目经理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3360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作为IT项目项目经理，我希望登录系统后，能在首页快速看到我负责的所有项目的总量、成本异常、进度偏差核心数据，这样我可以快速掌握所有项目的健康状态，优先处理高风险项目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9502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1738E6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85C0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US007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485D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财务核算人员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E6C8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作为财务核算人员，我希望能查看对应项目的全量成本明细与核算轨迹，这样我可以快速完成项目财务核对，确保核算合规性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100C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Should</w:t>
            </w:r>
          </w:p>
        </w:tc>
      </w:tr>
      <w:tr w14:paraId="6638C0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5C35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US008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BA88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部门负责人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644A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作为部门负责人，我希望系统能基于项目成本与进度数据，给出人力调配与成本优化建议，这样我可以更科学地分配部门资源，提升项目利润率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D42A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Could</w:t>
            </w:r>
          </w:p>
        </w:tc>
      </w:tr>
      <w:tr w14:paraId="689A95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4EF7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US009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B2D0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项目经理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5876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作为IT项目项目经理，我希望系统能严格隔离不同项目的数据，其他用户无法查看我负责的项目信息，这样可以保障项目数据的安全性与保密性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AB17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1EC625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AE90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US010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2BC0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PMO管理人员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0975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作为PMO管理人员，我希望能配置系统的成本估算参数、阶段占比规则等基准配置，这样可以统一全行项目的评估标准，确保管理规范落地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2B05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Should</w:t>
            </w:r>
          </w:p>
        </w:tc>
      </w:tr>
    </w:tbl>
    <w:p w14:paraId="6C86DEBA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1" w:name="heading_11"/>
      <w:r>
        <w:rPr>
          <w:rFonts w:hint="default" w:ascii="Times New Roman" w:hAnsi="Times New Roman" w:eastAsia="宋体" w:cs="Times New Roman"/>
          <w:b/>
          <w:sz w:val="30"/>
        </w:rPr>
        <w:t>3.2 整体功能列表</w:t>
      </w:r>
      <w:bookmarkEnd w:id="11"/>
    </w:p>
    <w:p w14:paraId="56E50CFC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按照系统模块划分，全量功能列表与优先级如下（MoSCoW规则：Must必须实现、Should应该实现、Could可以实现、Won’t暂不实现）：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81391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0222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模块名称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1AA7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功能点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F336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功能描述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2E07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优先级</w:t>
            </w:r>
          </w:p>
        </w:tc>
      </w:tr>
      <w:tr w14:paraId="21D59D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C67A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一、用户登录模块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0B34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账号密码登录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DFCE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支持用户输入账号密码完成身份验证与系统登录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325E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0EF5AB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122AE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8759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权限隔离控制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8577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单用户仅可查看、操作自己创建/负责的项目，禁止跨用户数据访问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5D18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1D74FC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32CDC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9F92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项目信息持久化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BE8E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项目全量数据持久化存储，支持重新编辑、重算、查看历史版本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24E1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5EB5F1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F220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二、首页仪表盘模块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DAE3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项目总量统计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E27D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展示当前用户负责的项目总数、进行中项目数、已完成项目数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9EF5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06EDD7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3010D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6D79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成本健康监控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947B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展示成本异常项目数、高风险预警项目数、最近即将燃尽项目信息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6E1F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67B2E5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AF81D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EBF1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进度健康监控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BCB9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展示进度偏差项目数、进度滞后项目数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EE11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1EEAC0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B00F2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15E4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核心功能入口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6F43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提供成本估算、成本核算、成本监控三大核心功能的一键跳转入口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60C1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279123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ACAEA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A4FC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数据自动刷新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8447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页面加载、从子功能页返回时，自动重新统计并刷新数据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00B6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0D10F2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8FFA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三、成本估算模块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74B3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需求文档上传与校验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15DE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支持用户上传DOC/DOCX格式需求规格说明书，自动校验文档格式与内容完整性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EE84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2BA264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71657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DF27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文档智能解析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2D79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自动解析文档内容，提取功能模块、业务流程、技术选型等关键信息并结构化存储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FDDB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4025EF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D4F6F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9AFF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估算参数配置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D9EE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提供复杂度基准、系统关联度系数、流程系数、技术栈系数、人天单价、管理系数的默认配置，支持用户自定义调整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EA67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70E73D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4AEB4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F2A3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工作量自动计算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AFF3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基于文档解析结果与参数配置，自动计算各阶段、各角色、各功能模块的工作量（人天/人月）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EC7C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4418D0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CEB8F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5BAE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团队成本自动核算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B16B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基于工作量与人天单价，自动核算产品、UI、研发、测试、管理团队的预估成本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5999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7ABC66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2ACA6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382C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估算结果可视化展示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0EDF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以总览卡片、饼图、柱状图、明细表格形式，展示估算结果，支持多视图切换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F4A7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5D66E9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E85D2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9BAA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计算轨迹可追溯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EB0D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自动记录每个功能点的计算过程、公式、参数取值，确保结果可追溯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D657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18F25E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4E7F3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32E9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合规性自动校验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2D21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自动校验各阶段工作量占比是否在合理区间，超出区间自动调整并记录轨迹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327C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5BD1F9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5349E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B390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重新计算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128B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支持用户调整参数后，一键重新执行估算并更新结果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2AF3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460200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16794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2320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标准化报告导出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C84C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支持导出符合公司规范的Excel格式工作量评估报告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7646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641F12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B1C0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四、成本核算模块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68D9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项目截图上传与OCR识别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7AF4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支持用户上传JPG/PNG格式OA项目截图，自动识别合同金额、税率、人力成本、项目成员等核心字段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E2F1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49F4E6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81943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1329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识别结果编辑补充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54F7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识别结果自动返显，支持用户手动修改、补充，多图同字段冲突时以后置结果为准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608A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5FE494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B000D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F1DC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人员信息与成本配置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F96A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支持为项目成员选择职级，系统自动返显对应日成本，职级与日成本匹配规则内置固化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225D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427A53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5A665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D39B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项目成本自动核算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9A8B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基于识别信息与人员配置，自动计算项目可消耗成本、日人力成本、可消耗天数、成本燃尽日期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CC13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291A85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898CD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3B01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人员方案动态调整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CFE5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支持新增/编辑/删除成员、设置入项/离项时间，一键重新核算成本数据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D544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2C059C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23A62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55B8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项目信息持久化存储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CD4C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项目核算信息自动保存，支持后续查看、编辑、重算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128D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1042C8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180B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五、成本监控模块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5935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项目信息上传与识别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5687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支持用户上传项目合同、人力成本、成员明细、进度表四类截图，大模型自动提取关键信息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FEBD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13C87A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69FB2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FC97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项目信息确认补充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7A6C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识别结果自动返显，支持用户补充成员职级、角色、已报工时，选择成本偏差分析基准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2CF2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3140EE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49680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744B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偏差分析基准配置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8225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支持两种基准模式：上传工作量评估表自动解析、系统默认阶段成本比例（支持自定义调整）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2B5D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53214F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A896B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8F2A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全周期成本自动核算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1391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基于项目信息，自动核算各阶段、各团队的实际成本与预期成本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27C7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168AA3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B1953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9329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成本偏差自动分析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9587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自动计算实际成本与计划成本的偏差，输出偏差分析结论（正常/偏高/偏低）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B1E1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081D2E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522CD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3097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偏差可视化展示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3658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以折线图展示各阶段成本偏差趋势，以双柱形图展示各团队成本使用情况，支持交互下钻查看明细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7E8A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1C8141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1941E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8693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智能优化建议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5C42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大模型基于成本偏差、进度情况，自动生成人员调整、成本优化建议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1985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46A3CE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A4576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2AF2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成本明细查询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D04A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支持查看项目全量人员成本明细、阶段成本明细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C24C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6583CC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76039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516E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风险自动预警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BA32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针对成本超支、预算即将燃尽、进度严重滞后的项目，自动标红预警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4FFA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Must</w:t>
            </w:r>
          </w:p>
        </w:tc>
      </w:tr>
      <w:tr w14:paraId="478073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D28C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六、系统管理模块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7E5A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用户权限管理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D00E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支持管理员配置用户账号、角色与权限范围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1756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Could</w:t>
            </w:r>
          </w:p>
        </w:tc>
      </w:tr>
      <w:tr w14:paraId="16BEA9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8BB8E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62FF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估算参数基准配置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447F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支持管理员配置全行统一的复杂度基准、系数、人天单价等估算参数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83F6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Should</w:t>
            </w:r>
          </w:p>
        </w:tc>
      </w:tr>
      <w:tr w14:paraId="2BE87A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F962A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EF48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操作日志审计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A5C2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自动记录用户全量操作日志，支持查询与导出，满足审计要求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3B35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Should</w:t>
            </w:r>
          </w:p>
        </w:tc>
      </w:tr>
      <w:tr w14:paraId="140493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692B0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1C09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全局数据统计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7C25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支持管理员查看全行项目成本总览、风险统计、执行效率等全局数据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44BF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Could</w:t>
            </w:r>
          </w:p>
        </w:tc>
      </w:tr>
      <w:tr w14:paraId="0AE377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AEBE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七、其他辅助功能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1289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操作引导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7B3C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新用户首次使用时，提供核心功能的操作引导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950F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Could</w:t>
            </w:r>
          </w:p>
        </w:tc>
      </w:tr>
      <w:tr w14:paraId="3A3819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8A5FE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872E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常见问题答疑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7B87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内置系统操作、项目管理规范相关的常见问题解答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839F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Could</w:t>
            </w:r>
          </w:p>
        </w:tc>
      </w:tr>
      <w:tr w14:paraId="2D283C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DEAD3">
            <w:pPr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388E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版本更新通知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CBD8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系统版本更新时，推送更新内容通知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957F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Won’t</w:t>
            </w:r>
          </w:p>
        </w:tc>
      </w:tr>
    </w:tbl>
    <w:p w14:paraId="5AEAC82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139AD0C3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2" w:name="heading_12"/>
      <w:r>
        <w:rPr>
          <w:rFonts w:hint="default" w:ascii="Times New Roman" w:hAnsi="Times New Roman" w:eastAsia="宋体" w:cs="Times New Roman"/>
          <w:b/>
          <w:sz w:val="32"/>
        </w:rPr>
        <w:t>四、功能详述</w:t>
      </w:r>
      <w:bookmarkEnd w:id="12"/>
    </w:p>
    <w:p w14:paraId="3D685D27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3" w:name="heading_13"/>
      <w:r>
        <w:rPr>
          <w:rFonts w:hint="default" w:ascii="Times New Roman" w:hAnsi="Times New Roman" w:eastAsia="宋体" w:cs="Times New Roman"/>
          <w:b/>
          <w:sz w:val="30"/>
        </w:rPr>
        <w:t>4.1 用户登录模块</w:t>
      </w:r>
      <w:bookmarkEnd w:id="13"/>
    </w:p>
    <w:p w14:paraId="58C4C8C1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4" w:name="heading_14"/>
      <w:r>
        <w:rPr>
          <w:rFonts w:hint="default" w:ascii="Times New Roman" w:hAnsi="Times New Roman" w:eastAsia="宋体" w:cs="Times New Roman"/>
          <w:b/>
          <w:sz w:val="28"/>
        </w:rPr>
        <w:t>4.1.1 业务流程图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17A6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5F241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开始→用户输入账号密码→系统校验账号密码合法性→校验通过→加载用户权限与项目数据→进入首页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校验不通过→提示错误信息→返回登录页</w:t>
            </w:r>
          </w:p>
        </w:tc>
      </w:tr>
    </w:tbl>
    <w:p w14:paraId="07B6077B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5" w:name="heading_15"/>
      <w:r>
        <w:rPr>
          <w:rFonts w:hint="default" w:ascii="Times New Roman" w:hAnsi="Times New Roman" w:eastAsia="宋体" w:cs="Times New Roman"/>
          <w:b/>
          <w:sz w:val="28"/>
        </w:rPr>
        <w:t>4.1.2 交互逻辑</w:t>
      </w:r>
      <w:bookmarkEnd w:id="15"/>
    </w:p>
    <w:p w14:paraId="05839565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用户访问系统地址，默认进入登录页面，页面展示系统名称、logo、账号输入框、密码输入框、登录按钮；</w:t>
      </w:r>
    </w:p>
    <w:p w14:paraId="67147292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用户输入账号、密码，点击登录按钮，系统前端先校验非空，非空校验不通过则提示“请输入账号/密码”；</w:t>
      </w:r>
    </w:p>
    <w:p w14:paraId="70848F65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非空校验通过后，前端将账号密码加密后传输至后端，后端完成身份校验；</w:t>
      </w:r>
    </w:p>
    <w:p w14:paraId="7CF71677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校验通过：生成用户登录态token，跳转至系统首页，同时加载用户权限与所属项目数据；</w:t>
      </w:r>
    </w:p>
    <w:p w14:paraId="6A327B70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校验不通过：页面提示“账号或密码错误，请重新输入”，密码连续错误5次，锁定账号15分钟；</w:t>
      </w:r>
    </w:p>
    <w:p w14:paraId="45230771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未登录用户访问系统其他页面，自动拦截并跳转至登录页面。</w:t>
      </w:r>
    </w:p>
    <w:p w14:paraId="02A1FA72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6" w:name="heading_16"/>
      <w:r>
        <w:rPr>
          <w:rFonts w:hint="default" w:ascii="Times New Roman" w:hAnsi="Times New Roman" w:eastAsia="宋体" w:cs="Times New Roman"/>
          <w:b/>
          <w:sz w:val="28"/>
        </w:rPr>
        <w:t>4.1.3 业务规则</w:t>
      </w:r>
      <w:bookmarkEnd w:id="16"/>
    </w:p>
    <w:p w14:paraId="62DB6CE1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账号密码与公司统一身份认证体系对接，仅公司内部员工可开通账号；</w:t>
      </w:r>
    </w:p>
    <w:p w14:paraId="6D26465C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采用用户级数据强隔离机制，单用户仅可查看、编辑自己创建/负责的项目，无权限查看其他用户的项目数据；</w:t>
      </w:r>
    </w:p>
    <w:p w14:paraId="5B13B5FE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用户登录态有效期为24小时，超时自动退出登录，需重新验证身份；</w:t>
      </w:r>
    </w:p>
    <w:p w14:paraId="07AA10EB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项目全量数据持久化存储，用户登录后可查看历史创建的所有项目，支持重新编辑、重算、查看详情。</w:t>
      </w:r>
    </w:p>
    <w:p w14:paraId="0E39CDB6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7" w:name="heading_17"/>
      <w:r>
        <w:rPr>
          <w:rFonts w:hint="default" w:ascii="Times New Roman" w:hAnsi="Times New Roman" w:eastAsia="宋体" w:cs="Times New Roman"/>
          <w:b/>
          <w:sz w:val="28"/>
        </w:rPr>
        <w:t>4.1.4 输入输出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92639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5091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FB1C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要素分类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A21B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字段名称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EEA9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是否必填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0D7C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字段规则</w:t>
            </w:r>
          </w:p>
        </w:tc>
      </w:tr>
      <w:tr w14:paraId="275B56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7830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DA91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输入要素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AFD7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账号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52EA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60FA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公司员工工号，字符串格式</w:t>
            </w:r>
          </w:p>
        </w:tc>
      </w:tr>
      <w:tr w14:paraId="4FE079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13A4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FA44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输入要素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A6DF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密码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ED96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3F05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8-20位字母+数字组合，加密传输</w:t>
            </w:r>
          </w:p>
        </w:tc>
      </w:tr>
      <w:tr w14:paraId="77D995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958E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9602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输出要素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5324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登录结果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B8F8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E234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成功/失败，失败返回具体错误原因</w:t>
            </w:r>
          </w:p>
        </w:tc>
      </w:tr>
      <w:tr w14:paraId="355CC3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E430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39A2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输出要素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8101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用户token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868A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FC26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登录成功后生成，用于后续接口鉴权</w:t>
            </w:r>
          </w:p>
        </w:tc>
      </w:tr>
    </w:tbl>
    <w:p w14:paraId="2C342EB9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8" w:name="heading_18"/>
      <w:r>
        <w:rPr>
          <w:rFonts w:hint="default" w:ascii="Times New Roman" w:hAnsi="Times New Roman" w:eastAsia="宋体" w:cs="Times New Roman"/>
          <w:b/>
          <w:sz w:val="30"/>
        </w:rPr>
        <w:t>4.2 首页仪表盘模块</w:t>
      </w:r>
      <w:bookmarkEnd w:id="18"/>
    </w:p>
    <w:p w14:paraId="06ACAAA4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9" w:name="heading_19"/>
      <w:r>
        <w:rPr>
          <w:rFonts w:hint="default" w:ascii="Times New Roman" w:hAnsi="Times New Roman" w:eastAsia="宋体" w:cs="Times New Roman"/>
          <w:b/>
          <w:sz w:val="28"/>
        </w:rPr>
        <w:t>4.2.1 业务流程图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F719C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511EA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用户登录→进入首页→系统查询当前用户所属项目全量数据→执行统计计算→渲染仪表盘统计数据与功能入口→用户点击功能入口→跳转对应功能页面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                                         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                                        用户从子页面返回首页→自动重新统计数据→刷新页面</w:t>
            </w:r>
          </w:p>
        </w:tc>
      </w:tr>
    </w:tbl>
    <w:p w14:paraId="198BB579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0" w:name="heading_20"/>
      <w:r>
        <w:rPr>
          <w:rFonts w:hint="default" w:ascii="Times New Roman" w:hAnsi="Times New Roman" w:eastAsia="宋体" w:cs="Times New Roman"/>
          <w:b/>
          <w:sz w:val="28"/>
        </w:rPr>
        <w:t>4.2.2 页面结构与交互逻辑</w:t>
      </w:r>
      <w:bookmarkEnd w:id="20"/>
    </w:p>
    <w:p w14:paraId="3892D4E0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页面整体分为上下两部分：上方统计展示区（仪表盘）、下方功能入口区；</w:t>
      </w:r>
    </w:p>
    <w:p w14:paraId="5EF5153D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上方统计展示区分为三个卡片，从左到右依次为：项目总量统计、成本健康监控、进度健康监控；</w:t>
      </w:r>
    </w:p>
    <w:p w14:paraId="41EE3E92">
      <w:pPr>
        <w:numPr>
          <w:ilvl w:val="0"/>
          <w:numId w:val="28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项目总量统计卡片：大号加粗字体展示项目总数、进行中项目数、已完成项目数，正常数字使用主题蓝色；</w:t>
      </w:r>
    </w:p>
    <w:p w14:paraId="785FAC01">
      <w:pPr>
        <w:numPr>
          <w:ilvl w:val="0"/>
          <w:numId w:val="2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成本健康监控卡片：展示成本异常项目数、高风险预警项目数，异常数字标红（#F53F3F），同时展示1条最近即将燃尽的项目名称与燃尽日期；</w:t>
      </w:r>
    </w:p>
    <w:p w14:paraId="2E45624D">
      <w:pPr>
        <w:numPr>
          <w:ilvl w:val="0"/>
          <w:numId w:val="3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进度健康监控卡片：展示进度偏差项目数、进度滞后项目数，滞后数字标红（#F53F3F）；</w:t>
      </w:r>
    </w:p>
    <w:p w14:paraId="0C96227B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页面加载过程中，展示骨架屏，加载完成后渲染完整数据，网络异常时提示“数据加载失败，请刷新重试”，不展示错误数据；</w:t>
      </w:r>
    </w:p>
    <w:p w14:paraId="0441F1A2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下方功能入口区设置三个卡片式入口，从左到右依次为：实施成本预估、成本消耗预估、成本偏差监控，卡片展示功能名称、核心价值描述、“开始使用”按钮；</w:t>
      </w:r>
    </w:p>
    <w:p w14:paraId="62240038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用户点击任意功能入口卡片/按钮，直接跳转至对应功能页面；用户从子功能页面返回首页时，系统自动重新统计数据并刷新页面内容；</w:t>
      </w:r>
    </w:p>
    <w:p w14:paraId="7F3E63BC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无项目数据时，统计数字展示0，不隐藏统计区域，同时提示“您暂无负责的项目，可点击下方功能入口创建第一个项目”。</w:t>
      </w:r>
    </w:p>
    <w:p w14:paraId="6F58D58B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1" w:name="heading_21"/>
      <w:r>
        <w:rPr>
          <w:rFonts w:hint="default" w:ascii="Times New Roman" w:hAnsi="Times New Roman" w:eastAsia="宋体" w:cs="Times New Roman"/>
          <w:b/>
          <w:sz w:val="28"/>
        </w:rPr>
        <w:t>4.2.3 业务规则</w:t>
      </w:r>
      <w:bookmarkEnd w:id="21"/>
    </w:p>
    <w:p w14:paraId="64636EA0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首页所有统计数据仅归属当前登录用户，不展示其他用户的项目数据；</w:t>
      </w:r>
    </w:p>
    <w:p w14:paraId="17A870C2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已完成项目不纳入成本异常、进度偏差的统计范围；</w:t>
      </w:r>
    </w:p>
    <w:p w14:paraId="445FA6B6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成本异常判定规则：满足任一条件即为成本异常，可消耗成本＜0、预算可消耗天数＜7天；其中可消耗天数＜7天的项目标记为高风险项目；</w:t>
      </w:r>
    </w:p>
    <w:p w14:paraId="3A15D927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进度偏差判定规则：实际进度与计划进度不一致即为进度偏差，实际进度晚于计划进度即为进度滞后；</w:t>
      </w:r>
    </w:p>
    <w:p w14:paraId="65032803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数据刷新规则：页面首次加载自动统计，从子页面返回自动重新统计，数据刷新延迟≤3秒；</w:t>
      </w:r>
    </w:p>
    <w:p w14:paraId="1C27FD0A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异常数据标红规则：成本异常项目数、高风险项目数、进度滞后项目数，统一使用红色（#F53F3F）加粗展示，正常数据使用主题蓝色（#1677FF）。</w:t>
      </w:r>
    </w:p>
    <w:p w14:paraId="14F1712B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2" w:name="heading_22"/>
      <w:r>
        <w:rPr>
          <w:rFonts w:hint="default" w:ascii="Times New Roman" w:hAnsi="Times New Roman" w:eastAsia="宋体" w:cs="Times New Roman"/>
          <w:b/>
          <w:sz w:val="30"/>
        </w:rPr>
        <w:t>4.3 成本估算模块</w:t>
      </w:r>
      <w:bookmarkEnd w:id="22"/>
    </w:p>
    <w:p w14:paraId="59D98E1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本模块为预立项阶段核心功能，实现需求文档智能解析、工作量自动估算、成本可视化输出全流程闭环。</w:t>
      </w:r>
    </w:p>
    <w:p w14:paraId="3AD2E930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3" w:name="heading_23"/>
      <w:r>
        <w:rPr>
          <w:rFonts w:hint="default" w:ascii="Times New Roman" w:hAnsi="Times New Roman" w:eastAsia="宋体" w:cs="Times New Roman"/>
          <w:b/>
          <w:sz w:val="28"/>
        </w:rPr>
        <w:t>4.3.1 整体业务流程图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50B2D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E690F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用户进入成本估算模块→创建新项目→上传需求规格说明书→系统校验文档格式与内容完整性→校验不通过→反馈问题→用户重新上传文档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                                      ↓</w:t>
            </w:r>
            <w:r>
              <w:rPr>
                <w:rFonts w:hint="default" w:ascii="Times New Roman" w:hAnsi="Times New Roman" w:eastAsia="宋体" w:cs="Times New Roman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 xml:space="preserve">                                                      校验通过→系统解析文档，提取结构化需求信息→自动加载默认估算参数→用户可调整参数→用户确认参数→系统执行工作量与成本自动计算→生成估算结果可视化页面→支持重新计算/导出Excel报告→项目数据自动保存</w:t>
            </w:r>
          </w:p>
        </w:tc>
      </w:tr>
    </w:tbl>
    <w:p w14:paraId="3CC620E6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24" w:name="heading_24"/>
      <w:r>
        <w:rPr>
          <w:rFonts w:hint="default" w:ascii="Times New Roman" w:hAnsi="Times New Roman" w:eastAsia="宋体" w:cs="Times New Roman"/>
          <w:b/>
          <w:sz w:val="28"/>
        </w:rPr>
        <w:t>4.3.2 子功能详述</w:t>
      </w:r>
      <w:bookmarkEnd w:id="24"/>
    </w:p>
    <w:p w14:paraId="697D639F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25" w:name="heading_25"/>
      <w:r>
        <w:rPr>
          <w:rFonts w:hint="default" w:ascii="Times New Roman" w:hAnsi="Times New Roman" w:eastAsia="宋体" w:cs="Times New Roman"/>
          <w:b/>
          <w:sz w:val="24"/>
        </w:rPr>
        <w:t>[4.3.2.1](4.3.2.1) 需求文档上传与校验</w:t>
      </w:r>
      <w:bookmarkEnd w:id="25"/>
    </w:p>
    <w:p w14:paraId="3E267F18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46772BFA">
      <w:pPr>
        <w:numPr>
          <w:ilvl w:val="0"/>
          <w:numId w:val="42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用户进入成本估算模块，创建新项目并填写项目名称后，进入文档上传页面；</w:t>
      </w:r>
    </w:p>
    <w:p w14:paraId="03AEB864">
      <w:pPr>
        <w:numPr>
          <w:ilvl w:val="0"/>
          <w:numId w:val="4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页面展示文档上传区域，支持拖拽/点击上传DOC/DOCX格式文档，文件大小限制≤10MB；</w:t>
      </w:r>
    </w:p>
    <w:p w14:paraId="3E556CB8">
      <w:pPr>
        <w:numPr>
          <w:ilvl w:val="0"/>
          <w:numId w:val="44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页面明确标注文档要求：需包含完整功能描述、明确的技术架构说明、详细的业务流程说明、性能与非功能性需求、安全合规要求；</w:t>
      </w:r>
    </w:p>
    <w:p w14:paraId="0BA4F590">
      <w:pPr>
        <w:numPr>
          <w:ilvl w:val="0"/>
          <w:numId w:val="45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用户上传文档后，系统实时展示上传进度，上传完成后自动执行格式与内容完整性校验；</w:t>
      </w:r>
    </w:p>
    <w:p w14:paraId="09FA5A58">
      <w:pPr>
        <w:numPr>
          <w:ilvl w:val="0"/>
          <w:numId w:val="46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校验通过：提示“文档校验通过，正在解析中”，进入文档解析环节；</w:t>
      </w:r>
    </w:p>
    <w:p w14:paraId="7D83399B">
      <w:pPr>
        <w:numPr>
          <w:ilvl w:val="0"/>
          <w:numId w:val="47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校验不通过：弹窗展示具体问题清单（如格式错误、章节缺失、内容为空等），引导用户修正后重新上传。</w:t>
      </w:r>
    </w:p>
    <w:p w14:paraId="2ED08E6A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业务规则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01E0FA61">
      <w:pPr>
        <w:numPr>
          <w:ilvl w:val="0"/>
          <w:numId w:val="4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仅支持DOC、DOCX格式文档，其他格式自动拒绝接收并提示格式错误；</w:t>
      </w:r>
    </w:p>
    <w:p w14:paraId="7A026AA6">
      <w:pPr>
        <w:numPr>
          <w:ilvl w:val="0"/>
          <w:numId w:val="5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内容完整性校验规则：检查文档中“功能描述”章节的每个功能项是否包含完整业务流程、功能详述、业务规则、输入输出；“数据要求”“非功能需求”章节，不涉及的内容需写明“不涉及”/“暂无”，不可为空；</w:t>
      </w:r>
    </w:p>
    <w:p w14:paraId="59451416">
      <w:pPr>
        <w:numPr>
          <w:ilvl w:val="0"/>
          <w:numId w:val="51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文档解析失败时，系统自动重试1次，重试后仍失败则终止流程并反馈具体失败原因。</w:t>
      </w:r>
    </w:p>
    <w:p w14:paraId="17AB6AA8"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输入输出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3A7B4325">
      <w:pPr>
        <w:numPr>
          <w:ilvl w:val="0"/>
          <w:numId w:val="5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输入：用户上传的DOC/DOCX格式需求规格说明书；</w:t>
      </w:r>
    </w:p>
    <w:p w14:paraId="6F12B86D">
      <w:pPr>
        <w:numPr>
          <w:ilvl w:val="0"/>
          <w:numId w:val="54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输出：校验通过→结构化的文档解析数据（功能模块、功能点、业务流程、技术选型等）；校验不通过→包含具体问题的校验报告。</w:t>
      </w:r>
    </w:p>
    <w:p w14:paraId="55E0A691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26" w:name="heading_26"/>
      <w:r>
        <w:rPr>
          <w:rFonts w:hint="default" w:ascii="Times New Roman" w:hAnsi="Times New Roman" w:eastAsia="宋体" w:cs="Times New Roman"/>
          <w:b/>
          <w:sz w:val="24"/>
        </w:rPr>
        <w:t>[4.3.2.2](4.3.2.2) 估算参数配置</w:t>
      </w:r>
      <w:bookmarkEnd w:id="26"/>
    </w:p>
    <w:p w14:paraId="3909D33A">
      <w:pPr>
        <w:numPr>
          <w:ilvl w:val="0"/>
          <w:numId w:val="5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59F78F9A">
      <w:pPr>
        <w:numPr>
          <w:ilvl w:val="0"/>
          <w:numId w:val="56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文档解析完成后，系统自动跳转至参数配置页面，基于文档解析结果，自动加载默认参数配置；</w:t>
      </w:r>
    </w:p>
    <w:p w14:paraId="7B728CBF">
      <w:pPr>
        <w:numPr>
          <w:ilvl w:val="0"/>
          <w:numId w:val="57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页面分6个配置区域，分别为：复杂度基准配置、系统关联度系数配置、流程系数配置、技术栈难度系数配置、人天单价配置、管理系数配置；</w:t>
      </w:r>
    </w:p>
    <w:p w14:paraId="1D631729">
      <w:pPr>
        <w:numPr>
          <w:ilvl w:val="0"/>
          <w:numId w:val="58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每个配置区域均展示默认值，支持用户手动修改，修改后实时展示对估算结果的影响预览；</w:t>
      </w:r>
    </w:p>
    <w:p w14:paraId="02E9A2A3">
      <w:pPr>
        <w:numPr>
          <w:ilvl w:val="0"/>
          <w:numId w:val="5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用户可将自定义参数保存为个人模板，后续项目可直接选用；</w:t>
      </w:r>
    </w:p>
    <w:p w14:paraId="64410867">
      <w:pPr>
        <w:numPr>
          <w:ilvl w:val="0"/>
          <w:numId w:val="6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用户确认参数配置后，点击“开始计算”按钮，进入工作量计算环节；未调整参数时，直接使用默认参数执行计算。</w:t>
      </w:r>
    </w:p>
    <w:p w14:paraId="72234D84">
      <w:pPr>
        <w:numPr>
          <w:ilvl w:val="0"/>
          <w:numId w:val="6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业务规则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72195EAD">
      <w:pPr>
        <w:numPr>
          <w:ilvl w:val="0"/>
          <w:numId w:val="62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所有参数值必须为非负数，人天单价需为正整数，系数值需为正数，否则系统自动拦截并提示修正；</w:t>
      </w:r>
    </w:p>
    <w:p w14:paraId="5782E48A">
      <w:pPr>
        <w:numPr>
          <w:ilvl w:val="0"/>
          <w:numId w:val="6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参数配置完成后，系统自动校验参数与文档解析的技术选型、功能复杂度的匹配度，存在明显不合理时，弹窗提醒用户确认；</w:t>
      </w:r>
    </w:p>
    <w:p w14:paraId="060865D9">
      <w:pPr>
        <w:numPr>
          <w:ilvl w:val="0"/>
          <w:numId w:val="64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同一功能点的复杂度基准值，在产品、研发、测试团队的计算中必须保持一致，不允许跨等级取值。</w:t>
      </w:r>
    </w:p>
    <w:p w14:paraId="38A008F7"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核心参数配置基准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C19C8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230A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配置类别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09EB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核心配置项与默认值</w:t>
            </w:r>
          </w:p>
        </w:tc>
      </w:tr>
      <w:tr w14:paraId="12A656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2796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复杂度基准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87D2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较为基础0.5人天、基础1人天、中等1.5人天、复杂2人天、极复杂2.5人天</w:t>
            </w:r>
          </w:p>
        </w:tc>
      </w:tr>
      <w:tr w14:paraId="456A46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A746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系统关联度系数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D464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关联1个系统1.0、1-3个系统1.5、3-5个系统2.0、5个以上系统3.0</w:t>
            </w:r>
          </w:p>
        </w:tc>
      </w:tr>
      <w:tr w14:paraId="348647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7A9B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流程系数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3C76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需求0.7、UI设计0.3、技术设计0.5、开发1.2、技术测试0.7、业务测试0.5、性能测试0.3、准生产0.1</w:t>
            </w:r>
          </w:p>
        </w:tc>
      </w:tr>
      <w:tr w14:paraId="57A567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7F2A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技术栈难度系数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C68E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常规技术栈1.0、微服务架构1.3、AI中台1.4、分布式事务1.6</w:t>
            </w:r>
          </w:p>
        </w:tc>
      </w:tr>
      <w:tr w14:paraId="367C90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3D0F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人天单价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B6F5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产品经理2000元/人天、UI设计1800元/人天、前端开发1800元/人天、后端开发2000元/人天、功能测试1500元/人天、性能测试2000元/人天、项目经理2000元/人天</w:t>
            </w:r>
          </w:p>
        </w:tc>
      </w:tr>
      <w:tr w14:paraId="785092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2651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管理系数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F692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≤10人团队0.15、11-20人团队0.20、＞20人团队0.25</w:t>
            </w:r>
          </w:p>
        </w:tc>
      </w:tr>
    </w:tbl>
    <w:p w14:paraId="7047352A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27" w:name="heading_27"/>
      <w:r>
        <w:rPr>
          <w:rFonts w:hint="default" w:ascii="Times New Roman" w:hAnsi="Times New Roman" w:eastAsia="宋体" w:cs="Times New Roman"/>
          <w:b/>
          <w:sz w:val="24"/>
        </w:rPr>
        <w:t>[4.3.2.3](4.3.2.3) 工作量与成本自动计算</w:t>
      </w:r>
      <w:bookmarkEnd w:id="27"/>
    </w:p>
    <w:p w14:paraId="7E58DED6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6A14A7D8">
      <w:pPr>
        <w:numPr>
          <w:ilvl w:val="0"/>
          <w:numId w:val="67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用户点击“开始计算”后，页面展示计算进度条，计算过程中禁止重复点击；</w:t>
      </w:r>
    </w:p>
    <w:p w14:paraId="0FF87FD2">
      <w:pPr>
        <w:numPr>
          <w:ilvl w:val="0"/>
          <w:numId w:val="68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计算完成后，自动跳转至估算结果展示页面，无需人工干预；</w:t>
      </w:r>
    </w:p>
    <w:p w14:paraId="5554967B">
      <w:pPr>
        <w:numPr>
          <w:ilvl w:val="0"/>
          <w:numId w:val="6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计算过程中出现异常，弹窗提示异常原因，支持用户重新执行计算。</w:t>
      </w:r>
    </w:p>
    <w:p w14:paraId="3CD20C83">
      <w:pPr>
        <w:numPr>
          <w:ilvl w:val="0"/>
          <w:numId w:val="7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核心计算公式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62E0C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ECD4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计算维度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5A59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核心计算公式</w:t>
            </w:r>
          </w:p>
        </w:tc>
      </w:tr>
      <w:tr w14:paraId="265673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F34D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各阶段工作量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F3FB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需求阶段：Σ（复杂度基准 × 系统关联度系数 × 流程系数）×（1+管理系数）&lt;br&gt;设计阶段：UI设计Σ（复杂度基准 × 系统关联度系数 × 流程系数）×（1+管理系数）；技术设计Σ（复杂度基准 × 系统关联度系数 × 流程系数 × 技术栈难度系数）×（1+管理系数）&lt;br&gt;开发阶段：Σ（复杂度基准 × 系统关联度系数 × 流程系数 × 技术栈难度系数）×（1+管理系数）&lt;br&gt;技术测试阶段：Σ（复杂度基准 × 系统关联度系数 × 流程系数 × 技术栈难度系数）×（1+管理系数）&lt;br&gt;性能测试阶段：Σ（复杂度基准 × 系统关联度系数 × 流程系数）×（1+管理系数）&lt;br&gt;投产上线阶段：Σ（需求+设计+研发+技术测试+性能测试工作量）× 2%</w:t>
            </w:r>
          </w:p>
        </w:tc>
      </w:tr>
      <w:tr w14:paraId="29377C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BFAA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各团队成本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DF7C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产品团队成本=Σ（产品经理人天 × 产品经理单价）&lt;br&gt;UI团队成本=Σ（UI设计人天 × UI设计单价）&lt;br&gt;研发团队成本=（前端人天 × 前端单价）+（后端人天 × 后端单价），其中前端人天=（技术设计人天+研发人天）×0.4，后端人天=（技术设计人天+研发人天）×0.6&lt;br&gt;测试团队成本=Σ（技术测试人天 × 功能测试单价）+Σ（性能测试人天 × 性能测试单价）&lt;br&gt;项目管理成本=项目管理团队人天 × 项目经理单价，其中项目管理团队人天=Σ（需求+设计+研发+技术测试+性能测试工作量）× 管理系数 + 投产阶段工作量</w:t>
            </w:r>
          </w:p>
        </w:tc>
      </w:tr>
      <w:tr w14:paraId="201DC0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12C8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汇总指标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6189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总计人天=Σ（所有阶段合计人天）&lt;br&gt;总计人月=总计人天 ÷ 21.75&lt;br&gt;预估总成本=Σ（所有团队成本之和）</w:t>
            </w:r>
          </w:p>
        </w:tc>
      </w:tr>
    </w:tbl>
    <w:p w14:paraId="15CBACD9">
      <w:pPr>
        <w:numPr>
          <w:ilvl w:val="0"/>
          <w:numId w:val="7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业务规则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439AC082">
      <w:pPr>
        <w:numPr>
          <w:ilvl w:val="0"/>
          <w:numId w:val="72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人天最小取值为0.5人天，小于0.5人天的按0.5人天取值；</w:t>
      </w:r>
    </w:p>
    <w:p w14:paraId="65BF9C03">
      <w:pPr>
        <w:numPr>
          <w:ilvl w:val="0"/>
          <w:numId w:val="7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系统自动执行合规性校验，各阶段工作量占比需符合以下区间：需求12%-18%、设计12%-20%、研发30%-40%、技术测试15%-25%、性能测试0%-12%、投产上线2%-5%；</w:t>
      </w:r>
    </w:p>
    <w:p w14:paraId="5F0E3C8F">
      <w:pPr>
        <w:numPr>
          <w:ilvl w:val="0"/>
          <w:numId w:val="74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若计算结果超出区间，系统自动调整流程系数以满足区间要求，调整过程完整记录在计算轨迹中；</w:t>
      </w:r>
    </w:p>
    <w:p w14:paraId="634A82E9">
      <w:pPr>
        <w:numPr>
          <w:ilvl w:val="0"/>
          <w:numId w:val="75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各阶段最终占比合计必须为100%。</w:t>
      </w:r>
    </w:p>
    <w:p w14:paraId="6D324FFB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28" w:name="heading_28"/>
      <w:r>
        <w:rPr>
          <w:rFonts w:hint="default" w:ascii="Times New Roman" w:hAnsi="Times New Roman" w:eastAsia="宋体" w:cs="Times New Roman"/>
          <w:b/>
          <w:sz w:val="24"/>
        </w:rPr>
        <w:t>[4.3.2.4](4.3.2.4) 估算结果展示与操作</w:t>
      </w:r>
      <w:bookmarkEnd w:id="28"/>
    </w:p>
    <w:p w14:paraId="5EF8A084">
      <w:pPr>
        <w:numPr>
          <w:ilvl w:val="0"/>
          <w:numId w:val="7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58914685">
      <w:pPr>
        <w:numPr>
          <w:ilvl w:val="0"/>
          <w:numId w:val="77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结果页面分为4个视图标签：总览视图、详细分析视图、合规分析视图、计算轨迹视图，用户可自由切换；</w:t>
      </w:r>
    </w:p>
    <w:p w14:paraId="7DB4CB10">
      <w:pPr>
        <w:numPr>
          <w:ilvl w:val="0"/>
          <w:numId w:val="78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总览视图：顶部展示核心指标卡片（总人天、总计人月、预估总成本、功能模块数量），下方依次展示团队工作量分布饼图、各阶段工作量柱状图；</w:t>
      </w:r>
    </w:p>
    <w:p w14:paraId="59F350A7">
      <w:pPr>
        <w:numPr>
          <w:ilvl w:val="0"/>
          <w:numId w:val="7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详细分析视图：以表格形式展示各阶段工作量、成本、占比明细，以及按功能模块拆分的工作量与成本明细，支持排序、筛选；</w:t>
      </w:r>
    </w:p>
    <w:p w14:paraId="1FB2247E">
      <w:pPr>
        <w:numPr>
          <w:ilvl w:val="0"/>
          <w:numId w:val="8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合规分析视图：展示各阶段工作量占比合规校验结果、系数一致性校验结果，不合规项标红展示；</w:t>
      </w:r>
    </w:p>
    <w:p w14:paraId="5F8A58BE">
      <w:pPr>
        <w:numPr>
          <w:ilvl w:val="0"/>
          <w:numId w:val="81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计算轨迹视图：按功能点展示完整的计算过程，包含功能名称、参数取值、计算公式、计算结果、计算时间，确保全流程可追溯；</w:t>
      </w:r>
    </w:p>
    <w:p w14:paraId="45CD3E0E">
      <w:pPr>
        <w:numPr>
          <w:ilvl w:val="0"/>
          <w:numId w:val="82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页面底部设置两个核心操作按钮：【重新计算】【导出Excel报告】；</w:t>
      </w:r>
    </w:p>
    <w:p w14:paraId="20027648">
      <w:pPr>
        <w:numPr>
          <w:ilvl w:val="0"/>
          <w:numId w:val="8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点击【重新计算】，返回参数配置页面，用户调整参数后可重新执行计算；</w:t>
      </w:r>
    </w:p>
    <w:p w14:paraId="77451A8D">
      <w:pPr>
        <w:numPr>
          <w:ilvl w:val="0"/>
          <w:numId w:val="84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点击【导出Excel报告】，系统自动生成符合公司规范的工作量评估模板Excel文件，自动填充所有估算数据，支持下载保存。</w:t>
      </w:r>
    </w:p>
    <w:p w14:paraId="3281526F">
      <w:pPr>
        <w:numPr>
          <w:ilvl w:val="0"/>
          <w:numId w:val="8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业务规则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5AE22C5C">
      <w:pPr>
        <w:numPr>
          <w:ilvl w:val="0"/>
          <w:numId w:val="86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导出的Excel报告严格遵循公司“项目工作量评估模板_V1.xlsx”规范，包含基础信息区、核心评估区、明细计算区；</w:t>
      </w:r>
    </w:p>
    <w:p w14:paraId="519DB7F6">
      <w:pPr>
        <w:numPr>
          <w:ilvl w:val="0"/>
          <w:numId w:val="87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项目估算数据自动持久化存储，用户可随时从首页进入项目查看历史估算结果；</w:t>
      </w:r>
    </w:p>
    <w:p w14:paraId="298C421C">
      <w:pPr>
        <w:numPr>
          <w:ilvl w:val="0"/>
          <w:numId w:val="88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重新计算后，系统保留历史版本估算记录，支持版本对比查看。</w:t>
      </w:r>
    </w:p>
    <w:p w14:paraId="3C58C99F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29" w:name="heading_29"/>
      <w:r>
        <w:rPr>
          <w:rFonts w:hint="default" w:ascii="Times New Roman" w:hAnsi="Times New Roman" w:eastAsia="宋体" w:cs="Times New Roman"/>
          <w:b/>
          <w:sz w:val="30"/>
        </w:rPr>
        <w:t>4.4 成本核算模块</w:t>
      </w:r>
      <w:bookmarkEnd w:id="29"/>
    </w:p>
    <w:p w14:paraId="2C96E78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本模块为项目实施阶段核心功能，实现项目成本自动识别、精准核算、动态调整，帮助项目经理实时掌握项目可消耗成本与燃尽周期。</w:t>
      </w:r>
    </w:p>
    <w:p w14:paraId="53853695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30" w:name="heading_30"/>
      <w:r>
        <w:rPr>
          <w:rFonts w:hint="default" w:ascii="Times New Roman" w:hAnsi="Times New Roman" w:eastAsia="宋体" w:cs="Times New Roman"/>
          <w:b/>
          <w:sz w:val="28"/>
        </w:rPr>
        <w:t>4.4.1 整体业务流程图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76B6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87F11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用户进入成本核算模块→选择对应项目→上传OA项目截图→系统OCR识别核心字段→展示识别结果→用户核对补充信息、选择成员职级→系统自动核算项目成本→展示核算结果→支持调整人员方案→重新核算→项目数据自动保存</w:t>
            </w:r>
          </w:p>
        </w:tc>
      </w:tr>
    </w:tbl>
    <w:p w14:paraId="30CB32D2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31" w:name="heading_31"/>
      <w:r>
        <w:rPr>
          <w:rFonts w:hint="default" w:ascii="Times New Roman" w:hAnsi="Times New Roman" w:eastAsia="宋体" w:cs="Times New Roman"/>
          <w:b/>
          <w:sz w:val="28"/>
        </w:rPr>
        <w:t>4.4.2 子功能详述</w:t>
      </w:r>
      <w:bookmarkEnd w:id="31"/>
    </w:p>
    <w:p w14:paraId="1B78B16E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32" w:name="heading_32"/>
      <w:r>
        <w:rPr>
          <w:rFonts w:hint="default" w:ascii="Times New Roman" w:hAnsi="Times New Roman" w:eastAsia="宋体" w:cs="Times New Roman"/>
          <w:b/>
          <w:sz w:val="24"/>
        </w:rPr>
        <w:t>[4.4.2.1](4.4.2.1) 图片上传与OCR识别</w:t>
      </w:r>
      <w:bookmarkEnd w:id="32"/>
    </w:p>
    <w:p w14:paraId="0FD7F107">
      <w:pPr>
        <w:numPr>
          <w:ilvl w:val="0"/>
          <w:numId w:val="8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3FEEA7E9">
      <w:pPr>
        <w:numPr>
          <w:ilvl w:val="0"/>
          <w:numId w:val="9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用户进入成本核算模块，选择对应项目后，进入图片上传页面；</w:t>
      </w:r>
    </w:p>
    <w:p w14:paraId="252DE0FD">
      <w:pPr>
        <w:numPr>
          <w:ilvl w:val="0"/>
          <w:numId w:val="91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支持上传1张或多张JPG/PNG格式的OA项目截图，单张图片大小≤5MB；</w:t>
      </w:r>
    </w:p>
    <w:p w14:paraId="6ADCDDFC">
      <w:pPr>
        <w:numPr>
          <w:ilvl w:val="0"/>
          <w:numId w:val="92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上传完成后，系统自动执行OCR识别，实时展示识别进度；</w:t>
      </w:r>
    </w:p>
    <w:p w14:paraId="404B0521">
      <w:pPr>
        <w:numPr>
          <w:ilvl w:val="0"/>
          <w:numId w:val="9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识别完成后，自动跳转至信息确认页面，展示识别结果。</w:t>
      </w:r>
    </w:p>
    <w:p w14:paraId="4220A3EE">
      <w:pPr>
        <w:numPr>
          <w:ilvl w:val="0"/>
          <w:numId w:val="9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业务规则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4CA8D5FE">
      <w:pPr>
        <w:numPr>
          <w:ilvl w:val="0"/>
          <w:numId w:val="95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自动提取字段包含：合同金额、售前比例、税率、外采金额（人力/软件）、当前人力成本、项目成员列表；</w:t>
      </w:r>
    </w:p>
    <w:p w14:paraId="00D0877D">
      <w:pPr>
        <w:numPr>
          <w:ilvl w:val="0"/>
          <w:numId w:val="96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多张图片存在同一字段时，以最后一张图片的识别结果覆盖前置结果；</w:t>
      </w:r>
    </w:p>
    <w:p w14:paraId="48EA50DE">
      <w:pPr>
        <w:numPr>
          <w:ilvl w:val="0"/>
          <w:numId w:val="97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识别为空的字段，允许用户手动填写补充；</w:t>
      </w:r>
    </w:p>
    <w:p w14:paraId="4B925930">
      <w:pPr>
        <w:numPr>
          <w:ilvl w:val="0"/>
          <w:numId w:val="98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识别失败的字段，标红提示用户手动核对补充。</w:t>
      </w:r>
    </w:p>
    <w:p w14:paraId="1269E947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33" w:name="heading_33"/>
      <w:r>
        <w:rPr>
          <w:rFonts w:hint="default" w:ascii="Times New Roman" w:hAnsi="Times New Roman" w:eastAsia="宋体" w:cs="Times New Roman"/>
          <w:b/>
          <w:sz w:val="24"/>
        </w:rPr>
        <w:t>[4.4.2.2](4.4.2.2) 项目信息确认与补充</w:t>
      </w:r>
      <w:bookmarkEnd w:id="33"/>
    </w:p>
    <w:p w14:paraId="32AFD6CB">
      <w:pPr>
        <w:numPr>
          <w:ilvl w:val="0"/>
          <w:numId w:val="9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50C161DC">
      <w:pPr>
        <w:numPr>
          <w:ilvl w:val="0"/>
          <w:numId w:val="10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页面分两部分展示：顶部项目核心财务信息、下方项目成员列表；</w:t>
      </w:r>
    </w:p>
    <w:p w14:paraId="2602BC39">
      <w:pPr>
        <w:numPr>
          <w:ilvl w:val="0"/>
          <w:numId w:val="101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财务信息区域展示OCR识别的合同金额、售前比例、税率等字段，支持用户手动编辑修改；</w:t>
      </w:r>
    </w:p>
    <w:p w14:paraId="7D03C5D2">
      <w:pPr>
        <w:numPr>
          <w:ilvl w:val="0"/>
          <w:numId w:val="102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成员列表区域展示识别的项目成员姓名，每行对应一个成员，设置职级下拉选择框，下拉选项为P5、P6、P7、P8；</w:t>
      </w:r>
    </w:p>
    <w:p w14:paraId="4D613F4B">
      <w:pPr>
        <w:numPr>
          <w:ilvl w:val="0"/>
          <w:numId w:val="10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用户为成员选择职级后，系统自动返显对应日成本，日成本字段自动回填，不允许手动修改；</w:t>
      </w:r>
    </w:p>
    <w:p w14:paraId="7D59EE40">
      <w:pPr>
        <w:numPr>
          <w:ilvl w:val="0"/>
          <w:numId w:val="104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成员必须选择职级，否则无法执行后续成本计算，未选择职级的成员行标红提示。</w:t>
      </w:r>
    </w:p>
    <w:p w14:paraId="090BAA5F">
      <w:pPr>
        <w:numPr>
          <w:ilvl w:val="0"/>
          <w:numId w:val="10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业务规则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19D26AEB">
      <w:pPr>
        <w:numPr>
          <w:ilvl w:val="0"/>
          <w:numId w:val="106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职级与日成本匹配规则：P5=0.16、P6=0.21、P7=0.26、P8=0.36；</w:t>
      </w:r>
    </w:p>
    <w:p w14:paraId="2A18F2B9">
      <w:pPr>
        <w:numPr>
          <w:ilvl w:val="0"/>
          <w:numId w:val="107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支持用户手动新增、删除项目成员，新增成员需填写姓名、选择职级。</w:t>
      </w:r>
    </w:p>
    <w:p w14:paraId="463232CE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34" w:name="heading_34"/>
      <w:r>
        <w:rPr>
          <w:rFonts w:hint="default" w:ascii="Times New Roman" w:hAnsi="Times New Roman" w:eastAsia="宋体" w:cs="Times New Roman"/>
          <w:b/>
          <w:sz w:val="24"/>
        </w:rPr>
        <w:t>[4.4.2.3](4.4.2.3) 项目成本自动核算</w:t>
      </w:r>
      <w:bookmarkEnd w:id="34"/>
    </w:p>
    <w:p w14:paraId="16882B44">
      <w:pPr>
        <w:numPr>
          <w:ilvl w:val="0"/>
          <w:numId w:val="10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091696CD">
      <w:pPr>
        <w:numPr>
          <w:ilvl w:val="0"/>
          <w:numId w:val="10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用户补充完成所有信息后，点击【开始核算】按钮，系统自动执行成本计算；</w:t>
      </w:r>
    </w:p>
    <w:p w14:paraId="74D68DF0">
      <w:pPr>
        <w:numPr>
          <w:ilvl w:val="0"/>
          <w:numId w:val="11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计算完成后，页面以卡片形式展示核心核算结果：可消耗成本、日人力成本、可消耗天数、成本燃尽日期；</w:t>
      </w:r>
    </w:p>
    <w:p w14:paraId="7793D4BE">
      <w:pPr>
        <w:numPr>
          <w:ilvl w:val="0"/>
          <w:numId w:val="111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可消耗成本为负时，数字标红提示“已超支”；日人力成本为0时，提示“无人员成本，无法计算天数”。</w:t>
      </w:r>
    </w:p>
    <w:p w14:paraId="6FE1F182">
      <w:pPr>
        <w:numPr>
          <w:ilvl w:val="0"/>
          <w:numId w:val="11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核心计算公式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1775A981">
      <w:pPr>
        <w:numPr>
          <w:ilvl w:val="0"/>
          <w:numId w:val="11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可消耗成本 = 合同金额 × (1 − 售前比例 − 税率) − 外采人力成本 − 外采软件成本 − 当前已发生人力成本</w:t>
      </w:r>
    </w:p>
    <w:p w14:paraId="510DF238">
      <w:pPr>
        <w:numPr>
          <w:ilvl w:val="0"/>
          <w:numId w:val="114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日人力成本 = 项目所有成员日成本之和</w:t>
      </w:r>
    </w:p>
    <w:p w14:paraId="0AA39E79">
      <w:pPr>
        <w:numPr>
          <w:ilvl w:val="0"/>
          <w:numId w:val="115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可消耗天数 = ROUND(可消耗成本 / 日人力成本, 0)</w:t>
      </w:r>
    </w:p>
    <w:p w14:paraId="3F84C169">
      <w:pPr>
        <w:numPr>
          <w:ilvl w:val="0"/>
          <w:numId w:val="116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成本燃尽日期 = 当前日期 + 可消耗天数（仅计算工作日，剔除周六、周日）</w:t>
      </w:r>
    </w:p>
    <w:p w14:paraId="1EDA83CD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35" w:name="heading_35"/>
      <w:r>
        <w:rPr>
          <w:rFonts w:hint="default" w:ascii="Times New Roman" w:hAnsi="Times New Roman" w:eastAsia="宋体" w:cs="Times New Roman"/>
          <w:b/>
          <w:sz w:val="24"/>
        </w:rPr>
        <w:t>[4.4.2.4](4.4.2.4) 人员方案调整与重算</w:t>
      </w:r>
      <w:bookmarkEnd w:id="35"/>
    </w:p>
    <w:p w14:paraId="3EA31595">
      <w:pPr>
        <w:numPr>
          <w:ilvl w:val="0"/>
          <w:numId w:val="11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03C5F964">
      <w:pPr>
        <w:numPr>
          <w:ilvl w:val="0"/>
          <w:numId w:val="118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核算结果页面设置【调整人员方案】按钮，点击后进入人员调整页面；</w:t>
      </w:r>
    </w:p>
    <w:p w14:paraId="708AA241">
      <w:pPr>
        <w:numPr>
          <w:ilvl w:val="0"/>
          <w:numId w:val="11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支持为现有成员设置离项时间（日期选择器），离项时间为空表示成员在岗至成本耗尽；</w:t>
      </w:r>
    </w:p>
    <w:p w14:paraId="703BA351">
      <w:pPr>
        <w:numPr>
          <w:ilvl w:val="0"/>
          <w:numId w:val="12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支持新增成员，需填写姓名、选择职级、设置入项时间，所有字段为必填；</w:t>
      </w:r>
    </w:p>
    <w:p w14:paraId="60CC5922">
      <w:pPr>
        <w:numPr>
          <w:ilvl w:val="0"/>
          <w:numId w:val="121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支持编辑现有成员信息、删除成员；</w:t>
      </w:r>
    </w:p>
    <w:p w14:paraId="04351AEB">
      <w:pPr>
        <w:numPr>
          <w:ilvl w:val="0"/>
          <w:numId w:val="122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调整完成后，点击【重新计算】按钮，系统按人员入项/离项时间区间，按日逐摊成本，重新核算可消耗天数与燃尽日期；</w:t>
      </w:r>
    </w:p>
    <w:p w14:paraId="3254F13C">
      <w:pPr>
        <w:numPr>
          <w:ilvl w:val="0"/>
          <w:numId w:val="12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重算完成后，更新核算结果，覆盖原有数据，同时保留历史核算记录。</w:t>
      </w:r>
    </w:p>
    <w:p w14:paraId="335B37B9">
      <w:pPr>
        <w:numPr>
          <w:ilvl w:val="0"/>
          <w:numId w:val="12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业务规则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44F5A1F9">
      <w:pPr>
        <w:numPr>
          <w:ilvl w:val="0"/>
          <w:numId w:val="125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入项时间 ≤ 当前系统时间 ≤ 离项时间，否则日期选择器拦截并提示；</w:t>
      </w:r>
    </w:p>
    <w:p w14:paraId="0969F302">
      <w:pPr>
        <w:numPr>
          <w:ilvl w:val="0"/>
          <w:numId w:val="126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人员调整后，必须点击【重新计算】才会更新核算结果，未重新计算的调整不生效；</w:t>
      </w:r>
    </w:p>
    <w:p w14:paraId="608435C6">
      <w:pPr>
        <w:numPr>
          <w:ilvl w:val="0"/>
          <w:numId w:val="127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项目核算全量数据自动持久化存储，支持查看历史核算版本。</w:t>
      </w:r>
    </w:p>
    <w:p w14:paraId="5EB2A48E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36" w:name="heading_36"/>
      <w:r>
        <w:rPr>
          <w:rFonts w:hint="default" w:ascii="Times New Roman" w:hAnsi="Times New Roman" w:eastAsia="宋体" w:cs="Times New Roman"/>
          <w:b/>
          <w:sz w:val="30"/>
        </w:rPr>
        <w:t>4.5 成本监控模块</w:t>
      </w:r>
      <w:bookmarkEnd w:id="36"/>
    </w:p>
    <w:p w14:paraId="2554334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本模块为项目全生命周期核心功能，实现项目成本偏差实时监控、可视化分析、风险预警与优化建议输出。</w:t>
      </w:r>
    </w:p>
    <w:p w14:paraId="136A83AC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37" w:name="heading_37"/>
      <w:r>
        <w:rPr>
          <w:rFonts w:hint="default" w:ascii="Times New Roman" w:hAnsi="Times New Roman" w:eastAsia="宋体" w:cs="Times New Roman"/>
          <w:b/>
          <w:sz w:val="28"/>
        </w:rPr>
        <w:t>4.5.1 整体业务流程图</w:t>
      </w:r>
      <w:bookmarkEnd w:id="3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7596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98896">
            <w:pPr>
              <w:spacing w:before="120" w:after="120" w:line="288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2"/>
              </w:rPr>
              <w:t>用户进入成本监控模块→选择对应项目→上传项目合同、人力、进度等截图→大模型识别提取关键信息→用户确认补充项目信息→选择成本偏差分析基准→系统自动核算阶段/团队成本→执行偏差分析→生成可视化图表与优化建议→项目数据自动保存→风险自动预警</w:t>
            </w:r>
          </w:p>
        </w:tc>
      </w:tr>
    </w:tbl>
    <w:p w14:paraId="0806DBE2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38" w:name="heading_38"/>
      <w:r>
        <w:rPr>
          <w:rFonts w:hint="default" w:ascii="Times New Roman" w:hAnsi="Times New Roman" w:eastAsia="宋体" w:cs="Times New Roman"/>
          <w:b/>
          <w:sz w:val="28"/>
        </w:rPr>
        <w:t>4.5.2 子功能详述</w:t>
      </w:r>
      <w:bookmarkEnd w:id="38"/>
    </w:p>
    <w:p w14:paraId="26B94012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39" w:name="heading_39"/>
      <w:r>
        <w:rPr>
          <w:rFonts w:hint="default" w:ascii="Times New Roman" w:hAnsi="Times New Roman" w:eastAsia="宋体" w:cs="Times New Roman"/>
          <w:b/>
          <w:sz w:val="24"/>
        </w:rPr>
        <w:t>[4.5.2.1](4.5.2.1) 项目信息上传与识别</w:t>
      </w:r>
      <w:bookmarkEnd w:id="39"/>
    </w:p>
    <w:p w14:paraId="4F8F6F43">
      <w:pPr>
        <w:numPr>
          <w:ilvl w:val="0"/>
          <w:numId w:val="12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01F8D446">
      <w:pPr>
        <w:numPr>
          <w:ilvl w:val="0"/>
          <w:numId w:val="12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用户进入成本监控模块，选择对应项目后，进入图片上传页面；</w:t>
      </w:r>
    </w:p>
    <w:p w14:paraId="56B7F79F">
      <w:pPr>
        <w:numPr>
          <w:ilvl w:val="0"/>
          <w:numId w:val="130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支持上传4类截图：项目合同金额截图、项目当前人力成本截图、项目当前成员明细截图、DevOps任务完成情况/项目进度表截图，图片张数不限制，格式仅支持JPG/PNG；</w:t>
      </w:r>
    </w:p>
    <w:p w14:paraId="5C27F470">
      <w:pPr>
        <w:numPr>
          <w:ilvl w:val="0"/>
          <w:numId w:val="131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上传完成后，大模型自动识别提取关键信息，识别完成后跳转至信息确认页面。</w:t>
      </w:r>
    </w:p>
    <w:p w14:paraId="1FFBB559">
      <w:pPr>
        <w:numPr>
          <w:ilvl w:val="0"/>
          <w:numId w:val="13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业务规则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4E364793">
      <w:pPr>
        <w:numPr>
          <w:ilvl w:val="0"/>
          <w:numId w:val="13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自动提取字段包含：项目名称、项目合同金额、项目当前人力成本、项目所有成员信息（姓名、部门、岗位、级别/单价、已报工时）、DevOps任务完成进度；</w:t>
      </w:r>
    </w:p>
    <w:p w14:paraId="75DD13C6">
      <w:pPr>
        <w:numPr>
          <w:ilvl w:val="0"/>
          <w:numId w:val="134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多张图片同一字段冲突时，以最后识别的信息为准；</w:t>
      </w:r>
    </w:p>
    <w:p w14:paraId="600A2840">
      <w:pPr>
        <w:numPr>
          <w:ilvl w:val="0"/>
          <w:numId w:val="135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识别失败/未识别的字段，允许用户手动修改补充。</w:t>
      </w:r>
    </w:p>
    <w:p w14:paraId="5F7525E5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40" w:name="heading_40"/>
      <w:r>
        <w:rPr>
          <w:rFonts w:hint="default" w:ascii="Times New Roman" w:hAnsi="Times New Roman" w:eastAsia="宋体" w:cs="Times New Roman"/>
          <w:b/>
          <w:sz w:val="24"/>
        </w:rPr>
        <w:t>[4.5.2.2](4.5.2.2) 项目信息确认与基准配置</w:t>
      </w:r>
      <w:bookmarkEnd w:id="40"/>
    </w:p>
    <w:p w14:paraId="254A9BC3">
      <w:pPr>
        <w:numPr>
          <w:ilvl w:val="0"/>
          <w:numId w:val="13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70619822">
      <w:pPr>
        <w:numPr>
          <w:ilvl w:val="0"/>
          <w:numId w:val="137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页面顶部展示大模型识别的项目基础信息，支持用户编辑修改；</w:t>
      </w:r>
    </w:p>
    <w:p w14:paraId="727FDCE6">
      <w:pPr>
        <w:numPr>
          <w:ilvl w:val="0"/>
          <w:numId w:val="138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中间区域为项目成员列表，支持用户补充成员职级（下拉选项：P3/P4/P5/P6/P7/P8/外包）、角色、当前已报工时，外包人员单价支持手动编辑；</w:t>
      </w:r>
    </w:p>
    <w:p w14:paraId="791764D2">
      <w:pPr>
        <w:numPr>
          <w:ilvl w:val="0"/>
          <w:numId w:val="13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底部为成本偏差分析基准配置区域，提供两种模式选择：</w:t>
      </w:r>
    </w:p>
    <w:p w14:paraId="26599B0A">
      <w:pPr>
        <w:numPr>
          <w:ilvl w:val="0"/>
          <w:numId w:val="140"/>
        </w:numPr>
        <w:spacing w:before="120" w:after="120" w:line="288" w:lineRule="auto"/>
        <w:ind w:left="907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模式1（推荐）：上传工作量评估附件，大模型自动解析附件，计算各阶段工作量占整体工作量比例，作为基准；</w:t>
      </w:r>
    </w:p>
    <w:p w14:paraId="4FB7AD59">
      <w:pPr>
        <w:numPr>
          <w:ilvl w:val="0"/>
          <w:numId w:val="141"/>
        </w:numPr>
        <w:spacing w:before="120" w:after="120" w:line="288" w:lineRule="auto"/>
        <w:ind w:left="907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模式2：系统默认阶段成本比例，需求15%、设计16%、开发35%、技术测试20%、性能测试8%、投产6%，支持用户手动修改，修改后需保证各阶段比例之和为100%；</w:t>
      </w:r>
    </w:p>
    <w:p w14:paraId="1EAC268A">
      <w:pPr>
        <w:numPr>
          <w:ilvl w:val="0"/>
          <w:numId w:val="142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支持用户填写项目预期利润空间，如20%。</w:t>
      </w:r>
    </w:p>
    <w:p w14:paraId="20AEC7DE">
      <w:pPr>
        <w:numPr>
          <w:ilvl w:val="0"/>
          <w:numId w:val="14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业务规则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325A7F83">
      <w:pPr>
        <w:numPr>
          <w:ilvl w:val="0"/>
          <w:numId w:val="144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职级与日成本匹配规则：P3=0.08、P4=0.11、P5=0.16、P6=0.21、P7=0.26、P8=0.36；</w:t>
      </w:r>
    </w:p>
    <w:p w14:paraId="4D5EAB4C">
      <w:pPr>
        <w:numPr>
          <w:ilvl w:val="0"/>
          <w:numId w:val="145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成员角色可选值：项目负责人、产品经理、UI设计、开发工程师、测试工程师、项目经理、技术经理等；</w:t>
      </w:r>
    </w:p>
    <w:p w14:paraId="7F6B350F">
      <w:pPr>
        <w:numPr>
          <w:ilvl w:val="0"/>
          <w:numId w:val="146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上传的工作量评估附件，必须至少包含项目阶段和工作量2项核心内容，否则解析失败并提示用户重新上传。</w:t>
      </w:r>
    </w:p>
    <w:p w14:paraId="22ECB2AC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41" w:name="heading_41"/>
      <w:r>
        <w:rPr>
          <w:rFonts w:hint="default" w:ascii="Times New Roman" w:hAnsi="Times New Roman" w:eastAsia="宋体" w:cs="Times New Roman"/>
          <w:b/>
          <w:sz w:val="24"/>
        </w:rPr>
        <w:t>[4.5.2.3](4.5.2.3) 成本核算与偏差分析</w:t>
      </w:r>
      <w:bookmarkEnd w:id="41"/>
    </w:p>
    <w:p w14:paraId="6CEE898F">
      <w:pPr>
        <w:numPr>
          <w:ilvl w:val="0"/>
          <w:numId w:val="14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0A241760">
      <w:pPr>
        <w:numPr>
          <w:ilvl w:val="0"/>
          <w:numId w:val="148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用户完成信息确认与基准配置后，点击【开始分析】按钮，系统自动执行成本核算与偏差分析；</w:t>
      </w:r>
    </w:p>
    <w:p w14:paraId="61EF2CAE">
      <w:pPr>
        <w:numPr>
          <w:ilvl w:val="0"/>
          <w:numId w:val="14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分析完成后，跳转至结果展示页面，依次展示核心指标总览、成本消耗与进度比对、偏差可视化图表、优化建议、明细数据。</w:t>
      </w:r>
    </w:p>
    <w:p w14:paraId="1F5939FC">
      <w:pPr>
        <w:numPr>
          <w:ilvl w:val="0"/>
          <w:numId w:val="15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核心计算公式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49207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D6DF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计算维度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F629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核心计算公式</w:t>
            </w:r>
          </w:p>
        </w:tc>
      </w:tr>
      <w:tr w14:paraId="35E454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E54F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各角色阶段成本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ADE3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各角色成本=Σ（各角色人员已报工时/8 ）× 对应单价&lt;br&gt;需求成本=Σ产品经理角色成本&lt;br&gt;设计成本=ΣUI设计成本 + Σ（开发工程师成本+技术经理成本）×0.3&lt;br&gt;开发成本=Σ（开发工程师成本+技术经理成本）×0.7&lt;br&gt;技术测试成本=Σ测试工程师成本 ×0.7&lt;br&gt;性能测试成本=Σ测试工程师成本 ×0.3&lt;br&gt;投产成本=Σ（需求+设计+开发+技术测试+性能测试）成本 ×0.02&lt;br&gt;项目总成本AC=Σ所有成员成本之和</w:t>
            </w:r>
          </w:p>
        </w:tc>
      </w:tr>
      <w:tr w14:paraId="1131D0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ACAB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进度与偏差计算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8CCA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任务完成进度=DevOps已完成任务数/总任务数 ×100%（或用户手动输入）&lt;br&gt;当前成本消耗占比=当前项目总成本 /（项目合同金额 × (1-预期利润比例)）&lt;br&gt;成本偏差=实际成本消耗占比 - 标准阶段成本占比</w:t>
            </w:r>
          </w:p>
        </w:tc>
      </w:tr>
    </w:tbl>
    <w:p w14:paraId="0CCA01CA">
      <w:pPr>
        <w:numPr>
          <w:ilvl w:val="0"/>
          <w:numId w:val="15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业务规则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750D4D0C">
      <w:pPr>
        <w:numPr>
          <w:ilvl w:val="0"/>
          <w:numId w:val="152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若用户上传了工作量评估表，标准阶段成本占比按照工作量评估表计算；若使用系统默认模式，按用户确认的比例计算；</w:t>
      </w:r>
    </w:p>
    <w:p w14:paraId="40CAA440">
      <w:pPr>
        <w:numPr>
          <w:ilvl w:val="0"/>
          <w:numId w:val="15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预期利润空间需覆盖税率、外包采购、售前、硬件设备等固定成本，系统自动校验，若利润空间无法覆盖固定成本，弹窗提醒用户确认。</w:t>
      </w:r>
    </w:p>
    <w:p w14:paraId="1C7218F2">
      <w:pPr>
        <w:spacing w:before="240" w:after="120" w:line="288" w:lineRule="auto"/>
        <w:ind w:left="0"/>
        <w:jc w:val="left"/>
        <w:outlineLvl w:val="4"/>
        <w:rPr>
          <w:rFonts w:hint="default" w:ascii="Times New Roman" w:hAnsi="Times New Roman" w:eastAsia="宋体" w:cs="Times New Roman"/>
        </w:rPr>
      </w:pPr>
      <w:bookmarkStart w:id="42" w:name="heading_42"/>
      <w:r>
        <w:rPr>
          <w:rFonts w:hint="default" w:ascii="Times New Roman" w:hAnsi="Times New Roman" w:eastAsia="宋体" w:cs="Times New Roman"/>
          <w:b/>
          <w:sz w:val="24"/>
        </w:rPr>
        <w:t>[4.5.2.4](4.5.2.4) 结果可视化与智能建议</w:t>
      </w:r>
      <w:bookmarkEnd w:id="42"/>
    </w:p>
    <w:p w14:paraId="3413D33A">
      <w:pPr>
        <w:numPr>
          <w:ilvl w:val="0"/>
          <w:numId w:val="15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交互逻辑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5FEB841D">
      <w:pPr>
        <w:numPr>
          <w:ilvl w:val="0"/>
          <w:numId w:val="155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核心指标总览：卡片式展示项目合同金额、当前成本消耗、任务完成进度、成本偏差结论，成本异常项标红高亮；</w:t>
      </w:r>
    </w:p>
    <w:p w14:paraId="658946F6">
      <w:pPr>
        <w:numPr>
          <w:ilvl w:val="0"/>
          <w:numId w:val="156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成本偏差折线图：横轴为项目阶段（需求、设计、开发、技术测试、性能测试、投产），纵轴为成本占比（%），同时展示实际成本折线与预期成本折线，鼠标悬浮时展示明细数据；</w:t>
      </w:r>
    </w:p>
    <w:p w14:paraId="442EBB79">
      <w:pPr>
        <w:numPr>
          <w:ilvl w:val="0"/>
          <w:numId w:val="157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团队成本双柱形图：横轴为团队（产品、UI、研发、测试、项目管理），纵轴为成本占比（%），同时展示各团队实际成本占比与预期成本占比，鼠标悬浮时展示明细数据；</w:t>
      </w:r>
    </w:p>
    <w:p w14:paraId="0CCC34CB">
      <w:pPr>
        <w:numPr>
          <w:ilvl w:val="0"/>
          <w:numId w:val="158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智能优化建议区域：大模型基于成本偏差、进度情况、团队成本使用情况，自动生成人员调整、成本优化建议，包含具体调整动作与执行后的预期效果；</w:t>
      </w:r>
    </w:p>
    <w:p w14:paraId="32769B1F">
      <w:pPr>
        <w:numPr>
          <w:ilvl w:val="0"/>
          <w:numId w:val="159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详细成本分析区域：表格形式展示每个项目成员、每个阶段的成本明细，支持筛选、导出。</w:t>
      </w:r>
    </w:p>
    <w:p w14:paraId="65A3A58B">
      <w:pPr>
        <w:numPr>
          <w:ilvl w:val="0"/>
          <w:numId w:val="16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业务规则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79A8686B">
      <w:pPr>
        <w:numPr>
          <w:ilvl w:val="0"/>
          <w:numId w:val="161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成本偏差结论分为三类：正常（偏差±5%以内）、偏高（偏差＞5%）、偏低（偏差＜-5%）；</w:t>
      </w:r>
    </w:p>
    <w:p w14:paraId="19731BAD">
      <w:pPr>
        <w:numPr>
          <w:ilvl w:val="0"/>
          <w:numId w:val="162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成本偏差＞10%、预算可消耗天数＜7天的项目，自动触发红色预警，推送至首页仪表盘；</w:t>
      </w:r>
    </w:p>
    <w:p w14:paraId="24F4E079">
      <w:pPr>
        <w:numPr>
          <w:ilvl w:val="0"/>
          <w:numId w:val="163"/>
        </w:numPr>
        <w:spacing w:before="120" w:after="120" w:line="288" w:lineRule="auto"/>
        <w:ind w:left="453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所有分析数据自动持久化存储，支持按周/月查看历史偏差趋势。</w:t>
      </w:r>
    </w:p>
    <w:p w14:paraId="32FFCA1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59676F3A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43" w:name="heading_47"/>
      <w:bookmarkStart w:id="54" w:name="_GoBack"/>
      <w:bookmarkEnd w:id="54"/>
      <w:r>
        <w:rPr>
          <w:rFonts w:hint="default" w:ascii="Times New Roman" w:hAnsi="Times New Roman" w:eastAsia="宋体" w:cs="Times New Roman"/>
          <w:b/>
          <w:sz w:val="32"/>
        </w:rPr>
        <w:t>六、验收标准</w:t>
      </w:r>
      <w:bookmarkEnd w:id="43"/>
    </w:p>
    <w:p w14:paraId="0178E0ED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44" w:name="heading_48"/>
      <w:r>
        <w:rPr>
          <w:rFonts w:hint="default" w:ascii="Times New Roman" w:hAnsi="Times New Roman" w:eastAsia="宋体" w:cs="Times New Roman"/>
          <w:b/>
          <w:sz w:val="30"/>
        </w:rPr>
        <w:t>6.1 功能验收标准</w:t>
      </w:r>
      <w:bookmarkEnd w:id="44"/>
    </w:p>
    <w:p w14:paraId="55392B6E">
      <w:pPr>
        <w:numPr>
          <w:ilvl w:val="0"/>
          <w:numId w:val="16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所有Must、Should优先级的功能点100%实现，与PRD功能描述一致，无功能遗漏；</w:t>
      </w:r>
    </w:p>
    <w:p w14:paraId="572ECE62">
      <w:pPr>
        <w:numPr>
          <w:ilvl w:val="0"/>
          <w:numId w:val="16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每个功能点的测试用例通过率100%，无阻断性、严重级别的bug，一般bug修复率≥95%；</w:t>
      </w:r>
    </w:p>
    <w:p w14:paraId="370A670D">
      <w:pPr>
        <w:numPr>
          <w:ilvl w:val="0"/>
          <w:numId w:val="16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核心业务流程全链路跑通：需求文档上传→估算参数配置→工作量计算→结果导出；截图上传→OCR识别→成本核算→人员调整重算；信息上传→偏差分析→可视化展示，全流程无阻断；</w:t>
      </w:r>
    </w:p>
    <w:p w14:paraId="07877DEC">
      <w:pPr>
        <w:numPr>
          <w:ilvl w:val="0"/>
          <w:numId w:val="16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业务规则执行准确率100%：工作量计算、成本核算、偏差分析的结果，与PRD中公式计算结果完全一致，无计算错误；</w:t>
      </w:r>
    </w:p>
    <w:p w14:paraId="7B56C364">
      <w:pPr>
        <w:numPr>
          <w:ilvl w:val="0"/>
          <w:numId w:val="16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权限隔离机制100%有效：不同用户之间无法查看、编辑对方的项目数据，无越权访问、数据泄露问题；</w:t>
      </w:r>
    </w:p>
    <w:p w14:paraId="4919BAE0">
      <w:pPr>
        <w:numPr>
          <w:ilvl w:val="0"/>
          <w:numId w:val="16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OCR识别准确率≥90%，字段提取错误支持手动修正，修正后可正常参与计算；</w:t>
      </w:r>
    </w:p>
    <w:p w14:paraId="34543EC0">
      <w:pPr>
        <w:numPr>
          <w:ilvl w:val="0"/>
          <w:numId w:val="17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文档导出功能正常，导出的Excel报告符合公司模板规范，数据完整无缺失。</w:t>
      </w:r>
    </w:p>
    <w:p w14:paraId="3BA5A203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45" w:name="heading_49"/>
      <w:r>
        <w:rPr>
          <w:rFonts w:hint="default" w:ascii="Times New Roman" w:hAnsi="Times New Roman" w:eastAsia="宋体" w:cs="Times New Roman"/>
          <w:b/>
          <w:sz w:val="30"/>
        </w:rPr>
        <w:t>6.2 性能验收标准</w:t>
      </w:r>
      <w:bookmarkEnd w:id="45"/>
    </w:p>
    <w:p w14:paraId="37089430">
      <w:pPr>
        <w:numPr>
          <w:ilvl w:val="0"/>
          <w:numId w:val="17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页面加载响应时间≤3秒，普通接口响应时间≤2秒；</w:t>
      </w:r>
    </w:p>
    <w:p w14:paraId="095D2703">
      <w:pPr>
        <w:numPr>
          <w:ilvl w:val="0"/>
          <w:numId w:val="17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需求文档解析与成本估算计算时间≤10秒（100页以内文档）；</w:t>
      </w:r>
    </w:p>
    <w:p w14:paraId="1D10C06B">
      <w:pPr>
        <w:numPr>
          <w:ilvl w:val="0"/>
          <w:numId w:val="17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OCR识别与成本核算计算时间≤3秒；</w:t>
      </w:r>
    </w:p>
    <w:p w14:paraId="7291C021">
      <w:pPr>
        <w:numPr>
          <w:ilvl w:val="0"/>
          <w:numId w:val="17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系统支持≥200个并发用户同时在线操作，无卡顿、无数据异常；</w:t>
      </w:r>
    </w:p>
    <w:p w14:paraId="7684D2B0">
      <w:pPr>
        <w:numPr>
          <w:ilvl w:val="0"/>
          <w:numId w:val="17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系统全年可用率≥99.9%，月度非计划停机时间≤43分钟；</w:t>
      </w:r>
    </w:p>
    <w:p w14:paraId="54233D98">
      <w:pPr>
        <w:numPr>
          <w:ilvl w:val="0"/>
          <w:numId w:val="17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数据统计、页面刷新延迟≤3秒，无数据加载失败、展示错误问题。</w:t>
      </w:r>
    </w:p>
    <w:p w14:paraId="12F32820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46" w:name="heading_50"/>
      <w:r>
        <w:rPr>
          <w:rFonts w:hint="default" w:ascii="Times New Roman" w:hAnsi="Times New Roman" w:eastAsia="宋体" w:cs="Times New Roman"/>
          <w:b/>
          <w:sz w:val="30"/>
        </w:rPr>
        <w:t>6.3 安全验收标准</w:t>
      </w:r>
      <w:bookmarkEnd w:id="46"/>
    </w:p>
    <w:p w14:paraId="45521038">
      <w:pPr>
        <w:numPr>
          <w:ilvl w:val="0"/>
          <w:numId w:val="17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系统符合国家网络安全等级保护2.0三级要求，通过第三方等保测评；</w:t>
      </w:r>
    </w:p>
    <w:p w14:paraId="19D1C034">
      <w:pPr>
        <w:numPr>
          <w:ilvl w:val="0"/>
          <w:numId w:val="17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用户账号密码采用国密算法加密存储与传输，无明文存储、传输问题；</w:t>
      </w:r>
    </w:p>
    <w:p w14:paraId="0E655E36">
      <w:pPr>
        <w:numPr>
          <w:ilvl w:val="0"/>
          <w:numId w:val="17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系统具备防SQL注入、防XSS攻击、防CSRF攻击、防越权访问的能力，通过第三方渗透测试，无高危安全漏洞；</w:t>
      </w:r>
    </w:p>
    <w:p w14:paraId="451236BE">
      <w:pPr>
        <w:numPr>
          <w:ilvl w:val="0"/>
          <w:numId w:val="18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用户全量操作日志完整记录，不可篡改，留存时间≥6个月，满足审计要求；</w:t>
      </w:r>
    </w:p>
    <w:p w14:paraId="20D1EA99">
      <w:pPr>
        <w:numPr>
          <w:ilvl w:val="0"/>
          <w:numId w:val="18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项目数据按用户级强隔离，存储加密，备份机制完善，数据可恢复率100%；</w:t>
      </w:r>
    </w:p>
    <w:p w14:paraId="702F8BE8">
      <w:pPr>
        <w:numPr>
          <w:ilvl w:val="0"/>
          <w:numId w:val="18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大模型输出内容无幻觉、无敏感信息、无违规内容，符合金融行业合规要求。</w:t>
      </w:r>
    </w:p>
    <w:p w14:paraId="3D91BFAE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47" w:name="heading_51"/>
      <w:r>
        <w:rPr>
          <w:rFonts w:hint="default" w:ascii="Times New Roman" w:hAnsi="Times New Roman" w:eastAsia="宋体" w:cs="Times New Roman"/>
          <w:b/>
          <w:sz w:val="30"/>
        </w:rPr>
        <w:t>6.4 用户体验验收标准</w:t>
      </w:r>
      <w:bookmarkEnd w:id="47"/>
    </w:p>
    <w:p w14:paraId="4A18B01C">
      <w:pPr>
        <w:numPr>
          <w:ilvl w:val="0"/>
          <w:numId w:val="183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核心业务操作路径步骤≤5步，用户可快速完成核心功能操作，无复杂的跳转与操作；</w:t>
      </w:r>
    </w:p>
    <w:p w14:paraId="7D5CBF02">
      <w:pPr>
        <w:numPr>
          <w:ilvl w:val="0"/>
          <w:numId w:val="184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页面交互符合金融行业系统设计规范，逻辑清晰，提示明确，无歧义、无误导性内容；</w:t>
      </w:r>
    </w:p>
    <w:p w14:paraId="068D8381">
      <w:pPr>
        <w:numPr>
          <w:ilvl w:val="0"/>
          <w:numId w:val="185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异常情况有明确的错误提示与解决方案，用户可自行解决基础操作问题；</w:t>
      </w:r>
    </w:p>
    <w:p w14:paraId="03B031D8">
      <w:pPr>
        <w:numPr>
          <w:ilvl w:val="0"/>
          <w:numId w:val="186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提供完整的用户操作手册，新用户通过手册可独立完成系统全功能操作；</w:t>
      </w:r>
    </w:p>
    <w:p w14:paraId="14CBA03B">
      <w:pPr>
        <w:numPr>
          <w:ilvl w:val="0"/>
          <w:numId w:val="187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核心用户验收满意度≥4.5/5，核心功能用户使用率≥90%。</w:t>
      </w:r>
    </w:p>
    <w:p w14:paraId="06D3DD8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65A7786B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48" w:name="heading_52"/>
      <w:r>
        <w:rPr>
          <w:rFonts w:hint="default" w:ascii="Times New Roman" w:hAnsi="Times New Roman" w:eastAsia="宋体" w:cs="Times New Roman"/>
          <w:b/>
          <w:sz w:val="32"/>
        </w:rPr>
        <w:t>七、风险与依赖</w:t>
      </w:r>
      <w:bookmarkEnd w:id="48"/>
    </w:p>
    <w:p w14:paraId="34D25055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49" w:name="heading_53"/>
      <w:r>
        <w:rPr>
          <w:rFonts w:hint="default" w:ascii="Times New Roman" w:hAnsi="Times New Roman" w:eastAsia="宋体" w:cs="Times New Roman"/>
          <w:b/>
          <w:sz w:val="30"/>
        </w:rPr>
        <w:t>7.1 核心风险与应对措施</w:t>
      </w:r>
      <w:bookmarkEnd w:id="4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9B9E7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5407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风险类别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05A9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风险描述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29AD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风险等级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5D59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发生概率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4715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应对措施</w:t>
            </w:r>
          </w:p>
        </w:tc>
      </w:tr>
      <w:tr w14:paraId="526048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350F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业务风险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1654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公司项目管理制度、成本估算规则发生变更，导致系统业务规则需要大规模调整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77B7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F48F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7928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需求阶段与项目管理部、财务部确认最终的业务规则与制度规范，冻结核心规则；&lt;br&gt;2. 系统设计采用参数化、可配置化架构，规则变更无需修改核心代码，仅需调整配置参数；&lt;br&gt;3. 建立业务规则变更管控流程，重大变更走需求变更审批。</w:t>
            </w:r>
          </w:p>
        </w:tc>
      </w:tr>
      <w:tr w14:paraId="02528B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670A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业务风险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F8D9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一线项目经理用户接受度低，仍习惯手工操作，系统使用率不达预期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DEBA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1310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0C4C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需求阶段邀请核心项目经理深度参与，确保功能贴合实际工作场景；&lt;br&gt;2. 优先解决项目经理最高频的痛点需求，快速体现产品价值；&lt;br&gt;3. 上线后组织分批次手把手培训，制作简易操作视频与手册；&lt;br&gt;4. 联合PMO推动系统在全行项目中落地使用，将系统输出的估算报告作为项目立项必备材料。</w:t>
            </w:r>
          </w:p>
        </w:tc>
      </w:tr>
      <w:tr w14:paraId="5AA427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7A03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技术风险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4722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OCR识别、大模型文档解析准确率不足，无法满足业务需求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7997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F022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734D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前期完成多轮OCR、大模型能力测试，选择适配金融文档场景的模型服务；&lt;br&gt;2. 针对公司需求文档、OA截图场景，对模型进行微调优化，提升识别准确率；&lt;br&gt;3. 产品设计上支持用户手动修改、补充识别结果，不阻断业务流程；&lt;br&gt;4. 建立识别结果反馈机制，持续优化模型效果。</w:t>
            </w:r>
          </w:p>
        </w:tc>
      </w:tr>
      <w:tr w14:paraId="599752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C953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技术风险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BB4D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大模型输出内容出现幻觉，导致估算结果、优化建议不符合公司规范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55A3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11A7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BBF4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采用RAG检索增强生成技术，将公司项目管理制度、规范、模板构建为向量知识库，大模型输出严格基于知识库内容；&lt;br&gt;2. 建立多层合规校验机制，输出内容先经过规则引擎校验，不符合规范的自动拦截或修正；&lt;br&gt;3. 所有计算结果基于固定公式与参数，大模型仅负责内容解析与建议输出，不参与核心数值计算，从根源上避免计算错误。</w:t>
            </w:r>
          </w:p>
        </w:tc>
      </w:tr>
      <w:tr w14:paraId="13E86C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C1A4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技术风险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8C12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系统对接OA、财务、DevOps系统时，接口权限申请不通过、接口规范不兼容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C796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5B1A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5EB4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前期与对应系统管理部门提前沟通，确认接口对接可行性与权限范围；&lt;br&gt;2. 设计上优先支持截图OCR识别模式，接口对接作为扩展能力，不影响核心功能落地；&lt;br&gt;3. 采用适配器模式设计接口对接模块，适配不同系统的接口规范，降低耦合度。</w:t>
            </w:r>
          </w:p>
        </w:tc>
      </w:tr>
      <w:tr w14:paraId="136471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71D1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135B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开发资源不足，核心开发人员变动，导致项目进度延期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B20B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1A30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5DC7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项目启动前锁定核心开发团队，明确人员职责与投入时间；&lt;br&gt;2. 制定详细的周度实施计划，每周召开项目例会，及时跟进进度，解决堵点问题；&lt;br&gt;3. 预留2周的缓冲期，应对突发的人员变动、需求调整问题；&lt;br&gt;4. 核心代码、文档做好沉淀，避免人员变动导致的知识断层。</w:t>
            </w:r>
          </w:p>
        </w:tc>
      </w:tr>
      <w:tr w14:paraId="2F0F9B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CC6F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项目风险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24B6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需求范围蔓延，频繁新增、变更需求，导致项目延期、质量下降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D31D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B903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30%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846A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1. 需求阶段完成PRD评审与签字确认，冻结核心需求；&lt;br&gt;2. 建立严格的需求变更管控流程，新增/变更需求需提交变更申请，评估对进度、成本的影响，审批通过后方可纳入开发；&lt;br&gt;3. 非核心需求纳入后续迭代版本，确保MVP版本按时交付。</w:t>
            </w:r>
          </w:p>
        </w:tc>
      </w:tr>
    </w:tbl>
    <w:p w14:paraId="528247D0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50" w:name="heading_54"/>
      <w:r>
        <w:rPr>
          <w:rFonts w:hint="default" w:ascii="Times New Roman" w:hAnsi="Times New Roman" w:eastAsia="宋体" w:cs="Times New Roman"/>
          <w:b/>
          <w:sz w:val="30"/>
        </w:rPr>
        <w:t>7.2 依赖项</w:t>
      </w:r>
      <w:bookmarkEnd w:id="50"/>
    </w:p>
    <w:p w14:paraId="55DEADF5">
      <w:pPr>
        <w:numPr>
          <w:ilvl w:val="0"/>
          <w:numId w:val="188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能力依赖</w:t>
      </w:r>
      <w:r>
        <w:rPr>
          <w:rFonts w:hint="default" w:ascii="Times New Roman" w:hAnsi="Times New Roman" w:eastAsia="宋体" w:cs="Times New Roman"/>
          <w:sz w:val="22"/>
        </w:rPr>
        <w:t>：依赖稳定的OCR识别服务、金融行业适配的大模型服务，需提前完成服务选型与采购；</w:t>
      </w:r>
    </w:p>
    <w:p w14:paraId="377B61BB">
      <w:pPr>
        <w:numPr>
          <w:ilvl w:val="0"/>
          <w:numId w:val="189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系统对接依赖</w:t>
      </w:r>
      <w:r>
        <w:rPr>
          <w:rFonts w:hint="default" w:ascii="Times New Roman" w:hAnsi="Times New Roman" w:eastAsia="宋体" w:cs="Times New Roman"/>
          <w:sz w:val="22"/>
        </w:rPr>
        <w:t>：V2.0版本需依赖公司OA系统、财务系统、DevOps系统的接口权限与对接规范，需对应系统管理部门配合；</w:t>
      </w:r>
    </w:p>
    <w:p w14:paraId="762AE36B">
      <w:pPr>
        <w:numPr>
          <w:ilvl w:val="0"/>
          <w:numId w:val="190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业务规范依赖</w:t>
      </w:r>
      <w:r>
        <w:rPr>
          <w:rFonts w:hint="default" w:ascii="Times New Roman" w:hAnsi="Times New Roman" w:eastAsia="宋体" w:cs="Times New Roman"/>
          <w:sz w:val="22"/>
        </w:rPr>
        <w:t>：依赖项目管理部、财务部确认的全行统一项目成本估算规则、参数基准、核算规范，需业务部门最终签字确认；</w:t>
      </w:r>
    </w:p>
    <w:p w14:paraId="0D76BC81">
      <w:pPr>
        <w:numPr>
          <w:ilvl w:val="0"/>
          <w:numId w:val="191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环境依赖</w:t>
      </w:r>
      <w:r>
        <w:rPr>
          <w:rFonts w:hint="default" w:ascii="Times New Roman" w:hAnsi="Times New Roman" w:eastAsia="宋体" w:cs="Times New Roman"/>
          <w:sz w:val="22"/>
        </w:rPr>
        <w:t>：依赖公司内部服务器、数据库、容器云等基础设施资源，需提前完成资源申请与部署；</w:t>
      </w:r>
    </w:p>
    <w:p w14:paraId="1ACFC091">
      <w:pPr>
        <w:numPr>
          <w:ilvl w:val="0"/>
          <w:numId w:val="192"/>
        </w:num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组织依赖</w:t>
      </w:r>
      <w:r>
        <w:rPr>
          <w:rFonts w:hint="default" w:ascii="Times New Roman" w:hAnsi="Times New Roman" w:eastAsia="宋体" w:cs="Times New Roman"/>
          <w:sz w:val="22"/>
        </w:rPr>
        <w:t>：依赖项目管理部、PMO推动系统在全行项目中的落地使用，需业务部门配合完成用户培训与推广。</w:t>
      </w:r>
    </w:p>
    <w:p w14:paraId="7BEEB72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4E9068A0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51" w:name="heading_55"/>
      <w:r>
        <w:rPr>
          <w:rFonts w:hint="default" w:ascii="Times New Roman" w:hAnsi="Times New Roman" w:eastAsia="宋体" w:cs="Times New Roman"/>
          <w:b/>
          <w:sz w:val="32"/>
        </w:rPr>
        <w:t>八、附录</w:t>
      </w:r>
      <w:bookmarkEnd w:id="51"/>
    </w:p>
    <w:p w14:paraId="60866DD8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52" w:name="heading_56"/>
      <w:r>
        <w:rPr>
          <w:rFonts w:hint="default" w:ascii="Times New Roman" w:hAnsi="Times New Roman" w:eastAsia="宋体" w:cs="Times New Roman"/>
          <w:b/>
          <w:sz w:val="30"/>
        </w:rPr>
        <w:t>8.1 术语表</w:t>
      </w:r>
      <w:bookmarkEnd w:id="5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91416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E7D5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术语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60A3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全称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1821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详细定义</w:t>
            </w:r>
          </w:p>
        </w:tc>
      </w:tr>
      <w:tr w14:paraId="48AC54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9992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PRD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9E09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产品需求文档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73CC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本文档，用于定义产品的需求背景、功能描述、交互逻辑、业务规则、验收标准等，是产品开发、测试、验收的核心依据</w:t>
            </w:r>
          </w:p>
        </w:tc>
      </w:tr>
      <w:tr w14:paraId="6EA5EA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49D8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WBS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3A88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工作分解结构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FA73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将项目需求拆解为可执行的工作项，用于工作量评估与项目排期</w:t>
            </w:r>
          </w:p>
        </w:tc>
      </w:tr>
      <w:tr w14:paraId="6A97A6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3A16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OCR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7762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光学字符识别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FD66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用于识别图片中的文字信息，提取项目财务、人力等核心字段</w:t>
            </w:r>
          </w:p>
        </w:tc>
      </w:tr>
      <w:tr w14:paraId="1F4B69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C187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RAG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5E6B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检索增强生成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5F48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基于向量知识库检索的大模型生成增强技术，用于消除大模型幻觉，确保输出内容合规准确</w:t>
            </w:r>
          </w:p>
        </w:tc>
      </w:tr>
      <w:tr w14:paraId="6F903E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73F1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3DED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成本绩效指数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33C9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项目成本控制效率指标，=挣值/实际成本，＜1表示成本超支</w:t>
            </w:r>
          </w:p>
        </w:tc>
      </w:tr>
      <w:tr w14:paraId="14C972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8462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SPI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3576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进度绩效指数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B985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项目进度控制效率指标，=挣值/计划值，＜1表示进度滞后</w:t>
            </w:r>
          </w:p>
        </w:tc>
      </w:tr>
      <w:tr w14:paraId="026323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7014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燃尽日期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A09D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预算燃尽日期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F134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按照当前日人力成本消耗，项目预算可消耗的截止日期</w:t>
            </w:r>
          </w:p>
        </w:tc>
      </w:tr>
    </w:tbl>
    <w:p w14:paraId="1823C42F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53" w:name="heading_57"/>
      <w:r>
        <w:rPr>
          <w:rFonts w:hint="default" w:ascii="Times New Roman" w:hAnsi="Times New Roman" w:eastAsia="宋体" w:cs="Times New Roman"/>
          <w:b/>
          <w:sz w:val="30"/>
        </w:rPr>
        <w:t>8.2 核心数据指标定义</w:t>
      </w:r>
      <w:bookmarkEnd w:id="5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C3E05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87E7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指标名称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3598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计算公式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955D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指标说明</w:t>
            </w:r>
          </w:p>
        </w:tc>
      </w:tr>
      <w:tr w14:paraId="346A8C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A532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需求评估周期缩短率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9A57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（人工评估平均时长-系统评估平均时长）/ 人工评估平均时长 ×100%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2A5E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衡量系统对需求评估效率的提升效果</w:t>
            </w:r>
          </w:p>
        </w:tc>
      </w:tr>
      <w:tr w14:paraId="71C776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AB84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成本估算偏差率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4B6F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丨项目估算成本-项目实际结算成本丨 / 项目实际结算成本 ×100%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F609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衡量成本估算的准确率</w:t>
            </w:r>
          </w:p>
        </w:tc>
      </w:tr>
      <w:tr w14:paraId="0AF9F7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D41A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项目成本超支率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CEE0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（项目实际成本-项目预算成本）/ 项目预算成本 ×100%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3518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衡量项目成本管控效果</w:t>
            </w:r>
          </w:p>
        </w:tc>
      </w:tr>
      <w:tr w14:paraId="4AB357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3F4D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风险提前识别率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B4C5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系统提前预警的风险数 / 项目实际发生的风险数 ×100%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891B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衡量系统风险预警能力</w:t>
            </w:r>
          </w:p>
        </w:tc>
      </w:tr>
      <w:tr w14:paraId="1753F2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9AE4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系统用户使用率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8F4F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月度活跃使用系统的项目经理数 / 全行项目经理总数 ×100%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FE59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衡量系统的推广落地效果</w:t>
            </w:r>
          </w:p>
        </w:tc>
      </w:tr>
      <w:tr w14:paraId="72F67E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CE4E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事务工作时间释放率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30FD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（使用前事务工作平均时长-使用后事务工作平均时长）/ 使用前事务工作平均时长 ×100%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E25E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衡量系统对项目经理的提效效果</w:t>
            </w:r>
          </w:p>
        </w:tc>
      </w:tr>
    </w:tbl>
    <w:p w14:paraId="6BB70A8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7968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F391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87B75F0A"/>
    <w:multiLevelType w:val="singleLevel"/>
    <w:tmpl w:val="87B75F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883B3669"/>
    <w:multiLevelType w:val="singleLevel"/>
    <w:tmpl w:val="883B366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91B69C97"/>
    <w:multiLevelType w:val="singleLevel"/>
    <w:tmpl w:val="91B69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930EE254"/>
    <w:multiLevelType w:val="singleLevel"/>
    <w:tmpl w:val="930EE2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9377BC45"/>
    <w:multiLevelType w:val="singleLevel"/>
    <w:tmpl w:val="9377BC4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941D12A9"/>
    <w:multiLevelType w:val="singleLevel"/>
    <w:tmpl w:val="941D12A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95E682A1"/>
    <w:multiLevelType w:val="singleLevel"/>
    <w:tmpl w:val="95E682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98CD717A"/>
    <w:multiLevelType w:val="singleLevel"/>
    <w:tmpl w:val="98CD717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9ACF65A0"/>
    <w:multiLevelType w:val="singleLevel"/>
    <w:tmpl w:val="9ACF65A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9C11E984"/>
    <w:multiLevelType w:val="singleLevel"/>
    <w:tmpl w:val="9C11E9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9C7198AA"/>
    <w:multiLevelType w:val="singleLevel"/>
    <w:tmpl w:val="9C7198A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9D5D7490"/>
    <w:multiLevelType w:val="singleLevel"/>
    <w:tmpl w:val="9D5D749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9D7EB8E6"/>
    <w:multiLevelType w:val="singleLevel"/>
    <w:tmpl w:val="9D7EB8E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9DFC6F65"/>
    <w:multiLevelType w:val="singleLevel"/>
    <w:tmpl w:val="9DFC6F6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9F81B9F9"/>
    <w:multiLevelType w:val="singleLevel"/>
    <w:tmpl w:val="9F81B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A0C93552"/>
    <w:multiLevelType w:val="singleLevel"/>
    <w:tmpl w:val="A0C935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A5435042"/>
    <w:multiLevelType w:val="singleLevel"/>
    <w:tmpl w:val="A543504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A97D620A"/>
    <w:multiLevelType w:val="singleLevel"/>
    <w:tmpl w:val="A97D62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A9AC3AA7"/>
    <w:multiLevelType w:val="singleLevel"/>
    <w:tmpl w:val="A9AC3A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AAF3F3FA"/>
    <w:multiLevelType w:val="singleLevel"/>
    <w:tmpl w:val="AAF3F3F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B08374AC"/>
    <w:multiLevelType w:val="singleLevel"/>
    <w:tmpl w:val="B08374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B0ED9BEA"/>
    <w:multiLevelType w:val="singleLevel"/>
    <w:tmpl w:val="B0ED9B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B1CC6FF1"/>
    <w:multiLevelType w:val="singleLevel"/>
    <w:tmpl w:val="B1CC6FF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B4E02BC3"/>
    <w:multiLevelType w:val="singleLevel"/>
    <w:tmpl w:val="B4E02BC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B53F3350"/>
    <w:multiLevelType w:val="singleLevel"/>
    <w:tmpl w:val="B53F335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B5601969"/>
    <w:multiLevelType w:val="singleLevel"/>
    <w:tmpl w:val="B560196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">
    <w:nsid w:val="B5CF74F5"/>
    <w:multiLevelType w:val="singleLevel"/>
    <w:tmpl w:val="B5CF74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BC837A95"/>
    <w:multiLevelType w:val="singleLevel"/>
    <w:tmpl w:val="BC837A9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5">
    <w:nsid w:val="BCECA0B4"/>
    <w:multiLevelType w:val="singleLevel"/>
    <w:tmpl w:val="BCECA0B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BDA1395C"/>
    <w:multiLevelType w:val="singleLevel"/>
    <w:tmpl w:val="BDA1395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BE8A4F4C"/>
    <w:multiLevelType w:val="singleLevel"/>
    <w:tmpl w:val="BE8A4F4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0">
    <w:nsid w:val="BF50FE6B"/>
    <w:multiLevelType w:val="singleLevel"/>
    <w:tmpl w:val="BF50FE6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C0283A65"/>
    <w:multiLevelType w:val="singleLevel"/>
    <w:tmpl w:val="C0283A6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2">
    <w:nsid w:val="C0915F4F"/>
    <w:multiLevelType w:val="singleLevel"/>
    <w:tmpl w:val="C0915F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C4E0D24A"/>
    <w:multiLevelType w:val="singleLevel"/>
    <w:tmpl w:val="C4E0D24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4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5">
    <w:nsid w:val="C90D1B09"/>
    <w:multiLevelType w:val="singleLevel"/>
    <w:tmpl w:val="C90D1B0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6">
    <w:nsid w:val="C9412743"/>
    <w:multiLevelType w:val="singleLevel"/>
    <w:tmpl w:val="C941274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CB94649F"/>
    <w:multiLevelType w:val="singleLevel"/>
    <w:tmpl w:val="CB94649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CD699D1D"/>
    <w:multiLevelType w:val="singleLevel"/>
    <w:tmpl w:val="CD699D1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D1EB1714"/>
    <w:multiLevelType w:val="singleLevel"/>
    <w:tmpl w:val="D1EB171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1">
    <w:nsid w:val="D5F12F34"/>
    <w:multiLevelType w:val="singleLevel"/>
    <w:tmpl w:val="D5F12F3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2">
    <w:nsid w:val="D7936317"/>
    <w:multiLevelType w:val="singleLevel"/>
    <w:tmpl w:val="D793631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D7D140E4"/>
    <w:multiLevelType w:val="singleLevel"/>
    <w:tmpl w:val="D7D140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4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5">
    <w:nsid w:val="DAD3A854"/>
    <w:multiLevelType w:val="singleLevel"/>
    <w:tmpl w:val="DAD3A8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DAE62134"/>
    <w:multiLevelType w:val="singleLevel"/>
    <w:tmpl w:val="DAE621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E0294EC7"/>
    <w:multiLevelType w:val="singleLevel"/>
    <w:tmpl w:val="E0294EC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9">
    <w:nsid w:val="E093A4B0"/>
    <w:multiLevelType w:val="singleLevel"/>
    <w:tmpl w:val="E093A4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0">
    <w:nsid w:val="E43A772E"/>
    <w:multiLevelType w:val="singleLevel"/>
    <w:tmpl w:val="E43A772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E504947C"/>
    <w:multiLevelType w:val="singleLevel"/>
    <w:tmpl w:val="E50494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E52D9448"/>
    <w:multiLevelType w:val="singleLevel"/>
    <w:tmpl w:val="E52D944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E7B27C5B"/>
    <w:multiLevelType w:val="singleLevel"/>
    <w:tmpl w:val="E7B27C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4">
    <w:nsid w:val="EA28CC15"/>
    <w:multiLevelType w:val="singleLevel"/>
    <w:tmpl w:val="EA28CC1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5">
    <w:nsid w:val="F066642F"/>
    <w:multiLevelType w:val="singleLevel"/>
    <w:tmpl w:val="F066642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6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F1FCDEFA"/>
    <w:multiLevelType w:val="singleLevel"/>
    <w:tmpl w:val="F1FCDE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8">
    <w:nsid w:val="F237ACA1"/>
    <w:multiLevelType w:val="singleLevel"/>
    <w:tmpl w:val="F237ACA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9">
    <w:nsid w:val="F2A81E1A"/>
    <w:multiLevelType w:val="singleLevel"/>
    <w:tmpl w:val="F2A81E1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F30FC083"/>
    <w:multiLevelType w:val="singleLevel"/>
    <w:tmpl w:val="F30FC08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1">
    <w:nsid w:val="F3A33954"/>
    <w:multiLevelType w:val="singleLevel"/>
    <w:tmpl w:val="F3A33954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82">
    <w:nsid w:val="F46CCC20"/>
    <w:multiLevelType w:val="singleLevel"/>
    <w:tmpl w:val="F46CCC2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F4A942FE"/>
    <w:multiLevelType w:val="singleLevel"/>
    <w:tmpl w:val="F4A942FE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84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5">
    <w:nsid w:val="F585BF25"/>
    <w:multiLevelType w:val="singleLevel"/>
    <w:tmpl w:val="F585BF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6">
    <w:nsid w:val="F689643B"/>
    <w:multiLevelType w:val="singleLevel"/>
    <w:tmpl w:val="F68964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7">
    <w:nsid w:val="F7735DC9"/>
    <w:multiLevelType w:val="singleLevel"/>
    <w:tmpl w:val="F7735DC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8">
    <w:nsid w:val="F9718D3C"/>
    <w:multiLevelType w:val="singleLevel"/>
    <w:tmpl w:val="F9718D3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9">
    <w:nsid w:val="FCC85EE2"/>
    <w:multiLevelType w:val="singleLevel"/>
    <w:tmpl w:val="FCC85EE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0">
    <w:nsid w:val="FEC2EA36"/>
    <w:multiLevelType w:val="singleLevel"/>
    <w:tmpl w:val="FEC2EA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2">
    <w:nsid w:val="01836A6D"/>
    <w:multiLevelType w:val="singleLevel"/>
    <w:tmpl w:val="01836A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3">
    <w:nsid w:val="01D7E1C7"/>
    <w:multiLevelType w:val="singleLevel"/>
    <w:tmpl w:val="01D7E1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4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5">
    <w:nsid w:val="03A63A41"/>
    <w:multiLevelType w:val="singleLevel"/>
    <w:tmpl w:val="03A63A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6">
    <w:nsid w:val="03C240C0"/>
    <w:multiLevelType w:val="singleLevel"/>
    <w:tmpl w:val="03C240C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7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8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9">
    <w:nsid w:val="07F5BCC3"/>
    <w:multiLevelType w:val="singleLevel"/>
    <w:tmpl w:val="07F5BCC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0">
    <w:nsid w:val="0C0E1E13"/>
    <w:multiLevelType w:val="singleLevel"/>
    <w:tmpl w:val="0C0E1E1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1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2">
    <w:nsid w:val="0DC629B0"/>
    <w:multiLevelType w:val="singleLevel"/>
    <w:tmpl w:val="0DC629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3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4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5">
    <w:nsid w:val="10D591E5"/>
    <w:multiLevelType w:val="singleLevel"/>
    <w:tmpl w:val="10D591E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6">
    <w:nsid w:val="10F0DB0B"/>
    <w:multiLevelType w:val="singleLevel"/>
    <w:tmpl w:val="10F0DB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7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8">
    <w:nsid w:val="1450273B"/>
    <w:multiLevelType w:val="singleLevel"/>
    <w:tmpl w:val="145027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9">
    <w:nsid w:val="1483906D"/>
    <w:multiLevelType w:val="singleLevel"/>
    <w:tmpl w:val="148390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0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1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2">
    <w:nsid w:val="1AD50295"/>
    <w:multiLevelType w:val="singleLevel"/>
    <w:tmpl w:val="1AD5029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3">
    <w:nsid w:val="1B3FCE26"/>
    <w:multiLevelType w:val="singleLevel"/>
    <w:tmpl w:val="1B3FC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4">
    <w:nsid w:val="1BCBBCF0"/>
    <w:multiLevelType w:val="singleLevel"/>
    <w:tmpl w:val="1BCBBCF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5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6">
    <w:nsid w:val="2007DCFD"/>
    <w:multiLevelType w:val="singleLevel"/>
    <w:tmpl w:val="2007DCF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7">
    <w:nsid w:val="21B3B1B1"/>
    <w:multiLevelType w:val="singleLevel"/>
    <w:tmpl w:val="21B3B1B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8">
    <w:nsid w:val="227C9188"/>
    <w:multiLevelType w:val="singleLevel"/>
    <w:tmpl w:val="227C918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9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0">
    <w:nsid w:val="243FCF68"/>
    <w:multiLevelType w:val="singleLevel"/>
    <w:tmpl w:val="243FCF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1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2">
    <w:nsid w:val="251342A6"/>
    <w:multiLevelType w:val="singleLevel"/>
    <w:tmpl w:val="251342A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3">
    <w:nsid w:val="252BF6AB"/>
    <w:multiLevelType w:val="singleLevel"/>
    <w:tmpl w:val="252BF6A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4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5">
    <w:nsid w:val="269945CE"/>
    <w:multiLevelType w:val="singleLevel"/>
    <w:tmpl w:val="269945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6">
    <w:nsid w:val="274D3D9B"/>
    <w:multiLevelType w:val="singleLevel"/>
    <w:tmpl w:val="274D3D9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7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8">
    <w:nsid w:val="2B3F3F89"/>
    <w:multiLevelType w:val="singleLevel"/>
    <w:tmpl w:val="2B3F3F8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9">
    <w:nsid w:val="2F2D79CE"/>
    <w:multiLevelType w:val="singleLevel"/>
    <w:tmpl w:val="2F2D79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0">
    <w:nsid w:val="30A0AC00"/>
    <w:multiLevelType w:val="singleLevel"/>
    <w:tmpl w:val="30A0AC0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1">
    <w:nsid w:val="30FC5B15"/>
    <w:multiLevelType w:val="singleLevel"/>
    <w:tmpl w:val="30FC5B1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2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3">
    <w:nsid w:val="329A4FD1"/>
    <w:multiLevelType w:val="singleLevel"/>
    <w:tmpl w:val="329A4FD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4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5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6">
    <w:nsid w:val="35ECE9CB"/>
    <w:multiLevelType w:val="singleLevel"/>
    <w:tmpl w:val="35ECE9C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7">
    <w:nsid w:val="38EAC418"/>
    <w:multiLevelType w:val="singleLevel"/>
    <w:tmpl w:val="38EAC41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8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9">
    <w:nsid w:val="3A7FBA26"/>
    <w:multiLevelType w:val="singleLevel"/>
    <w:tmpl w:val="3A7FBA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0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1">
    <w:nsid w:val="3D950AF9"/>
    <w:multiLevelType w:val="singleLevel"/>
    <w:tmpl w:val="3D950A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2">
    <w:nsid w:val="3FE315B6"/>
    <w:multiLevelType w:val="singleLevel"/>
    <w:tmpl w:val="3FE315B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3">
    <w:nsid w:val="408860E8"/>
    <w:multiLevelType w:val="singleLevel"/>
    <w:tmpl w:val="408860E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4">
    <w:nsid w:val="40B249F9"/>
    <w:multiLevelType w:val="singleLevel"/>
    <w:tmpl w:val="40B24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5">
    <w:nsid w:val="40F245EA"/>
    <w:multiLevelType w:val="singleLevel"/>
    <w:tmpl w:val="40F245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6">
    <w:nsid w:val="4258023A"/>
    <w:multiLevelType w:val="singleLevel"/>
    <w:tmpl w:val="4258023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7">
    <w:nsid w:val="429CD0B5"/>
    <w:multiLevelType w:val="singleLevel"/>
    <w:tmpl w:val="429CD0B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8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9">
    <w:nsid w:val="4A51D704"/>
    <w:multiLevelType w:val="singleLevel"/>
    <w:tmpl w:val="4A51D70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0">
    <w:nsid w:val="4AD1D84F"/>
    <w:multiLevelType w:val="singleLevel"/>
    <w:tmpl w:val="4AD1D8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1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2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3">
    <w:nsid w:val="4CD1E351"/>
    <w:multiLevelType w:val="singleLevel"/>
    <w:tmpl w:val="4CD1E35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4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5">
    <w:nsid w:val="4D63189B"/>
    <w:multiLevelType w:val="singleLevel"/>
    <w:tmpl w:val="4D63189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6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7">
    <w:nsid w:val="4F00C6B4"/>
    <w:multiLevelType w:val="singleLevel"/>
    <w:tmpl w:val="4F00C6B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8">
    <w:nsid w:val="4FA7FC34"/>
    <w:multiLevelType w:val="singleLevel"/>
    <w:tmpl w:val="4FA7FC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9">
    <w:nsid w:val="4FB438A5"/>
    <w:multiLevelType w:val="singleLevel"/>
    <w:tmpl w:val="4FB438A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0">
    <w:nsid w:val="51C4BC33"/>
    <w:multiLevelType w:val="singleLevel"/>
    <w:tmpl w:val="51C4BC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1">
    <w:nsid w:val="54701CA1"/>
    <w:multiLevelType w:val="singleLevel"/>
    <w:tmpl w:val="54701CA1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62">
    <w:nsid w:val="58765686"/>
    <w:multiLevelType w:val="singleLevel"/>
    <w:tmpl w:val="5876568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4">
    <w:nsid w:val="59EEFD2A"/>
    <w:multiLevelType w:val="singleLevel"/>
    <w:tmpl w:val="59EEFD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5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6">
    <w:nsid w:val="5A8377A7"/>
    <w:multiLevelType w:val="singleLevel"/>
    <w:tmpl w:val="5A8377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7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8">
    <w:nsid w:val="5FCE4367"/>
    <w:multiLevelType w:val="singleLevel"/>
    <w:tmpl w:val="5FCE4367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69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0">
    <w:nsid w:val="60382F6E"/>
    <w:multiLevelType w:val="singleLevel"/>
    <w:tmpl w:val="60382F6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1">
    <w:nsid w:val="610EFE5C"/>
    <w:multiLevelType w:val="singleLevel"/>
    <w:tmpl w:val="610EFE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2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3">
    <w:nsid w:val="63B12E74"/>
    <w:multiLevelType w:val="singleLevel"/>
    <w:tmpl w:val="63B12E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4">
    <w:nsid w:val="64C0CB79"/>
    <w:multiLevelType w:val="singleLevel"/>
    <w:tmpl w:val="64C0CB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5">
    <w:nsid w:val="659EB354"/>
    <w:multiLevelType w:val="singleLevel"/>
    <w:tmpl w:val="659EB35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6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7">
    <w:nsid w:val="68B298F7"/>
    <w:multiLevelType w:val="singleLevel"/>
    <w:tmpl w:val="68B298F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8">
    <w:nsid w:val="6AFC2A1C"/>
    <w:multiLevelType w:val="singleLevel"/>
    <w:tmpl w:val="6AFC2A1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9">
    <w:nsid w:val="6C0BE2D1"/>
    <w:multiLevelType w:val="singleLevel"/>
    <w:tmpl w:val="6C0BE2D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0">
    <w:nsid w:val="6D423078"/>
    <w:multiLevelType w:val="singleLevel"/>
    <w:tmpl w:val="6D4230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1">
    <w:nsid w:val="700FDCEF"/>
    <w:multiLevelType w:val="singleLevel"/>
    <w:tmpl w:val="700FDC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2">
    <w:nsid w:val="70F95E71"/>
    <w:multiLevelType w:val="singleLevel"/>
    <w:tmpl w:val="70F95E7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83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4">
    <w:nsid w:val="744F3566"/>
    <w:multiLevelType w:val="singleLevel"/>
    <w:tmpl w:val="744F35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5">
    <w:nsid w:val="7499D7B3"/>
    <w:multiLevelType w:val="singleLevel"/>
    <w:tmpl w:val="7499D7B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6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7">
    <w:nsid w:val="77633216"/>
    <w:multiLevelType w:val="singleLevel"/>
    <w:tmpl w:val="7763321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8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9">
    <w:nsid w:val="79AA4FA4"/>
    <w:multiLevelType w:val="singleLevel"/>
    <w:tmpl w:val="79AA4FA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90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1">
    <w:nsid w:val="7DEC2089"/>
    <w:multiLevelType w:val="singleLevel"/>
    <w:tmpl w:val="7DEC2089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91"/>
  </w:num>
  <w:num w:numId="2">
    <w:abstractNumId w:val="59"/>
  </w:num>
  <w:num w:numId="3">
    <w:abstractNumId w:val="163"/>
  </w:num>
  <w:num w:numId="4">
    <w:abstractNumId w:val="49"/>
  </w:num>
  <w:num w:numId="5">
    <w:abstractNumId w:val="40"/>
  </w:num>
  <w:num w:numId="6">
    <w:abstractNumId w:val="97"/>
  </w:num>
  <w:num w:numId="7">
    <w:abstractNumId w:val="124"/>
  </w:num>
  <w:num w:numId="8">
    <w:abstractNumId w:val="183"/>
  </w:num>
  <w:num w:numId="9">
    <w:abstractNumId w:val="94"/>
  </w:num>
  <w:num w:numId="10">
    <w:abstractNumId w:val="10"/>
  </w:num>
  <w:num w:numId="11">
    <w:abstractNumId w:val="127"/>
  </w:num>
  <w:num w:numId="12">
    <w:abstractNumId w:val="165"/>
  </w:num>
  <w:num w:numId="13">
    <w:abstractNumId w:val="54"/>
  </w:num>
  <w:num w:numId="14">
    <w:abstractNumId w:val="154"/>
  </w:num>
  <w:num w:numId="15">
    <w:abstractNumId w:val="84"/>
  </w:num>
  <w:num w:numId="16">
    <w:abstractNumId w:val="121"/>
  </w:num>
  <w:num w:numId="17">
    <w:abstractNumId w:val="67"/>
  </w:num>
  <w:num w:numId="18">
    <w:abstractNumId w:val="64"/>
  </w:num>
  <w:num w:numId="19">
    <w:abstractNumId w:val="20"/>
  </w:num>
  <w:num w:numId="20">
    <w:abstractNumId w:val="151"/>
  </w:num>
  <w:num w:numId="21">
    <w:abstractNumId w:val="170"/>
  </w:num>
  <w:num w:numId="22">
    <w:abstractNumId w:val="103"/>
  </w:num>
  <w:num w:numId="23">
    <w:abstractNumId w:val="148"/>
  </w:num>
  <w:num w:numId="24">
    <w:abstractNumId w:val="33"/>
  </w:num>
  <w:num w:numId="25">
    <w:abstractNumId w:val="190"/>
  </w:num>
  <w:num w:numId="26">
    <w:abstractNumId w:val="188"/>
  </w:num>
  <w:num w:numId="27">
    <w:abstractNumId w:val="48"/>
  </w:num>
  <w:num w:numId="28">
    <w:abstractNumId w:val="172"/>
  </w:num>
  <w:num w:numId="29">
    <w:abstractNumId w:val="11"/>
  </w:num>
  <w:num w:numId="30">
    <w:abstractNumId w:val="138"/>
  </w:num>
  <w:num w:numId="31">
    <w:abstractNumId w:val="4"/>
  </w:num>
  <w:num w:numId="32">
    <w:abstractNumId w:val="162"/>
  </w:num>
  <w:num w:numId="33">
    <w:abstractNumId w:val="191"/>
  </w:num>
  <w:num w:numId="34">
    <w:abstractNumId w:val="1"/>
  </w:num>
  <w:num w:numId="35">
    <w:abstractNumId w:val="120"/>
  </w:num>
  <w:num w:numId="36">
    <w:abstractNumId w:val="156"/>
  </w:num>
  <w:num w:numId="37">
    <w:abstractNumId w:val="87"/>
  </w:num>
  <w:num w:numId="38">
    <w:abstractNumId w:val="69"/>
  </w:num>
  <w:num w:numId="39">
    <w:abstractNumId w:val="131"/>
  </w:num>
  <w:num w:numId="40">
    <w:abstractNumId w:val="189"/>
  </w:num>
  <w:num w:numId="41">
    <w:abstractNumId w:val="43"/>
  </w:num>
  <w:num w:numId="42">
    <w:abstractNumId w:val="8"/>
  </w:num>
  <w:num w:numId="43">
    <w:abstractNumId w:val="42"/>
  </w:num>
  <w:num w:numId="44">
    <w:abstractNumId w:val="167"/>
  </w:num>
  <w:num w:numId="45">
    <w:abstractNumId w:val="3"/>
  </w:num>
  <w:num w:numId="46">
    <w:abstractNumId w:val="111"/>
  </w:num>
  <w:num w:numId="47">
    <w:abstractNumId w:val="7"/>
  </w:num>
  <w:num w:numId="48">
    <w:abstractNumId w:val="169"/>
  </w:num>
  <w:num w:numId="49">
    <w:abstractNumId w:val="186"/>
  </w:num>
  <w:num w:numId="50">
    <w:abstractNumId w:val="152"/>
  </w:num>
  <w:num w:numId="51">
    <w:abstractNumId w:val="132"/>
  </w:num>
  <w:num w:numId="52">
    <w:abstractNumId w:val="176"/>
  </w:num>
  <w:num w:numId="53">
    <w:abstractNumId w:val="98"/>
  </w:num>
  <w:num w:numId="54">
    <w:abstractNumId w:val="101"/>
  </w:num>
  <w:num w:numId="55">
    <w:abstractNumId w:val="63"/>
  </w:num>
  <w:num w:numId="56">
    <w:abstractNumId w:val="134"/>
  </w:num>
  <w:num w:numId="57">
    <w:abstractNumId w:val="115"/>
  </w:num>
  <w:num w:numId="58">
    <w:abstractNumId w:val="76"/>
  </w:num>
  <w:num w:numId="59">
    <w:abstractNumId w:val="119"/>
  </w:num>
  <w:num w:numId="60">
    <w:abstractNumId w:val="37"/>
  </w:num>
  <w:num w:numId="61">
    <w:abstractNumId w:val="144"/>
  </w:num>
  <w:num w:numId="62">
    <w:abstractNumId w:val="104"/>
  </w:num>
  <w:num w:numId="63">
    <w:abstractNumId w:val="135"/>
  </w:num>
  <w:num w:numId="64">
    <w:abstractNumId w:val="95"/>
  </w:num>
  <w:num w:numId="65">
    <w:abstractNumId w:val="52"/>
  </w:num>
  <w:num w:numId="66">
    <w:abstractNumId w:val="107"/>
  </w:num>
  <w:num w:numId="67">
    <w:abstractNumId w:val="35"/>
  </w:num>
  <w:num w:numId="68">
    <w:abstractNumId w:val="140"/>
  </w:num>
  <w:num w:numId="69">
    <w:abstractNumId w:val="26"/>
  </w:num>
  <w:num w:numId="70">
    <w:abstractNumId w:val="86"/>
  </w:num>
  <w:num w:numId="71">
    <w:abstractNumId w:val="130"/>
  </w:num>
  <w:num w:numId="72">
    <w:abstractNumId w:val="90"/>
  </w:num>
  <w:num w:numId="73">
    <w:abstractNumId w:val="110"/>
  </w:num>
  <w:num w:numId="74">
    <w:abstractNumId w:val="181"/>
  </w:num>
  <w:num w:numId="75">
    <w:abstractNumId w:val="71"/>
  </w:num>
  <w:num w:numId="76">
    <w:abstractNumId w:val="53"/>
  </w:num>
  <w:num w:numId="77">
    <w:abstractNumId w:val="25"/>
  </w:num>
  <w:num w:numId="78">
    <w:abstractNumId w:val="187"/>
  </w:num>
  <w:num w:numId="79">
    <w:abstractNumId w:val="65"/>
  </w:num>
  <w:num w:numId="80">
    <w:abstractNumId w:val="41"/>
  </w:num>
  <w:num w:numId="81">
    <w:abstractNumId w:val="129"/>
  </w:num>
  <w:num w:numId="82">
    <w:abstractNumId w:val="73"/>
  </w:num>
  <w:num w:numId="83">
    <w:abstractNumId w:val="17"/>
  </w:num>
  <w:num w:numId="84">
    <w:abstractNumId w:val="164"/>
  </w:num>
  <w:num w:numId="85">
    <w:abstractNumId w:val="46"/>
  </w:num>
  <w:num w:numId="86">
    <w:abstractNumId w:val="32"/>
  </w:num>
  <w:num w:numId="87">
    <w:abstractNumId w:val="13"/>
  </w:num>
  <w:num w:numId="88">
    <w:abstractNumId w:val="21"/>
  </w:num>
  <w:num w:numId="89">
    <w:abstractNumId w:val="30"/>
  </w:num>
  <w:num w:numId="90">
    <w:abstractNumId w:val="9"/>
  </w:num>
  <w:num w:numId="91">
    <w:abstractNumId w:val="114"/>
  </w:num>
  <w:num w:numId="92">
    <w:abstractNumId w:val="47"/>
  </w:num>
  <w:num w:numId="93">
    <w:abstractNumId w:val="108"/>
  </w:num>
  <w:num w:numId="94">
    <w:abstractNumId w:val="60"/>
  </w:num>
  <w:num w:numId="95">
    <w:abstractNumId w:val="177"/>
  </w:num>
  <w:num w:numId="96">
    <w:abstractNumId w:val="0"/>
  </w:num>
  <w:num w:numId="97">
    <w:abstractNumId w:val="45"/>
  </w:num>
  <w:num w:numId="98">
    <w:abstractNumId w:val="85"/>
  </w:num>
  <w:num w:numId="99">
    <w:abstractNumId w:val="153"/>
  </w:num>
  <w:num w:numId="100">
    <w:abstractNumId w:val="105"/>
  </w:num>
  <w:num w:numId="101">
    <w:abstractNumId w:val="18"/>
  </w:num>
  <w:num w:numId="102">
    <w:abstractNumId w:val="68"/>
  </w:num>
  <w:num w:numId="103">
    <w:abstractNumId w:val="112"/>
  </w:num>
  <w:num w:numId="104">
    <w:abstractNumId w:val="149"/>
  </w:num>
  <w:num w:numId="105">
    <w:abstractNumId w:val="29"/>
  </w:num>
  <w:num w:numId="106">
    <w:abstractNumId w:val="171"/>
  </w:num>
  <w:num w:numId="107">
    <w:abstractNumId w:val="2"/>
  </w:num>
  <w:num w:numId="108">
    <w:abstractNumId w:val="6"/>
  </w:num>
  <w:num w:numId="109">
    <w:abstractNumId w:val="92"/>
  </w:num>
  <w:num w:numId="110">
    <w:abstractNumId w:val="24"/>
  </w:num>
  <w:num w:numId="111">
    <w:abstractNumId w:val="50"/>
  </w:num>
  <w:num w:numId="112">
    <w:abstractNumId w:val="55"/>
  </w:num>
  <w:num w:numId="113">
    <w:abstractNumId w:val="83"/>
  </w:num>
  <w:num w:numId="114">
    <w:abstractNumId w:val="168"/>
  </w:num>
  <w:num w:numId="115">
    <w:abstractNumId w:val="81"/>
  </w:num>
  <w:num w:numId="116">
    <w:abstractNumId w:val="161"/>
  </w:num>
  <w:num w:numId="117">
    <w:abstractNumId w:val="117"/>
  </w:num>
  <w:num w:numId="118">
    <w:abstractNumId w:val="16"/>
  </w:num>
  <w:num w:numId="119">
    <w:abstractNumId w:val="96"/>
  </w:num>
  <w:num w:numId="120">
    <w:abstractNumId w:val="23"/>
  </w:num>
  <w:num w:numId="121">
    <w:abstractNumId w:val="128"/>
  </w:num>
  <w:num w:numId="122">
    <w:abstractNumId w:val="160"/>
  </w:num>
  <w:num w:numId="123">
    <w:abstractNumId w:val="58"/>
  </w:num>
  <w:num w:numId="124">
    <w:abstractNumId w:val="19"/>
  </w:num>
  <w:num w:numId="125">
    <w:abstractNumId w:val="122"/>
  </w:num>
  <w:num w:numId="126">
    <w:abstractNumId w:val="145"/>
  </w:num>
  <w:num w:numId="127">
    <w:abstractNumId w:val="106"/>
  </w:num>
  <w:num w:numId="128">
    <w:abstractNumId w:val="155"/>
  </w:num>
  <w:num w:numId="129">
    <w:abstractNumId w:val="159"/>
  </w:num>
  <w:num w:numId="130">
    <w:abstractNumId w:val="118"/>
  </w:num>
  <w:num w:numId="131">
    <w:abstractNumId w:val="72"/>
  </w:num>
  <w:num w:numId="132">
    <w:abstractNumId w:val="22"/>
  </w:num>
  <w:num w:numId="133">
    <w:abstractNumId w:val="139"/>
  </w:num>
  <w:num w:numId="134">
    <w:abstractNumId w:val="142"/>
  </w:num>
  <w:num w:numId="135">
    <w:abstractNumId w:val="102"/>
  </w:num>
  <w:num w:numId="136">
    <w:abstractNumId w:val="180"/>
  </w:num>
  <w:num w:numId="137">
    <w:abstractNumId w:val="70"/>
  </w:num>
  <w:num w:numId="138">
    <w:abstractNumId w:val="116"/>
  </w:num>
  <w:num w:numId="139">
    <w:abstractNumId w:val="100"/>
  </w:num>
  <w:num w:numId="140">
    <w:abstractNumId w:val="74"/>
  </w:num>
  <w:num w:numId="141">
    <w:abstractNumId w:val="78"/>
  </w:num>
  <w:num w:numId="142">
    <w:abstractNumId w:val="62"/>
  </w:num>
  <w:num w:numId="143">
    <w:abstractNumId w:val="146"/>
  </w:num>
  <w:num w:numId="144">
    <w:abstractNumId w:val="82"/>
  </w:num>
  <w:num w:numId="145">
    <w:abstractNumId w:val="15"/>
  </w:num>
  <w:num w:numId="146">
    <w:abstractNumId w:val="77"/>
  </w:num>
  <w:num w:numId="147">
    <w:abstractNumId w:val="93"/>
  </w:num>
  <w:num w:numId="148">
    <w:abstractNumId w:val="56"/>
  </w:num>
  <w:num w:numId="149">
    <w:abstractNumId w:val="137"/>
  </w:num>
  <w:num w:numId="150">
    <w:abstractNumId w:val="178"/>
  </w:num>
  <w:num w:numId="151">
    <w:abstractNumId w:val="66"/>
  </w:num>
  <w:num w:numId="152">
    <w:abstractNumId w:val="28"/>
  </w:num>
  <w:num w:numId="153">
    <w:abstractNumId w:val="5"/>
  </w:num>
  <w:num w:numId="154">
    <w:abstractNumId w:val="31"/>
  </w:num>
  <w:num w:numId="155">
    <w:abstractNumId w:val="99"/>
  </w:num>
  <w:num w:numId="156">
    <w:abstractNumId w:val="36"/>
  </w:num>
  <w:num w:numId="157">
    <w:abstractNumId w:val="79"/>
  </w:num>
  <w:num w:numId="158">
    <w:abstractNumId w:val="123"/>
  </w:num>
  <w:num w:numId="159">
    <w:abstractNumId w:val="150"/>
  </w:num>
  <w:num w:numId="160">
    <w:abstractNumId w:val="34"/>
  </w:num>
  <w:num w:numId="161">
    <w:abstractNumId w:val="141"/>
  </w:num>
  <w:num w:numId="162">
    <w:abstractNumId w:val="113"/>
  </w:num>
  <w:num w:numId="163">
    <w:abstractNumId w:val="109"/>
  </w:num>
  <w:num w:numId="164">
    <w:abstractNumId w:val="88"/>
  </w:num>
  <w:num w:numId="165">
    <w:abstractNumId w:val="136"/>
  </w:num>
  <w:num w:numId="166">
    <w:abstractNumId w:val="51"/>
  </w:num>
  <w:num w:numId="167">
    <w:abstractNumId w:val="158"/>
  </w:num>
  <w:num w:numId="168">
    <w:abstractNumId w:val="143"/>
  </w:num>
  <w:num w:numId="169">
    <w:abstractNumId w:val="126"/>
  </w:num>
  <w:num w:numId="170">
    <w:abstractNumId w:val="75"/>
  </w:num>
  <w:num w:numId="171">
    <w:abstractNumId w:val="27"/>
  </w:num>
  <w:num w:numId="172">
    <w:abstractNumId w:val="185"/>
  </w:num>
  <w:num w:numId="173">
    <w:abstractNumId w:val="125"/>
  </w:num>
  <w:num w:numId="174">
    <w:abstractNumId w:val="179"/>
  </w:num>
  <w:num w:numId="175">
    <w:abstractNumId w:val="14"/>
  </w:num>
  <w:num w:numId="176">
    <w:abstractNumId w:val="175"/>
  </w:num>
  <w:num w:numId="177">
    <w:abstractNumId w:val="57"/>
  </w:num>
  <w:num w:numId="178">
    <w:abstractNumId w:val="173"/>
  </w:num>
  <w:num w:numId="179">
    <w:abstractNumId w:val="133"/>
  </w:num>
  <w:num w:numId="180">
    <w:abstractNumId w:val="184"/>
  </w:num>
  <w:num w:numId="181">
    <w:abstractNumId w:val="182"/>
  </w:num>
  <w:num w:numId="182">
    <w:abstractNumId w:val="61"/>
  </w:num>
  <w:num w:numId="183">
    <w:abstractNumId w:val="80"/>
  </w:num>
  <w:num w:numId="184">
    <w:abstractNumId w:val="89"/>
  </w:num>
  <w:num w:numId="185">
    <w:abstractNumId w:val="12"/>
  </w:num>
  <w:num w:numId="186">
    <w:abstractNumId w:val="38"/>
  </w:num>
  <w:num w:numId="187">
    <w:abstractNumId w:val="147"/>
  </w:num>
  <w:num w:numId="188">
    <w:abstractNumId w:val="39"/>
  </w:num>
  <w:num w:numId="189">
    <w:abstractNumId w:val="174"/>
  </w:num>
  <w:num w:numId="190">
    <w:abstractNumId w:val="157"/>
  </w:num>
  <w:num w:numId="191">
    <w:abstractNumId w:val="166"/>
  </w:num>
  <w:num w:numId="192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100D43"/>
    <w:rsid w:val="2EB23BE8"/>
    <w:rsid w:val="34FB227B"/>
    <w:rsid w:val="382611A3"/>
    <w:rsid w:val="59CF2FF0"/>
    <w:rsid w:val="687C2595"/>
    <w:rsid w:val="7CFC55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7160</Words>
  <Characters>7841</Characters>
  <TotalTime>3</TotalTime>
  <ScaleCrop>false</ScaleCrop>
  <LinksUpToDate>false</LinksUpToDate>
  <CharactersWithSpaces>8170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2026-04-03T04:09:00Z</dcterms:created>
  <dc:creator>Apache POI</dc:creator>
  <cp:lastModifiedBy>飘毅</cp:lastModifiedBy>
  <dcterms:modified xsi:type="dcterms:W3CDTF">2026-04-03T04:13:30Z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eyJoZGlkIjoiMzAwMWI1ZDlhZmExYzYzYmM4MTA2YmU3ZDYxZTczNmEiLCJ1c2VySWQiOiIxNjUxNzkxNzE3In0=</vt:lpwstr>
  </property>
  <property fmtid="{D5CDD505-2E9C-101B-9397-08002B2CF9AE}" pid="3" name="KSOProductBuildVer">
    <vt:lpwstr>2052-12.1.0.25225</vt:lpwstr>
  </property>
  <property fmtid="{D5CDD505-2E9C-101B-9397-08002B2CF9AE}" pid="4" name="ICV">
    <vt:lpwstr>AA02D402905649A59EA3B48657A0CF20_13</vt:lpwstr>
  </property>
</Properties>
</file>