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Service Deployment Runbook</w:t>
      </w:r>
    </w:p>
    <w:p>
      <w:pPr>
        <w:jc w:val="center"/>
      </w:pPr>
      <w:r>
        <w:t>Synthetic fixture for DOCX structure extraction</w:t>
      </w:r>
    </w:p>
    <w:p>
      <w:pPr>
        <w:pStyle w:val="Heading1"/>
      </w:pPr>
      <w:r>
        <w:t>1. Purpose</w:t>
      </w:r>
    </w:p>
    <w:p>
      <w:r>
        <w:t>This runbook describes the repeatable deployment process for a FastAPI service. It is deliberately concise and contains headings, lists, tables, and code blocks.</w:t>
      </w:r>
    </w:p>
    <w:p>
      <w:pPr>
        <w:pStyle w:val="Heading1"/>
      </w:pPr>
      <w:r>
        <w:t>2. Prerequisites</w:t>
      </w:r>
    </w:p>
    <w:p>
      <w:pPr>
        <w:pStyle w:val="ListBullet"/>
      </w:pPr>
      <w:r>
        <w:t>A reviewed release tag.</w:t>
      </w:r>
    </w:p>
    <w:p>
      <w:pPr>
        <w:pStyle w:val="ListBullet"/>
      </w:pPr>
      <w:r>
        <w:t>A validated environment configuration.</w:t>
      </w:r>
    </w:p>
    <w:p>
      <w:pPr>
        <w:pStyle w:val="ListBullet"/>
      </w:pPr>
      <w:r>
        <w:t>Access to the deployment target and application logs.</w:t>
      </w:r>
    </w:p>
    <w:p>
      <w:pPr>
        <w:pStyle w:val="Heading1"/>
      </w:pPr>
      <w:r>
        <w:t>3.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APP_ENV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Selects the runtime environment.</w:t>
            </w:r>
          </w:p>
        </w:tc>
      </w:tr>
      <w:tr>
        <w:tc>
          <w:tcPr>
            <w:tcW w:type="dxa" w:w="2880"/>
          </w:tcPr>
          <w:p>
            <w:r>
              <w:t>DATABASE_URL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Connection string for the application database.</w:t>
            </w:r>
          </w:p>
        </w:tc>
      </w:tr>
      <w:tr>
        <w:tc>
          <w:tcPr>
            <w:tcW w:type="dxa" w:w="2880"/>
          </w:tcPr>
          <w:p>
            <w:r>
              <w:t>LOG_LEVEL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Controls structured application log verbosity.</w:t>
            </w:r>
          </w:p>
        </w:tc>
      </w:tr>
    </w:tbl>
    <w:p>
      <w:pPr>
        <w:pStyle w:val="Heading1"/>
      </w:pPr>
      <w:r>
        <w:t>4. Deployment steps</w:t>
      </w:r>
    </w:p>
    <w:p>
      <w:pPr>
        <w:pStyle w:val="ListNumber"/>
      </w:pPr>
      <w:r>
        <w:t>Run the automated test suite and inspect the release notes.</w:t>
      </w:r>
    </w:p>
    <w:p>
      <w:pPr>
        <w:pStyle w:val="ListNumber"/>
      </w:pPr>
      <w:r>
        <w:t>Apply schema migrations before switching application traffic.</w:t>
      </w:r>
    </w:p>
    <w:p>
      <w:pPr>
        <w:pStyle w:val="ListNumber"/>
      </w:pPr>
      <w:r>
        <w:t>Deploy the service, then issue a health check request.</w:t>
      </w:r>
    </w:p>
    <w:p>
      <w:pPr>
        <w:pStyle w:val="ListNumber"/>
      </w:pPr>
      <w:r>
        <w:t>Monitor error rate and request latency for fifteen minutes.</w:t>
      </w:r>
    </w:p>
    <w:p>
      <w:pPr>
        <w:pStyle w:val="Heading1"/>
      </w:pPr>
      <w:r>
        <w:t>5. Health check command</w:t>
      </w:r>
    </w:p>
    <w:p>
      <w:pPr/>
      <w:r>
        <w:rPr>
          <w:rFonts w:ascii="Consolas" w:hAnsi="Consolas"/>
        </w:rPr>
        <w:t>curl -fsS https://api.example.test/healthz</w:t>
      </w:r>
    </w:p>
    <w:p>
      <w:pPr>
        <w:pStyle w:val="Heading1"/>
      </w:pPr>
      <w:r>
        <w:t>6. Rollback</w:t>
      </w:r>
    </w:p>
    <w:p>
      <w:r>
        <w:t>Rollback when the error rate exceeds the release threshold or the health check fails. Restore the last known-good release, verify the health endpoint, and record the incident.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Synthetic test fixture. Not an internal company document.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Enterprise RAG Lab | API Service Deployment Runbook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