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（c）=Pₐ（w|c）−P₀（w|c）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澄清协议、外溢优先与供给循环：以“主张—前提—推理—理论来源”追踪用户思想脉络，提问顺序由 LLM 自主判断；以外溢优先接住用户主动说出的高价值信息（种子/红线/立意当轮入档），并配合检索增强供给循环（第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Pₐ（w|c），无个人偏好的中性基线分布为 P₀（w|c）。本文将风格定义为作者相对中性基线的稳定条件选择偏差：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Sₐ（c）= Pₐ（w|c）− P₀（w|c）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Pₐ（w\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P₀（w\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Sₐ（c）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Sₐ（c）：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