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套（400+ 断言）契约测试均满足输出契约；风格距离实验中，SCULPTOR 与 5 组匿名真人作者/真人模拟样本的平均距离为 0.96，低于其与通用模型的距离（ChatGPT 1.24 / DeepSeek 1.10）；作者识别与续写选择实验中，词级文体计量把个人模型从字符 n-gram 的 46.3% 提升到 76.4%（字符二元组 TF-IDF 基线 90.3%），调制器消融显示学习权重（90%）高于默认权重（70%）；早期 L1 字符二元组融合签名在作者识别/续写选择分别达 81.7% / 72.2%（见附录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