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大语言模型（LLM）让"机器能写"成为常态，但也让"谁在写"变得模糊。本文提出 SCULPTOR——一个从作者每一次亲手修改中学习个性化风格的创作伙伴。核心机制是改迹调制（revision-trace modulation）：把作者对 AI 草稿的每次修改视为最诚实的标注，将风格、知识、缺陷、阻抗统一进一个可解释的候选评分函数，在候选之间挑选更像作者的写法，并说明"为什么选它"；以澄清协议接住作者的思想脉络与外溢信息，以姿态层细读诊断并修复"AI 味"。实现上，个人模型以词级文体计量（功能词+标点节奏）刻画“怎么写”，调制器把个人知识库、风格向量与收集数据归纳为十三维特征（含词级文体计量、个人回避库、改迹贴合、L3 作者清单、姿态层细读与可选 embedding 神经编码），权重由作者亲手修改的偏好对学成，随新修改增量更新；并在候选选优后复现作者的改法（拟改层）——删掉作者会删的连接词并断句、再把抽象句按作者习惯改具体，从“打分排序”升级为“选优+拟改”。实验显示几十次修改即可学到稳定的作者方向（得分边距随编辑对数量单调改善、权重稳定性随之收敛，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套（300+ 断言）契约测试均满足输出契约；风格距离实验中，SCULPTOR 与 5 组匿名真人作者/真人模拟样本的平均距离为 0.96，低于其与通用模型的距离（ChatGPT 1.24 / DeepSeek 1.10）；作者识别与续写选择实验中，词级文体计量把个人模型从字符 n-gram 的 46.3% 提升到 76.4%（字符二元组 TF-IDF 基线 90.3%），调制器消融显示学习权重（90%）高于默认权重（70%）；早期 L1 字符二元组融合签名在作者识别/续写选择分别达 81.7% / 72.2%（见附录）；风格迁移与文体覆盖的红队盲评中，10 风格×10 文体平均风格 5.00、文体 4.70，名家文风导入平均 4.25，从手动修改提取风格 5.00（见 5.8 节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具体化拟改），从“打分排序”升级为“选优+拟改”；实验给出样本复杂度观察与消融证据（学习权重高于默认权重，几十次修改即可学到稳定的作者方向）（第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28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0.175 单调升至 n=30 的 0.791；权重相对 n=30 的余弦相似度从 0.915 升至 1.000（图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后留出边距增速放缓、进入平台——几十次亲手修改即可学到稳定的作者方向，这是"修改即标注"在小语料场景可行的直接证据。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3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3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842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84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调制器消融：学习权重 vs 默认权重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47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AUTHOR-ID-v2.md）；调制器逐维消融显示学习权重（90%）高于默认权重（70%）、personal 贡献最大，surface/impedance 去噪后无负贡献（见 MODULATOR-ABLATION.md）。但仍低于字符二元组 TF-IDF 基线（90.3%）——该合成语料中作者与主题强耦合，内容级特征占优；这一硬指标与第三方盲评列入未来工作。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预测-误差闭环与风格约束注入（v1.1）：调制器新增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风格迁移与文体覆盖的红队测试（v1.0）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模拟人类审阅者、完全盲评"的方式做了四组红队测试（脚本见 scripts/experiments/redteam-*.mjs；评委与生成同用 DeepSeek，存在自评偏置，需独立模型复评）。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风格 × 10 文体矩阵：由 Sculptor 引擎（候选对比 + 13 维调制）逐项写作，盲评平均风格 5.00/5、文体 4.70/5；悼词/短篇小说两项文体分略低，暴露了硬编码文体骨架覆盖不全的问题，已将其软化为"参考软引导"（见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的自动标定），但消融标定已完成（逐维消融显示 personal 贡献最大、surface/impedance 去噪后无负贡献，见 MODULATOR-ABLATION.md），第三方盲评尚未完成，候选数自适应列为后续工作。本文不宣称"逐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候选对比（词级文体计量模型）、V1.5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28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原文"、十三维分解可追溯、数据不足降级、在线重训与增量更新；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