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味"。实现上，个人模型以词级文体计量（功能词+标点节奏）刻画“怎么写”，调制器把个人知识库、风格向量与收集数据归纳为十三维特征（含词级文体计量、个人回避库、改迹贴合、L3 作者清单、姿态层细读与可选 embedding 神经编码），权重由作者亲手修改的偏好对学成，随新修改增量更新；并在候选选优后复现作者的改法（拟改层）——删掉作者会删的连接词并断句、再把抽象句按作者习惯改具体，从“打分排序”升级为“选优+拟改”。实验显示几十次修改即可学到稳定的作者方向（得分边距随编辑对数量单调改善、权重稳定性随之收敛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套（400+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50%）；词级文体计量把个人模型的作者识别从 46.3% 提升到 76.4%，调制器消融显示学习权重（90%）高于默认权重（70%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24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24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24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24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仍是本地 n-gram 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 81.7% vs TF-IDF 基线 82.2%，是必须攻克的硬指标）；③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24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偏好对学习九维权重；改后得分 &gt; 原文；九维分解；数据不足降级；在线重训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24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