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味"。实现上，个人模型以词级文体计量（功能词+标点节奏）刻画“怎么写”，调制器把个人知识库、风格向量与收集数据归纳为十三维特征（含词级文体计量、个人回避库、改迹贴合、L3 作者清单、姿态层细读与可选 embedding 神经编码），权重由作者亲手修改的偏好对学成，随新修改增量更新；并在候选选优后复现作者的改法（拟改层）——删掉作者会删的连接词并断句、再把抽象句按作者习惯改具体，从“打分排序”升级为“选优+拟改”。实验显示几十次修改即可学到稳定的作者方向（得分边距随编辑对数量单调改善、权重稳定性随之收敛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断言）契约测试均满足输出契约；风格距离实验中，SCULPTOR 与 5 组真人/模拟样本的平均距离为 0.96，但其中与“豪迈大气”样本仅 0.41（疑为同主题同风格所致），剔除该异常值后均值为 1.10，与 DeepSeek（1.10）持平、略低于 ChatGPT（1.24）——该结果受异常值影响较大，不足以单独支撑“接近作者”结论；作者识别与续写选择实验中，词级文体计量把个人模型从字符 n-gram 的 46.3% 提升到 76.4%（字符二元组 TF-IDF 基线 90.3%），调制器消融显示学习权重（90%）高于默认权重（70%）；LLM 自评的红队指标（见 5.8 节）属内部开发参考，未经真人验证，不作有效性证据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3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3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84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84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调制器消融：学习权重 vs 默认权重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47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预测-误差闭环与风格约束注入（v1.1）：调制器新增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模拟人类审阅者、完全盲评"的方式做了四组红队测试（脚本见 scripts/experiments/redteam-*.mjs）。注意：本节所有分数均由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风格 × 10 文体矩阵：由 Sculptor 引擎（候选对比 + 13 维调制）逐项写作，盲评平均风格 5.00/5、文体 4.70/5；悼词/短篇小说两项文体分略低，暴露了硬编码文体骨架覆盖不全的问题，已将其软化为"参考软引导"（见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的操作性说明）：风格签名以中性基线为参照，这是文体计量的常态；本文将其条件化（3.1），结论与"哪个模型更强"无关。但需如实说明：实现中 P₀ 并未显式估计为独立的大规模参考语料库，而是隐含于候选生成所用通用模型的无条件分布，因此 P₀（及随之的 Sₐ）随模型版本与采样参数变化、可复现性有限——以稳定参考语料估计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28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