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主要贡献与核心主张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本文的核心主张是：面向个体的写作个性化，不应是给每个用户微调一个专属大模型，而是为每个用户维护一个轻量、可解释、随修改增量更新的外层调制器，在推理时实时调制通用模型的行为。这与 LoRA 微调、激活向量干预、风格奖励微调构成路线之争，而非功能叠加。围绕这一主张，本文的贡献如下：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改迹调制：把“修改即标注”立为数据源：作者改稿（原文→改后→意图）是最高密度的风格监督信号，可替代 RLHF 式人工偏好标注；学习曲线显示几十次修改即进入平台（n≈15–20），一个编辑对即可冷启动（第 3.1、3.1.2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修改的双重利用：既是标签，也是模板：偏好学习（DPO/RLHF）只把偏好对当标签学“选哪个”；本文还从编辑对里学“作者怎么改”——删哪些连接词、怎么断句、把什么改具体，选优后复现这一改法（拟改层 + 个人回避库 avoidance），把“打分排序”升级为“选优 + 拟改”（第 3.1.1 节；token-decode 测试验证“改后 &gt; 原文”）。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统一可解释的评分空间：把基础分布、个人分布、知识、缺陷、阻抗五类异质信号统一进同一个可解释评分函数，权重由偏好对学成、逐维可消融、每个选择可回答“为什么选它”——区别于只处理知识的 RAG、只处理风格的激活干预、只处理缺陷的反 AI 腔工具（第 3.1.1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风格信号的纯净治理：给每类信号源一个可信权重（作者旧稿 1.0 &gt; 亲手改的 changed 0.7 &gt; 归档/成稿 0.4），并显式排除检索回灌与未经确认的模型文本——“知识不进个人分布，如何写与写什么严格分离”，避免风格信号被内容与检索污染（第 3.1.1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姿态层：从“拒绝 AI 腔”到“加权 AI 腔”：反 AI 腔检测不作为拒绝生成的过滤器，而是作为排序信号软性加权，把“表演思考”形式化为可检测的修辞姿态并前置到候选选择；配合外溢优先与全流程互操作（第 3.4、3.6、3.11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设作者 a 在给定语义内容与上下文 c 下生成词句的条件分布为 </w:t>
      </w:r>
      <m:oMath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，无个人偏好的中性基线分布为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>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是同一创作空间下的条件偏差，不是对"完美表达"的偏离——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学习曲线：横轴为编辑对数量 n，左轴为留出得分边距、右轴为权重稳定性。边距从 n=5 的 0.247 升至 n=25 的 0.743、稳定性升至 1.000，n≈15–20 后进入平台——几十次修改即可学到稳定的作者方向。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P</m:t>
                  </m:r>
                </m:e>
                <m:sub>
                  <m:r>
                    <m:t xml:space="preserve">a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w</m:t>
                  </m:r>
                  <m:r>
                    <m:t xml:space="preserve"> | </m:t>
                  </m:r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词/句分布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P</m:t>
                  </m:r>
                </m:e>
                <m:sub>
                  <m:r>
                    <m:t xml:space="preserve">0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w</m:t>
                  </m:r>
                  <m:r>
                    <m:t xml:space="preserve"> | </m:t>
                  </m:r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大规模中性语料估计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a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K</m:t>
                  </m:r>
                </m:e>
                <m:sub>
                  <m:r>
                    <m:t xml:space="preserve">a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I</m:t>
                  </m:r>
                </m:e>
                <m:sub>
                  <m:r>
                    <m:t xml:space="preserve">a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系统总览：澄清→大纲→写作→审计→交付为主流程（实线），风格签名/个人知识库/写作资产三源在生成时注入（点线），审计的修改监督与预测误差沿虚线回写、增量更新签名与权重。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四层互补签名近似 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供给循环：检索按触发→排队→检索→回灌→缺口节重写→重审计六步循环运转，中心做去重、宿主代检与缓存注入，保证素材随回灌进入后续写作。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澄清协议：主张→前提→概括→确认→入库→追问为主链；外溢优先在用户主动说出高价值信息时当轮接住、深挖后入档（下方回环），交互坚持一次一问。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维风格特征热力网格：每行一个文本样本、每列一个风格维度，颜色越深该维度取值越高。样本3 在句长均值与意象密度上最接近 Stylotrace 作者（对应 6.1 的 0.41 距离），真人作者 B 口语度最高、样本2 意象密度最高。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风格距离条形图：横条为 Stylotrace 作者到各对象的 8 维距离（越小越接近），绿=真人/模拟样本、红=通用模型、棕=模板公文。样本3 仅 0.41，其余真人样本 0.90–1.32，通用模型 1.10–1.24，模板公文 1.68 最远。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 MDS 投影：9 类文本的距离矩阵降到二维，绿=真人/模拟样本、红=通用模型、星形=Stylotrace 作者。真人与模型大致分群，Stylotrace 作者落在真人样本附近；Stress-1=0.313 偏高，二维投影有信息损失，仅供直观参考。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作者识别准确率：字符二元组 TF-IDF 基线 90.3%、词级文体计量（本系统）76.4%、字符 n-gram（旧）46.3%。词级文体计量比旧方法提升 30.1 个百分点，但仍低于 TF-IDF 基线，说明该合成语料中主题内容信号占优。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调制器逐维消融：学习权重与默认权重都饱和到 100%（编辑对差异过大、正确率无法区分）；关闭 personal 掉到 90%（唯一有实质贡献）；关闭其余 12 维仍 100%（无边际影响）。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参照系依赖（含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的操作性说明）：风格签名以中性基线为参照，这是文体计量的常态；本文将其条件化（3.1），结论与"哪个模型更强"无关。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通过隔离化提示词估计：用一段不含任何风格注入的中性提示（baselineText，system 仅“你是一名写作者”）让通用模型生成“无个人偏好”的文本，作为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的采样；该估计随模型版本与采样参数变化、且非独立参考语料库，可复现性有限——以稳定参考语料估计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本文的立场是：写作个性化更应是一个轻量、可解释、随修改增量更新的外层调制器，而不是给每个用户微调一个专属模型；候选级但可解释、可消融、训练免费，正是这条路线相对微调路线的差异所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修改"循环）；⑥ 验证可证伪预测：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r>
          <m:t xml:space="preserve"> = </m:t>
        </m:r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r>
          <m:t xml:space="preserve"> - </m:t>
        </m:r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形式化与修改监督引出一个可验证的预测——修改密度越高的维度或位置，风格信号越强；验证它，是把改迹调制从工程方法升级为理论的关键一步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  <m:r>
          <m:t xml:space="preserve"> = </m:t>
        </m:r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− </m:t>
        </m:r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</m:oMath>
    </m:oMathPara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