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19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与批注（annotation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签名层（L1–L4）、注入层（双风格、知识、缺陷审计）、五路评分器的观测值均已交付：L1 向量 + 修改监督提供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代理，反 AI 审计词表与姿态层判据提供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 BM25 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在 V1 仍是代理（向量 + 修改监督），真实条件分布依赖轻量 LoRA（V3）；③ 五路权重（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>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19 + web 11 套），保证"修复不引入新问题"。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尚为代理；翻译等应用扩展未做独立对照验证。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检索依赖第三方源：内置免费检索（必应/百度/B站/维基）依赖第三方服务可达性与 HTML 结构，稳定性与覆盖受网络环境影响；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跨语言验证与公开部署；⑤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