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味"。实现上，调制器把个人知识库、风格向量与收集数据归纳为十二维特征（含个人回避库、L3 作者清单、姿态层细读与可选 embedding 神经编码），权重由作者亲手修改的偏好对学成，随新修改增量更新；实验显示几十次修改即可学到稳定的作者方向（得分边距与权重稳定性随编辑对数量单调改善，n≈15–20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24 套 + web 11 套（300+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实验给出样本复杂度观察——几十次修改即可学到稳定的作者方向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24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个候选，用十一维特征函数（个人 n-gram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0.286 单调升至 n=25 的 0.498；权重相对 n=30 的余弦相似度从 0.968 升至 0.999（图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后两项指标进入平台——几十次亲手修改即可学到稳定的作者方向，这是"修改即标注"在小语料场景可行的直接证据。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与个人 n-gram 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24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24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2910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291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风格距离矩阵热力图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写作能力综合评分对比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外层调制器均已交付：本地字符级个人模型（n-gram，作者语料训练）提供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posture/个人回避库八路特征，共十二维进入 modulate() 评分；写作节级接入候选对比（agent/src/token-decode.js，每节并行 n 候选十二维评分选优，得分分解落盘）。调制器权重由作者偏好对学习：edits.jsonl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二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本地字符级 n-gram 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 n-gram 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的自动标定），但消融标定（默认权重 vs 学习权重 vs 逐模块关闭）与第三方盲评尚未完成，候选数自适应列为后续工作。本文不宣称"逐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候选对比（个人 n-gram 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24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原文"、十一维分解可追溯、数据不足降级、在线重训与增量更新；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logits）、调制器权重消融标定、跨语言语料。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外层调制器已落地（十二维特征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仍是本地 n-gram 模型（弱于真实 LoRA 条件分布），逐 token 重排（V2 logprobs / V3 本地 logits）待实现，调制器权重消融标定与盲评未完成；翻译等应用扩展未做独立对照验证。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候选调制三段论）；实现上，把签名升级为可学习的外层调制器——十二维特征函数（含个人回避库、L3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外层调制器（v0.64–0.68：偏好对学习十二维权重、增量在线更新、个人回避库、上下文窗口编辑对、可解释层、可选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 81.7% vs TF-IDF 基线 82.2%，是必须攻克的硬指标）；③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24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偏好对学习九维权重；改后得分 &gt; 原文；九维分解；数据不足降级；在线重训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24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