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味"。实现上，个人模型以词级文体计量（功能词+标点节奏）刻画“怎么写”，调制器把个人知识库、风格向量与收集数据归纳为十三维特征（含词级文体计量、个人回避库、改迹贴合、L3 作者清单、姿态层细读与可选 embedding 神经编码），权重由作者亲手修改的偏好对学成，随新修改增量更新；并在候选选优后复现作者的改法（拟改层）——删掉作者会删的连接词并断句、再把抽象句按作者习惯改具体，从“打分排序”升级为“选优+拟改”。实验显示几十次修改即可学到稳定的作者方向（得分边距随编辑对数量单调改善、权重稳定性随之收敛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套（400+ 断言）契约测试均满足输出契约；风格距离实验中，SCULPTOR 与 5 组匿名真人作者/真人模拟样本的平均距离为 0.96，低于其与通用模型的距离（ChatGPT 1.24 / DeepSeek 1.10）；作者识别与续写选择实验中，词级文体计量把个人模型从字符 n-gram 的 46.3% 提升到 76.4%（字符二元组 TF-IDF 基线 90.3%），调制器消融显示学习权重（90%）高于默认权重（70%）；早期 L1 字符二元组融合签名在作者识别/续写选择分别达 81.7% / 72.2%（见附录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24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24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24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3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3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84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84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调制器消融：学习权重 vs 默认权重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47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模拟人类审阅者、完全盲评"的方式做了四组红队测试（脚本见 scripts/experiments/redteam-*.mjs；评委与生成同用 DeepSeek，存在自评偏置，需独立模型复评）。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风格 × 10 文体矩阵：由 Sculptor 引擎（候选对比 + 13 维调制）逐项写作，盲评平均风格 5.00/5、文体 4.70/5；悼词/短篇小说两项文体分略低，暴露了硬编码文体骨架覆盖不全的问题，已将其软化为"参考软引导"（见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24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24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偏好对学习九维权重；改后得分 &gt; 原文；九维分解；数据不足降级；在线重训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24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