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8" w:lineRule="auto" w:after="80"/>
        <w:jc w:val="center"/>
      </w:pPr>
      <w:r>
        <w:rPr>
          <w:rFonts w:ascii="Times New Roman" w:hAnsi="Times New Roman" w:eastAsia="黑体"/>
          <w:b/>
          <w:sz w:val="44"/>
        </w:rPr>
        <w:t>面向作者身份保持的生成式写作：作者建模、持续风格学习与生成审计（SCULPTOR）</w:t>
      </w:r>
    </w:p>
    <w:p>
      <w:pPr>
        <w:spacing w:after="80" w:line="312" w:lineRule="auto"/>
      </w:pPr>
      <w:r>
        <w:rPr>
          <w:rFonts w:ascii="Times New Roman" w:hAnsi="Times New Roman" w:eastAsia="宋体"/>
          <w:b w:val="0"/>
          <w:sz w:val="24"/>
        </w:rPr>
        <w:t>作者姓名：＿＿＿　学校：＿＿＿　指导教师：＿＿＿　日期：＿＿＿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摘要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大语言模型（LLM）使"机器能写"成为常态，但作者身份在生成过程中如何被持续表示、更新与保持仍未解决。本文提出 SCULPTOR——以作者表示（author representation）为中心的生成式写作系统：以澄清协议与修改监督捕获并更新作者意图与偏好，以四层风格签名近似作者相对中性基线的稳定选择模式，以生成后审计缓解模型化话语特征。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实验表明：20+7 套契约测试均满足输出契约；风格距离实验中，SCULPTOR 与目标作者语料的距离为 1.11，低于其与通用模型的距离（1.46）；作者识别（n=120）与续写选择（n=30）中 L1 签名分别达到 90.0% 与 93.3%。结果与"作者身份保持"假设一致，但样本规模尚不足以支持显著性结论。本文定位为在生成过程中保持作者表达偏好与语义意图，而非最大化一般意义上的文本质量。</w:t>
      </w:r>
    </w:p>
    <w:p>
      <w:pPr>
        <w:spacing w:line="360" w:lineRule="auto" w:after="160"/>
      </w:pPr>
      <w:r>
        <w:rPr>
          <w:rFonts w:ascii="Times New Roman" w:hAnsi="Times New Roman" w:eastAsia="宋体"/>
          <w:b/>
          <w:sz w:val="24"/>
        </w:rPr>
        <w:t>关键词：作者身份保持；个性化文本生成；作者表示；澄清式人机交互；检索增强生成；写作审计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1 引言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1.1 Problem：生成式写作中的作者身份缺失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以 ChatGPT、DeepSeek、Claude 为代表的 LLM 使"机器能写"成为常态：输入一句话即可得到结构完整的文本。但用户普遍观察到，这类文本"像模像样，却一眼假"——结构工整、措辞平滑、比喻通用，唯独缺少特定作者的表达痕迹。本文称该现象为模型化风格倾向（model-induced stylistic tendency，下称 AI 腔）：模型以高概率输出其训练分布的中心（平滑、低风险文本），从而抹平个体差异。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作者身份缺失并非偶然缺陷，而是生成目标与评价目标分离的结果：通用 LLM 优化的是"文本质量"的整体分布，而非"某个作者的选择"。在需求发现阶段（预研，质性记录见 PROCESS 档案），我们观察到四类稳定现象：风格错配（用散文指纹生成议论文）、素材伪门槛（澄清阶段的信息未被下游使用）、交互死板（模板化提问无法响应深层意图）、数据孤岛（读过的书、写过的文、检索资料互不相通）。这四类现象指向同一根因：系统未建立"作者是谁"的表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1.2 Research Gap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已有研究表明，LLM 用少量样本模仿个人风格在非正式文体中显著失败[1]，说明风格表征不能依赖一次性少样本设定。在此基础上，现有研究分别涉及风格迁移（style transfer）、个性化生成（personalization）、作者刻画（author profiling）与检索增强写作（RAG for writing），但均未解决作者身份在生成全流程中的持续表示、更新与保持：风格迁移以目标风格为一次性输入；个性化生成（如 StyleVector[2]、GhostWriter[3]）关注生成时的风格引导，缺少澄清协议与知识背景；作者刻画停留在静态画像；RAG 写作聚焦内容供给，不涉及作者身份。相关工作的详细对照见第 2 节与表 1。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1.3 Research Questions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本文围绕三个研究问题展开：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RQ1（作者表示）：能否建立一种可解释、可随写作更新、不依赖大规模个人语料的作者表示？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RQ2（修改监督）：作者对生成文本的显式修改，能否作为一种高价值风格监督信号持续更新该表示？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RQ3（生成保持）：携带该表示的生成流程，能否在保持作者相似度（author-likeness）的同时降低模型化话语特征？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1.4 Contributions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本文的贡献归纳为三项（详细实验证据分别对应第 5 节相应小节）：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1（方法）作者表示与修改监督：将风格形式化为作者相对中性基线的稳定条件选择偏差，用四层互补签名近似（连续向量、动态维度、不可预测性、显式修改记录）；提出"修改监督"——以作者亲手修改为最高权重信号持续更新表示（第 3.2 节；外部检验见 5.5）。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C2（交互）澄清协议与供给闭环：以"主张—前提—推理—理论来源"追踪用户思想脉络，提问顺序由 LLM 结合对话自主判断，并配合检索增强供给闭环（第 3.3–3.4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C3（质量与工程）生成后审计与一体化交付：提出姿态层（postural layer）检测缓解"表演思考"式模型化倾向；同一核心以 CLI/Web 双形态交付，契约测试 20+7 套（第 3.6 节、附录 A）。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2 相关工作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2.1 作者刻画与文体计量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文体计量学（stylometry）以可计算特征刻画作者，如相对参考语料的 Delta 方法。本文沿用"相对基线"的度量思想，但将其条件化：偏差定义在同一创作空间 c 下（见 3.1），结论不依赖"哪个模型更强"。作者识别基线（3.7 节方法）参考了该领域的最近邻/质心范式。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2.2 个性化文本生成与风格注入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StyleVector[2] 将用户风格表示为激活空间向量并在推理时干预，其"训练免费、推理时干预"思想与本文同族，但本文在可解释特征层落地，并增加澄清协议与修改监督。GhostWriter[3] 提出隐式学习 + 显式教学时刻；本文将"教学时刻"具体化为可入库的修改监督三元组（原文，改后，意图）。EMNLP 2025 的研究[1]表明 LLM 用少量样本模仿个人风格在非正式文体中显著失败，支持"持续采集 + 修改监督"的必要性。近期 agentic ghostwriter[4] 通过风格奖励微调复制经典作家，与本文"提取作者本人"的目标不同。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2.3 检索增强写作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面向写作的 RAG 关注内容供给（如两阶段内容/风格检索[5]、检索器校准的个性化助手[6]）。本文的差异在于把 RAG 组织为供给闭环（触发—排队—回灌—缺口节重写），并使检索结果与个人知识库、写作资产三源合一注入（3.3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2.4 人机协同写作与澄清交互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人机协同研究（如 CollabLLM[7]）关注通用协同框架；意图发现工作（DiscoverLLM[8]）通过对比草稿定位用户意图。本文的澄清协议以"响应推理链"为设计目标，把提问顺序交给 LLM 自主判断，代码仅作防死循环安全网（3.4 节），区别于模板清单式交互。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2.5 与现有工作的关系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1　相关工作对照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工作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作者表示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澄清协议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知识闭环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生成审计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StyleVector[2]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激活向量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GhostWriter[3]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隐式学习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writing-anima[5]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两阶段检索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内容/风格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智能写作系统[9]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多轮对话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SCULPTOR（本文）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四层签名+修改监督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思想脉络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供给闭环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说明：表 1 中来自产品横评与工程博客的非同行评议条目[9][10]，仅用于行业现状对照，不作为理论依据。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3 方法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 问题形式化与符号约定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设作者 a 在给定语义内容与上下文 c 下生成词句的条件分布为 Pₐ(w|c)，无个人偏好的中性基线分布为 P₀(w|c)。本文将风格定义为作者相对中性基线的稳定条件选择偏差：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Sₐ(c) = Pₐ(w|c) − P₀(w|c)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该定义需要四点说明：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Definition（对象）：Sₐ 是同一创作空间下的条件偏差，不是对"完美表达"的偏离——P₀ 仅为无个人偏好的参照基线，度量与"哪个模型更强"无关；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Assumption（可估性）：假设该偏差可投影到可计算特征空间，且作者语料足以估计其方向；个人语料稀缺时，单一表征不可靠[1]，故用四层互补签名近似；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Estimation（估计）：连续向量用字符二元组稀疏向量 φ(x) 与 EMA 增量更新（式 2）估计，动态维度用权重 × 新鲜度衰减维护，不可预测性用 surprisal 判别式（式 8–9）估计，修改监督用（原文，改后，意图）三元组记录；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Validation（验证）：以判别任务（作者识别，5.5 节）与预测任务（续写选择，5.5 节）检验签名是否包含可复现的作者信号。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符号与术语约定（表 2）：本文统一使用以下符号与术语，首次出现处均给出定义，避免概念漂移。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2　符号与术语表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符号/术语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定义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空间/说明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Pₐ(w\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作者条件生成分布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P₀(w\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中性基线分布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Sₐ(c)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风格：条件选择偏差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特征空间投影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φ(x)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文本特征向量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字符二元组稀疏向量，可升级稠密 embedding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v_t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EMA 风格签名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2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S(x)、PP(x)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surprisal 判别式与困惑度代理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8–9，操作定义见 5.2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Kₐ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个人知识库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文档集合（PKB）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Iₐ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意图表示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主张—前提—推理—理论来源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d(A,B)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风格距离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维归一化欧氏距离（式 7）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F_rt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回译保真度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AI 腔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模型化风格倾向（model-induced stylistic tendency）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首次定义于 1.1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human-likeness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人类自然写作相似度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四量纲统计，5.2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author-likeness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特定作者相似度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判别/预测任务，5.5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postural layer：文本呈现思考过程的修辞姿态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3.6 节定义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revision-based supervision：作者显式修改作为风格监督信号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 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距离选择依据：8 维特征已归一化到同一量纲（式 6），故用欧氏距离度量风格距离（式 7）；分布层面差异用 KL 散度（式 1）。因当前语料规模小，未采用对分布估计更敏感的 Wasserstein/Mahalanobis 距离，列为后续工作。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30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0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图1 系统总览：数据流（实线）、控制流（点线）与学习/更新流（虚线）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3.2 作者表示：四层签名与修改监督（RQ1、RQ2）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四层互补签名近似 Sₐ(c)：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L1 连续向量：φ(x) 的 EMA 增量更新（式 2），方向差相对基线（式 3），截断至 300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L2 动态维度：14+7 语言/结构轴 + 意象/偏好/素材子维，权重 × 新鲜度衰减（半衰期 120 天），注入上限 8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L3 不可预测性：surprisal 判别式与困惑度代理（式 8–9），逐次采样累计 min/mean/max；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L4 修改监督：每次作者显式修改记录为（原文，改后，意图）三元组，作为最高权重风格信号更新偏好轴与连续向量。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连续向量以指数移动平均增量更新（式 2），作者风格即相对中性基线的归一化偏离方向（式 3）：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质量约束（区分"作者选择"与"错误"）：仅凭距离无法区分独特表达与语病。本文以三重约束回应：① 最高权重信号来自作者亲手修改与确认的选择——"他要的"才进入风格档案；② 校对、回译校验、事实核查作为前置质量门，语法与事实错误不进入风格统计，偏差只在语义正确的表达空间内度量；③ 偏差注入是概率性偏好、作者保留否决权（3.6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3.3 知识表示与供给闭环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个人知识库（Personal Knowledge Base, PKB）以归纳式确认采集构建：用户提出理论/构想时，系统先做一步归纳，再介绍相近书籍并说明其核心与可用之处，用户确认后入库；采集不硬编码、不反复追问。写作时，RAG 以供给闭环工作（图 2、算法 2）：文体或意图触发 → 去重排队 → 宿主代检或直连检索 → 回灌（缓存 + 素材）→ 缺口节重写（≤2 轮）→ 重新审计；写作上下文按主题从 PKB、写作资产与检索回灌三源合一、轮换注入。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0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-lo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图2 RAG 供给闭环：触发 → 排队 → 检索 → 回灌 → 缺口节重写 → 重审计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3.4 意图表示与澄清协议（C2）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意图表示追踪用户发言中的"主张—前提—推理—理论来源"（思想脉络）：如用户引用《乡土中国》[11]的论述并给出推理方向时，LLM 做一步概括并请用户确认（"你的意思是……对吗？"），确认后进入素材与风格档案。澄清协议由三条软规则与一条确定性护栏构成：先思想、后信息、最后规划；蓝图状态只是清单、提问由 LLM 自主判断；RAG 知识背景注入；蓝图无缺口仍追问 ≥2 轮则强制放行。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交互采用"一次一问 + 我的建议 + A/B/C"模式，用户回答按信息价值分级（L0 空答 → L5 精准指令）："可以/挺好"为推进信号，"不不不"为修正信号——从否定中提炼真实需求。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948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rify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4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 澄清协议：响应推理链（主张→前提→概括→确认→入库→追问）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3.5 生成与前置约束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写作以逐节生成为单位（参考"规划—转译—审校"的认知写作模型[12]），携带风格签名与统一简报（知识 + 素材 + 检索来源）。生成提示词包含前置约束：避免金句收束式同义反复、允许冗余与模糊、不替人物开口、反过度释义。这些约束为软性偏好引导，作者可一键否决。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3.6 生成后审计：姿态层检测（RQ3）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术语定义：姿态层（postural layer） 指文本在"如何呈现思考过程"层面的修辞姿态，对应文学批评中的叙述姿态（narrative stance），区别于可统计的用词与句式层；其检测目标是"表演思考"（performative thinking）——文本以形式上的推进姿态掩盖实质上的空洞。检测方法分两层：主路径为 LLM 六层细读（声音/过渡/修辞/引用/翻译体/收尾）+ RAG 作者对照（诊断前检索作者侧写、个人写作 skill 与知识库作参照），区别于规则型反 AI 腔检测工具[13]；确定性正则降级为离线兜底。修复遵守"绝不用新金句替换旧金句"；用《差生》的克制式结尾做回归样例，检验不误伤真实写作。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3.7 应用扩展：原意优先翻译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本节描述由核心架构（作者表示 + 质检闭环）派生的应用扩展，而非核心研究问题。翻译以先懂后译为原则：先做原意解读（intent/tone/genre/keyImagery/pitfalls），以作者原意为第一标准翻译，再用回译校验闭环钉住质量——信息点核对（保留/丢失/漂移，保真度见式 4）与风格指标对比；翻译只报告不擅自改稿。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3.8 工程形态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同一核心以 CLI 与 Web 工作台双形态交付（图 1）；宿主适配、MCP 协议、前端细节与契约测试覆盖矩阵见附录 A。工程上以状态机唯一事实源与契约测试保证可靠性。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4 实验设置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4.1 语料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风格距离与建模空间实验使用 6 类真实文本样本：SCULPTOR 目标作者语料、人类名家（史铁生、费孝通）原文、通用模型典型输出（ChatGPT、DeepSeek 代表性文本）、模板公文。作者识别与续写选择实验在该语料上以滑窗切块构造（80 字/步 40）。样本为代表性文本而非固定 API 快照，实验日期 2026-08；LLM 依赖环节（澄清/写作/审计）使用用户配置的模型，配置写入工作区（模型标识、日期、温度等），详见 4.5。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4.2 评价指标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风格距离基于 8 维可解释风格特征（式 5），各维度操作定义如下：句长均值 = 按句号/问号/叹号切分后的平均句长（字符数）；句长波动 = 句长标准差；短句占比 = 句长不超过 8 字的句子比例；口语度 = 口语词表（"其实/就是/反正/我觉得/说白了"等）每百字命中率；意象密度 = 意象词表（"像/仿佛/月光/风/石阶"等）每百字命中率；情绪浓度 = 情绪词表（"泪/痛/悲/沉默/空"等）每百字命中率；词汇丰富度 = 字符二元组 TTR；语言新鲜度（不可预测性）= 低连接词密度与低重复率的合成值。全部词表与算法见 scripts/style-vectors.py。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逐维 min-max 归一化（式 6）后，作者间风格距离用欧氏距离（式 7）度量；文本级不可预测性用 surprisal 判别式（式 8）与困惑度代理（式 9）。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风格距离：8 维归一化欧氏距离（式 5–7）；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作者识别：块级归属准确率（最近质心，训练/测试划分 60/40 × 12 轮）；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续写选择：二选一命中率（随机基线 50%）；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人类化指标：句长标准差、段落变异系数、句首去重率、二元 TTR；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契约测试：预定义测试用例是否满足输出契约（附录 A）。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4.3 统计口径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距离保留两位小数，百分比保留一位小数。作者识别与续写选择报告样本量 n、均值与基线；因样本量小（单篇文本切块），不宣称统计显著性，仅报告"与随机/基线持平或高于基线"，显著性检验列为后续工作（需更大语料与重复实验）。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4.4 第三方盲评协议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为给澄清协议提供独立因果证据，设计对照实验（工具链已实现：A/B 位置随机化 → blind.json → 问卷 → 二项检验）：同一题目随机分配到思想优先协议组与传统清单式提问组，产出匿名化后由 ≥3 名盲评人在思想深度、个人关联性、作者满意度三维度打分，配对检验组间差异。现有证据为两场真实会话的质性记录，真人样本收集进行中。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4.5 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确定性实验脚本（scripts/style-vectors.py、author-id.py、author-predict.py、style-mds.py）固定特征函数与随机种子，可离线复现。LLM 依赖环节记录模型标识、日期与配置（写入工作区 config）；因通用模型为动态产品，不使用"ChatGPT/DeepSeek"指代固定快照，样本明确标注为代表性文本。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5 结果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5.1 工程契约测试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全部预定义测试用例均满足输出契约：agent 20 套 + web 7 套，覆盖澄清一次一问与低意愿逃生、实时大纲、字数达标、红队 8 文体 × 6 对抗输入、十种用户说法、长文端到端（12000 字，结构不变量断言）、翻译/回译、假思考六层细读、学术规范审计、全格式导出与前端接线。覆盖矩阵与多组实验数据汇总见附录 A。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5.2 文本统计与反 AI 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反 AI 审计的确定性部分提取"像/如同/仿佛"后的喻体并做归一化，跨句重复即标记（判定标准：同一喻体在非并列结构中跨节重复且无递进，可复现规则而非审美偏好）；修订由 LLM 按作者档案给出并经作者确认。真实任务中，跨节重复比喻被检出并改为不同意象，终审黑名单 0、硬失败 0。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成稿人类化指标四量纲：句长标准差 14.4、段落变异系数 0.45、句首去重率 81%、二元 TTR 0.78。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5.3 风格距离与建模空间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按式 5–7，6 类文本的风格特征热力网格与归一化欧氏距离矩阵见图 4、图 5 与表 3；距离矩阵的二维经典 MDS 投影见图 6（Kruskal Stress-1 = 0.212，中等拟合）；写作能力综合评分（式 10）见表 4 与图 7。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3　风格距离矩阵（8 维归一化欧氏距离，两位小数）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11"/>
        <w:gridCol w:w="1311"/>
        <w:gridCol w:w="1311"/>
        <w:gridCol w:w="1311"/>
        <w:gridCol w:w="1311"/>
        <w:gridCol w:w="1311"/>
        <w:gridCol w:w="1311"/>
      </w:tblGrid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SCULPTOR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史铁生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费孝通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ChatGPT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DeepSeek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模板公文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1.54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1.49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人类名家·史铁生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1.67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1.77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2.30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人类名家·费孝通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1.54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1.67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1.49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2.08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1.49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1.45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1.49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1.77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2.08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8508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85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 8 维风格特征热力网格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3620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dista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62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图5 风格距离矩阵热力图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spa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图6 风格建模空间：6 类文本的二维 MDS 投影（Stress-1 = 0.212）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4　写作能力综合评分（C，满分 100；代表性子维度评分）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11"/>
        <w:gridCol w:w="1311"/>
        <w:gridCol w:w="1311"/>
        <w:gridCol w:w="1311"/>
        <w:gridCol w:w="1311"/>
        <w:gridCol w:w="1311"/>
        <w:gridCol w:w="1311"/>
      </w:tblGrid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离AI腔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人类化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反AI味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全流程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多文体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综合 C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87.4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38.6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38.6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63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34.0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3898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abili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38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图7 写作能力综合评分对比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注：表 4 中 SCULPTOR 的"人类化/模型化倾向抑制/全流程"来自契约测试与真实任务记录；通用模型与模板的对应维度为代表性基线估计（无公开全链路证据），本表为维度化展示而非显著性结论。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5.4 风格注入对照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同一题目、同一流程，仅切换风格方向（克制留白 / 口语亲切 / 豪迈大气），成稿统计特征不同：句长标准差 3.7 / 8.3 / 5.0，字数 742 / 874 / 984，TTR 0.44 / 0.53 / 0.52（n=3，单次运行，未做显著性检验）。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5.5 作者识别与续写选择（外部检验）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作者识别（判别任务，n=120 测试块）：60/40 随机划分 × 12 轮、最近质心分类、训练集上估计 IDF 与 z 参数（无特征泄漏），准确率见表 5。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5　作者识别准确率（块级归属）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平均准确率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基线（TF-IDF 二元组 + 余弦）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90.0%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40.8%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本系统·L1 二元组 + 8 维融合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88.3%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续写选择（预测任务，n=30 二选一）：给定作者前 60% 文本，从"该作者真实后缀"与"其他作者后缀"中选择正确续写（随机基线 50%），命中率见表 6。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6　作者续写选择命中率（n=30）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命中率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 字符二元组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93.3%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40.0%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融合（0.7·L1 + 0.3·8 维）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93.3%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两实验的完整报告与混淆矩阵见 AUTHOR-ID.md、AUTHOR-PREDICT.md。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6 讨论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6.1 对结果的解释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在 8 维归一化特征空间中，SCULPTOR 与目标作者语料的距离（1.11）小于其与通用模型的距离（1.46）；两个通用模型彼此距离 0.65，小于两个人类名家彼此距离 1.67。该结果与"作者表示使生成文本在预先定义的特征空间中接近作者、远离模型化倾向"的假设一致；但特征由本文定义，存在部分循环性，不能据此单独得出"作者身份保持"结论。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作者识别实验中，8 维聚合特征单独准确率（40.8%）低于 TF-IDF 基线（90.0%），说明聚合统计指标不足以支撑作者判别，判别力主要来自 L1 词汇层信号。续写选择实验中，L1 签名命中率（93.3%）高于随机基线（50%），提示签名包含可预测的作者选择信号；但单篇文本切块存在主题连续性，会高估命中率。综合两项外部检验，"签名 ≠ 生成式作者模型"：签名具备判别与初步预测力，但生成式作者模型（预测选词、参数层干预）仍是后续工作。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6.2 对四类根本性质疑的回应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参照系依赖：风格签名以中性基线为参照，这是文体计量的常态；本文将其条件化（3.1），结论与"哪个模型更强"无关。更根本的检验是跨文体一致性与预测实验（5.5 已给出初版，样本待扩大）。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循环论证：以三块外部检验回应——作者识别（判别力，不依赖本文定义的审美维度）、续写选择（预测力）与第三方盲评协议（4.4，工具已实现、样本待收集）；并如实报告 8 维特征单独弱于基线。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profile 与 model 之辨：本文交付的是作者表示（签名）系统，可注入、可检验、随写作演化；从签名到生成式作者模型是明确的未来工作，全文以"签名/表示"界定，避免名实不符。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规则驯化风险：生成约束为软性偏好、可撤销；风格档案由作者亲手修改驱动；作者保留否决权（3.6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6.3 人文价值与应用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定位是面向人文环境的帮助工具：在生成过程中保持作者特定的表达偏好与语义意图，而非最大化一般意义上的文本质量。目标用户为三类写作者：需要把"憋着的想法"理清的普通写作者与学生、在合规框架内需要保留个人表达的职场写作者、需要在 AI 时代守住"自己的声音"的内容创作者。产品保持完整写作系统定位：澄清协议是核心，但与作者表示、知识闭环、生成审计作为一体交付——风格保真与质检依赖全流程数据闭环。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7 局限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构念效度（construct validity）：human-likeness 与 author-likeness 的区分已定义（表 2）并分别测量（5.2 与 5.5），但两者在特征层面的正交性尚未验证；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单作者偏差（single-author bias）：风格距离与建模空间实验以一位目标作者为主体，观察到的模式可能部分反映该作者特性；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领域/语言/模型依赖：实验限于中文、单篇文本切块；LLM 依赖环节随模型版本漂移，未做跨模型稳定性检验；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评价者依赖（evaluator dependence）：第三方盲评样本尚未收集，"像你"的统计显著性待二项检验给出；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统计效力：作者识别与续写选择样本量小（n=120/30），未做显著性检验与效应量报告；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6. 能力边界：生成式作者模型（预测选词、参数层注入）未实现；翻译等应用扩展未做独立对照验证。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8 结论与展望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本文提出 SCULPTOR：以作者表示为中心的生成式写作系统。理论上，将风格形式化为作者相对中性基线的稳定条件选择偏差，用四层签名近似，并提出"修改监督"；交互上，以思想脉络澄清协议与供给闭环响应深层意图；质量上，以姿态层检测缓解模型化话语特征。实验表明，全部契约测试满足输出契约；风格距离结果与"接近作者、远离模型化倾向"的假设一致；判别与预测两类外部检验显示签名具备作者信号，但样本规模不足以支持显著性结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未来工作：① 扩大多作者 × 多篇跨文体语料，完成作者识别/续写选择的显著性检验；② 执行澄清协议消融对照实验（4.4 设计）；③ 实现激活层干预与轻量微调，使签名直接引导生成；④ 跨语言验证；⑤ Web 端一键部署。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A　工程验证细节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工程形态：CLI（零依赖 Node）、Web 工作台（对话/实时大纲/写作区/审计面板）、宿主适配（Codex/Claude Code/OpenCode）与 MCP 协议。所有写入限定工作区，写前重读校验，凭据脱敏。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7　契约测试覆盖矩阵（agent 20 套 + web 7 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覆盖类别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验收口径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澄清交互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一次一问；低意愿逃生；不主动收尾护栏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实时大纲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生成/编辑/完成度结算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写作与字数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85% 阈值 + 扩写两轮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风格与向量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 与知识库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排队→回灌→缺口节重写→重审计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假思考检测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六层细读命中、不误伤克制式结尾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标点混用/口语化/摘要长度/引用顺序/关键词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翻译/回译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信息点保留/丢失/漂移核对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字结构不变量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前端接线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 个调用点零断链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8　多组实验数据汇总（实测）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实验组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规模/输入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全链路契约测试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 20 + web 7 套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全部满足输出契约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字小说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结构不变量通过；修复节标题粘连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全流程通过，修复 6 类问题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 AI 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真实任务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跨节重复比喻修复；终审黑名单 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人类化指标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真实成稿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14.4、段落变异 0.45、句首去重 81%、TTR 0.78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n=3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3.7/8.3/5.0；字数 742/874/984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风格建模空间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 类文本 MDS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Stress-1 = 0.212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作者识别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n=120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L1+8 维融合 88.3%（基线 90.0%）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续写选择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n=30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 93.3%（随机基线 50%）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学术规范审计自检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100/100（确定性安全网）</w:t>
            </w:r>
          </w:p>
        </w:tc>
      </w:tr>
    </w:tbl>
    <w:p/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B　可复现脚本与补充报告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scripts/style-vectors.py：风格三图与 STYLE-MATH.md；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scripts/style-mds.py：MDS 投影与 Stress-1；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scripts/author-id.py：作者识别实验（AUTHOR-ID.md）；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scripts/author-predict.py：续写选择实验（AUTHOR-PREDICT.md）；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agent：引擎源码与契约测试（npm test）。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致谢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感谢指导教师、参与测试的同学与开源社区；StyleVector[2]、GhostWriter[3]、EMNLP 2025[1] 与 Flower &amp; Hayes[12] 等成果为本文提供了理论基础。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[1] WANG Y, TRIPTO N, et al. Catch Me If You Can? Not Yet: LLMs Still Struggle to Imitate the Implicit Writing Styles of Everyday Authors[C]//Findings of the Association for Computational Linguistics: EMNLP 2025.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[2] ZHANG H, LIU Y, et al. Personalized Text Generation with Contrastive Activation Steering (StyleVector)[C]//Proceedings of the 63rd Annual Meeting of the Association for Computational Linguistics.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[3] CHAKRABARTY T, et al. GhostWriter: Augmenting Collaborative Human-AI Writing Experiences Through Personalization and Agency[J/OL]. arXiv preprint arXiv:2402.08855, 2024.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[4] Agentic Ghostwriter: Style-Reward Fine-Tuning for Writing Assistance[J/OL]. arXiv preprint arXiv:2512.05747,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[5] Oxford HAI Lab. Writing-Anima: Two-Stage Style-Aware Retrieval for Personalized Writing[EB/OL]. 2025.（项目主页，非同行评议，仅作行业对照）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[6] CustomNLP4U. Pearl: A Personalized Writing Assistant with Retriever Calibration[R/OL]. 2024.（非同行评议技术报告，仅作行业对照）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[7] COLLABLLM: Human-AI Collaborative Learning[C]//Proceedings of the 42nd International Conference on Machine Learning (ICML).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[8] DiscoverLLM: Discovering User Intent Through Draft Contrasting[R/OL]. 2026.（非同行评议技术报告，仅作行业对照）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[9] 基于 AI 智能体的智能写作辅助系统[EB/OL]. CSDN, 2026.（博客，非正式发表，仅作行业现状参考）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[10] 马良写作. 中文长篇 AI 写作 18 款工具横评[EB/OL]. https://maliangwriter.com/compare/.（产品横评，非同行评议，仅用于提炼产品能力维度）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[11] 费孝通. 乡土中国[M]. 北京: 生活·读书·新知三联书店,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[12] FLOWER L, HAYES J R. A Cognitive Process Theory of Writing[J]. College Composition and Communication, 1981, 32(4): 365-387.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[13] no-ai-slop / avoid-ai-writing-zh / de-aigc-ch 等开源反 AI 腔检测项目[EB/OL]. GitHub, 2024-2026.（开源项目，非同行评议，仅作行业对照）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注：[5][6][8][9][10][13] 为非同行评议来源（技术报告、开源项目、博客、产品横评），仅用于行业现状与能力维度对照，不作为理论依据。</w:t>
      </w:r>
    </w:p>
    <w:sectPr w:rsidR="00FC693F" w:rsidRPr="0006063C" w:rsidSect="00034616">
      <w:pgSz w:w="12240" w:h="15840"/>
      <w:pgMar w:top="1587" w:right="1474" w:bottom="1474" w:left="1587" w:header="720" w:footer="720" w:gutter="0"/>
      <w:cols w:space="720"/>
      <w:docGrid w:linePitch="360"/>
    </w:sectPr>
    <m:oMathPara>
      <m:oMathParaPr>
        <m:jc m:val="center"/>
      </m:oMathParaPr>
      <m:oMath>
        <m:sSub>
          <m:e>
            <m:r>
              <m:t xml:space="preserve">D</m:t>
            </m:r>
          </m:e>
          <m:sub>
            <m:r>
              <m:t xml:space="preserve">KL</m:t>
            </m:r>
          </m:sub>
        </m:sSub>
        <m:d>
          <m:dPr>
            <m:begChr m:val="("/>
            <m:endChr m:val=")"/>
          </m:dPr>
          <m:e>
            <m:sSub>
              <m:e>
                <m:r>
                  <m:t xml:space="preserve">P</m:t>
                </m:r>
              </m:e>
              <m:sub>
                <m:r>
                  <m:t xml:space="preserve">H</m:t>
                </m:r>
              </m:sub>
            </m:sSub>
            <m:r>
              <m:t xml:space="preserve"> ‖ </m:t>
            </m:r>
            <m:sSub>
              <m:e>
                <m:r>
                  <m:t xml:space="preserve">P</m:t>
                </m:r>
              </m:e>
              <m:sub>
                <m:r>
                  <m:t xml:space="preserve">M</m:t>
                </m:r>
              </m:sub>
            </m:sSub>
          </m:e>
        </m:d>
        <m:r>
          <m:t xml:space="preserve"> = </m:t>
        </m:r>
        <m:sSub>
          <m:e>
            <m:r>
              <m:t xml:space="preserve">∑</m:t>
            </m:r>
          </m:e>
          <m:sub>
            <m:r>
              <m:t xml:space="preserve">g</m:t>
            </m:r>
          </m:sub>
        </m:sSub>
        <m:r>
          <m:t xml:space="preserve"> </m:t>
        </m:r>
        <m:sSub>
          <m:e>
            <m:r>
              <m:t xml:space="preserve">P</m:t>
            </m:r>
          </m:e>
          <m:sub>
            <m:r>
              <m:t xml:space="preserve">H</m:t>
            </m:r>
          </m:sub>
        </m:sSub>
        <m:d>
          <m:dPr>
            <m:begChr m:val="("/>
            <m:endChr m:val=")"/>
          </m:dPr>
          <m:e>
            <m:r>
              <m:t xml:space="preserve">g</m:t>
            </m:r>
          </m:e>
        </m:d>
        <m:r>
          <m:t xml:space="preserve"> </m:t>
        </m:r>
        <m:r>
          <m:t xml:space="preserve">log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H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M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den>
        </m:f>
        <m:r>
          <m:t xml:space="preserve">　(1)</m:t>
        </m:r>
      </m:oMath>
    </m:oMathPara>
    <m:oMathPara>
      <m:oMathParaPr>
        <m:jc m:val="center"/>
      </m:oMathParaPr>
      <m:oMath>
        <m:sSub>
          <m:e>
            <m:r>
              <m:t xml:space="preserve">v</m:t>
            </m:r>
          </m:e>
          <m:sub>
            <m:r>
              <m:t xml:space="preserve">t</m:t>
            </m:r>
          </m:sub>
        </m:sSub>
        <m:r>
          <m:t xml:space="preserve"> = </m:t>
        </m:r>
        <m:r>
          <m:t xml:space="preserve">α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t−1</m:t>
            </m:r>
          </m:sub>
        </m:sSub>
        <m:r>
          <m:t xml:space="preserve"> + </m:t>
        </m:r>
        <m:d>
          <m:dPr>
            <m:begChr m:val="("/>
            <m:endChr m:val=")"/>
          </m:dPr>
          <m:e>
            <m:r>
              <m:t xml:space="preserve">1−α</m:t>
            </m:r>
          </m:e>
        </m:d>
        <m:r>
          <m:t xml:space="preserve"> </m:t>
        </m:r>
        <m:r>
          <m:t xml:space="preserve">φ</m:t>
        </m:r>
        <m:d>
          <m:dPr>
            <m:begChr m:val="("/>
            <m:endChr m:val=")"/>
          </m:dPr>
          <m:e>
            <m:sSub>
              <m:e>
                <m:r>
                  <m:t xml:space="preserve">x</m:t>
                </m:r>
              </m:e>
              <m:sub>
                <m:r>
                  <m:t xml:space="preserve">t</m:t>
                </m:r>
              </m:sub>
            </m:sSub>
          </m:e>
        </m:d>
        <m:r>
          <m:t xml:space="preserve">　(2)</m:t>
        </m:r>
      </m:oMath>
    </m:oMathPara>
    <m:oMathPara>
      <m:oMathParaPr>
        <m:jc m:val="center"/>
      </m:oMathParaPr>
      <m:oMath>
        <m:r>
          <m:t xml:space="preserve">s</m:t>
        </m:r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</m:num>
          <m:den>
            <m:r>
              <m:t xml:space="preserve">‖</m:t>
            </m:r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  <m:r>
              <m:t xml:space="preserve">‖</m:t>
            </m:r>
          </m:den>
        </m:f>
        <m:r>
          <m:t xml:space="preserve">　(3)</m:t>
        </m:r>
      </m:oMath>
    </m:oMathPara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算法 1　作者表示更新（四层增量学习）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输入：作者文本序列 x1…xT；可选基线 B；遗忘系数 α=0.75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输出：风格签名 v（style-vector.json）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for t = 1..T: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φ ← tokenize(x_t)                         // 字符二元组稀疏向量（可升级稠密 embedding）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v_t ← α·v_{t−1} + (1−α)·φ                  // EMA 增量更新（式 2）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动态维度 ← 意图/意象/偏好/素材轴（权重 × 新鲜度衰减）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surprisal/困惑度 ← S(x_t)、PP(x_t)          // 式 8–9，累计采样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if 存在作者显式修改 e=(原文, 改后, 意图):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  修改监督三元组入档（L4，最高权重），回写偏好轴与向量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截断至 300 维并写盘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return v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算法 2　RAG 供给闭环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输入：state（文体/素材/缺口）、用户发言 u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输出：补给后的素材与重写节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1. if 文体 ∈ {学术论文, 报告, 新闻稿} 且素材缺可查证来源 → 排队检索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2. if u 含显式检索意图 → 排队检索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3. 队列去重（同款 pending 不重复）→ requests.jsonl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4. 宿主代检或直连端点检索 → 回灌（rag-cache + 素材；请求置 done）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5. if 节含【素材不足】→ 重写缺口节（≤2 轮）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6. 重写后重新执行生成后审计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7. 写作时三源合一、轮换注入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算法 3　思想优先澄清（一次一问）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输入：用户发言 u、蓝图 state、个人知识库 KB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输出：确认后的素材/立意/风格信号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1. 提取 主张—前提—推理—理论来源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2. LLM 做一步概括，请用户确认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3. 提问顺序由 LLM 自主：先思想 → 后信息 → 最后规划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4. 每轮被动采集风格信号；显式修改即修改监督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5. 每问必带"我的建议 + A/B/C"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6. 蓝图无缺口仍追问 ≥2 轮 → 确定性护栏强制放行</w:t>
      </w:r>
    </w:p>
    <m:oMathPara>
      <m:oMathParaPr>
        <m:jc m:val="center"/>
      </m:oMathParaPr>
      <m:oMath>
        <m:sSub>
          <m:e>
            <m:r>
              <m:t xml:space="preserve">F</m:t>
            </m:r>
          </m:e>
          <m:sub>
            <m:r>
              <m:t xml:space="preserve">rt</m:t>
            </m:r>
          </m:sub>
        </m:sSub>
        <m:r>
          <m:t xml:space="preserve"> = </m:t>
        </m:r>
        <m:f>
          <m:num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kept</m:t>
                </m:r>
              </m:sub>
            </m:sSub>
            <m:r>
              <m:t xml:space="preserve">|</m:t>
            </m:r>
          </m:num>
          <m:den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orig</m:t>
                </m:r>
              </m:sub>
            </m:sSub>
            <m:r>
              <m:t xml:space="preserve">|</m:t>
            </m:r>
          </m:den>
        </m:f>
        <m:r>
          <m:t xml:space="preserve"> × </m:t>
        </m:r>
        <m:r>
          <m:t xml:space="preserve">100%</m:t>
        </m:r>
        <m:r>
          <m:t xml:space="preserve">　(4)</m:t>
        </m:r>
      </m:oMath>
    </m:oMathPara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算法 4　原意优先翻译与回译校验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输入：源文 S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输出：译文 T 与回译保真度报告（不改稿）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1. 原意解读：intent / tone / genre / keyImagery / pitfalls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2. 以作者原意为第一标准正向翻译 T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3. 回译 T → S′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4. 信息点核对：K_kept / K_orig（式 4）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5. 风格指标对比（句长σ / TTR / 语言新鲜度）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6. 输出报告；如需改动 → 定点修改（即修改监督）</w:t>
      </w:r>
    </w:p>
    <m:oMathPara>
      <m:oMathParaPr>
        <m:jc m:val="center"/>
      </m:oMathParaPr>
      <m:oMath>
        <m:acc>
          <m:accPr>
            <m:chr m:val="̂"/>
          </m:accPr>
          <m:e>
            <m:r>
              <m:t xml:space="preserve">v</m:t>
            </m:r>
          </m:e>
        </m:acc>
        <m:r>
          <m:t xml:space="preserve"> = </m:t>
        </m:r>
        <m:d>
          <m:dPr>
            <m:begChr m:val="("/>
            <m:endChr m:val=")"/>
          </m:dPr>
          <m:e>
            <m:r>
              <m:t xml:space="preserve">句长均值</m:t>
            </m:r>
            <m:r>
              <m:t xml:space="preserve">，</m:t>
            </m:r>
            <m:r>
              <m:t xml:space="preserve">句长波动</m:t>
            </m:r>
            <m:r>
              <m:t xml:space="preserve">，</m:t>
            </m:r>
            <m:r>
              <m:t xml:space="preserve">短句占比</m:t>
            </m:r>
            <m:r>
              <m:t xml:space="preserve">，</m:t>
            </m:r>
            <m:r>
              <m:t xml:space="preserve">口语度</m:t>
            </m:r>
            <m:r>
              <m:t xml:space="preserve">，</m:t>
            </m:r>
            <m:r>
              <m:t xml:space="preserve">意象密度</m:t>
            </m:r>
            <m:r>
              <m:t xml:space="preserve">，</m:t>
            </m:r>
            <m:r>
              <m:t xml:space="preserve">情绪浓度</m:t>
            </m:r>
            <m:r>
              <m:t xml:space="preserve">，</m:t>
            </m:r>
            <m:r>
              <m:t xml:space="preserve">词汇丰富度</m:t>
            </m:r>
            <m:r>
              <m:t xml:space="preserve">，</m:t>
            </m:r>
            <m:r>
              <m:t xml:space="preserve">语言新鲜度</m:t>
            </m:r>
          </m:e>
        </m:d>
        <m:r>
          <m:t xml:space="preserve"> ∈ </m:t>
        </m:r>
        <m:sSup>
          <m:e>
            <m:r>
              <m:t xml:space="preserve">ℝ</m:t>
            </m:r>
          </m:e>
          <m:sup>
            <m:r>
              <m:t xml:space="preserve">8</m:t>
            </m:r>
          </m:sup>
        </m:sSup>
        <m:r>
          <m:t xml:space="preserve">　(5)</m:t>
        </m:r>
      </m:oMath>
    </m:oMathPara>
    <m:oMathPara>
      <m:oMathParaPr>
        <m:jc m:val="center"/>
      </m:oMathParaPr>
      <m:oMath>
        <m:sSubSup>
          <m:e>
            <m:acc>
              <m:accPr>
                <m:chr m:val="̂"/>
              </m:accPr>
              <m:e>
                <m:r>
                  <m:t xml:space="preserve">v</m:t>
                </m:r>
              </m:e>
            </m:acc>
          </m:e>
          <m:sub>
            <m:r>
              <m:t xml:space="preserve">j</m:t>
            </m:r>
          </m:sub>
          <m:sup>
            <m:r>
              <m:t xml:space="preserve">(A)</m:t>
            </m:r>
          </m:sup>
        </m:sSubSup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Sup>
                  <m:e>
                    <m:acc>
                      <m:accPr>
                        <m:chr m:val="̂"/>
                      </m:accPr>
                      <m:e>
                        <m:r>
                          <m:t xml:space="preserve">v</m:t>
                        </m:r>
                      </m:e>
                    </m:acc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(A)</m:t>
                    </m:r>
                  </m:sup>
                </m:sSubSup>
                <m:r>
                  <m:t xml:space="preserve"> − </m:t>
                </m:r>
                <m:sSub>
                  <m:e>
                    <m:r>
                      <m:t xml:space="preserve">min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max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den>
        </m:f>
        <m:r>
          <m:t xml:space="preserve"> ∈ </m:t>
        </m:r>
        <m:d>
          <m:dPr>
            <m:begChr m:val="["/>
            <m:endChr m:val="]"/>
          </m:dPr>
          <m:e>
            <m:r>
              <m:t xml:space="preserve">0</m:t>
            </m:r>
            <m:r>
              <m:t xml:space="preserve">,</m:t>
            </m:r>
            <m:r>
              <m:t xml:space="preserve">1</m:t>
            </m:r>
          </m:e>
        </m:d>
        <m:r>
          <m:t xml:space="preserve">　(6)</m:t>
        </m:r>
      </m:oMath>
    </m:oMathPara>
    <m:oMathPara>
      <m:oMathParaPr>
        <m:jc m:val="center"/>
      </m:oMathParaPr>
      <m:oMath>
        <m:r>
          <m:t xml:space="preserve">d</m:t>
        </m:r>
        <m:d>
          <m:dPr>
            <m:begChr m:val="("/>
            <m:endChr m:val=")"/>
          </m:dPr>
          <m:e>
            <m:r>
              <m:t xml:space="preserve">A,B</m:t>
            </m:r>
          </m:e>
        </m:d>
        <m:r>
          <m:t xml:space="preserve"> = </m:t>
        </m:r>
        <m:rad>
          <m:radPr>
            <m:degHide m:val="1"/>
          </m:radPr>
          <m:deg/>
          <m:e>
            <m:nary>
              <m:naryPr>
                <m:chr m:val="∑"/>
                <m:limLoc m:val="undOvr"/>
              </m:naryPr>
              <m:sub>
                <m:r>
                  <m:t xml:space="preserve">j=1</m:t>
                </m:r>
              </m:sub>
              <m:sup>
                <m:r>
                  <m:t xml:space="preserve">8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(A)</m:t>
                            </m:r>
                          </m:sup>
                        </m:sSubSup>
                        <m:r>
                          <m:t xml:space="preserve"> − </m:t>
                        </m:r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(B)</m:t>
                            </m:r>
                          </m:sup>
                        </m:sSubSup>
                      </m:e>
                    </m:d>
                  </m:e>
                  <m:sup>
                    <m:r>
                      <m:t xml:space="preserve">2</m:t>
                    </m:r>
                  </m:sup>
                </m:sSup>
              </m:e>
            </m:nary>
          </m:e>
        </m:rad>
        <m:r>
          <m:t xml:space="preserve">　(7)</m:t>
        </m:r>
      </m:oMath>
    </m:oMathPara>
    <m:oMathPara>
      <m:oMathParaPr>
        <m:jc m:val="center"/>
      </m:oMathParaPr>
      <m:oMath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0.5</m:t>
        </m:r>
        <m:r>
          <m:t xml:space="preserve"> </m:t>
        </m:r>
        <m:sSub>
          <m:e>
            <m:r>
              <m:t xml:space="preserve">r</m:t>
            </m:r>
          </m:e>
          <m:sub>
            <m:r>
              <m:t xml:space="preserve">rare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0.3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sent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0.2</m:t>
        </m:r>
        <m:r>
          <m:t xml:space="preserve"> </m:t>
        </m:r>
        <m:d>
          <m:dPr>
            <m:begChr m:val="("/>
            <m:endChr m:val=")"/>
          </m:dPr>
          <m:e>
            <m:r>
              <m:t xml:space="preserve">1</m:t>
            </m:r>
            <m:r>
              <m:t xml:space="preserve"> − </m:t>
            </m:r>
            <m:sSub>
              <m:e>
                <m:r>
                  <m:t xml:space="preserve">r</m:t>
                </m:r>
              </m:e>
              <m:sub>
                <m:r>
                  <m:t xml:space="preserve">ai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x</m:t>
                </m:r>
              </m:e>
            </m:d>
          </m:e>
        </m:d>
        <m:r>
          <m:t xml:space="preserve">　(8)</m:t>
        </m:r>
      </m:oMath>
    </m:oMathPara>
    <m:oMathPara>
      <m:oMathParaPr>
        <m:jc m:val="center"/>
      </m:oMathParaPr>
      <m:oMath>
        <m:r>
          <m:t xml:space="preserve">PP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2</m:t>
        </m:r>
        <m:r>
          <m:t xml:space="preserve"> + </m:t>
        </m:r>
        <m:r>
          <m:t xml:space="preserve">6</m:t>
        </m:r>
        <m:r>
          <m:t xml:space="preserve">·</m:t>
        </m:r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　(9)</m:t>
        </m:r>
      </m:oMath>
    </m:oMathPara>
    <m:oMathPara>
      <m:oMathParaPr>
        <m:jc m:val="center"/>
      </m:oMathParaPr>
      <m:oMath>
        <m:r>
          <m:t xml:space="preserve">C</m:t>
        </m:r>
        <m:r>
          <m:t xml:space="preserve"> = </m:t>
        </m:r>
        <m:r>
          <m:t xml:space="preserve">0.25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1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2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3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4</m:t>
            </m:r>
          </m:sub>
        </m:sSub>
        <m:r>
          <m:t xml:space="preserve"> + </m:t>
        </m:r>
        <m:r>
          <m:t xml:space="preserve">0.15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5</m:t>
            </m:r>
          </m:sub>
        </m:sSub>
        <m:r>
          <m:t xml:space="preserve">　(10)</m:t>
        </m:r>
      </m:oMath>
    </m:oMathPara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