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2E11C"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color w:val="0055A2"/>
          <w:kern w:val="36"/>
          <w:sz w:val="60"/>
          <w:szCs w:val="60"/>
        </w:rPr>
        <w:t xml:space="preserve">伏羲智能城市操作系统 </w:t>
      </w:r>
    </w:p>
    <w:p w14:paraId="49229037"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color w:val="0055A2"/>
          <w:kern w:val="36"/>
          <w:sz w:val="60"/>
          <w:szCs w:val="60"/>
        </w:rPr>
        <w:t>产品白皮书</w:t>
      </w:r>
    </w:p>
    <w:p w14:paraId="4E036BCA"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color w:val="0055A2"/>
          <w:kern w:val="0"/>
        </w:rPr>
        <w:t>FUXI Interoperating System Product White Paper</w:t>
      </w:r>
    </w:p>
    <w:p w14:paraId="744B0E1B"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kern w:val="36"/>
          <w:sz w:val="42"/>
          <w:szCs w:val="42"/>
        </w:rPr>
        <w:t>适用用户</w:t>
      </w:r>
    </w:p>
    <w:p w14:paraId="7E6906F5"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数据规范制定者、政府企业数据治理者、政府企业数据管理者</w:t>
      </w:r>
    </w:p>
    <w:p w14:paraId="1E3CED9A"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kern w:val="36"/>
          <w:sz w:val="42"/>
          <w:szCs w:val="42"/>
        </w:rPr>
        <w:t xml:space="preserve">概述 </w:t>
      </w:r>
    </w:p>
    <w:p w14:paraId="2273E585"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 xml:space="preserve">本文档将向您介绍“伏羲智能城市操作系统 ”产品(以下简称“产品”)的背景、产品架构、产品形态、产品功能、针对性的介绍应用场景，并且能向您展现产品优势及我们提供的服务保障能力。 </w:t>
      </w:r>
    </w:p>
    <w:p w14:paraId="5338D81C"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kern w:val="36"/>
          <w:sz w:val="42"/>
          <w:szCs w:val="42"/>
        </w:rPr>
        <w:t>产品背景</w:t>
      </w:r>
    </w:p>
    <w:p w14:paraId="46C79E3C" w14:textId="77777777" w:rsidR="00282922" w:rsidRPr="00282922" w:rsidRDefault="00282922" w:rsidP="00282922">
      <w:pPr>
        <w:widowControl/>
        <w:spacing w:before="315" w:after="75" w:line="480" w:lineRule="atLeast"/>
        <w:jc w:val="left"/>
        <w:outlineLvl w:val="1"/>
        <w:rPr>
          <w:rFonts w:ascii="SimSun" w:eastAsia="SimSun" w:hAnsi="SimSun" w:cs="SimSun"/>
          <w:b/>
          <w:bCs/>
          <w:kern w:val="0"/>
          <w:sz w:val="36"/>
          <w:szCs w:val="36"/>
        </w:rPr>
      </w:pPr>
      <w:r w:rsidRPr="00282922">
        <w:rPr>
          <w:rFonts w:ascii="SimSun" w:eastAsia="SimSun" w:hAnsi="SimSun" w:cs="SimSun"/>
          <w:b/>
          <w:bCs/>
          <w:kern w:val="0"/>
          <w:sz w:val="36"/>
          <w:szCs w:val="36"/>
        </w:rPr>
        <w:t>建设背景</w:t>
      </w:r>
    </w:p>
    <w:p w14:paraId="730E4B7F"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color w:val="F5222D"/>
          <w:kern w:val="0"/>
        </w:rPr>
        <w:t>【数字经济的时代趋势，数据为关键的生产要素】</w:t>
      </w:r>
    </w:p>
    <w:p w14:paraId="06732FF7"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kern w:val="0"/>
        </w:rPr>
        <w:t>近年来，以数据要素为基础的数字经济已逐渐成为未来经济发展趋势。一方面，数字经济已成为我国经济发展的新动能，数字经济增加值规模由2005年的2.6万亿元增加至2019年的35.8万亿元，2021年有望突破45万亿元。与此同时，数字经济在GDP中所占的比重逐年提升，由2005年的14.2%提升至2019年的36.2%。另一方面，国家已明确构建以数据为关键生产要素的数字经济。</w:t>
      </w:r>
    </w:p>
    <w:p w14:paraId="0C03CEB5"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color w:val="F5222D"/>
          <w:kern w:val="0"/>
        </w:rPr>
        <w:t>【政策背景】</w:t>
      </w:r>
    </w:p>
    <w:p w14:paraId="091D9D2B"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kern w:val="0"/>
        </w:rPr>
        <w:t>2020年，中共中央国务院发布《关于构建更加完善的要素市场化配置体制机制的意见》，数据作为一种新型生产要素写入文件中，与土地、劳动力、资本、</w:t>
      </w:r>
      <w:r w:rsidRPr="00282922">
        <w:rPr>
          <w:rFonts w:ascii="SimSun" w:eastAsia="SimSun" w:hAnsi="SimSun" w:cs="SimSun"/>
          <w:kern w:val="0"/>
        </w:rPr>
        <w:lastRenderedPageBreak/>
        <w:t>技术等传统要素并列为关键要素之一。意见明确加快培育数据要素市场，推进政府数据开放共享、提升社会数据资源价值、加强数据资源整合与安全保护。随着数据共享相关法规的实施和推进，加快数据开放共享，深化数据在各行业的创新应用，通过建设数据强国推动经济转型升级，已经成为产学研各界的共识。</w:t>
      </w:r>
    </w:p>
    <w:p w14:paraId="502342ED"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color w:val="F5222D"/>
          <w:kern w:val="0"/>
        </w:rPr>
        <w:t>【阻碍数据共享流转，造成数据孤岛的四大关键问题】</w:t>
      </w:r>
    </w:p>
    <w:p w14:paraId="73CB62CC"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kern w:val="0"/>
        </w:rPr>
        <w:t>与此同时，随着大数据共享和开放的不断推进，业务生态更加复杂，数据处理的角色更加多元，导致数据发布、存储、流动、计算等环节更加多样，“数据安全、数据垄断、隐私侵犯”正在成为阻碍数据共享与流转，造成数据孤岛的关键问题：</w:t>
      </w:r>
    </w:p>
    <w:p w14:paraId="5C9A311B" w14:textId="77777777" w:rsidR="00282922" w:rsidRPr="00282922" w:rsidRDefault="00282922" w:rsidP="00282922">
      <w:pPr>
        <w:widowControl/>
        <w:numPr>
          <w:ilvl w:val="0"/>
          <w:numId w:val="1"/>
        </w:numPr>
        <w:spacing w:before="100" w:beforeAutospacing="1" w:after="100" w:afterAutospacing="1"/>
        <w:rPr>
          <w:rFonts w:ascii="SimSun" w:eastAsia="SimSun" w:hAnsi="SimSun" w:cs="SimSun"/>
          <w:kern w:val="0"/>
        </w:rPr>
      </w:pPr>
      <w:r w:rsidRPr="00282922">
        <w:rPr>
          <w:rFonts w:ascii="SimSun" w:eastAsia="SimSun" w:hAnsi="SimSun" w:cs="SimSun"/>
          <w:kern w:val="0"/>
        </w:rPr>
        <w:t>在数据发布层面，数据权属缺少公开确认。数据发布由资源方自主提交，系统对数据缺少唯一性鉴别与时序公证登记，产生了数据重复登记、权属不清等关键问题；</w:t>
      </w:r>
    </w:p>
    <w:p w14:paraId="225AC289" w14:textId="77777777" w:rsidR="00282922" w:rsidRPr="00282922" w:rsidRDefault="00282922" w:rsidP="00282922">
      <w:pPr>
        <w:widowControl/>
        <w:numPr>
          <w:ilvl w:val="0"/>
          <w:numId w:val="1"/>
        </w:numPr>
        <w:spacing w:before="100" w:beforeAutospacing="1" w:after="100" w:afterAutospacing="1"/>
        <w:rPr>
          <w:rFonts w:ascii="SimSun" w:eastAsia="SimSun" w:hAnsi="SimSun" w:cs="SimSun"/>
          <w:kern w:val="0"/>
        </w:rPr>
      </w:pPr>
      <w:r w:rsidRPr="00282922">
        <w:rPr>
          <w:rFonts w:ascii="SimSun" w:eastAsia="SimSun" w:hAnsi="SimSun" w:cs="SimSun"/>
          <w:kern w:val="0"/>
        </w:rPr>
        <w:t>在数据存储与汇聚层面，不同权属的数据汇聚并存储于业务系统，数据的分析或使用脱离数据所有者控制，与数据使用过程中的透明性、可信性、可控性等原则相背离；</w:t>
      </w:r>
    </w:p>
    <w:p w14:paraId="0EE5C090" w14:textId="77777777" w:rsidR="00282922" w:rsidRPr="00282922" w:rsidRDefault="00282922" w:rsidP="00282922">
      <w:pPr>
        <w:widowControl/>
        <w:numPr>
          <w:ilvl w:val="0"/>
          <w:numId w:val="2"/>
        </w:numPr>
        <w:spacing w:before="100" w:beforeAutospacing="1" w:after="100" w:afterAutospacing="1"/>
        <w:rPr>
          <w:rFonts w:ascii="SimSun" w:eastAsia="SimSun" w:hAnsi="SimSun" w:cs="SimSun"/>
          <w:kern w:val="0"/>
        </w:rPr>
      </w:pPr>
      <w:r w:rsidRPr="00282922">
        <w:rPr>
          <w:rFonts w:ascii="SimSun" w:eastAsia="SimSun" w:hAnsi="SimSun" w:cs="SimSun"/>
          <w:kern w:val="0"/>
        </w:rPr>
        <w:t>在数据交换层面，随着数据共享和交换的增多，数据从产生到销毁从单向、单路径的简单流动模式演变为交错复杂的流动模式，实现异构网络环境下跨越数据控制者或安全域的全路径数据追踪溯源变得更加困难；</w:t>
      </w:r>
    </w:p>
    <w:p w14:paraId="1F191008" w14:textId="77777777" w:rsidR="00282922" w:rsidRPr="00282922" w:rsidRDefault="00282922" w:rsidP="00282922">
      <w:pPr>
        <w:widowControl/>
        <w:numPr>
          <w:ilvl w:val="0"/>
          <w:numId w:val="2"/>
        </w:numPr>
        <w:spacing w:before="100" w:beforeAutospacing="1" w:after="100" w:afterAutospacing="1"/>
        <w:rPr>
          <w:rFonts w:ascii="SimSun" w:eastAsia="SimSun" w:hAnsi="SimSun" w:cs="SimSun"/>
          <w:kern w:val="0"/>
        </w:rPr>
      </w:pPr>
      <w:r w:rsidRPr="00282922">
        <w:rPr>
          <w:rFonts w:ascii="SimSun" w:eastAsia="SimSun" w:hAnsi="SimSun" w:cs="SimSun"/>
          <w:kern w:val="0"/>
        </w:rPr>
        <w:t>在数据计算层面，大数据分析技术可以实现多源数据处理，能够将经过匿名化处理的数据再次还原，导致现有数据脱敏技术“失灵”，直接威胁用户的隐私安全。随着多源数据计算场景的增多，需要在保障数据机密性的同时，实现数据的流通与共享。</w:t>
      </w:r>
    </w:p>
    <w:p w14:paraId="1F88D3D5"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color w:val="F5222D"/>
          <w:kern w:val="0"/>
        </w:rPr>
        <w:t>【政府与公共部门需求】</w:t>
      </w:r>
    </w:p>
    <w:p w14:paraId="5F334C72"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kern w:val="0"/>
        </w:rPr>
        <w:t>这些关键问题已经成为制约城市数字发展的瓶颈。对于城市而言，</w:t>
      </w:r>
      <w:r w:rsidRPr="00282922">
        <w:rPr>
          <w:rFonts w:ascii="SimSun" w:eastAsia="SimSun" w:hAnsi="SimSun" w:cs="SimSun"/>
          <w:color w:val="494949"/>
          <w:kern w:val="0"/>
          <w:sz w:val="23"/>
          <w:szCs w:val="23"/>
        </w:rPr>
        <w:t>建设更智慧的城市，必然会涉及公共数据，而这些数据归口在政府机关和公共服务部门（包括海关、税务、银行、医院、学校等），后者对数据封闭性和安全性有严格要</w:t>
      </w:r>
      <w:r w:rsidRPr="00282922">
        <w:rPr>
          <w:rFonts w:ascii="SimSun" w:eastAsia="SimSun" w:hAnsi="SimSun" w:cs="SimSun"/>
          <w:kern w:val="0"/>
        </w:rPr>
        <w:t>求。所以，虽然它们掌握巨大的数据资源，但普遍存在“不愿”“不敢”和“不会”共享开放，就形成了数据孤岛。数据孤岛存在制度和技术的双重约束，尽管国家在政策和制度设计上进行了合规性探索，但是要想彻底破解数据孤岛，那就需要通过技术手段在数据共享与流转的各个环节有效保障。</w:t>
      </w:r>
    </w:p>
    <w:p w14:paraId="4E08A8D9"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color w:val="F5222D"/>
          <w:kern w:val="0"/>
        </w:rPr>
        <w:t>【企业需求】</w:t>
      </w:r>
    </w:p>
    <w:p w14:paraId="3D427B34" w14:textId="77777777" w:rsidR="00282922" w:rsidRPr="00282922" w:rsidRDefault="00282922" w:rsidP="00282922">
      <w:pPr>
        <w:widowControl/>
        <w:ind w:firstLine="480"/>
        <w:rPr>
          <w:rFonts w:ascii="SimSun" w:eastAsia="SimSun" w:hAnsi="SimSun" w:cs="SimSun"/>
          <w:kern w:val="0"/>
        </w:rPr>
      </w:pPr>
      <w:r w:rsidRPr="00282922">
        <w:rPr>
          <w:rFonts w:ascii="SimSun" w:eastAsia="SimSun" w:hAnsi="SimSun" w:cs="SimSun"/>
          <w:kern w:val="0"/>
        </w:rPr>
        <w:lastRenderedPageBreak/>
        <w:t>其次，在很多企业内部，由于重复建设、管理边界不清等问题，也会形成数据孤岛。企业或集团的信息管理系统主要建立在部门内部和系统内部，业务流程割裂，缺乏规范标准体系，数据采集格式不统一，管理规则不明确，数据的归集、整合、清洗、比对短时间内难以完成。数据在各部门之前的流转权限难以控制，全责不清晰，这些问题也会形成企业内部“数据孤岛”。</w:t>
      </w:r>
    </w:p>
    <w:p w14:paraId="3A7D42B9" w14:textId="77777777" w:rsidR="00282922" w:rsidRPr="00282922" w:rsidRDefault="00282922" w:rsidP="00282922">
      <w:pPr>
        <w:widowControl/>
        <w:spacing w:before="315" w:after="75" w:line="480" w:lineRule="atLeast"/>
        <w:jc w:val="left"/>
        <w:outlineLvl w:val="1"/>
        <w:rPr>
          <w:rFonts w:ascii="SimSun" w:eastAsia="SimSun" w:hAnsi="SimSun" w:cs="SimSun"/>
          <w:b/>
          <w:bCs/>
          <w:kern w:val="0"/>
          <w:sz w:val="36"/>
          <w:szCs w:val="36"/>
        </w:rPr>
      </w:pPr>
      <w:r w:rsidRPr="00282922">
        <w:rPr>
          <w:rFonts w:ascii="SimSun" w:eastAsia="SimSun" w:hAnsi="SimSun" w:cs="SimSun"/>
          <w:b/>
          <w:bCs/>
          <w:kern w:val="0"/>
          <w:sz w:val="36"/>
          <w:szCs w:val="36"/>
        </w:rPr>
        <w:t>痛点</w:t>
      </w:r>
    </w:p>
    <w:p w14:paraId="72757BF6" w14:textId="77777777" w:rsidR="00282922" w:rsidRPr="00282922" w:rsidRDefault="00282922" w:rsidP="00282922">
      <w:pPr>
        <w:widowControl/>
        <w:ind w:firstLine="480"/>
        <w:jc w:val="left"/>
        <w:rPr>
          <w:rFonts w:ascii="SimSun" w:eastAsia="SimSun" w:hAnsi="SimSun" w:cs="SimSun"/>
          <w:kern w:val="0"/>
        </w:rPr>
      </w:pPr>
      <w:r w:rsidRPr="00282922">
        <w:rPr>
          <w:rFonts w:ascii="SimSun" w:eastAsia="SimSun" w:hAnsi="SimSun" w:cs="SimSun"/>
          <w:kern w:val="0"/>
        </w:rPr>
        <w:t>对于政府机构和公共部门而言：</w:t>
      </w:r>
    </w:p>
    <w:p w14:paraId="20217485" w14:textId="77777777" w:rsidR="00282922" w:rsidRPr="00282922" w:rsidRDefault="00282922" w:rsidP="00282922">
      <w:pPr>
        <w:widowControl/>
        <w:numPr>
          <w:ilvl w:val="0"/>
          <w:numId w:val="3"/>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如何在城市层面对公共数据形成自顶向下的数据资产标识和确权管理？</w:t>
      </w:r>
    </w:p>
    <w:p w14:paraId="3E7FD860" w14:textId="77777777" w:rsidR="00282922" w:rsidRPr="00282922" w:rsidRDefault="00282922" w:rsidP="00282922">
      <w:pPr>
        <w:widowControl/>
        <w:numPr>
          <w:ilvl w:val="0"/>
          <w:numId w:val="3"/>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如何面向不同类型用户对公共数据的访问途径进行权限控制和行为溯源？</w:t>
      </w:r>
    </w:p>
    <w:p w14:paraId="499CAE58" w14:textId="77777777" w:rsidR="00282922" w:rsidRPr="00282922" w:rsidRDefault="00282922" w:rsidP="002277B5">
      <w:pPr>
        <w:widowControl/>
        <w:numPr>
          <w:ilvl w:val="0"/>
          <w:numId w:val="3"/>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如何在保障各参与方权益的情况下，进行各个智慧城市业务系统之间的公共数据联合分析与计算？</w:t>
      </w:r>
    </w:p>
    <w:p w14:paraId="1AD94D26" w14:textId="77777777" w:rsidR="00282922" w:rsidRPr="00282922" w:rsidRDefault="00282922" w:rsidP="00282922">
      <w:pPr>
        <w:widowControl/>
        <w:jc w:val="left"/>
        <w:rPr>
          <w:rFonts w:ascii="SimSun" w:eastAsia="SimSun" w:hAnsi="SimSun" w:cs="SimSun"/>
          <w:kern w:val="0"/>
        </w:rPr>
      </w:pPr>
    </w:p>
    <w:p w14:paraId="1D7162DA" w14:textId="77777777" w:rsidR="00282922" w:rsidRPr="00282922" w:rsidRDefault="00282922" w:rsidP="00282922">
      <w:pPr>
        <w:widowControl/>
        <w:ind w:firstLine="480"/>
        <w:jc w:val="left"/>
        <w:rPr>
          <w:rFonts w:ascii="SimSun" w:eastAsia="SimSun" w:hAnsi="SimSun" w:cs="SimSun"/>
          <w:kern w:val="0"/>
        </w:rPr>
      </w:pPr>
      <w:r w:rsidRPr="00282922">
        <w:rPr>
          <w:rFonts w:ascii="SimSun" w:eastAsia="SimSun" w:hAnsi="SimSun" w:cs="SimSun"/>
          <w:kern w:val="0"/>
        </w:rPr>
        <w:t>对于企业而言：</w:t>
      </w:r>
    </w:p>
    <w:p w14:paraId="21EA19F1" w14:textId="77777777" w:rsidR="00282922" w:rsidRPr="00282922" w:rsidRDefault="00282922" w:rsidP="00282922">
      <w:pPr>
        <w:widowControl/>
        <w:numPr>
          <w:ilvl w:val="0"/>
          <w:numId w:val="5"/>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如何对企业内部各类异构的人、机、物、数等生产资料标识进行兼容性管理？</w:t>
      </w:r>
    </w:p>
    <w:p w14:paraId="2CF1F6BD" w14:textId="77777777" w:rsidR="00282922" w:rsidRPr="00282922" w:rsidRDefault="00282922" w:rsidP="00282922">
      <w:pPr>
        <w:widowControl/>
        <w:numPr>
          <w:ilvl w:val="0"/>
          <w:numId w:val="5"/>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如何解决企业内部复杂的跨部门业务流程执行过程中的数据权限控制问题？</w:t>
      </w:r>
    </w:p>
    <w:p w14:paraId="59936F60" w14:textId="77777777" w:rsidR="00282922" w:rsidRPr="00282922" w:rsidRDefault="00282922" w:rsidP="00282922">
      <w:pPr>
        <w:widowControl/>
        <w:numPr>
          <w:ilvl w:val="0"/>
          <w:numId w:val="6"/>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如何在不泄露敏感商业数据的前提下实现企业内部、企业与客户、企业与企业之间的信息交换问题？</w:t>
      </w:r>
    </w:p>
    <w:p w14:paraId="082490FE" w14:textId="77777777" w:rsidR="00282922" w:rsidRPr="00282922" w:rsidRDefault="00282922" w:rsidP="00282922">
      <w:pPr>
        <w:widowControl/>
        <w:spacing w:before="315" w:after="75" w:line="480" w:lineRule="atLeast"/>
        <w:jc w:val="left"/>
        <w:outlineLvl w:val="1"/>
        <w:rPr>
          <w:rFonts w:ascii="SimSun" w:eastAsia="SimSun" w:hAnsi="SimSun" w:cs="SimSun"/>
          <w:b/>
          <w:bCs/>
          <w:kern w:val="0"/>
          <w:sz w:val="36"/>
          <w:szCs w:val="36"/>
        </w:rPr>
      </w:pPr>
      <w:r w:rsidRPr="00282922">
        <w:rPr>
          <w:rFonts w:ascii="SimSun" w:eastAsia="SimSun" w:hAnsi="SimSun" w:cs="SimSun"/>
          <w:b/>
          <w:bCs/>
          <w:kern w:val="0"/>
          <w:sz w:val="36"/>
          <w:szCs w:val="36"/>
        </w:rPr>
        <w:t>建设目标</w:t>
      </w:r>
    </w:p>
    <w:p w14:paraId="7DDB0EF3" w14:textId="77777777" w:rsidR="00282922" w:rsidRPr="00282922" w:rsidRDefault="00282922" w:rsidP="00282922">
      <w:pPr>
        <w:widowControl/>
        <w:ind w:firstLine="480"/>
        <w:jc w:val="left"/>
        <w:rPr>
          <w:rFonts w:ascii="SimSun" w:eastAsia="SimSun" w:hAnsi="SimSun" w:cs="SimSun"/>
          <w:kern w:val="0"/>
        </w:rPr>
      </w:pPr>
      <w:r w:rsidRPr="00282922">
        <w:rPr>
          <w:rFonts w:ascii="SimSun" w:eastAsia="SimSun" w:hAnsi="SimSun" w:cs="SimSun"/>
          <w:kern w:val="0"/>
        </w:rPr>
        <w:t>以先进技术赋能城市，构建可信可控可靠的数据互操作系统，充分释放数据要素价值，实现数字经济发展过程中海量数据的确权、开放、流通和交易，破解智能城市数据要素共享难题，驱动智能城市应用生态有序发展，促进经济与社会发展的数字化转型。</w:t>
      </w:r>
    </w:p>
    <w:p w14:paraId="57D986B3"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kern w:val="36"/>
          <w:sz w:val="42"/>
          <w:szCs w:val="42"/>
        </w:rPr>
        <w:lastRenderedPageBreak/>
        <w:t>产品介绍</w:t>
      </w:r>
    </w:p>
    <w:p w14:paraId="4F1155C5" w14:textId="77777777" w:rsidR="00282922" w:rsidRPr="00282922" w:rsidRDefault="00282922" w:rsidP="00282922">
      <w:pPr>
        <w:widowControl/>
        <w:ind w:firstLine="480"/>
        <w:jc w:val="left"/>
        <w:rPr>
          <w:rFonts w:ascii="SimSun" w:eastAsia="SimSun" w:hAnsi="SimSun" w:cs="SimSun"/>
          <w:kern w:val="0"/>
        </w:rPr>
      </w:pPr>
      <w:r w:rsidRPr="00282922">
        <w:rPr>
          <w:rFonts w:ascii="SimSun" w:eastAsia="SimSun" w:hAnsi="SimSun" w:cs="SimSun"/>
          <w:kern w:val="0"/>
        </w:rPr>
        <w:t>伏羲智能城市操作系统（FUXI.IS）是伏羲智库与中科院计算所互联网基础技术联合实验室共同研发的核心产品，是面向城市数据要素管理的新型逻辑信息基础设施，用于数字城市中各类数据（数字对象）的标识索引、认证授权和安全交换的系统。</w:t>
      </w:r>
    </w:p>
    <w:p w14:paraId="6714511D" w14:textId="77777777" w:rsidR="00282922" w:rsidRPr="00282922" w:rsidRDefault="00282922" w:rsidP="00282922">
      <w:pPr>
        <w:widowControl/>
        <w:ind w:firstLine="480"/>
        <w:jc w:val="left"/>
        <w:rPr>
          <w:rFonts w:ascii="SimSun" w:eastAsia="SimSun" w:hAnsi="SimSun" w:cs="SimSun"/>
          <w:kern w:val="0"/>
        </w:rPr>
      </w:pPr>
      <w:r w:rsidRPr="00282922">
        <w:rPr>
          <w:rFonts w:ascii="SimSun" w:eastAsia="SimSun" w:hAnsi="SimSun" w:cs="SimSun"/>
          <w:kern w:val="0"/>
        </w:rPr>
        <w:t>FUXI.IS无须对数据进行中心化归集，而是在各个独立业务系统中数据不离地的情况下，以标识、区块链、隐私计算等诸多技术，完成对数据的标识索引、安全确权、可信交换与可视化呈现，实现城市海量数据高效、安全“对话”。在破解智能城市数据要素共享难题的同时，也将驱动智能交通、智能制造、智能能源等智能城市应用生态的健康有序发展。</w:t>
      </w:r>
    </w:p>
    <w:p w14:paraId="1178AA9E" w14:textId="77777777" w:rsidR="00282922" w:rsidRPr="00282922" w:rsidRDefault="00282922" w:rsidP="00282922">
      <w:pPr>
        <w:widowControl/>
        <w:spacing w:before="315" w:after="75" w:line="480" w:lineRule="atLeast"/>
        <w:jc w:val="left"/>
        <w:outlineLvl w:val="1"/>
        <w:rPr>
          <w:rFonts w:ascii="SimSun" w:eastAsia="SimSun" w:hAnsi="SimSun" w:cs="SimSun"/>
          <w:b/>
          <w:bCs/>
          <w:kern w:val="0"/>
          <w:sz w:val="36"/>
          <w:szCs w:val="36"/>
        </w:rPr>
      </w:pPr>
      <w:r w:rsidRPr="00282922">
        <w:rPr>
          <w:rFonts w:ascii="SimSun" w:eastAsia="SimSun" w:hAnsi="SimSun" w:cs="SimSun"/>
          <w:b/>
          <w:bCs/>
          <w:kern w:val="0"/>
          <w:sz w:val="36"/>
          <w:szCs w:val="36"/>
        </w:rPr>
        <w:t>产品架构</w:t>
      </w:r>
    </w:p>
    <w:p w14:paraId="5D362426" w14:textId="77777777" w:rsidR="00282922" w:rsidRPr="00282922" w:rsidRDefault="00282922" w:rsidP="00282922">
      <w:pPr>
        <w:widowControl/>
        <w:ind w:firstLine="480"/>
        <w:jc w:val="left"/>
        <w:rPr>
          <w:rFonts w:ascii="SimSun" w:eastAsia="SimSun" w:hAnsi="SimSun" w:cs="SimSun"/>
          <w:kern w:val="0"/>
        </w:rPr>
      </w:pPr>
      <w:r w:rsidRPr="00282922">
        <w:rPr>
          <w:rFonts w:ascii="SimSun" w:eastAsia="SimSun" w:hAnsi="SimSun" w:cs="SimSun"/>
          <w:kern w:val="0"/>
        </w:rPr>
        <w:t>FUXI.IS形成自下而上层次式的技术体系，包括标识索引、认证授权和安全交换三大核心的技术模块。</w:t>
      </w:r>
    </w:p>
    <w:p w14:paraId="3C2E99AB" w14:textId="77777777" w:rsidR="006F6AF7" w:rsidRPr="006F6AF7" w:rsidRDefault="00282922" w:rsidP="00282922">
      <w:pPr>
        <w:widowControl/>
        <w:numPr>
          <w:ilvl w:val="0"/>
          <w:numId w:val="7"/>
        </w:numPr>
        <w:spacing w:before="100" w:beforeAutospacing="1" w:after="100" w:afterAutospacing="1"/>
        <w:jc w:val="left"/>
        <w:rPr>
          <w:rFonts w:ascii="SimSun" w:eastAsia="SimSun" w:hAnsi="SimSun" w:cs="SimSun"/>
          <w:kern w:val="0"/>
        </w:rPr>
      </w:pPr>
      <w:r w:rsidRPr="00282922">
        <w:rPr>
          <w:rFonts w:ascii="SimSun" w:eastAsia="SimSun" w:hAnsi="SimSun" w:cs="SimSun"/>
          <w:b/>
          <w:bCs/>
          <w:kern w:val="0"/>
        </w:rPr>
        <w:t>标识索引层：</w:t>
      </w:r>
    </w:p>
    <w:p w14:paraId="7CBB2464" w14:textId="2A13394D" w:rsidR="006F6AF7" w:rsidRDefault="00282922" w:rsidP="006F6AF7">
      <w:pPr>
        <w:widowControl/>
        <w:numPr>
          <w:ilvl w:val="1"/>
          <w:numId w:val="7"/>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由多利益方组成的对数据标识及其数据所有权形成共识，组成公开的全球</w:t>
      </w:r>
      <w:r w:rsidR="006F6AF7">
        <w:rPr>
          <w:rFonts w:ascii="SimSun" w:eastAsia="SimSun" w:hAnsi="SimSun" w:cs="SimSun" w:hint="eastAsia"/>
          <w:kern w:val="0"/>
        </w:rPr>
        <w:t>身份和</w:t>
      </w:r>
      <w:r w:rsidRPr="00282922">
        <w:rPr>
          <w:rFonts w:ascii="SimSun" w:eastAsia="SimSun" w:hAnsi="SimSun" w:cs="SimSun"/>
          <w:kern w:val="0"/>
        </w:rPr>
        <w:t>数据目录，分散存储在各利益方中，从而实现数据标识及数据所有权的公开透明、安全可信。</w:t>
      </w:r>
    </w:p>
    <w:p w14:paraId="13E0BFF1" w14:textId="7E5AC3FA" w:rsidR="006F6AF7" w:rsidRDefault="00282922" w:rsidP="006F6AF7">
      <w:pPr>
        <w:widowControl/>
        <w:numPr>
          <w:ilvl w:val="1"/>
          <w:numId w:val="7"/>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参照已有的域名系统和区块链技术优势，实现</w:t>
      </w:r>
      <w:r w:rsidR="006F6AF7">
        <w:rPr>
          <w:rFonts w:ascii="SimSun" w:eastAsia="SimSun" w:hAnsi="SimSun" w:cs="SimSun" w:hint="eastAsia"/>
          <w:kern w:val="0"/>
        </w:rPr>
        <w:t>既保持</w:t>
      </w:r>
      <w:r w:rsidRPr="00282922">
        <w:rPr>
          <w:rFonts w:ascii="SimSun" w:eastAsia="SimSun" w:hAnsi="SimSun" w:cs="SimSun"/>
          <w:kern w:val="0"/>
        </w:rPr>
        <w:t>自顶向下</w:t>
      </w:r>
      <w:r w:rsidR="006F6AF7">
        <w:rPr>
          <w:rFonts w:ascii="SimSun" w:eastAsia="SimSun" w:hAnsi="SimSun" w:cs="SimSun" w:hint="eastAsia"/>
          <w:kern w:val="0"/>
        </w:rPr>
        <w:t>的架构设计</w:t>
      </w:r>
      <w:r w:rsidRPr="00282922">
        <w:rPr>
          <w:rFonts w:ascii="SimSun" w:eastAsia="SimSun" w:hAnsi="SimSun" w:cs="SimSun" w:hint="eastAsia"/>
          <w:kern w:val="0"/>
        </w:rPr>
        <w:t>，</w:t>
      </w:r>
      <w:r w:rsidRPr="00282922">
        <w:rPr>
          <w:rFonts w:ascii="SimSun" w:eastAsia="SimSun" w:hAnsi="SimSun" w:cs="SimSun"/>
          <w:kern w:val="0"/>
        </w:rPr>
        <w:t>又有一定的灵活度和自由度的标识体系。</w:t>
      </w:r>
    </w:p>
    <w:p w14:paraId="43E7069D" w14:textId="2F1E8F51" w:rsidR="006F6AF7" w:rsidRDefault="00282922" w:rsidP="006F6AF7">
      <w:pPr>
        <w:widowControl/>
        <w:numPr>
          <w:ilvl w:val="1"/>
          <w:numId w:val="7"/>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支持人、机、物等各类数据的标识</w:t>
      </w:r>
      <w:r w:rsidR="006F6AF7">
        <w:rPr>
          <w:rFonts w:ascii="SimSun" w:eastAsia="SimSun" w:hAnsi="SimSun" w:cs="SimSun" w:hint="eastAsia"/>
          <w:kern w:val="0"/>
        </w:rPr>
        <w:t>。</w:t>
      </w:r>
    </w:p>
    <w:p w14:paraId="356610D8" w14:textId="387BD700" w:rsidR="006F6AF7" w:rsidRDefault="006F6AF7" w:rsidP="006F6AF7">
      <w:pPr>
        <w:widowControl/>
        <w:numPr>
          <w:ilvl w:val="1"/>
          <w:numId w:val="7"/>
        </w:numPr>
        <w:spacing w:before="100" w:beforeAutospacing="1" w:after="100" w:afterAutospacing="1"/>
        <w:jc w:val="left"/>
        <w:rPr>
          <w:rFonts w:ascii="SimSun" w:eastAsia="SimSun" w:hAnsi="SimSun" w:cs="SimSun"/>
          <w:kern w:val="0"/>
        </w:rPr>
      </w:pPr>
      <w:r>
        <w:rPr>
          <w:rFonts w:ascii="SimSun" w:eastAsia="SimSun" w:hAnsi="SimSun" w:cs="SimSun" w:hint="eastAsia"/>
          <w:kern w:val="0"/>
        </w:rPr>
        <w:t>通过</w:t>
      </w:r>
      <w:r w:rsidR="00282922" w:rsidRPr="00282922">
        <w:rPr>
          <w:rFonts w:ascii="SimSun" w:eastAsia="SimSun" w:hAnsi="SimSun" w:cs="SimSun"/>
          <w:kern w:val="0"/>
        </w:rPr>
        <w:t>建立数据和所有者的关联，以数据摘要、数据指纹等技术实现数据的确权；</w:t>
      </w:r>
    </w:p>
    <w:p w14:paraId="01159ADA" w14:textId="0482D8B8" w:rsidR="00282922" w:rsidRPr="00282922" w:rsidRDefault="00282922" w:rsidP="006F6AF7">
      <w:pPr>
        <w:widowControl/>
        <w:numPr>
          <w:ilvl w:val="1"/>
          <w:numId w:val="7"/>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结合分布式技术，构建符合</w:t>
      </w:r>
      <w:r w:rsidR="006F6AF7">
        <w:rPr>
          <w:rFonts w:ascii="SimSun" w:eastAsia="SimSun" w:hAnsi="SimSun" w:cs="SimSun" w:hint="eastAsia"/>
          <w:kern w:val="0"/>
        </w:rPr>
        <w:t>可审计性、透明性、稳定性、安全性、可恢复性（</w:t>
      </w:r>
      <w:r w:rsidRPr="00282922">
        <w:rPr>
          <w:rFonts w:ascii="SimSun" w:eastAsia="SimSun" w:hAnsi="SimSun" w:cs="SimSun" w:hint="eastAsia"/>
          <w:kern w:val="0"/>
        </w:rPr>
        <w:t>A</w:t>
      </w:r>
      <w:r w:rsidRPr="00282922">
        <w:rPr>
          <w:rFonts w:ascii="SimSun" w:eastAsia="SimSun" w:hAnsi="SimSun" w:cs="SimSun"/>
          <w:kern w:val="0"/>
        </w:rPr>
        <w:t>T-SSR</w:t>
      </w:r>
      <w:r w:rsidR="006F6AF7">
        <w:rPr>
          <w:rFonts w:ascii="SimSun" w:eastAsia="SimSun" w:hAnsi="SimSun" w:cs="SimSun" w:hint="eastAsia"/>
          <w:kern w:val="0"/>
        </w:rPr>
        <w:t>）</w:t>
      </w:r>
      <w:r w:rsidRPr="00282922">
        <w:rPr>
          <w:rFonts w:ascii="SimSun" w:eastAsia="SimSun" w:hAnsi="SimSun" w:cs="SimSun"/>
          <w:kern w:val="0"/>
        </w:rPr>
        <w:t>特性的标识管理和标识解析服务体系。</w:t>
      </w:r>
    </w:p>
    <w:p w14:paraId="665E60AA" w14:textId="77777777" w:rsidR="006F6AF7" w:rsidRPr="006F6AF7" w:rsidRDefault="00282922" w:rsidP="00282922">
      <w:pPr>
        <w:widowControl/>
        <w:numPr>
          <w:ilvl w:val="0"/>
          <w:numId w:val="7"/>
        </w:numPr>
        <w:spacing w:before="100" w:beforeAutospacing="1" w:after="100" w:afterAutospacing="1"/>
        <w:jc w:val="left"/>
        <w:rPr>
          <w:rFonts w:ascii="SimSun" w:eastAsia="SimSun" w:hAnsi="SimSun" w:cs="SimSun"/>
          <w:kern w:val="0"/>
        </w:rPr>
      </w:pPr>
      <w:r w:rsidRPr="00282922">
        <w:rPr>
          <w:rFonts w:ascii="SimSun" w:eastAsia="SimSun" w:hAnsi="SimSun" w:cs="SimSun"/>
          <w:b/>
          <w:bCs/>
          <w:kern w:val="0"/>
        </w:rPr>
        <w:t>认证授权层：</w:t>
      </w:r>
    </w:p>
    <w:p w14:paraId="18DBB5FF" w14:textId="77777777" w:rsidR="00346A45" w:rsidRDefault="00282922" w:rsidP="006F6AF7">
      <w:pPr>
        <w:widowControl/>
        <w:numPr>
          <w:ilvl w:val="1"/>
          <w:numId w:val="7"/>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一套规范的认证和授权协议，实现任何身份和数据的使用都需经过所有者授权，保障用户行使自身数据所有权的权益。</w:t>
      </w:r>
    </w:p>
    <w:p w14:paraId="09CB0DE6" w14:textId="77777777" w:rsidR="00346A45" w:rsidRDefault="00282922" w:rsidP="006F6AF7">
      <w:pPr>
        <w:widowControl/>
        <w:numPr>
          <w:ilvl w:val="1"/>
          <w:numId w:val="7"/>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lastRenderedPageBreak/>
        <w:t>提供统一的数字身份管理，数字身份是认证和授权的对象，数字身份的统一便于业务间的互联互通，也便于个人账号管理、数据管理以及授权管理的实现。</w:t>
      </w:r>
    </w:p>
    <w:p w14:paraId="0FBCC26A" w14:textId="77777777" w:rsidR="00346A45" w:rsidRDefault="00282922" w:rsidP="006F6AF7">
      <w:pPr>
        <w:widowControl/>
        <w:numPr>
          <w:ilvl w:val="1"/>
          <w:numId w:val="7"/>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认证授权层以OIDC（OpenID Connect）身份认证协议为基础，身份认证和授权；</w:t>
      </w:r>
    </w:p>
    <w:p w14:paraId="34E256E4" w14:textId="6F078D18" w:rsidR="00282922" w:rsidRPr="00282922" w:rsidRDefault="00282922" w:rsidP="006F6AF7">
      <w:pPr>
        <w:widowControl/>
        <w:numPr>
          <w:ilvl w:val="1"/>
          <w:numId w:val="7"/>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提供丰富的访问控制规则，以满足组合授权的需求，并定义时间窗口、访问来源等细粒度指标供数据所有者灵活定义访问控制规则。</w:t>
      </w:r>
    </w:p>
    <w:p w14:paraId="39A7E852" w14:textId="77777777" w:rsidR="00AC6962" w:rsidRPr="00AC6962" w:rsidRDefault="00282922" w:rsidP="00282922">
      <w:pPr>
        <w:widowControl/>
        <w:numPr>
          <w:ilvl w:val="0"/>
          <w:numId w:val="8"/>
        </w:numPr>
        <w:spacing w:before="100" w:beforeAutospacing="1" w:after="100" w:afterAutospacing="1"/>
        <w:jc w:val="left"/>
        <w:rPr>
          <w:rFonts w:ascii="SimSun" w:eastAsia="SimSun" w:hAnsi="SimSun" w:cs="SimSun"/>
          <w:kern w:val="0"/>
        </w:rPr>
      </w:pPr>
      <w:r w:rsidRPr="00282922">
        <w:rPr>
          <w:rFonts w:ascii="SimSun" w:eastAsia="SimSun" w:hAnsi="SimSun" w:cs="SimSun"/>
          <w:b/>
          <w:bCs/>
          <w:kern w:val="0"/>
        </w:rPr>
        <w:t>安全交换层：</w:t>
      </w:r>
    </w:p>
    <w:p w14:paraId="00D819B3" w14:textId="77777777" w:rsidR="00AC6962" w:rsidRDefault="00282922" w:rsidP="00AC6962">
      <w:pPr>
        <w:widowControl/>
        <w:numPr>
          <w:ilvl w:val="1"/>
          <w:numId w:val="8"/>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由数据标准化和数据安全化两大子模块构成，既解决数据交换的“最后一公里”问题，又能在保障数据各方权益的前提下支持不同数据权利的交换需求。</w:t>
      </w:r>
    </w:p>
    <w:p w14:paraId="31F3705D" w14:textId="77777777" w:rsidR="00AC6962" w:rsidRDefault="00282922" w:rsidP="00AC6962">
      <w:pPr>
        <w:widowControl/>
        <w:numPr>
          <w:ilvl w:val="1"/>
          <w:numId w:val="8"/>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数据标准化模块解决数据交换中的数据接入不规范问题，以数据存储方为应用对象，可用于数据的统一接入管理，支持异构数据源的连接，自动生成数据字段表，并转换成可访问的URL，以结合标识索引层发布数据。</w:t>
      </w:r>
    </w:p>
    <w:p w14:paraId="6F7D4150" w14:textId="26B55AFE" w:rsidR="00AC6962" w:rsidRDefault="00282922" w:rsidP="00AC6962">
      <w:pPr>
        <w:widowControl/>
        <w:numPr>
          <w:ilvl w:val="1"/>
          <w:numId w:val="8"/>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数据安全化模块解决数据交换中的数据安全和隐私保护问题，基于数字水印、加密技术和扰动技术的数据保护套件提供数据所有权交换过程中的数据安全保障，并以此作为数据使用权交换的数据隐私保护基础</w:t>
      </w:r>
      <w:r w:rsidR="00AC6962">
        <w:rPr>
          <w:rFonts w:ascii="SimSun" w:eastAsia="SimSun" w:hAnsi="SimSun" w:cs="SimSun" w:hint="eastAsia"/>
          <w:kern w:val="0"/>
        </w:rPr>
        <w:t>。</w:t>
      </w:r>
    </w:p>
    <w:p w14:paraId="6A2C3D6C" w14:textId="632A7953" w:rsidR="00282922" w:rsidRPr="00282922" w:rsidRDefault="00282922" w:rsidP="00AC6962">
      <w:pPr>
        <w:widowControl/>
        <w:numPr>
          <w:ilvl w:val="1"/>
          <w:numId w:val="8"/>
        </w:numPr>
        <w:spacing w:before="100" w:beforeAutospacing="1" w:after="100" w:afterAutospacing="1"/>
        <w:jc w:val="left"/>
        <w:rPr>
          <w:rFonts w:ascii="SimSun" w:eastAsia="SimSun" w:hAnsi="SimSun" w:cs="SimSun"/>
          <w:kern w:val="0"/>
        </w:rPr>
      </w:pPr>
      <w:r w:rsidRPr="00282922">
        <w:rPr>
          <w:rFonts w:ascii="SimSun" w:eastAsia="SimSun" w:hAnsi="SimSun" w:cs="SimSun"/>
          <w:kern w:val="0"/>
        </w:rPr>
        <w:t>提供以MPC技术为主的联合查询统计和以联邦学习为主的联合建模功能，以在数据使用权交换的不同计算需求下，实现交换过程的隐私保护。数据安全化模块中的算法以算法插件的形式存在，不同厂商设计的算法可灵活的加载和部署到该模块中使用。</w:t>
      </w:r>
    </w:p>
    <w:p w14:paraId="4EDA6BE6" w14:textId="27A7F4A9" w:rsidR="00282922" w:rsidRPr="00282922" w:rsidRDefault="00071C88" w:rsidP="00282922">
      <w:pPr>
        <w:widowControl/>
        <w:spacing w:before="315" w:after="75" w:line="480" w:lineRule="atLeast"/>
        <w:jc w:val="left"/>
        <w:outlineLvl w:val="1"/>
        <w:rPr>
          <w:rFonts w:ascii="SimSun" w:eastAsia="SimSun" w:hAnsi="SimSun" w:cs="SimSun"/>
          <w:b/>
          <w:bCs/>
          <w:kern w:val="0"/>
          <w:sz w:val="36"/>
          <w:szCs w:val="36"/>
        </w:rPr>
      </w:pPr>
      <w:r w:rsidRPr="00071C88">
        <w:rPr>
          <w:rFonts w:ascii="SimSun" w:eastAsia="SimSun" w:hAnsi="SimSun" w:cs="SimSun"/>
          <w:kern w:val="0"/>
        </w:rPr>
        <w:lastRenderedPageBreak/>
        <w:drawing>
          <wp:inline distT="0" distB="0" distL="0" distR="0" wp14:anchorId="7161CF6F" wp14:editId="2F57E79C">
            <wp:extent cx="5270500" cy="346900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270500" cy="3469005"/>
                    </a:xfrm>
                    <a:prstGeom prst="rect">
                      <a:avLst/>
                    </a:prstGeom>
                  </pic:spPr>
                </pic:pic>
              </a:graphicData>
            </a:graphic>
          </wp:inline>
        </w:drawing>
      </w:r>
      <w:r w:rsidR="00282922" w:rsidRPr="00282922">
        <w:rPr>
          <w:rFonts w:ascii="SimSun" w:eastAsia="SimSun" w:hAnsi="SimSun" w:cs="SimSun"/>
          <w:b/>
          <w:bCs/>
          <w:kern w:val="0"/>
          <w:sz w:val="36"/>
          <w:szCs w:val="36"/>
        </w:rPr>
        <w:t>产品形态</w:t>
      </w:r>
    </w:p>
    <w:p w14:paraId="2C6A4108"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color w:val="595959"/>
          <w:kern w:val="0"/>
        </w:rPr>
        <w:t>FUXI.IS包含三个系列产品：</w:t>
      </w:r>
    </w:p>
    <w:p w14:paraId="034D87A8" w14:textId="77777777" w:rsidR="00282922" w:rsidRPr="00282922" w:rsidRDefault="00282922" w:rsidP="002277B5">
      <w:pPr>
        <w:widowControl/>
        <w:numPr>
          <w:ilvl w:val="0"/>
          <w:numId w:val="8"/>
        </w:numPr>
        <w:spacing w:before="100" w:beforeAutospacing="1" w:after="100" w:afterAutospacing="1"/>
        <w:jc w:val="left"/>
        <w:rPr>
          <w:rFonts w:ascii="SimSun" w:eastAsia="SimSun" w:hAnsi="SimSun" w:cs="SimSun"/>
          <w:kern w:val="0"/>
        </w:rPr>
      </w:pPr>
      <w:r w:rsidRPr="002277B5">
        <w:rPr>
          <w:rFonts w:ascii="SimSun" w:eastAsia="SimSun" w:hAnsi="SimSun" w:cs="SimSun"/>
          <w:kern w:val="0"/>
        </w:rPr>
        <w:t>C：城市数字标识服务：提供身份和数据标识服务</w:t>
      </w:r>
    </w:p>
    <w:p w14:paraId="5059F0E7" w14:textId="77777777" w:rsidR="00282922" w:rsidRPr="00282922" w:rsidRDefault="00282922" w:rsidP="002277B5">
      <w:pPr>
        <w:widowControl/>
        <w:numPr>
          <w:ilvl w:val="0"/>
          <w:numId w:val="8"/>
        </w:numPr>
        <w:spacing w:before="100" w:beforeAutospacing="1" w:after="100" w:afterAutospacing="1"/>
        <w:jc w:val="left"/>
        <w:rPr>
          <w:rFonts w:ascii="SimSun" w:eastAsia="SimSun" w:hAnsi="SimSun" w:cs="SimSun"/>
          <w:kern w:val="0"/>
        </w:rPr>
      </w:pPr>
      <w:r w:rsidRPr="002277B5">
        <w:rPr>
          <w:rFonts w:ascii="SimSun" w:eastAsia="SimSun" w:hAnsi="SimSun" w:cs="SimSun"/>
          <w:kern w:val="0"/>
        </w:rPr>
        <w:t>CA：城市统一认证和授权服务：提供认证和授权服务 + 身份和数据标识服务</w:t>
      </w:r>
    </w:p>
    <w:p w14:paraId="257BA297" w14:textId="77777777" w:rsidR="00282922" w:rsidRPr="00282922" w:rsidRDefault="00282922" w:rsidP="002277B5">
      <w:pPr>
        <w:widowControl/>
        <w:numPr>
          <w:ilvl w:val="0"/>
          <w:numId w:val="8"/>
        </w:numPr>
        <w:spacing w:before="100" w:beforeAutospacing="1" w:after="100" w:afterAutospacing="1"/>
        <w:jc w:val="left"/>
        <w:rPr>
          <w:rFonts w:ascii="SimSun" w:eastAsia="SimSun" w:hAnsi="SimSun" w:cs="SimSun"/>
          <w:kern w:val="0"/>
        </w:rPr>
      </w:pPr>
      <w:r w:rsidRPr="002277B5">
        <w:rPr>
          <w:rFonts w:ascii="SimSun" w:eastAsia="SimSun" w:hAnsi="SimSun" w:cs="SimSun"/>
          <w:kern w:val="0"/>
        </w:rPr>
        <w:t>CAS：基于安全计算的数据交换服务：提供数据安全隐私计算服务 + 认证和授权服务 + 身份和数据标识服务</w:t>
      </w:r>
    </w:p>
    <w:p w14:paraId="13194F14" w14:textId="77777777" w:rsidR="00282922" w:rsidRPr="00282922" w:rsidRDefault="00282922" w:rsidP="00282922">
      <w:pPr>
        <w:widowControl/>
        <w:spacing w:before="315" w:after="75" w:line="480" w:lineRule="atLeast"/>
        <w:jc w:val="left"/>
        <w:outlineLvl w:val="1"/>
        <w:rPr>
          <w:rFonts w:ascii="SimSun" w:eastAsia="SimSun" w:hAnsi="SimSun" w:cs="SimSun"/>
          <w:b/>
          <w:bCs/>
          <w:kern w:val="0"/>
          <w:sz w:val="36"/>
          <w:szCs w:val="36"/>
        </w:rPr>
      </w:pPr>
      <w:r w:rsidRPr="00282922">
        <w:rPr>
          <w:rFonts w:ascii="SimSun" w:eastAsia="SimSun" w:hAnsi="SimSun" w:cs="SimSun"/>
          <w:b/>
          <w:bCs/>
          <w:kern w:val="0"/>
          <w:sz w:val="36"/>
          <w:szCs w:val="36"/>
        </w:rPr>
        <w:t>产品功能</w:t>
      </w:r>
    </w:p>
    <w:p w14:paraId="4CFB6C09"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智能城市数字身份标识</w:t>
      </w:r>
    </w:p>
    <w:p w14:paraId="646C70D4"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依托ICANN的顶级域名体系下为每个城市建立独有的城市顶级域名，如.</w:t>
      </w:r>
      <w:proofErr w:type="spellStart"/>
      <w:r w:rsidRPr="00282922">
        <w:rPr>
          <w:rFonts w:ascii="SimSun" w:eastAsia="SimSun" w:hAnsi="SimSun" w:cs="SimSun"/>
          <w:kern w:val="0"/>
        </w:rPr>
        <w:t>beijing</w:t>
      </w:r>
      <w:proofErr w:type="spellEnd"/>
      <w:r w:rsidRPr="00282922">
        <w:rPr>
          <w:rFonts w:ascii="SimSun" w:eastAsia="SimSun" w:hAnsi="SimSun" w:cs="SimSun"/>
          <w:kern w:val="0"/>
        </w:rPr>
        <w:t>/北京、.shanghai/上海，并在顶级域名下以域名形态为机构和市民分配城市数字身份标识，作为其在该城市的唯一数字身份标识，打破由于城市内各个业务系统身份标识不统一而产生的身份孤岛。</w:t>
      </w:r>
    </w:p>
    <w:p w14:paraId="2F3173DF"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城市海量异构数据智能标识</w:t>
      </w:r>
    </w:p>
    <w:p w14:paraId="1736F959"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lastRenderedPageBreak/>
        <w:t>依托高可靠的去中心化架构建立城市可信标识体系，在具备可达性、多语义、可读性的同时，兼容DNS、DOI、</w:t>
      </w:r>
      <w:proofErr w:type="spellStart"/>
      <w:r w:rsidRPr="00282922">
        <w:rPr>
          <w:rFonts w:ascii="SimSun" w:eastAsia="SimSun" w:hAnsi="SimSun" w:cs="SimSun"/>
          <w:kern w:val="0"/>
        </w:rPr>
        <w:t>Ecode</w:t>
      </w:r>
      <w:proofErr w:type="spellEnd"/>
      <w:r w:rsidRPr="00282922">
        <w:rPr>
          <w:rFonts w:ascii="SimSun" w:eastAsia="SimSun" w:hAnsi="SimSun" w:cs="SimSun"/>
          <w:kern w:val="0"/>
        </w:rPr>
        <w:t>、DOI等多种符合国内外标准的异构标识体系，打通城市身份和数据底层。</w:t>
      </w:r>
    </w:p>
    <w:p w14:paraId="33087BD0"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数据确权与溯源</w:t>
      </w:r>
    </w:p>
    <w:p w14:paraId="6782A20B"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依托底层区块链，通过数字签名，实现对数据归属权的确认，对数据的交易进行全面记录，实现对数据权属转化的溯源。</w:t>
      </w:r>
    </w:p>
    <w:p w14:paraId="198F64C7"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数据交换认证授权</w:t>
      </w:r>
    </w:p>
    <w:p w14:paraId="558777EF" w14:textId="25D624C8"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通过可信数据交换和认证授权流程，实现数据权益保护，实现对数据交换流程的合规、可控、可信与可监管。</w:t>
      </w:r>
    </w:p>
    <w:p w14:paraId="4910EA62"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多方数据隐私计算</w:t>
      </w:r>
    </w:p>
    <w:p w14:paraId="28FC9449"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在保障数据隐私及安全前提下完成多方数据联合分析、联合训练、联合预测，实现数据价值的流通，打通城市内部，企业内部和企业和企业之间的数据孤岛，助力数据价值释放。</w:t>
      </w:r>
    </w:p>
    <w:p w14:paraId="7CD17075"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kern w:val="36"/>
          <w:sz w:val="42"/>
          <w:szCs w:val="42"/>
        </w:rPr>
        <w:t>应用场景</w:t>
      </w:r>
    </w:p>
    <w:p w14:paraId="187CD818" w14:textId="155ACAAE" w:rsidR="00D861A5" w:rsidRPr="00282922" w:rsidRDefault="00D861A5" w:rsidP="00D861A5">
      <w:pPr>
        <w:widowControl/>
        <w:jc w:val="left"/>
        <w:rPr>
          <w:rFonts w:ascii="SimSun" w:eastAsia="SimSun" w:hAnsi="SimSun" w:cs="SimSun" w:hint="eastAsia"/>
          <w:kern w:val="0"/>
        </w:rPr>
      </w:pPr>
      <w:r>
        <w:rPr>
          <w:rFonts w:ascii="SimSun" w:eastAsia="SimSun" w:hAnsi="SimSun" w:cs="SimSun" w:hint="eastAsia"/>
          <w:b/>
          <w:bCs/>
          <w:kern w:val="0"/>
        </w:rPr>
        <w:t>政务领域</w:t>
      </w:r>
    </w:p>
    <w:p w14:paraId="09D444B3" w14:textId="3E3F0BC1" w:rsidR="00282922" w:rsidRDefault="00282922" w:rsidP="00D861A5">
      <w:pPr>
        <w:widowControl/>
        <w:jc w:val="left"/>
        <w:rPr>
          <w:rFonts w:ascii="SimSun" w:eastAsia="SimSun" w:hAnsi="SimSun" w:cs="SimSun"/>
          <w:kern w:val="0"/>
        </w:rPr>
      </w:pPr>
      <w:r w:rsidRPr="00D861A5">
        <w:rPr>
          <w:rFonts w:ascii="SimSun" w:eastAsia="SimSun" w:hAnsi="SimSun" w:cs="SimSun"/>
          <w:kern w:val="0"/>
        </w:rPr>
        <w:t>基于FUXI.IS构建政务数据治理平台，建立数据的标识索引，通过基于授权的数据共享机制来保证各委办局的数据安全，支持多元主体之间的互信互认，在无需中心化数据归集的情况下，保证各委办局数据状态可见、可用、可查，支持数据流转记录的透明可追溯与不可篡改，促进了政务信息资源共享，为智慧政务应用提供了能力服务支撑。</w:t>
      </w:r>
    </w:p>
    <w:p w14:paraId="13B2CA33" w14:textId="73D45DDE" w:rsidR="00D861A5" w:rsidRPr="00282922" w:rsidRDefault="00D861A5" w:rsidP="00D861A5">
      <w:pPr>
        <w:widowControl/>
        <w:jc w:val="left"/>
        <w:rPr>
          <w:rFonts w:ascii="SimSun" w:eastAsia="SimSun" w:hAnsi="SimSun" w:cs="SimSun" w:hint="eastAsia"/>
          <w:kern w:val="0"/>
        </w:rPr>
      </w:pPr>
      <w:r>
        <w:rPr>
          <w:rFonts w:ascii="SimSun" w:eastAsia="SimSun" w:hAnsi="SimSun" w:cs="SimSun" w:hint="eastAsia"/>
          <w:b/>
          <w:bCs/>
          <w:kern w:val="0"/>
        </w:rPr>
        <w:t>医疗领域</w:t>
      </w:r>
    </w:p>
    <w:p w14:paraId="2F5C34CF" w14:textId="7449AF15" w:rsidR="00282922" w:rsidRDefault="00282922" w:rsidP="00D861A5">
      <w:pPr>
        <w:widowControl/>
        <w:jc w:val="left"/>
        <w:rPr>
          <w:rFonts w:ascii="SimSun" w:eastAsia="SimSun" w:hAnsi="SimSun" w:cs="SimSun"/>
          <w:kern w:val="0"/>
        </w:rPr>
      </w:pPr>
      <w:r w:rsidRPr="00D861A5">
        <w:rPr>
          <w:rFonts w:ascii="SimSun" w:eastAsia="SimSun" w:hAnsi="SimSun" w:cs="SimSun"/>
          <w:kern w:val="0"/>
        </w:rPr>
        <w:t>基于FUXI.IS建立医疗数据的智能标识和高效索引，形成医疗数据共享链条中的“人（患者、医生、机构）-机（存储服务器）-物（医疗设备）”三元互联互通。支持医疗数据共享全流程的安全可控、透明可追溯，破解了医疗数据跨平台、跨机构数据流通难题，更加健全了医疗数据安全管理机制。</w:t>
      </w:r>
    </w:p>
    <w:p w14:paraId="0AD3CC3C" w14:textId="4A62C7DF" w:rsidR="00D861A5" w:rsidRPr="00282922" w:rsidRDefault="00D861A5" w:rsidP="00D861A5">
      <w:pPr>
        <w:widowControl/>
        <w:jc w:val="left"/>
        <w:rPr>
          <w:rFonts w:ascii="SimSun" w:eastAsia="SimSun" w:hAnsi="SimSun" w:cs="SimSun" w:hint="eastAsia"/>
          <w:kern w:val="0"/>
        </w:rPr>
      </w:pPr>
      <w:r>
        <w:rPr>
          <w:rFonts w:ascii="SimSun" w:eastAsia="SimSun" w:hAnsi="SimSun" w:cs="SimSun" w:hint="eastAsia"/>
          <w:b/>
          <w:bCs/>
          <w:kern w:val="0"/>
        </w:rPr>
        <w:t>金融</w:t>
      </w:r>
      <w:r>
        <w:rPr>
          <w:rFonts w:ascii="SimSun" w:eastAsia="SimSun" w:hAnsi="SimSun" w:cs="SimSun" w:hint="eastAsia"/>
          <w:b/>
          <w:bCs/>
          <w:kern w:val="0"/>
        </w:rPr>
        <w:t>领域</w:t>
      </w:r>
    </w:p>
    <w:p w14:paraId="7F62C25C" w14:textId="58C8826A" w:rsidR="00282922" w:rsidRPr="00282922" w:rsidRDefault="00282922" w:rsidP="00D861A5">
      <w:pPr>
        <w:widowControl/>
        <w:jc w:val="left"/>
        <w:rPr>
          <w:rFonts w:ascii="SimSun" w:eastAsia="SimSun" w:hAnsi="SimSun" w:cs="SimSun"/>
          <w:kern w:val="0"/>
        </w:rPr>
      </w:pPr>
      <w:r w:rsidRPr="00D861A5">
        <w:rPr>
          <w:rFonts w:ascii="SimSun" w:eastAsia="SimSun" w:hAnsi="SimSun" w:cs="SimSun"/>
          <w:kern w:val="0"/>
        </w:rPr>
        <w:t>为了应对</w:t>
      </w:r>
      <w:r w:rsidR="00D861A5">
        <w:rPr>
          <w:rFonts w:ascii="SimSun" w:eastAsia="SimSun" w:hAnsi="SimSun" w:cs="SimSun" w:hint="eastAsia"/>
          <w:kern w:val="0"/>
        </w:rPr>
        <w:t>金融领域</w:t>
      </w:r>
      <w:r w:rsidRPr="00D861A5">
        <w:rPr>
          <w:rFonts w:ascii="SimSun" w:eastAsia="SimSun" w:hAnsi="SimSun" w:cs="SimSun"/>
          <w:kern w:val="0"/>
        </w:rPr>
        <w:t>数据隐私保护难题，打破数据孤岛的现实困难，满足数据融合使用的迫切需要，FUXI.IS探索一种面向数据隐私保护的数据互操作新范式，立足金融领域需求，通过技术研发与创新，能简单、合法且低成本地获取</w:t>
      </w:r>
      <w:r w:rsidRPr="00D861A5">
        <w:rPr>
          <w:rFonts w:ascii="SimSun" w:eastAsia="SimSun" w:hAnsi="SimSun" w:cs="SimSun"/>
          <w:kern w:val="0"/>
        </w:rPr>
        <w:lastRenderedPageBreak/>
        <w:t>有效的数据信息，实现金融数据的有效监管，为客户提供更放心和满意的科技服务。</w:t>
      </w:r>
    </w:p>
    <w:p w14:paraId="0AC74979" w14:textId="3AC612EC" w:rsidR="00282922" w:rsidRPr="00282922" w:rsidRDefault="00D861A5" w:rsidP="00282922">
      <w:pPr>
        <w:widowControl/>
        <w:jc w:val="left"/>
        <w:rPr>
          <w:rFonts w:ascii="SimSun" w:eastAsia="SimSun" w:hAnsi="SimSun" w:cs="SimSun"/>
          <w:kern w:val="0"/>
        </w:rPr>
      </w:pPr>
      <w:r>
        <w:rPr>
          <w:rFonts w:ascii="SimSun" w:eastAsia="SimSun" w:hAnsi="SimSun" w:cs="SimSun" w:hint="eastAsia"/>
          <w:b/>
          <w:bCs/>
          <w:kern w:val="0"/>
        </w:rPr>
        <w:t>交通</w:t>
      </w:r>
      <w:r>
        <w:rPr>
          <w:rFonts w:ascii="SimSun" w:eastAsia="SimSun" w:hAnsi="SimSun" w:cs="SimSun" w:hint="eastAsia"/>
          <w:b/>
          <w:bCs/>
          <w:kern w:val="0"/>
        </w:rPr>
        <w:t>领域</w:t>
      </w:r>
    </w:p>
    <w:p w14:paraId="1A5A58C9" w14:textId="66147F44" w:rsidR="00282922" w:rsidRPr="00282922" w:rsidRDefault="00282922" w:rsidP="00D861A5">
      <w:pPr>
        <w:widowControl/>
        <w:jc w:val="left"/>
        <w:rPr>
          <w:rFonts w:ascii="SimSun" w:eastAsia="SimSun" w:hAnsi="SimSun" w:cs="SimSun"/>
          <w:kern w:val="0"/>
        </w:rPr>
      </w:pPr>
      <w:r w:rsidRPr="00282922">
        <w:rPr>
          <w:rFonts w:ascii="SimSun" w:eastAsia="SimSun" w:hAnsi="SimSun" w:cs="SimSun"/>
          <w:kern w:val="0"/>
        </w:rPr>
        <w:t>基于FUXI.IS智能城市操作系统，在保证“数据不离地”的情形下，形成公安、交警、交通、城管、互联网等城市企事业单位数据的共享，形成交通数据资源共享目录，为交通数据资源的共享利用提供支撑，结合交通超脑大数据、AI能力，打造城市交通超脑，为业务决策分析进行赋能，服务于各项城市交通业务场景。</w:t>
      </w:r>
    </w:p>
    <w:p w14:paraId="170CE8D8"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kern w:val="36"/>
          <w:sz w:val="42"/>
          <w:szCs w:val="42"/>
        </w:rPr>
        <w:t>产品优势</w:t>
      </w:r>
    </w:p>
    <w:p w14:paraId="654D676E"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数据不离地</w:t>
      </w:r>
    </w:p>
    <w:p w14:paraId="6585D34E"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数据无需中心化归集，避免数据被垄断的风险，保障用户数据所有权前提下，完成数据价值的高效流转变现。</w:t>
      </w:r>
    </w:p>
    <w:p w14:paraId="5A084A33"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开放互通</w:t>
      </w:r>
    </w:p>
    <w:p w14:paraId="0B1371D4"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兼容域名、Handle、OID、GS1和VAA等标识，支持不同标识体系的异构兼容、互联互通，实现全球可达。</w:t>
      </w:r>
    </w:p>
    <w:p w14:paraId="040289B1"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安全可控</w:t>
      </w:r>
    </w:p>
    <w:p w14:paraId="7068FD33"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通过权限控制、数字身份、行为分析、内容检测等技术，为用户提供了隐私保护、真实认证、安全防护等能力。</w:t>
      </w:r>
    </w:p>
    <w:p w14:paraId="06C68CAF"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透明可追溯</w:t>
      </w:r>
    </w:p>
    <w:p w14:paraId="0A0FD27F"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支持通用、透明、可追溯的数据互操作，数据确权、交换等操作行为上链，透明可监督，支持事后审计，保障多方权益。</w:t>
      </w:r>
    </w:p>
    <w:p w14:paraId="1C0AF91A"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b/>
          <w:bCs/>
          <w:kern w:val="0"/>
        </w:rPr>
        <w:t>安全隐私计算</w:t>
      </w:r>
    </w:p>
    <w:p w14:paraId="6C031F4D"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在不披露底层数据前提下，基于区块链、联邦学习、多方安全计算等技术实现联合建模，以开放协同的方式充分释放数据要素生产力。</w:t>
      </w:r>
    </w:p>
    <w:p w14:paraId="4ED4CA67"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kern w:val="36"/>
          <w:sz w:val="42"/>
          <w:szCs w:val="42"/>
        </w:rPr>
        <w:t>机构介绍</w:t>
      </w:r>
    </w:p>
    <w:p w14:paraId="5465ADF4"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伏羲智库是由产业界及学术界知名青年专家共同发起成立的非营利性互联网特色研究机构，旨在推动数字转型以缩小数字鸿沟、促进互联互通以弥合网络碎片。在北京、山东两地设立双总部，并在全球设立合作中心。</w:t>
      </w:r>
    </w:p>
    <w:p w14:paraId="5BCF4FFE"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lastRenderedPageBreak/>
        <w:t>伏羲智库以“联合研究创新、协同促进发展”理念，以“研究机构、科技公司、产业资本、国际论坛和教育机构”五位一体模式，联合业界企业、学术机构和相关政府部门，打造未来智能城市、信息基础设施、知识价值交换、乡村数字振兴等智能城市不同领域的协同创新中心。</w:t>
      </w:r>
    </w:p>
    <w:p w14:paraId="3B3CA1C2"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伏羲智库成立之初得到了第四次工业革命提出者、世界经济论坛创始人克劳 斯·施瓦布教授，互联网联合发明人罗伯特·卡恩博士与温顿·瑟夫博士，中国互联网创始人胡启恒院士的亲切指导。</w:t>
      </w:r>
    </w:p>
    <w:p w14:paraId="20166B31"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伏羲是中华人文始祖，其创造的龙图腾所代表的开放包容性文化是互联网的文化基因，其发明的易经八卦所代表的二进制是计算机的技术基础。伏羲智库尊崇先贤，择“伏羲”为名，是以励勉。</w:t>
      </w:r>
    </w:p>
    <w:p w14:paraId="171AF6DE"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伏羲智库将秉承“知行合一、家国天下”的机构文化，打造“国际一流新型智库和国家级研究机构”，积极融入和助力数字文明时代中华民族伟大复兴进程，为推动中国经济发展和社会治理的数字化转型提出实践方案，为推动全球数字文明构建贡献中国智慧。</w:t>
      </w:r>
    </w:p>
    <w:p w14:paraId="007D61BE" w14:textId="77777777"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伏羲智库与清华大学互联网治理研究中心、中科院计算所互联网基础技术实验室等机构，采用协同创新方式，构成研究联合体，聚焦开展产业整合、文化推广、政策研究和技术研发。伏羲智库孵化伏羲科技、伏羲资本、伏羲论坛、伏羲书院，并以“五位一体”模式，基于数字城市全球标识，打造面向数据交换的“智能城市操作系统”，促进数据跨域互联共享，推动城市智能化进程，支撑新型智慧城市建设运营和安全保障。</w:t>
      </w:r>
    </w:p>
    <w:p w14:paraId="6754E90D" w14:textId="47C1FE95" w:rsidR="00282922" w:rsidRPr="00282922" w:rsidRDefault="00282922" w:rsidP="00282922">
      <w:pPr>
        <w:widowControl/>
        <w:jc w:val="left"/>
        <w:rPr>
          <w:rFonts w:ascii="SimSun" w:eastAsia="SimSun" w:hAnsi="SimSun" w:cs="SimSun"/>
          <w:kern w:val="0"/>
        </w:rPr>
      </w:pPr>
      <w:r w:rsidRPr="00282922">
        <w:rPr>
          <w:rFonts w:ascii="SimSun" w:eastAsia="SimSun" w:hAnsi="SimSun" w:cs="SimSun"/>
          <w:kern w:val="0"/>
        </w:rPr>
        <w:t>伏羲智库是中国互联网协会副理事长单位、中国网络空间安全协会和金砖国家智库合作中方理事会理事单位、中国网络社会组织联合会成员机构。国际方面，伏羲智库是中国互联网治理论坛工作组成员单位、G20全球智慧城市联盟机构合作伙伴，并成为国际互联网协会（ISOC）会员，同时与世界经济论坛、联合国契约组织等国际组织建立合作关系。</w:t>
      </w:r>
    </w:p>
    <w:p w14:paraId="3F7D851E" w14:textId="77777777" w:rsidR="00282922" w:rsidRPr="00282922" w:rsidRDefault="00282922" w:rsidP="00282922">
      <w:pPr>
        <w:widowControl/>
        <w:spacing w:before="390" w:after="150" w:line="540" w:lineRule="atLeast"/>
        <w:jc w:val="left"/>
        <w:outlineLvl w:val="0"/>
        <w:rPr>
          <w:rFonts w:ascii="SimSun" w:eastAsia="SimSun" w:hAnsi="SimSun" w:cs="SimSun"/>
          <w:b/>
          <w:bCs/>
          <w:kern w:val="36"/>
          <w:sz w:val="42"/>
          <w:szCs w:val="42"/>
        </w:rPr>
      </w:pPr>
      <w:r w:rsidRPr="00282922">
        <w:rPr>
          <w:rFonts w:ascii="SimSun" w:eastAsia="SimSun" w:hAnsi="SimSun" w:cs="SimSun"/>
          <w:b/>
          <w:bCs/>
          <w:kern w:val="36"/>
          <w:sz w:val="42"/>
          <w:szCs w:val="42"/>
        </w:rPr>
        <w:t>联系试用</w:t>
      </w:r>
    </w:p>
    <w:p w14:paraId="4D68B13B" w14:textId="77777777" w:rsidR="00282922" w:rsidRPr="00282922" w:rsidRDefault="00282922" w:rsidP="00282922">
      <w:pPr>
        <w:widowControl/>
        <w:jc w:val="left"/>
        <w:rPr>
          <w:rFonts w:ascii="SimSun" w:eastAsia="SimSun" w:hAnsi="SimSun" w:cs="SimSun"/>
          <w:kern w:val="0"/>
        </w:rPr>
      </w:pPr>
    </w:p>
    <w:p w14:paraId="4463FC66" w14:textId="77777777" w:rsidR="00282922" w:rsidRPr="00282922" w:rsidRDefault="00282922" w:rsidP="00282922">
      <w:pPr>
        <w:widowControl/>
        <w:jc w:val="left"/>
        <w:rPr>
          <w:rFonts w:ascii="SimSun" w:eastAsia="SimSun" w:hAnsi="SimSun" w:cs="SimSun"/>
          <w:kern w:val="0"/>
        </w:rPr>
      </w:pPr>
    </w:p>
    <w:p w14:paraId="4AD6B856" w14:textId="77777777" w:rsidR="00282922" w:rsidRPr="00282922" w:rsidRDefault="00282922" w:rsidP="00282922">
      <w:pPr>
        <w:widowControl/>
        <w:jc w:val="left"/>
        <w:rPr>
          <w:rFonts w:ascii="SimSun" w:eastAsia="SimSun" w:hAnsi="SimSun" w:cs="SimSun"/>
          <w:kern w:val="0"/>
        </w:rPr>
      </w:pPr>
    </w:p>
    <w:p w14:paraId="2A6A8892" w14:textId="77777777" w:rsidR="00282922" w:rsidRPr="00282922" w:rsidRDefault="00282922" w:rsidP="00282922">
      <w:pPr>
        <w:widowControl/>
        <w:jc w:val="left"/>
        <w:rPr>
          <w:rFonts w:ascii="SimSun" w:eastAsia="SimSun" w:hAnsi="SimSun" w:cs="SimSun"/>
          <w:kern w:val="0"/>
        </w:rPr>
      </w:pPr>
    </w:p>
    <w:p w14:paraId="54060DE6" w14:textId="77777777" w:rsidR="00282922" w:rsidRPr="00282922" w:rsidRDefault="00282922" w:rsidP="00282922">
      <w:pPr>
        <w:widowControl/>
        <w:jc w:val="left"/>
        <w:rPr>
          <w:rFonts w:ascii="SimSun" w:eastAsia="SimSun" w:hAnsi="SimSun" w:cs="SimSun"/>
          <w:kern w:val="0"/>
        </w:rPr>
      </w:pPr>
    </w:p>
    <w:p w14:paraId="075007A0" w14:textId="77777777" w:rsidR="00282922" w:rsidRPr="00282922" w:rsidRDefault="00282922" w:rsidP="00282922">
      <w:pPr>
        <w:widowControl/>
        <w:jc w:val="left"/>
        <w:rPr>
          <w:rFonts w:ascii="SimSun" w:eastAsia="SimSun" w:hAnsi="SimSun" w:cs="SimSun"/>
          <w:kern w:val="0"/>
        </w:rPr>
      </w:pPr>
    </w:p>
    <w:p w14:paraId="24413B26" w14:textId="77777777" w:rsidR="00282922" w:rsidRPr="00282922" w:rsidRDefault="00282922" w:rsidP="00282922">
      <w:pPr>
        <w:widowControl/>
        <w:jc w:val="left"/>
        <w:rPr>
          <w:rFonts w:ascii="SimSun" w:eastAsia="SimSun" w:hAnsi="SimSun" w:cs="SimSun"/>
          <w:kern w:val="0"/>
        </w:rPr>
      </w:pPr>
    </w:p>
    <w:p w14:paraId="7586F938" w14:textId="77777777" w:rsidR="00282922" w:rsidRPr="00282922" w:rsidRDefault="00282922" w:rsidP="00282922">
      <w:pPr>
        <w:widowControl/>
        <w:jc w:val="left"/>
        <w:rPr>
          <w:rFonts w:ascii="SimSun" w:eastAsia="SimSun" w:hAnsi="SimSun" w:cs="SimSun"/>
          <w:kern w:val="0"/>
        </w:rPr>
      </w:pPr>
    </w:p>
    <w:p w14:paraId="5613C012" w14:textId="77777777" w:rsidR="00282922" w:rsidRPr="00282922" w:rsidRDefault="00282922" w:rsidP="00282922">
      <w:pPr>
        <w:widowControl/>
        <w:jc w:val="left"/>
        <w:rPr>
          <w:rFonts w:ascii="SimSun" w:eastAsia="SimSun" w:hAnsi="SimSun" w:cs="SimSun"/>
          <w:kern w:val="0"/>
        </w:rPr>
      </w:pPr>
    </w:p>
    <w:p w14:paraId="4EBC4D94" w14:textId="77777777" w:rsidR="00282922" w:rsidRPr="00282922" w:rsidRDefault="00282922" w:rsidP="00282922">
      <w:pPr>
        <w:widowControl/>
        <w:jc w:val="left"/>
        <w:rPr>
          <w:rFonts w:ascii="SimSun" w:eastAsia="SimSun" w:hAnsi="SimSun" w:cs="SimSun"/>
          <w:kern w:val="0"/>
        </w:rPr>
      </w:pPr>
    </w:p>
    <w:p w14:paraId="28F8F4D8" w14:textId="77777777" w:rsidR="00282922" w:rsidRPr="00282922" w:rsidRDefault="00282922" w:rsidP="00282922">
      <w:pPr>
        <w:widowControl/>
        <w:jc w:val="left"/>
        <w:rPr>
          <w:rFonts w:ascii="SimSun" w:eastAsia="SimSun" w:hAnsi="SimSun" w:cs="SimSun"/>
          <w:kern w:val="0"/>
        </w:rPr>
      </w:pPr>
    </w:p>
    <w:p w14:paraId="71D5C048" w14:textId="77777777" w:rsidR="00282922" w:rsidRPr="00282922" w:rsidRDefault="00282922" w:rsidP="00282922">
      <w:pPr>
        <w:widowControl/>
        <w:jc w:val="left"/>
        <w:rPr>
          <w:rFonts w:ascii="SimSun" w:eastAsia="SimSun" w:hAnsi="SimSun" w:cs="SimSun"/>
          <w:kern w:val="0"/>
        </w:rPr>
      </w:pPr>
    </w:p>
    <w:p w14:paraId="4A1A70CE" w14:textId="77777777" w:rsidR="003462FC" w:rsidRPr="00282922" w:rsidRDefault="00AC6962" w:rsidP="00282922"/>
    <w:sectPr w:rsidR="003462FC" w:rsidRPr="00282922"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5BC9"/>
    <w:multiLevelType w:val="multilevel"/>
    <w:tmpl w:val="D37E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D795C"/>
    <w:multiLevelType w:val="multilevel"/>
    <w:tmpl w:val="24EE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051D5"/>
    <w:multiLevelType w:val="multilevel"/>
    <w:tmpl w:val="4220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F3D8C"/>
    <w:multiLevelType w:val="multilevel"/>
    <w:tmpl w:val="BA32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27F56"/>
    <w:multiLevelType w:val="multilevel"/>
    <w:tmpl w:val="97F6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11C89"/>
    <w:multiLevelType w:val="multilevel"/>
    <w:tmpl w:val="FAAC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D18E1"/>
    <w:multiLevelType w:val="multilevel"/>
    <w:tmpl w:val="447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72C15"/>
    <w:multiLevelType w:val="multilevel"/>
    <w:tmpl w:val="A47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56B31"/>
    <w:multiLevelType w:val="multilevel"/>
    <w:tmpl w:val="FF9A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0460E"/>
    <w:multiLevelType w:val="multilevel"/>
    <w:tmpl w:val="7EF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64A5F"/>
    <w:multiLevelType w:val="multilevel"/>
    <w:tmpl w:val="CA04B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A38E5"/>
    <w:multiLevelType w:val="multilevel"/>
    <w:tmpl w:val="CCA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94FA7"/>
    <w:multiLevelType w:val="multilevel"/>
    <w:tmpl w:val="E59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C5ED8"/>
    <w:multiLevelType w:val="multilevel"/>
    <w:tmpl w:val="979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2"/>
  </w:num>
  <w:num w:numId="4">
    <w:abstractNumId w:val="0"/>
  </w:num>
  <w:num w:numId="5">
    <w:abstractNumId w:val="11"/>
  </w:num>
  <w:num w:numId="6">
    <w:abstractNumId w:val="3"/>
  </w:num>
  <w:num w:numId="7">
    <w:abstractNumId w:val="10"/>
  </w:num>
  <w:num w:numId="8">
    <w:abstractNumId w:val="5"/>
  </w:num>
  <w:num w:numId="9">
    <w:abstractNumId w:val="1"/>
  </w:num>
  <w:num w:numId="10">
    <w:abstractNumId w:val="6"/>
  </w:num>
  <w:num w:numId="11">
    <w:abstractNumId w:val="13"/>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071C88"/>
    <w:rsid w:val="000B216B"/>
    <w:rsid w:val="00106AA1"/>
    <w:rsid w:val="002277B5"/>
    <w:rsid w:val="00282922"/>
    <w:rsid w:val="00346A45"/>
    <w:rsid w:val="00480340"/>
    <w:rsid w:val="00556DA4"/>
    <w:rsid w:val="00586A0F"/>
    <w:rsid w:val="00687B32"/>
    <w:rsid w:val="006F6AF7"/>
    <w:rsid w:val="00AC6962"/>
    <w:rsid w:val="00C901E2"/>
    <w:rsid w:val="00D65C62"/>
    <w:rsid w:val="00D861A5"/>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70F50"/>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82922"/>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282922"/>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22"/>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282922"/>
    <w:rPr>
      <w:rFonts w:ascii="SimSun" w:eastAsia="SimSun" w:hAnsi="SimSun" w:cs="SimSun"/>
      <w:b/>
      <w:bCs/>
      <w:kern w:val="0"/>
      <w:sz w:val="36"/>
      <w:szCs w:val="36"/>
    </w:rPr>
  </w:style>
  <w:style w:type="character" w:customStyle="1" w:styleId="ne-text">
    <w:name w:val="ne-text"/>
    <w:basedOn w:val="DefaultParagraphFont"/>
    <w:rsid w:val="00282922"/>
  </w:style>
  <w:style w:type="paragraph" w:customStyle="1" w:styleId="ne-p">
    <w:name w:val="ne-p"/>
    <w:basedOn w:val="Normal"/>
    <w:rsid w:val="00282922"/>
    <w:pPr>
      <w:widowControl/>
      <w:spacing w:before="100" w:beforeAutospacing="1" w:after="100" w:afterAutospacing="1"/>
      <w:jc w:val="left"/>
    </w:pPr>
    <w:rPr>
      <w:rFonts w:ascii="SimSun" w:eastAsia="SimSun" w:hAnsi="SimSun" w:cs="SimSu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119637">
      <w:bodyDiv w:val="1"/>
      <w:marLeft w:val="0"/>
      <w:marRight w:val="0"/>
      <w:marTop w:val="0"/>
      <w:marBottom w:val="0"/>
      <w:divBdr>
        <w:top w:val="none" w:sz="0" w:space="0" w:color="auto"/>
        <w:left w:val="none" w:sz="0" w:space="0" w:color="auto"/>
        <w:bottom w:val="none" w:sz="0" w:space="0" w:color="auto"/>
        <w:right w:val="none" w:sz="0" w:space="0" w:color="auto"/>
      </w:divBdr>
      <w:divsChild>
        <w:div w:id="1924099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815</Words>
  <Characters>4652</Characters>
  <Application>Microsoft Office Word</Application>
  <DocSecurity>0</DocSecurity>
  <Lines>38</Lines>
  <Paragraphs>10</Paragraphs>
  <ScaleCrop>false</ScaleCrop>
  <Manager/>
  <Company/>
  <LinksUpToDate>false</LinksUpToDate>
  <CharactersWithSpaces>5457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Fang William</cp:lastModifiedBy>
  <cp:revision>14</cp:revision>
  <dcterms:created xsi:type="dcterms:W3CDTF">2019-07-18T09:41:00Z</dcterms:created>
  <dcterms:modified xsi:type="dcterms:W3CDTF">2021-07-01T06:48:00Z</dcterms:modified>
  <cp:category/>
</cp:coreProperties>
</file>