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  <w:r>
        <w:drawing>
          <wp:inline distT="0" distB="0" distL="114300" distR="114300">
            <wp:extent cx="6350" cy="50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</w:pPr>
      <w:r>
        <w:drawing>
          <wp:inline distT="0" distB="0" distL="114300" distR="114300">
            <wp:extent cx="5271770" cy="3867785"/>
            <wp:effectExtent l="0" t="0" r="1143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81280</wp:posOffset>
            </wp:positionV>
            <wp:extent cx="6454775" cy="4012565"/>
            <wp:effectExtent l="0" t="0" r="9525" b="635"/>
            <wp:wrapNone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4775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</w:pPr>
      <w:r>
        <w:drawing>
          <wp:inline distT="0" distB="0" distL="114300" distR="114300">
            <wp:extent cx="5242560" cy="3741420"/>
            <wp:effectExtent l="0" t="0" r="254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keepNext w:val="0"/>
        <w:keepLines w:val="0"/>
        <w:widowControl/>
        <w:suppressLineNumbers w:val="0"/>
        <w:spacing w:before="200" w:beforeAutospacing="0" w:after="100" w:afterAutospacing="0"/>
        <w:rPr>
          <w:sz w:val="28"/>
          <w:szCs w:val="28"/>
        </w:rPr>
      </w:pPr>
      <w:r>
        <w:rPr>
          <w:sz w:val="28"/>
          <w:szCs w:val="28"/>
        </w:rPr>
        <w:t>诊断试验研究的概念、步骤及常用标准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一、诊断试验研究的概念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诊断试验研究是为了替代或淘汰陈旧的诊断方法而进行的实验研究。其基本方法是依据诊断某病的金标准做双盲法和同步试验比较。理想的诊断试验应该是准确、精密度高、安全、无不适感、作用迅速、简便易行且价格低廉。其中准确度是终的要指标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二、为什么要评价诊断试验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1、新的诊断试验方法不断被提出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2、现有诊断方法缺陷需要新的方法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3、对诊断结果的解释(指导临床实践)，阳性及阴性结果是否受患病率的影响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三、诊断试验研究的基本步骤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1、确定“金标准”。</w:t>
      </w:r>
      <w:r>
        <w:rPr>
          <w:color w:val="000000"/>
          <w:sz w:val="28"/>
          <w:szCs w:val="28"/>
        </w:rPr>
        <w:t>金标准是指以当前医学界公认的可靠、准确度相当高的诊断方法作为比较的统一标准。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rFonts w:hint="default" w:eastAsiaTheme="minorEastAsia"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病理学诊断（</w:t>
      </w:r>
      <w:r>
        <w:rPr>
          <w:rFonts w:hint="eastAsia"/>
          <w:color w:val="0000FF"/>
          <w:sz w:val="28"/>
          <w:szCs w:val="28"/>
          <w:lang w:val="en-US" w:eastAsia="zh-CN"/>
        </w:rPr>
        <w:t>手术/内镜切除后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</w:t>
      </w:r>
      <w:r>
        <w:rPr>
          <w:b/>
          <w:bCs/>
          <w:color w:val="000000"/>
          <w:sz w:val="28"/>
          <w:szCs w:val="28"/>
        </w:rPr>
        <w:t>2、确定研究病例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(1)“回顾性”研究，即利用病案资料，病例选用经“金标准”确诊的病人，对照是那些需要与病例相鉴别的其他疾病。</w:t>
      </w:r>
    </w:p>
    <w:p>
      <w:pPr>
        <w:pStyle w:val="3"/>
        <w:keepNext w:val="0"/>
        <w:keepLines w:val="0"/>
        <w:widowControl/>
        <w:suppressLineNumbers w:val="0"/>
        <w:ind w:firstLine="560"/>
        <w:jc w:val="left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健康对照 / 胃炎 / 早期肿瘤 / 进展期肿瘤</w:t>
      </w:r>
    </w:p>
    <w:p>
      <w:pPr>
        <w:pStyle w:val="3"/>
        <w:keepNext w:val="0"/>
        <w:keepLines w:val="0"/>
        <w:widowControl/>
        <w:suppressLineNumbers w:val="0"/>
        <w:ind w:firstLine="560"/>
        <w:jc w:val="left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其中胃炎需要再分类吗？（非萎缩性胃炎  萎缩性胃炎 上皮內瘤变）</w:t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　　(2)“前瞻性”观察，</w:t>
      </w:r>
      <w:r>
        <w:rPr>
          <w:b w:val="0"/>
          <w:bCs w:val="0"/>
          <w:color w:val="FF0000"/>
          <w:sz w:val="28"/>
          <w:szCs w:val="28"/>
          <w:u w:val="single"/>
        </w:rPr>
        <w:t>可对疑为某病的</w:t>
      </w:r>
      <w:r>
        <w:rPr>
          <w:b/>
          <w:bCs/>
          <w:color w:val="00B050"/>
          <w:sz w:val="28"/>
          <w:szCs w:val="28"/>
        </w:rPr>
        <w:t>全部或随机选择部分患者</w:t>
      </w:r>
      <w:r>
        <w:rPr>
          <w:rFonts w:hint="eastAsia"/>
          <w:b/>
          <w:bCs/>
          <w:color w:val="00B050"/>
          <w:sz w:val="28"/>
          <w:szCs w:val="28"/>
          <w:lang w:eastAsia="zh-CN"/>
        </w:rPr>
        <w:t>（</w:t>
      </w:r>
      <w:r>
        <w:rPr>
          <w:rFonts w:hint="eastAsia"/>
          <w:color w:val="0000FF"/>
          <w:sz w:val="28"/>
          <w:szCs w:val="28"/>
          <w:lang w:val="en-US" w:eastAsia="zh-CN"/>
        </w:rPr>
        <w:t>可能是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诊断性实验</w:t>
      </w:r>
      <w:r>
        <w:rPr>
          <w:rFonts w:hint="eastAsia"/>
          <w:color w:val="0000FF"/>
          <w:sz w:val="28"/>
          <w:szCs w:val="28"/>
          <w:lang w:val="en-US" w:eastAsia="zh-CN"/>
        </w:rPr>
        <w:t>需要的，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筛查性实验</w:t>
      </w:r>
      <w:r>
        <w:rPr>
          <w:rFonts w:hint="eastAsia"/>
          <w:color w:val="0000FF"/>
          <w:sz w:val="28"/>
          <w:szCs w:val="28"/>
          <w:lang w:val="en-US" w:eastAsia="zh-CN"/>
        </w:rPr>
        <w:t>呢？</w:t>
      </w:r>
      <w:r>
        <w:rPr>
          <w:rFonts w:hint="eastAsia"/>
          <w:b/>
          <w:bCs/>
          <w:color w:val="00B050"/>
          <w:sz w:val="28"/>
          <w:szCs w:val="28"/>
          <w:lang w:eastAsia="zh-CN"/>
        </w:rPr>
        <w:t>）</w:t>
      </w:r>
      <w:r>
        <w:rPr>
          <w:color w:val="000000"/>
          <w:sz w:val="28"/>
          <w:szCs w:val="28"/>
        </w:rPr>
        <w:t>先后做</w:t>
      </w:r>
      <w:r>
        <w:rPr>
          <w:b/>
          <w:bCs/>
          <w:color w:val="000000"/>
          <w:sz w:val="28"/>
          <w:szCs w:val="28"/>
        </w:rPr>
        <w:t>新试验</w:t>
      </w:r>
      <w:r>
        <w:rPr>
          <w:color w:val="000000"/>
          <w:sz w:val="28"/>
          <w:szCs w:val="28"/>
        </w:rPr>
        <w:t>和</w:t>
      </w:r>
      <w:r>
        <w:rPr>
          <w:b/>
          <w:bCs/>
          <w:color w:val="000000"/>
          <w:sz w:val="28"/>
          <w:szCs w:val="28"/>
        </w:rPr>
        <w:t>“金标准</w:t>
      </w:r>
      <w:r>
        <w:rPr>
          <w:color w:val="000000"/>
          <w:sz w:val="28"/>
          <w:szCs w:val="28"/>
        </w:rPr>
        <w:t>”检测后，</w:t>
      </w:r>
      <w:r>
        <w:rPr>
          <w:color w:val="000000"/>
          <w:sz w:val="28"/>
          <w:szCs w:val="28"/>
          <w:u w:val="single"/>
        </w:rPr>
        <w:t>按“金标准”的结果分为病例组、对照组。</w:t>
      </w:r>
      <w:r>
        <w:rPr>
          <w:color w:val="000000"/>
          <w:sz w:val="28"/>
          <w:szCs w:val="28"/>
        </w:rPr>
        <w:t>如欲把新试验与其他试验比较，则所有患者应做包括金标准在内的三项检查，</w:t>
      </w:r>
      <w:r>
        <w:rPr>
          <w:color w:val="000000"/>
          <w:sz w:val="28"/>
          <w:szCs w:val="28"/>
          <w:u w:val="single"/>
        </w:rPr>
        <w:t>检查其中注意盲法，如新试验的检测人员不知道被检测者的金标准结果。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手术/内镜前就疑似胃癌？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目前做胃镜的各类人群比例：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胃部不舒服？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560" w:leftChars="0" w:firstLine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确定样本含量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回顾研究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健康对照 / 胃炎 / 早期肿瘤 / 进展期肿瘤各50例，已完成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color w:val="000000"/>
          <w:sz w:val="28"/>
          <w:szCs w:val="28"/>
        </w:rPr>
        <w:t>前瞻性</w:t>
      </w:r>
      <w:r>
        <w:rPr>
          <w:rFonts w:hint="eastAsia"/>
          <w:color w:val="000000"/>
          <w:sz w:val="28"/>
          <w:szCs w:val="28"/>
          <w:lang w:val="en-US" w:eastAsia="zh-CN"/>
        </w:rPr>
        <w:t>研究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一般什么样做胃镜的人多：胃不舒服，还是健康体检？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招募对象纳入标准：所有做胃镜人员？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default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 xml:space="preserve">                 Or 胃部有不适做胃镜患者？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100例内镜检测人群中各类人的比例：有多少早期胃癌患者？有</w:t>
      </w:r>
      <w:bookmarkStart w:id="0" w:name="_GoBack"/>
      <w:r>
        <w:rPr>
          <w:rFonts w:hint="eastAsia"/>
          <w:color w:val="0000FF"/>
          <w:sz w:val="28"/>
          <w:szCs w:val="28"/>
          <w:lang w:val="en-US" w:eastAsia="zh-CN"/>
        </w:rPr>
        <w:t>多少进展期胃癌患者？有多少胃炎患者？有多少健康人？</w:t>
      </w:r>
    </w:p>
    <w:bookmarkEnd w:id="0"/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纳入标准：</w:t>
      </w:r>
      <w:r>
        <w:rPr>
          <w:rFonts w:hint="eastAsia" w:asciiTheme="minorHAnsi" w:hAnsiTheme="minorHAnsi" w:eastAsiaTheme="minorEastAsia" w:cstheme="minorBidi"/>
          <w:color w:val="000000"/>
          <w:kern w:val="0"/>
          <w:sz w:val="28"/>
          <w:szCs w:val="28"/>
          <w:lang w:val="en-US" w:eastAsia="zh-CN" w:bidi="ar"/>
        </w:rPr>
        <w:t>一般情况下，纳</w:t>
      </w:r>
      <w:r>
        <w:rPr>
          <w:rFonts w:hint="default" w:asciiTheme="minorHAnsi" w:hAnsiTheme="minorHAnsi" w:eastAsiaTheme="minorEastAsia" w:cstheme="minorBidi"/>
          <w:color w:val="000000"/>
          <w:kern w:val="0"/>
          <w:sz w:val="28"/>
          <w:szCs w:val="28"/>
          <w:lang w:val="en-US" w:eastAsia="zh-CN" w:bidi="ar"/>
        </w:rPr>
        <w:t>入和排除标准主要是一些</w:t>
      </w:r>
      <w:r>
        <w:rPr>
          <w:rFonts w:hint="default" w:asciiTheme="minorHAnsi" w:hAnsiTheme="minorHAnsi" w:eastAsiaTheme="minorEastAsia" w:cstheme="minorBidi"/>
          <w:b/>
          <w:bCs/>
          <w:color w:val="000000"/>
          <w:kern w:val="0"/>
          <w:sz w:val="28"/>
          <w:szCs w:val="28"/>
          <w:lang w:val="en-US" w:eastAsia="zh-CN" w:bidi="ar"/>
        </w:rPr>
        <w:t>已知的症状、体征、病史和简单体格检查</w:t>
      </w:r>
      <w:r>
        <w:rPr>
          <w:rFonts w:hint="default" w:asciiTheme="minorHAnsi" w:hAnsiTheme="minorHAnsi" w:eastAsiaTheme="minorEastAsia" w:cstheme="minorBidi"/>
          <w:color w:val="000000"/>
          <w:kern w:val="0"/>
          <w:sz w:val="28"/>
          <w:szCs w:val="28"/>
          <w:lang w:val="en-US" w:eastAsia="zh-CN" w:bidi="ar"/>
        </w:rPr>
        <w:t>，这些信息往往提示、但无法确定患者患有目标疾病。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560" w:leftChars="0" w:right="0" w:rightChars="0"/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560" w:leftChars="0" w:firstLine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比较与评价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诊断指标可以分为三类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(1)</w:t>
      </w:r>
      <w:r>
        <w:rPr>
          <w:color w:val="000000"/>
          <w:sz w:val="28"/>
          <w:szCs w:val="28"/>
          <w:u w:val="single"/>
        </w:rPr>
        <w:t>主观指标</w:t>
      </w:r>
      <w:r>
        <w:rPr>
          <w:color w:val="000000"/>
          <w:sz w:val="28"/>
          <w:szCs w:val="28"/>
        </w:rPr>
        <w:t>：指由被诊断者的主诉而确定的，如不舒服、头晕、头痛、食欲不振、失眠等。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(2)</w:t>
      </w:r>
      <w:r>
        <w:rPr>
          <w:color w:val="000000"/>
          <w:sz w:val="28"/>
          <w:szCs w:val="28"/>
          <w:u w:val="single"/>
        </w:rPr>
        <w:t>半客观(或半主观)指标</w:t>
      </w:r>
      <w:r>
        <w:rPr>
          <w:color w:val="000000"/>
          <w:sz w:val="28"/>
          <w:szCs w:val="28"/>
        </w:rPr>
        <w:t>：指根据诊断者的感觉而加以判断的指标，如肿物的硬度，肺部啰音的多少，脉象弦滑等。</w:t>
      </w:r>
    </w:p>
    <w:p>
      <w:pPr>
        <w:pStyle w:val="3"/>
        <w:keepNext w:val="0"/>
        <w:keepLines w:val="0"/>
        <w:widowControl/>
        <w:suppressLineNumbers w:val="0"/>
        <w:ind w:firstLine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(3)</w:t>
      </w:r>
      <w:r>
        <w:rPr>
          <w:color w:val="000000"/>
          <w:sz w:val="28"/>
          <w:szCs w:val="28"/>
          <w:u w:val="single"/>
        </w:rPr>
        <w:t>客观指标</w:t>
      </w:r>
      <w:r>
        <w:rPr>
          <w:color w:val="000000"/>
          <w:sz w:val="28"/>
          <w:szCs w:val="28"/>
        </w:rPr>
        <w:t>：能用客观仪器加以测量。很少依赖诊断者及被诊断者的主观意识判断，所以是比较可靠的。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color w:val="0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四、诊断试验的常用指标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诊断试验的结果有四种可能性，其中两种是正确的，即病人的实验结果阳性(称真阳性)和非病人的实验结果阴性(称真阴性);两种是错误的，即非病人的实验结果为阳性(称假阳性)和病人的实验结果为阴性(称假阴性)。上述结果可直观的用四格表显示出来。</w:t>
      </w:r>
    </w:p>
    <w:p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color w:val="000000"/>
          <w:sz w:val="28"/>
          <w:szCs w:val="28"/>
        </w:rPr>
        <w:t>　　评价诊断试验的四格表模式</w:t>
      </w:r>
    </w:p>
    <w:tbl>
      <w:tblPr>
        <w:tblStyle w:val="4"/>
        <w:tblW w:w="7571" w:type="dxa"/>
        <w:tblInd w:w="0" w:type="dxa"/>
        <w:tblBorders>
          <w:top w:val="single" w:color="C7D0D7" w:sz="4" w:space="0"/>
          <w:left w:val="single" w:color="C7D0D7" w:sz="4" w:space="0"/>
          <w:bottom w:val="single" w:color="C7D0D7" w:sz="4" w:space="0"/>
          <w:right w:val="single" w:color="C7D0D7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20" w:type="dxa"/>
          <w:left w:w="20" w:type="dxa"/>
          <w:bottom w:w="20" w:type="dxa"/>
          <w:right w:w="20" w:type="dxa"/>
        </w:tblCellMar>
      </w:tblPr>
      <w:tblGrid>
        <w:gridCol w:w="1500"/>
        <w:gridCol w:w="1842"/>
        <w:gridCol w:w="2058"/>
        <w:gridCol w:w="2171"/>
      </w:tblGrid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5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金标准诊断试验</w:t>
            </w:r>
          </w:p>
        </w:tc>
        <w:tc>
          <w:tcPr>
            <w:tcW w:w="2171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合计</w:t>
            </w:r>
          </w:p>
        </w:tc>
      </w:tr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待评</w:t>
            </w:r>
          </w:p>
        </w:tc>
        <w:tc>
          <w:tcPr>
            <w:tcW w:w="1842" w:type="dxa"/>
            <w:vMerge w:val="restar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病人</w:t>
            </w:r>
          </w:p>
        </w:tc>
        <w:tc>
          <w:tcPr>
            <w:tcW w:w="2058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非病人</w:t>
            </w:r>
          </w:p>
        </w:tc>
        <w:tc>
          <w:tcPr>
            <w:tcW w:w="2171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rPr>
                <w:rFonts w:hint="eastAsia" w:ascii="宋体"/>
                <w:sz w:val="28"/>
                <w:szCs w:val="28"/>
              </w:rPr>
            </w:pPr>
          </w:p>
        </w:tc>
      </w:tr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诊断试验</w:t>
            </w:r>
          </w:p>
        </w:tc>
        <w:tc>
          <w:tcPr>
            <w:tcW w:w="1842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rPr>
                <w:rFonts w:hint="eastAsia" w:ascii="宋体"/>
                <w:sz w:val="28"/>
                <w:szCs w:val="28"/>
              </w:rPr>
            </w:pPr>
          </w:p>
        </w:tc>
        <w:tc>
          <w:tcPr>
            <w:tcW w:w="2058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rPr>
                <w:rFonts w:hint="eastAsia" w:ascii="宋体"/>
                <w:sz w:val="28"/>
                <w:szCs w:val="28"/>
              </w:rPr>
            </w:pPr>
          </w:p>
        </w:tc>
        <w:tc>
          <w:tcPr>
            <w:tcW w:w="2171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rPr>
                <w:rFonts w:hint="eastAsia" w:ascii="宋体"/>
                <w:sz w:val="28"/>
                <w:szCs w:val="28"/>
              </w:rPr>
            </w:pPr>
          </w:p>
        </w:tc>
      </w:tr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a（真阳性）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b（假阳性）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a+b</w:t>
            </w:r>
          </w:p>
        </w:tc>
      </w:tr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-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c（假阴性）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d（真阴性）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C+d</w:t>
            </w:r>
          </w:p>
        </w:tc>
      </w:tr>
      <w:tr>
        <w:tblPrEx>
          <w:tblBorders>
            <w:top w:val="single" w:color="C7D0D7" w:sz="4" w:space="0"/>
            <w:left w:val="single" w:color="C7D0D7" w:sz="4" w:space="0"/>
            <w:bottom w:val="single" w:color="C7D0D7" w:sz="4" w:space="0"/>
            <w:right w:val="single" w:color="C7D0D7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20" w:type="dxa"/>
            <w:left w:w="20" w:type="dxa"/>
            <w:bottom w:w="20" w:type="dxa"/>
            <w:right w:w="20" w:type="dxa"/>
          </w:tblCellMar>
        </w:tblPrEx>
        <w:tc>
          <w:tcPr>
            <w:tcW w:w="15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合计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a+c</w:t>
            </w:r>
          </w:p>
        </w:tc>
        <w:tc>
          <w:tcPr>
            <w:tcW w:w="20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b+d</w:t>
            </w:r>
          </w:p>
        </w:tc>
        <w:tc>
          <w:tcPr>
            <w:tcW w:w="21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a+c+b+d（</w:t>
            </w:r>
            <w:r>
              <w:rPr>
                <w:rFonts w:ascii="Calibri" w:hAnsi="Calibri" w:eastAsia="宋体" w:cs="Calibri"/>
                <w:sz w:val="28"/>
                <w:szCs w:val="28"/>
              </w:rPr>
              <w:t>n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269230" cy="3842385"/>
            <wp:effectExtent l="0" t="0" r="12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　　</w:t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269865" cy="377952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272405" cy="3914140"/>
            <wp:effectExtent l="0" t="0" r="1079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ind w:firstLine="560" w:firstLineChars="200"/>
        <w:rPr>
          <w:rFonts w:hint="default" w:eastAsiaTheme="minorEastAsia"/>
          <w:color w:val="000000"/>
          <w:sz w:val="28"/>
          <w:szCs w:val="28"/>
          <w:lang w:val="en-US" w:eastAsia="zh-CN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前瞻性  连续招募  双盲</w:t>
      </w: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ind w:firstLine="560"/>
        <w:rPr>
          <w:rFonts w:hint="default"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在材料和方法、摘要中，作者提到了一个十分重要的实验设计信息：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8"/>
          <w:szCs w:val="28"/>
          <w:u w:val="single"/>
          <w:shd w:val="clear" w:fill="FFFFFF"/>
        </w:rPr>
        <w:t>患者在进行最终诊断时并未参考NT-proBNP和MR-proANP的检测结果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；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8"/>
          <w:szCs w:val="28"/>
          <w:u w:val="single"/>
          <w:shd w:val="clear" w:fill="FFFFFF"/>
        </w:rPr>
        <w:t>负责检测NT-proBNP和MR-ProANP的检验师(待评价手段的执行者)也不知晓患者的临床资料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8"/>
          <w:szCs w:val="28"/>
          <w:shd w:val="clear" w:fill="FFFFFF"/>
        </w:rPr>
        <w:t>。这是一个十分重要的试验设计细节，我们将其称之为诊断试验中的“双盲设计”，其意义在于保证实验结果的准确性。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Y21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o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9A014"/>
    <w:multiLevelType w:val="singleLevel"/>
    <w:tmpl w:val="0979A014"/>
    <w:lvl w:ilvl="0" w:tentative="0">
      <w:start w:val="3"/>
      <w:numFmt w:val="decimal"/>
      <w:suff w:val="nothing"/>
      <w:lvlText w:val="%1、"/>
      <w:lvlJc w:val="left"/>
      <w:pPr>
        <w:ind w:left="5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56B6D"/>
    <w:rsid w:val="110C1489"/>
    <w:rsid w:val="239554B6"/>
    <w:rsid w:val="2D702A38"/>
    <w:rsid w:val="58AD68E4"/>
    <w:rsid w:val="5D3341E7"/>
    <w:rsid w:val="6116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1196</Words>
  <Characters>1257</Characters>
  <Lines>0</Lines>
  <Paragraphs>0</Paragraphs>
  <TotalTime>358</TotalTime>
  <ScaleCrop>false</ScaleCrop>
  <LinksUpToDate>false</LinksUpToDate>
  <CharactersWithSpaces>1326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2022-04-07T09:31:00Z</dcterms:created>
  <dc:creator>ASUS</dc:creator>
  <cp:lastModifiedBy>张宇</cp:lastModifiedBy>
  <dcterms:modified xsi:type="dcterms:W3CDTF">2022-04-10T12:22:37Z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AC74B33DAE0C439C9DF23762A0428739</vt:lpwstr>
  </property>
</Properties>
</file>