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Executive Production Review</w:t>
      </w:r>
    </w:p>
    <w:p>
      <w:pPr>
        <w:jc w:val="center"/>
      </w:pPr>
      <w:r>
        <w:rPr>
          <w:b/>
          <w:sz w:val="30"/>
        </w:rPr>
        <w:t>Enterprise AI Knowledge Agent Platform</w:t>
      </w:r>
    </w:p>
    <w:p>
      <w:pPr>
        <w:jc w:val="center"/>
      </w:pPr>
      <w:r>
        <w:t>Evidence-based readiness assessment</w:t>
      </w:r>
    </w:p>
    <w:p>
      <w:pPr>
        <w:jc w:val="center"/>
      </w:pPr>
      <w:r>
        <w:t>Version 3.0.0 | July 31, 2026</w:t>
      </w:r>
    </w:p>
    <w:p/>
    <w:p>
      <w:pPr>
        <w:jc w:val="center"/>
      </w:pPr>
      <w:r>
        <w:rPr>
          <w:i/>
        </w:rPr>
        <w:t>Synthetic portfolio reference implementation. Not approved for production enterprise decisions without organization-specific security, privacy, legal, and model-risk validation.</w:t>
      </w:r>
    </w:p>
    <w:p>
      <w:r>
        <w:br w:type="page"/>
      </w:r>
    </w:p>
    <w:p>
      <w:pPr>
        <w:pStyle w:val="Heading1"/>
      </w:pPr>
      <w:r>
        <w:t>1. Executive decision</w:t>
      </w:r>
    </w:p>
    <w:p>
      <w:r>
        <w:t>Decision: conditionally merge-ready as a portfolio reference implementation, but not evidence-complete for a real enterprise production deployment. The repository has a sound package structure, deterministic fallback embeddings, typed API contracts, security-oriented routing controls, tests, containerization, Kubernetes scaffolding, and CI definitions. The remaining gates are external execution of Docker health validation, Kubernetes manifest/deployment validation, and a successful GitHub Actions run.</w:t>
      </w:r>
    </w:p>
    <w:p>
      <w:pPr>
        <w:pStyle w:val="Heading1"/>
      </w:pPr>
      <w:r>
        <w:t>2. Evidence reviewed</w:t>
      </w:r>
    </w:p>
    <w:p>
      <w:pPr>
        <w:pStyle w:val="ListBullet"/>
      </w:pPr>
      <w:r>
        <w:t>README.md, FINAL_CHECK.md, architecture, threat-model, validation, and production-readiness documentation.</w:t>
      </w:r>
    </w:p>
    <w:p>
      <w:pPr>
        <w:pStyle w:val="ListBullet"/>
      </w:pPr>
      <w:r>
        <w:t>Installable package configuration in pyproject.toml and source modules under src/enterprise_ai_agent.</w:t>
      </w:r>
    </w:p>
    <w:p>
      <w:pPr>
        <w:pStyle w:val="ListBullet"/>
      </w:pPr>
      <w:r>
        <w:t>FastAPI implementation, tests, Dockerfile, Docker Compose, Kubernetes deployment manifest, and GitHub Actions workflow.</w:t>
      </w:r>
    </w:p>
    <w:p>
      <w:pPr>
        <w:pStyle w:val="ListBullet"/>
      </w:pPr>
      <w:r>
        <w:t>Direct validation in the review environment: Python compilation passed and pytest completed with 9 tests passing.</w:t>
      </w:r>
    </w:p>
    <w:p>
      <w:pPr>
        <w:pStyle w:val="Heading1"/>
      </w:pPr>
      <w:r>
        <w:t>3. Production-readiness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rPr>
                <w:b/>
              </w:rPr>
              <w:t>Area</w:t>
            </w:r>
          </w:p>
        </w:tc>
        <w:tc>
          <w:tcPr>
            <w:tcW w:type="dxa" w:w="3360"/>
            <w:shd w:fill="D9EAF7"/>
            <w:vAlign w:val="center"/>
          </w:tcPr>
          <w:p>
            <w:r>
              <w:rPr>
                <w:b/>
              </w:rPr>
              <w:t>Observed evidence</w:t>
            </w:r>
          </w:p>
        </w:tc>
        <w:tc>
          <w:tcPr>
            <w:tcW w:type="dxa" w:w="3360"/>
            <w:shd w:fill="D9EAF7"/>
            <w:vAlign w:val="center"/>
          </w:tcPr>
          <w:p>
            <w:r>
              <w:rPr>
                <w:b/>
              </w:rPr>
              <w:t>Assessment</w:t>
            </w:r>
          </w:p>
        </w:tc>
      </w:tr>
      <w:tr>
        <w:tc>
          <w:tcPr>
            <w:tcW w:type="dxa" w:w="3360"/>
            <w:vAlign w:val="top"/>
          </w:tcPr>
          <w:p>
            <w:r>
              <w:t>Packaging</w:t>
            </w:r>
          </w:p>
        </w:tc>
        <w:tc>
          <w:tcPr>
            <w:tcW w:type="dxa" w:w="3360"/>
            <w:vAlign w:val="top"/>
          </w:tcPr>
          <w:p>
            <w:r>
              <w:t>Named src package; setuptools package discovery; Python &gt;=3.10.</w:t>
            </w:r>
          </w:p>
        </w:tc>
        <w:tc>
          <w:tcPr>
            <w:tcW w:type="dxa" w:w="3360"/>
            <w:vAlign w:val="top"/>
          </w:tcPr>
          <w:p>
            <w:r>
              <w:t>Pass</w:t>
            </w:r>
          </w:p>
        </w:tc>
      </w:tr>
      <w:tr>
        <w:tc>
          <w:tcPr>
            <w:tcW w:type="dxa" w:w="3360"/>
            <w:vAlign w:val="top"/>
          </w:tcPr>
          <w:p>
            <w:r>
              <w:t>API</w:t>
            </w:r>
          </w:p>
        </w:tc>
        <w:tc>
          <w:tcPr>
            <w:tcW w:type="dxa" w:w="3360"/>
            <w:vAlign w:val="top"/>
          </w:tcPr>
          <w:p>
            <w:r>
              <w:t>/health, /ready, /metrics/, /v1/query; typed request/response models.</w:t>
            </w:r>
          </w:p>
        </w:tc>
        <w:tc>
          <w:tcPr>
            <w:tcW w:type="dxa" w:w="3360"/>
            <w:vAlign w:val="top"/>
          </w:tcPr>
          <w:p>
            <w:r>
              <w:t>Pass</w:t>
            </w:r>
          </w:p>
        </w:tc>
      </w:tr>
      <w:tr>
        <w:tc>
          <w:tcPr>
            <w:tcW w:type="dxa" w:w="3360"/>
            <w:vAlign w:val="top"/>
          </w:tcPr>
          <w:p>
            <w:r>
              <w:t>Authentication</w:t>
            </w:r>
          </w:p>
        </w:tc>
        <w:tc>
          <w:tcPr>
            <w:tcW w:type="dxa" w:w="3360"/>
            <w:vAlign w:val="top"/>
          </w:tcPr>
          <w:p>
            <w:r>
              <w:t>API key required; no default credential; hmac.compare_digest used.</w:t>
            </w:r>
          </w:p>
        </w:tc>
        <w:tc>
          <w:tcPr>
            <w:tcW w:type="dxa" w:w="3360"/>
            <w:vAlign w:val="top"/>
          </w:tcPr>
          <w:p>
            <w:r>
              <w:t>Pass</w:t>
            </w:r>
          </w:p>
        </w:tc>
      </w:tr>
      <w:tr>
        <w:tc>
          <w:tcPr>
            <w:tcW w:type="dxa" w:w="3360"/>
            <w:vAlign w:val="top"/>
          </w:tcPr>
          <w:p>
            <w:r>
              <w:t>RAG reproducibility</w:t>
            </w:r>
          </w:p>
        </w:tc>
        <w:tc>
          <w:tcPr>
            <w:tcW w:type="dxa" w:w="3360"/>
            <w:vAlign w:val="top"/>
          </w:tcPr>
          <w:p>
            <w:r>
              <w:t>Stable SHA-256 fallback embeddings and versioned index lifecycle documented/implemented.</w:t>
            </w:r>
          </w:p>
        </w:tc>
        <w:tc>
          <w:tcPr>
            <w:tcW w:type="dxa" w:w="3360"/>
            <w:vAlign w:val="top"/>
          </w:tcPr>
          <w:p>
            <w:r>
              <w:t>Pass</w:t>
            </w:r>
          </w:p>
        </w:tc>
      </w:tr>
      <w:tr>
        <w:tc>
          <w:tcPr>
            <w:tcW w:type="dxa" w:w="3360"/>
            <w:vAlign w:val="top"/>
          </w:tcPr>
          <w:p>
            <w:r>
              <w:t>SQL safety</w:t>
            </w:r>
          </w:p>
        </w:tc>
        <w:tc>
          <w:tcPr>
            <w:tcW w:type="dxa" w:w="3360"/>
            <w:vAlign w:val="top"/>
          </w:tcPr>
          <w:p>
            <w:r>
              <w:t>Read-only allowlisted SQL templates; raw generated SQL is not the intended path.</w:t>
            </w:r>
          </w:p>
        </w:tc>
        <w:tc>
          <w:tcPr>
            <w:tcW w:type="dxa" w:w="3360"/>
            <w:vAlign w:val="top"/>
          </w:tcPr>
          <w:p>
            <w:r>
              <w:t>Pass</w:t>
            </w:r>
          </w:p>
        </w:tc>
      </w:tr>
      <w:tr>
        <w:tc>
          <w:tcPr>
            <w:tcW w:type="dxa" w:w="3360"/>
            <w:vAlign w:val="top"/>
          </w:tcPr>
          <w:p>
            <w:r>
              <w:t>Prompt security</w:t>
            </w:r>
          </w:p>
        </w:tc>
        <w:tc>
          <w:tcPr>
            <w:tcW w:type="dxa" w:w="3360"/>
            <w:vAlign w:val="top"/>
          </w:tcPr>
          <w:p>
            <w:r>
              <w:t>Retrieved content treated as untrusted; prompt-injection screening included.</w:t>
            </w:r>
          </w:p>
        </w:tc>
        <w:tc>
          <w:tcPr>
            <w:tcW w:type="dxa" w:w="3360"/>
            <w:vAlign w:val="top"/>
          </w:tcPr>
          <w:p>
            <w:r>
              <w:t>Implemented safeguard; not proof of safety</w:t>
            </w:r>
          </w:p>
        </w:tc>
      </w:tr>
      <w:tr>
        <w:tc>
          <w:tcPr>
            <w:tcW w:type="dxa" w:w="3360"/>
            <w:vAlign w:val="top"/>
          </w:tcPr>
          <w:p>
            <w:r>
              <w:t>Testing</w:t>
            </w:r>
          </w:p>
        </w:tc>
        <w:tc>
          <w:tcPr>
            <w:tcW w:type="dxa" w:w="3360"/>
            <w:vAlign w:val="top"/>
          </w:tcPr>
          <w:p>
            <w:r>
              <w:t>9 tests passed in the review environment.</w:t>
            </w:r>
          </w:p>
        </w:tc>
        <w:tc>
          <w:tcPr>
            <w:tcW w:type="dxa" w:w="3360"/>
            <w:vAlign w:val="top"/>
          </w:tcPr>
          <w:p>
            <w:r>
              <w:t>Pass</w:t>
            </w:r>
          </w:p>
        </w:tc>
      </w:tr>
      <w:tr>
        <w:tc>
          <w:tcPr>
            <w:tcW w:type="dxa" w:w="3360"/>
            <w:vAlign w:val="top"/>
          </w:tcPr>
          <w:p>
            <w:r>
              <w:t>Docker</w:t>
            </w:r>
          </w:p>
        </w:tc>
        <w:tc>
          <w:tcPr>
            <w:tcW w:type="dxa" w:w="3360"/>
            <w:vAlign w:val="top"/>
          </w:tcPr>
          <w:p>
            <w:r>
              <w:t>Non-root image, health check, pinned Python base family.</w:t>
            </w:r>
          </w:p>
        </w:tc>
        <w:tc>
          <w:tcPr>
            <w:tcW w:type="dxa" w:w="3360"/>
            <w:vAlign w:val="top"/>
          </w:tcPr>
          <w:p>
            <w:r>
              <w:t>Defined; external smoke run still required</w:t>
            </w:r>
          </w:p>
        </w:tc>
      </w:tr>
      <w:tr>
        <w:tc>
          <w:tcPr>
            <w:tcW w:type="dxa" w:w="3360"/>
            <w:vAlign w:val="top"/>
          </w:tcPr>
          <w:p>
            <w:r>
              <w:t>Kubernetes</w:t>
            </w:r>
          </w:p>
        </w:tc>
        <w:tc>
          <w:tcPr>
            <w:tcW w:type="dxa" w:w="3360"/>
            <w:vAlign w:val="top"/>
          </w:tcPr>
          <w:p>
            <w:r>
              <w:t>Non-root, dropped capabilities, probes, Secret-based API key, resource limits.</w:t>
            </w:r>
          </w:p>
        </w:tc>
        <w:tc>
          <w:tcPr>
            <w:tcW w:type="dxa" w:w="3360"/>
            <w:vAlign w:val="top"/>
          </w:tcPr>
          <w:p>
            <w:r>
              <w:t>Scaffold present; cluster validation required</w:t>
            </w:r>
          </w:p>
        </w:tc>
      </w:tr>
      <w:tr>
        <w:tc>
          <w:tcPr>
            <w:tcW w:type="dxa" w:w="3360"/>
            <w:vAlign w:val="top"/>
          </w:tcPr>
          <w:p>
            <w:r>
              <w:t>CI</w:t>
            </w:r>
          </w:p>
        </w:tc>
        <w:tc>
          <w:tcPr>
            <w:tcW w:type="dxa" w:w="3360"/>
            <w:vAlign w:val="top"/>
          </w:tcPr>
          <w:p>
            <w:r>
              <w:t>Ruff, compile, mypy, pytest/coverage, Bandit, pip-audit, Docker build.</w:t>
            </w:r>
          </w:p>
        </w:tc>
        <w:tc>
          <w:tcPr>
            <w:tcW w:type="dxa" w:w="3360"/>
            <w:vAlign w:val="top"/>
          </w:tcPr>
          <w:p>
            <w:r>
              <w:t>Defined; GitHub run required</w:t>
            </w:r>
          </w:p>
        </w:tc>
      </w:tr>
    </w:tbl>
    <w:p>
      <w:pPr>
        <w:pStyle w:val="Heading1"/>
      </w:pPr>
      <w:r>
        <w:t>4. Security changes</w:t>
      </w:r>
    </w:p>
    <w:p>
      <w:pPr>
        <w:pStyle w:val="ListBullet"/>
      </w:pPr>
      <w:r>
        <w:t>No insecure default API key; missing authentication configuration produces HTTP 503.</w:t>
      </w:r>
    </w:p>
    <w:p>
      <w:pPr>
        <w:pStyle w:val="ListBullet"/>
      </w:pPr>
      <w:r>
        <w:t>Constant-time API-key comparison reduces straightforward timing leakage.</w:t>
      </w:r>
    </w:p>
    <w:p>
      <w:pPr>
        <w:pStyle w:val="ListBullet"/>
      </w:pPr>
      <w:r>
        <w:t>Retrieved documents are explicitly treated as untrusted evidence.</w:t>
      </w:r>
    </w:p>
    <w:p>
      <w:pPr>
        <w:pStyle w:val="ListBullet"/>
      </w:pPr>
      <w:r>
        <w:t>Prompt-injection screening is included as a rule-based defense.</w:t>
      </w:r>
    </w:p>
    <w:p>
      <w:pPr>
        <w:pStyle w:val="ListBullet"/>
      </w:pPr>
      <w:r>
        <w:t>SQL access is constrained to read-only, allowlisted templates.</w:t>
      </w:r>
    </w:p>
    <w:p>
      <w:pPr>
        <w:pStyle w:val="ListBullet"/>
      </w:pPr>
      <w:r>
        <w:t>Kubernetes disables service-account token automounting and privilege escalation and drops Linux capabilities.</w:t>
      </w:r>
    </w:p>
    <w:p>
      <w:pPr>
        <w:pStyle w:val="ListBullet"/>
      </w:pPr>
      <w:r>
        <w:t>Container execution uses a non-root application user.</w:t>
      </w:r>
    </w:p>
    <w:p>
      <w:pPr>
        <w:pStyle w:val="Heading1"/>
      </w:pPr>
      <w:r>
        <w:t>5. Remaining limitations</w:t>
      </w:r>
    </w:p>
    <w:p>
      <w:pPr>
        <w:pStyle w:val="ListBullet"/>
      </w:pPr>
      <w:r>
        <w:t>The default answer path is evidence-summary based unless a separately governed LLM integration is added.</w:t>
      </w:r>
    </w:p>
    <w:p>
      <w:pPr>
        <w:pStyle w:val="ListBullet"/>
      </w:pPr>
      <w:r>
        <w:t>Prompt-injection screening and grounding-risk checks are rule-based heuristics, not guarantees of safety, factuality, or absence of hallucination.</w:t>
      </w:r>
    </w:p>
    <w:p>
      <w:pPr>
        <w:pStyle w:val="ListBullet"/>
      </w:pPr>
      <w:r>
        <w:t>SQLite, local files, and the fallback vector index are demonstrations rather than enterprise-scale managed services.</w:t>
      </w:r>
    </w:p>
    <w:p>
      <w:pPr>
        <w:pStyle w:val="ListBullet"/>
      </w:pPr>
      <w:r>
        <w:t>Enterprise identity/authorization, PII/DLP, malware scanning, centralized audit logging, durable vector storage, formal red-team testing, load testing, disaster recovery, and live SLO evidence remain outside the validated implementation.</w:t>
      </w:r>
    </w:p>
    <w:p>
      <w:pPr>
        <w:pStyle w:val="ListBullet"/>
      </w:pPr>
      <w:r>
        <w:t>The package has not been validated against a specific organization's legal, privacy, security, or model-risk requirements.</w:t>
      </w:r>
    </w:p>
    <w:p>
      <w:pPr>
        <w:pStyle w:val="Heading1"/>
      </w:pPr>
      <w:r>
        <w:t>6. Final merge recommendation</w:t>
      </w:r>
    </w:p>
    <w:p>
      <w:r>
        <w:t>Merge to main only after the local Docker container health check passes, the Kubernetes manifest is validated in the intended toolchain, GitHub Actions is green, and the repository contains no generated runtime databases, indexes, secrets, caches, or virtual environments. For portfolio use, the code is technically credible now; for real production use, the remaining enterprise controls listed above are mandatory.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