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Technical Design Document</w:t>
      </w:r>
    </w:p>
    <w:p>
      <w:pPr>
        <w:jc w:val="center"/>
      </w:pPr>
      <w:r>
        <w:rPr>
          <w:b/>
          <w:sz w:val="30"/>
        </w:rPr>
        <w:t>Enterprise AI Knowledge Agent Platform</w:t>
      </w:r>
    </w:p>
    <w:p>
      <w:pPr>
        <w:jc w:val="center"/>
      </w:pPr>
      <w:r>
        <w:t>Architecture and implementation design</w:t>
      </w:r>
    </w:p>
    <w:p>
      <w:pPr>
        <w:jc w:val="center"/>
      </w:pPr>
      <w:r>
        <w:t>Version 3.0.0 | July 31, 2026</w:t>
      </w:r>
    </w:p>
    <w:p/>
    <w:p>
      <w:pPr>
        <w:jc w:val="center"/>
      </w:pPr>
      <w:r>
        <w:rPr>
          <w:i/>
        </w:rPr>
        <w:t>Synthetic portfolio reference implementation. Not approved for production enterprise decisions without organization-specific security, privacy, legal, and model-risk validation.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reference platform demonstrates an enterprise-oriented knowledge-agent architecture that routes questions to document retrieval, image-note evidence, or approved SQL templates. It emphasizes deterministic local operation, evidence provenance, constrained tool use, typed service contracts, and explicit security boundaries.</w:t>
      </w:r>
    </w:p>
    <w:p>
      <w:pPr>
        <w:pStyle w:val="Heading1"/>
      </w:pPr>
      <w:r>
        <w:t>2. Logical architecture</w:t>
      </w:r>
    </w:p>
    <w:p>
      <w:r>
        <w:t>Sources (documents, image notes, approved SQL data) -&gt; validated ingestion/chunking -&gt; stable embeddings and versioned index -&gt; router -&gt; document retrieval / image-note retrieval / safe SQL templates -&gt; prompt-injection screening -&gt; evidence-first answer with citations -&gt; confidence and grounding-risk heuristic -&gt; FastAPI response and Prometheus metrics.</w:t>
      </w:r>
    </w:p>
    <w:p>
      <w:pPr>
        <w:pStyle w:val="Heading1"/>
      </w:pPr>
      <w:r>
        <w:t>3. Component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Production consideration</w:t>
            </w:r>
          </w:p>
        </w:tc>
      </w:tr>
      <w:tr>
        <w:tc>
          <w:tcPr>
            <w:tcW w:type="dxa" w:w="3360"/>
            <w:vAlign w:val="top"/>
          </w:tcPr>
          <w:p>
            <w:r>
              <w:t>Ingestion</w:t>
            </w:r>
          </w:p>
        </w:tc>
        <w:tc>
          <w:tcPr>
            <w:tcW w:type="dxa" w:w="3360"/>
            <w:vAlign w:val="top"/>
          </w:tcPr>
          <w:p>
            <w:r>
              <w:t>Load and normalize supported evidence sources.</w:t>
            </w:r>
          </w:p>
        </w:tc>
        <w:tc>
          <w:tcPr>
            <w:tcW w:type="dxa" w:w="3360"/>
            <w:vAlign w:val="top"/>
          </w:tcPr>
          <w:p>
            <w:r>
              <w:t>Add malware scanning, DLP, source authorization, and durable ingestion queues for real production.</w:t>
            </w:r>
          </w:p>
        </w:tc>
      </w:tr>
      <w:tr>
        <w:tc>
          <w:tcPr>
            <w:tcW w:type="dxa" w:w="3360"/>
            <w:vAlign w:val="top"/>
          </w:tcPr>
          <w:p>
            <w:r>
              <w:t>Embeddings</w:t>
            </w:r>
          </w:p>
        </w:tc>
        <w:tc>
          <w:tcPr>
            <w:tcW w:type="dxa" w:w="3360"/>
            <w:vAlign w:val="top"/>
          </w:tcPr>
          <w:p>
            <w:r>
              <w:t>Stable SHA-256 fallback embedding path for deterministic local operation.</w:t>
            </w:r>
          </w:p>
        </w:tc>
        <w:tc>
          <w:tcPr>
            <w:tcW w:type="dxa" w:w="3360"/>
            <w:vAlign w:val="top"/>
          </w:tcPr>
          <w:p>
            <w:r>
              <w:t>Replace or supplement with governed embedding service; version model/revision.</w:t>
            </w:r>
          </w:p>
        </w:tc>
      </w:tr>
      <w:tr>
        <w:tc>
          <w:tcPr>
            <w:tcW w:type="dxa" w:w="3360"/>
            <w:vAlign w:val="top"/>
          </w:tcPr>
          <w:p>
            <w:r>
              <w:t>Vector store</w:t>
            </w:r>
          </w:p>
        </w:tc>
        <w:tc>
          <w:tcPr>
            <w:tcW w:type="dxa" w:w="3360"/>
            <w:vAlign w:val="top"/>
          </w:tcPr>
          <w:p>
            <w:r>
              <w:t>Versioned index lifecycle with manifests and source hashes.</w:t>
            </w:r>
          </w:p>
        </w:tc>
        <w:tc>
          <w:tcPr>
            <w:tcW w:type="dxa" w:w="3360"/>
            <w:vAlign w:val="top"/>
          </w:tcPr>
          <w:p>
            <w:r>
              <w:t>Use durable managed vector storage and atomic promotion controls at enterprise scale.</w:t>
            </w:r>
          </w:p>
        </w:tc>
      </w:tr>
      <w:tr>
        <w:tc>
          <w:tcPr>
            <w:tcW w:type="dxa" w:w="3360"/>
            <w:vAlign w:val="top"/>
          </w:tcPr>
          <w:p>
            <w:r>
              <w:t>Router</w:t>
            </w:r>
          </w:p>
        </w:tc>
        <w:tc>
          <w:tcPr>
            <w:tcW w:type="dxa" w:w="3360"/>
            <w:vAlign w:val="top"/>
          </w:tcPr>
          <w:p>
            <w:r>
              <w:t>Select document, image-note, or SQL route.</w:t>
            </w:r>
          </w:p>
        </w:tc>
        <w:tc>
          <w:tcPr>
            <w:tcW w:type="dxa" w:w="3360"/>
            <w:vAlign w:val="top"/>
          </w:tcPr>
          <w:p>
            <w:r>
              <w:t>Measure route accuracy and preserve explicit abstention/fallback behavior.</w:t>
            </w:r>
          </w:p>
        </w:tc>
      </w:tr>
      <w:tr>
        <w:tc>
          <w:tcPr>
            <w:tcW w:type="dxa" w:w="3360"/>
            <w:vAlign w:val="top"/>
          </w:tcPr>
          <w:p>
            <w:r>
              <w:t>SQL tool</w:t>
            </w:r>
          </w:p>
        </w:tc>
        <w:tc>
          <w:tcPr>
            <w:tcW w:type="dxa" w:w="3360"/>
            <w:vAlign w:val="top"/>
          </w:tcPr>
          <w:p>
            <w:r>
              <w:t>Execute approved read-only query templates.</w:t>
            </w:r>
          </w:p>
        </w:tc>
        <w:tc>
          <w:tcPr>
            <w:tcW w:type="dxa" w:w="3360"/>
            <w:vAlign w:val="top"/>
          </w:tcPr>
          <w:p>
            <w:r>
              <w:t>Use managed database identities, least privilege, row limits, timeouts, and audit logging.</w:t>
            </w:r>
          </w:p>
        </w:tc>
      </w:tr>
      <w:tr>
        <w:tc>
          <w:tcPr>
            <w:tcW w:type="dxa" w:w="3360"/>
            <w:vAlign w:val="top"/>
          </w:tcPr>
          <w:p>
            <w:r>
              <w:t>Prompt guard</w:t>
            </w:r>
          </w:p>
        </w:tc>
        <w:tc>
          <w:tcPr>
            <w:tcW w:type="dxa" w:w="3360"/>
            <w:vAlign w:val="top"/>
          </w:tcPr>
          <w:p>
            <w:r>
              <w:t>Screen untrusted retrieved content for instruction-like attacks.</w:t>
            </w:r>
          </w:p>
        </w:tc>
        <w:tc>
          <w:tcPr>
            <w:tcW w:type="dxa" w:w="3360"/>
            <w:vAlign w:val="top"/>
          </w:tcPr>
          <w:p>
            <w:r>
              <w:t>Rule-based layer should be one control in a defense-in-depth program.</w:t>
            </w:r>
          </w:p>
        </w:tc>
      </w:tr>
      <w:tr>
        <w:tc>
          <w:tcPr>
            <w:tcW w:type="dxa" w:w="3360"/>
            <w:vAlign w:val="top"/>
          </w:tcPr>
          <w:p>
            <w:r>
              <w:t>Grounding risk</w:t>
            </w:r>
          </w:p>
        </w:tc>
        <w:tc>
          <w:tcPr>
            <w:tcW w:type="dxa" w:w="3360"/>
            <w:vAlign w:val="top"/>
          </w:tcPr>
          <w:p>
            <w:r>
              <w:t>Flag evidence/citation weaknesses using heuristics.</w:t>
            </w:r>
          </w:p>
        </w:tc>
        <w:tc>
          <w:tcPr>
            <w:tcW w:type="dxa" w:w="3360"/>
            <w:vAlign w:val="top"/>
          </w:tcPr>
          <w:p>
            <w:r>
              <w:t>Do not interpret as factual correctness or hallucination proof.</w:t>
            </w:r>
          </w:p>
        </w:tc>
      </w:tr>
      <w:tr>
        <w:tc>
          <w:tcPr>
            <w:tcW w:type="dxa" w:w="3360"/>
            <w:vAlign w:val="top"/>
          </w:tcPr>
          <w:p>
            <w:r>
              <w:t>API</w:t>
            </w:r>
          </w:p>
        </w:tc>
        <w:tc>
          <w:tcPr>
            <w:tcW w:type="dxa" w:w="3360"/>
            <w:vAlign w:val="top"/>
          </w:tcPr>
          <w:p>
            <w:r>
              <w:t>Expose typed query service with API-key authentication.</w:t>
            </w:r>
          </w:p>
        </w:tc>
        <w:tc>
          <w:tcPr>
            <w:tcW w:type="dxa" w:w="3360"/>
            <w:vAlign w:val="top"/>
          </w:tcPr>
          <w:p>
            <w:r>
              <w:t>Replace simple API key with enterprise identity/authorization for real deployments.</w:t>
            </w:r>
          </w:p>
        </w:tc>
      </w:tr>
      <w:tr>
        <w:tc>
          <w:tcPr>
            <w:tcW w:type="dxa" w:w="3360"/>
            <w:vAlign w:val="top"/>
          </w:tcPr>
          <w:p>
            <w:r>
              <w:t>Observability</w:t>
            </w:r>
          </w:p>
        </w:tc>
        <w:tc>
          <w:tcPr>
            <w:tcW w:type="dxa" w:w="3360"/>
            <w:vAlign w:val="top"/>
          </w:tcPr>
          <w:p>
            <w:r>
              <w:t>Expose Prometheus metrics.</w:t>
            </w:r>
          </w:p>
        </w:tc>
        <w:tc>
          <w:tcPr>
            <w:tcW w:type="dxa" w:w="3360"/>
            <w:vAlign w:val="top"/>
          </w:tcPr>
          <w:p>
            <w:r>
              <w:t>Add centralized logs, traces, SLO dashboards, and alerting.</w:t>
            </w:r>
          </w:p>
        </w:tc>
      </w:tr>
    </w:tbl>
    <w:p>
      <w:pPr>
        <w:pStyle w:val="Heading1"/>
      </w:pPr>
      <w:r>
        <w:t>4. API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20"/>
            <w:vAlign w:val="top"/>
          </w:tcPr>
          <w:p>
            <w:r>
              <w:t>GET</w:t>
            </w:r>
          </w:p>
        </w:tc>
        <w:tc>
          <w:tcPr>
            <w:tcW w:type="dxa" w:w="2520"/>
            <w:vAlign w:val="top"/>
          </w:tcPr>
          <w:p>
            <w:r>
              <w:t>/health</w:t>
            </w:r>
          </w:p>
        </w:tc>
        <w:tc>
          <w:tcPr>
            <w:tcW w:type="dxa" w:w="2520"/>
            <w:vAlign w:val="top"/>
          </w:tcPr>
          <w:p>
            <w:r>
              <w:t>No</w:t>
            </w:r>
          </w:p>
        </w:tc>
        <w:tc>
          <w:tcPr>
            <w:tcW w:type="dxa" w:w="2520"/>
            <w:vAlign w:val="top"/>
          </w:tcPr>
          <w:p>
            <w:r>
              <w:t>Liveness and application version.</w:t>
            </w:r>
          </w:p>
        </w:tc>
      </w:tr>
      <w:tr>
        <w:tc>
          <w:tcPr>
            <w:tcW w:type="dxa" w:w="2520"/>
            <w:vAlign w:val="top"/>
          </w:tcPr>
          <w:p>
            <w:r>
              <w:t>GET</w:t>
            </w:r>
          </w:p>
        </w:tc>
        <w:tc>
          <w:tcPr>
            <w:tcW w:type="dxa" w:w="2520"/>
            <w:vAlign w:val="top"/>
          </w:tcPr>
          <w:p>
            <w:r>
              <w:t>/ready</w:t>
            </w:r>
          </w:p>
        </w:tc>
        <w:tc>
          <w:tcPr>
            <w:tcW w:type="dxa" w:w="2520"/>
            <w:vAlign w:val="top"/>
          </w:tcPr>
          <w:p>
            <w:r>
              <w:t>No</w:t>
            </w:r>
          </w:p>
        </w:tc>
        <w:tc>
          <w:tcPr>
            <w:tcW w:type="dxa" w:w="2520"/>
            <w:vAlign w:val="top"/>
          </w:tcPr>
          <w:p>
            <w:r>
              <w:t>Checks local index and database presence.</w:t>
            </w:r>
          </w:p>
        </w:tc>
      </w:tr>
      <w:tr>
        <w:tc>
          <w:tcPr>
            <w:tcW w:type="dxa" w:w="2520"/>
            <w:vAlign w:val="top"/>
          </w:tcPr>
          <w:p>
            <w:r>
              <w:t>GET</w:t>
            </w:r>
          </w:p>
        </w:tc>
        <w:tc>
          <w:tcPr>
            <w:tcW w:type="dxa" w:w="2520"/>
            <w:vAlign w:val="top"/>
          </w:tcPr>
          <w:p>
            <w:r>
              <w:t>/metrics/</w:t>
            </w:r>
          </w:p>
        </w:tc>
        <w:tc>
          <w:tcPr>
            <w:tcW w:type="dxa" w:w="2520"/>
            <w:vAlign w:val="top"/>
          </w:tcPr>
          <w:p>
            <w:r>
              <w:t>No</w:t>
            </w:r>
          </w:p>
        </w:tc>
        <w:tc>
          <w:tcPr>
            <w:tcW w:type="dxa" w:w="2520"/>
            <w:vAlign w:val="top"/>
          </w:tcPr>
          <w:p>
            <w:r>
              <w:t>Prometheus metrics via mounted ASGI app.</w:t>
            </w:r>
          </w:p>
        </w:tc>
      </w:tr>
      <w:tr>
        <w:tc>
          <w:tcPr>
            <w:tcW w:type="dxa" w:w="2520"/>
            <w:vAlign w:val="top"/>
          </w:tcPr>
          <w:p>
            <w:r>
              <w:t>POST</w:t>
            </w:r>
          </w:p>
        </w:tc>
        <w:tc>
          <w:tcPr>
            <w:tcW w:type="dxa" w:w="2520"/>
            <w:vAlign w:val="top"/>
          </w:tcPr>
          <w:p>
            <w:r>
              <w:t>/v1/query</w:t>
            </w:r>
          </w:p>
        </w:tc>
        <w:tc>
          <w:tcPr>
            <w:tcW w:type="dxa" w:w="2520"/>
            <w:vAlign w:val="top"/>
          </w:tcPr>
          <w:p>
            <w:r>
              <w:t>X-API-Key</w:t>
            </w:r>
          </w:p>
        </w:tc>
        <w:tc>
          <w:tcPr>
            <w:tcW w:type="dxa" w:w="2520"/>
            <w:vAlign w:val="top"/>
          </w:tcPr>
          <w:p>
            <w:r>
              <w:t>Route and answer a knowledge query with citations and risk metadata.</w:t>
            </w:r>
          </w:p>
        </w:tc>
      </w:tr>
    </w:tbl>
    <w:p>
      <w:r>
        <w:t>The query contract constrains question length to 2-5000 characters and top_k to 1-20. The response includes request ID, route, answer, citations, confidence, grounding-risk metadata, latency, and optional index version.</w:t>
      </w:r>
    </w:p>
    <w:p>
      <w:pPr>
        <w:pStyle w:val="Heading1"/>
      </w:pPr>
      <w:r>
        <w:t>5. Index lifecycle and reproducibility</w:t>
      </w:r>
    </w:p>
    <w:p>
      <w:pPr>
        <w:pStyle w:val="ListBullet"/>
      </w:pPr>
      <w:r>
        <w:t>Fallback embeddings use SHA-256-derived token placement rather than Python's randomized hash().</w:t>
      </w:r>
    </w:p>
    <w:p>
      <w:pPr>
        <w:pStyle w:val="ListBullet"/>
      </w:pPr>
      <w:r>
        <w:t>Index builds are versioned and include manifests/source hashes.</w:t>
      </w:r>
    </w:p>
    <w:p>
      <w:pPr>
        <w:pStyle w:val="ListBullet"/>
      </w:pPr>
      <w:r>
        <w:t>The design supports candidate-to-active promotion so a new index can be validated before activation.</w:t>
      </w:r>
    </w:p>
    <w:p>
      <w:pPr>
        <w:pStyle w:val="ListBullet"/>
      </w:pPr>
      <w:r>
        <w:t>Production evolution should add immutable object storage, signed/checksummed manifests, retention policies, and rollback procedures.</w:t>
      </w:r>
    </w:p>
    <w:p>
      <w:pPr>
        <w:pStyle w:val="Heading1"/>
      </w:pPr>
      <w:r>
        <w:t>6. Security architecture</w:t>
      </w:r>
    </w:p>
    <w:p>
      <w:pPr>
        <w:pStyle w:val="ListBullet"/>
      </w:pPr>
      <w:r>
        <w:t>API authentication fails closed when no API key is configured.</w:t>
      </w:r>
    </w:p>
    <w:p>
      <w:pPr>
        <w:pStyle w:val="ListBullet"/>
      </w:pPr>
      <w:r>
        <w:t>Retrieved content is untrusted evidence and is screened before answer construction.</w:t>
      </w:r>
    </w:p>
    <w:p>
      <w:pPr>
        <w:pStyle w:val="ListBullet"/>
      </w:pPr>
      <w:r>
        <w:t>SQL is constrained to allowlisted templates rather than arbitrary user-generated statements.</w:t>
      </w:r>
    </w:p>
    <w:p>
      <w:pPr>
        <w:pStyle w:val="ListBullet"/>
      </w:pPr>
      <w:r>
        <w:t>Docker runs as non-root; Kubernetes requires non-root execution, disables privilege escalation, drops all capabilities, and sources the API key from a Secret.</w:t>
      </w:r>
    </w:p>
    <w:p>
      <w:pPr>
        <w:pStyle w:val="ListBullet"/>
      </w:pPr>
      <w:r>
        <w:t>Production deployment still requires enterprise IAM, authorization, DLP/PII controls, audit logging, network policy, secret rotation, and red-team testing.</w:t>
      </w:r>
    </w:p>
    <w:p>
      <w:pPr>
        <w:pStyle w:val="Heading1"/>
      </w:pPr>
      <w:r>
        <w:t>7. Deployment architecture</w:t>
      </w:r>
    </w:p>
    <w:p>
      <w:r>
        <w:t>The Docker image is based on python:3.11-slim-bookworm, installs the package, runs as appuser, exposes port 8000, and defines an HTTP health check. Docker Compose mounts vector_store and data/runtime for local persistence. The Kubernetes scaffold specifies two replicas, readiness/liveness probes, resource requests/limits, and Secret-based API-key injection.</w:t>
      </w:r>
    </w:p>
    <w:p>
      <w:pPr>
        <w:pStyle w:val="Heading1"/>
      </w:pPr>
      <w:r>
        <w:t>8. CI/CD design</w:t>
      </w:r>
    </w:p>
    <w:p>
      <w:r>
        <w:t>GitHub Actions defines a quality job with Ruff, Python compilation, mypy, pytest with coverage, Bandit, and pip-audit. A dependent container job builds the Docker image. The current workflow does not prove container runtime health, Kubernetes validity, load behavior, or deployment promotion.</w:t>
      </w:r>
    </w:p>
    <w:p>
      <w:pPr>
        <w:pStyle w:val="Heading1"/>
      </w:pPr>
      <w:r>
        <w:t>9. Design limitations and roadmap</w:t>
      </w:r>
    </w:p>
    <w:p>
      <w:pPr>
        <w:pStyle w:val="ListBullet"/>
      </w:pPr>
      <w:r>
        <w:t>Local SQLite and local vector/index storage are reference implementations.</w:t>
      </w:r>
    </w:p>
    <w:p>
      <w:pPr>
        <w:pStyle w:val="ListBullet"/>
      </w:pPr>
      <w:r>
        <w:t>No managed LLM is required by the default evidence-summary path.</w:t>
      </w:r>
    </w:p>
    <w:p>
      <w:pPr>
        <w:pStyle w:val="ListBullet"/>
      </w:pPr>
      <w:r>
        <w:t>Enterprise-grade authorization and data governance are not implemented.</w:t>
      </w:r>
    </w:p>
    <w:p>
      <w:pPr>
        <w:pStyle w:val="ListBullet"/>
      </w:pPr>
      <w:r>
        <w:t>Formal evaluation should expand to adversarial, conflicting-source, abstention, load, and red-team scenarios.</w:t>
      </w:r>
    </w:p>
    <w:p>
      <w:pPr>
        <w:pStyle w:val="ListBullet"/>
      </w:pPr>
      <w:r>
        <w:t>Operational SLOs, disaster recovery, and live production telemetry require environment-specific implementation.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