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Validation Report</w:t>
      </w:r>
    </w:p>
    <w:p>
      <w:pPr>
        <w:jc w:val="center"/>
      </w:pPr>
      <w:r>
        <w:rPr>
          <w:b/>
          <w:sz w:val="30"/>
        </w:rPr>
        <w:t>Enterprise AI Knowledge Agent Platform</w:t>
      </w:r>
    </w:p>
    <w:p>
      <w:pPr>
        <w:jc w:val="center"/>
      </w:pPr>
      <w:r>
        <w:t>Observed evidence and remaining validation gates</w:t>
      </w:r>
    </w:p>
    <w:p>
      <w:pPr>
        <w:jc w:val="center"/>
      </w:pPr>
      <w:r>
        <w:t>Version 3.0.0 | July 31, 2026</w:t>
      </w:r>
    </w:p>
    <w:p/>
    <w:p>
      <w:pPr>
        <w:jc w:val="center"/>
      </w:pPr>
      <w:r>
        <w:rPr>
          <w:i/>
        </w:rPr>
        <w:t>Synthetic portfolio reference implementation. Not approved for production enterprise decisions without organization-specific security, privacy, legal, and model-risk validation.</w:t>
      </w:r>
    </w:p>
    <w:p>
      <w:r>
        <w:br w:type="page"/>
      </w:r>
    </w:p>
    <w:p>
      <w:pPr>
        <w:pStyle w:val="Heading1"/>
      </w:pPr>
      <w:r>
        <w:t>1. Validation basis</w:t>
      </w:r>
    </w:p>
    <w:p>
      <w:r>
        <w:t>This report records observed validation rather than intended changes. The package was inspected directly and the available local validation commands were executed in the review environment.</w:t>
      </w:r>
    </w:p>
    <w:p>
      <w:pPr>
        <w:pStyle w:val="Heading1"/>
      </w:pPr>
      <w:r>
        <w:t>2. Observed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  <w:vAlign w:val="top"/>
          </w:tcPr>
          <w:p>
            <w:r>
              <w:t>Python compilation</w:t>
            </w:r>
          </w:p>
        </w:tc>
        <w:tc>
          <w:tcPr>
            <w:tcW w:type="dxa" w:w="3360"/>
            <w:vAlign w:val="top"/>
          </w:tcPr>
          <w:p>
            <w:r>
              <w:t>python -m compileall -q src scripts tests completed successfully.</w:t>
            </w:r>
          </w:p>
        </w:tc>
        <w:tc>
          <w:tcPr>
            <w:tcW w:type="dxa" w:w="3360"/>
            <w:vAlign w:val="top"/>
          </w:tcPr>
          <w:p>
            <w:r>
              <w:t>PASS</w:t>
            </w:r>
          </w:p>
        </w:tc>
      </w:tr>
      <w:tr>
        <w:tc>
          <w:tcPr>
            <w:tcW w:type="dxa" w:w="3360"/>
            <w:vAlign w:val="top"/>
          </w:tcPr>
          <w:p>
            <w:r>
              <w:t>Automated tests</w:t>
            </w:r>
          </w:p>
        </w:tc>
        <w:tc>
          <w:tcPr>
            <w:tcW w:type="dxa" w:w="3360"/>
            <w:vAlign w:val="top"/>
          </w:tcPr>
          <w:p>
            <w:r>
              <w:t>pytest completed successfully: 9 tests passed.</w:t>
            </w:r>
          </w:p>
        </w:tc>
        <w:tc>
          <w:tcPr>
            <w:tcW w:type="dxa" w:w="3360"/>
            <w:vAlign w:val="top"/>
          </w:tcPr>
          <w:p>
            <w:r>
              <w:t>PASS</w:t>
            </w:r>
          </w:p>
        </w:tc>
      </w:tr>
      <w:tr>
        <w:tc>
          <w:tcPr>
            <w:tcW w:type="dxa" w:w="3360"/>
            <w:vAlign w:val="top"/>
          </w:tcPr>
          <w:p>
            <w:r>
              <w:t>Package structure</w:t>
            </w:r>
          </w:p>
        </w:tc>
        <w:tc>
          <w:tcPr>
            <w:tcW w:type="dxa" w:w="3360"/>
            <w:vAlign w:val="top"/>
          </w:tcPr>
          <w:p>
            <w:r>
              <w:t>pyproject.toml defines enterprise-ai-knowledge-agent with src package discovery.</w:t>
            </w:r>
          </w:p>
        </w:tc>
        <w:tc>
          <w:tcPr>
            <w:tcW w:type="dxa" w:w="3360"/>
            <w:vAlign w:val="top"/>
          </w:tcPr>
          <w:p>
            <w:r>
              <w:t>PASS</w:t>
            </w:r>
          </w:p>
        </w:tc>
      </w:tr>
      <w:tr>
        <w:tc>
          <w:tcPr>
            <w:tcW w:type="dxa" w:w="3360"/>
            <w:vAlign w:val="top"/>
          </w:tcPr>
          <w:p>
            <w:r>
              <w:t>API schema</w:t>
            </w:r>
          </w:p>
        </w:tc>
        <w:tc>
          <w:tcPr>
            <w:tcW w:type="dxa" w:w="3360"/>
            <w:vAlign w:val="top"/>
          </w:tcPr>
          <w:p>
            <w:r>
              <w:t>FastAPI defines typed HealthResponse, QueryRequest, and QueryResponse models.</w:t>
            </w:r>
          </w:p>
        </w:tc>
        <w:tc>
          <w:tcPr>
            <w:tcW w:type="dxa" w:w="3360"/>
            <w:vAlign w:val="top"/>
          </w:tcPr>
          <w:p>
            <w:r>
              <w:t>PASS</w:t>
            </w:r>
          </w:p>
        </w:tc>
      </w:tr>
      <w:tr>
        <w:tc>
          <w:tcPr>
            <w:tcW w:type="dxa" w:w="3360"/>
            <w:vAlign w:val="top"/>
          </w:tcPr>
          <w:p>
            <w:r>
              <w:t>Authentication behavior</w:t>
            </w:r>
          </w:p>
        </w:tc>
        <w:tc>
          <w:tcPr>
            <w:tcW w:type="dxa" w:w="3360"/>
            <w:vAlign w:val="top"/>
          </w:tcPr>
          <w:p>
            <w:r>
              <w:t>Missing API key configuration returns 503; invalid key returns 401; constant-time comparison used.</w:t>
            </w:r>
          </w:p>
        </w:tc>
        <w:tc>
          <w:tcPr>
            <w:tcW w:type="dxa" w:w="3360"/>
            <w:vAlign w:val="top"/>
          </w:tcPr>
          <w:p>
            <w:r>
              <w:t>PASS by code/test evidence</w:t>
            </w:r>
          </w:p>
        </w:tc>
      </w:tr>
      <w:tr>
        <w:tc>
          <w:tcPr>
            <w:tcW w:type="dxa" w:w="3360"/>
            <w:vAlign w:val="top"/>
          </w:tcPr>
          <w:p>
            <w:r>
              <w:t>Metrics</w:t>
            </w:r>
          </w:p>
        </w:tc>
        <w:tc>
          <w:tcPr>
            <w:tcW w:type="dxa" w:w="3360"/>
            <w:vAlign w:val="top"/>
          </w:tcPr>
          <w:p>
            <w:r>
              <w:t>Prometheus ASGI app is mounted at /metrics.</w:t>
            </w:r>
          </w:p>
        </w:tc>
        <w:tc>
          <w:tcPr>
            <w:tcW w:type="dxa" w:w="3360"/>
            <w:vAlign w:val="top"/>
          </w:tcPr>
          <w:p>
            <w:r>
              <w:t>PASS by implementation; runtime endpoint should be smoke-tested</w:t>
            </w:r>
          </w:p>
        </w:tc>
      </w:tr>
      <w:tr>
        <w:tc>
          <w:tcPr>
            <w:tcW w:type="dxa" w:w="3360"/>
            <w:vAlign w:val="top"/>
          </w:tcPr>
          <w:p>
            <w:r>
              <w:t>Docker image</w:t>
            </w:r>
          </w:p>
        </w:tc>
        <w:tc>
          <w:tcPr>
            <w:tcW w:type="dxa" w:w="3360"/>
            <w:vAlign w:val="top"/>
          </w:tcPr>
          <w:p>
            <w:r>
              <w:t>Dockerfile includes non-root user and HTTP health check.</w:t>
            </w:r>
          </w:p>
        </w:tc>
        <w:tc>
          <w:tcPr>
            <w:tcW w:type="dxa" w:w="3360"/>
            <w:vAlign w:val="top"/>
          </w:tcPr>
          <w:p>
            <w:r>
              <w:t>DEFINED; NOT EXECUTED HERE</w:t>
            </w:r>
          </w:p>
        </w:tc>
      </w:tr>
      <w:tr>
        <w:tc>
          <w:tcPr>
            <w:tcW w:type="dxa" w:w="3360"/>
            <w:vAlign w:val="top"/>
          </w:tcPr>
          <w:p>
            <w:r>
              <w:t>Kubernetes</w:t>
            </w:r>
          </w:p>
        </w:tc>
        <w:tc>
          <w:tcPr>
            <w:tcW w:type="dxa" w:w="3360"/>
            <w:vAlign w:val="top"/>
          </w:tcPr>
          <w:p>
            <w:r>
              <w:t>Deployment manifest includes probes, Secret, non-root security context, capability drop, and resources.</w:t>
            </w:r>
          </w:p>
        </w:tc>
        <w:tc>
          <w:tcPr>
            <w:tcW w:type="dxa" w:w="3360"/>
            <w:vAlign w:val="top"/>
          </w:tcPr>
          <w:p>
            <w:r>
              <w:t>DEFINED; NOT CLUSTER-VALIDATED</w:t>
            </w:r>
          </w:p>
        </w:tc>
      </w:tr>
      <w:tr>
        <w:tc>
          <w:tcPr>
            <w:tcW w:type="dxa" w:w="3360"/>
            <w:vAlign w:val="top"/>
          </w:tcPr>
          <w:p>
            <w:r>
              <w:t>GitHub Actions</w:t>
            </w:r>
          </w:p>
        </w:tc>
        <w:tc>
          <w:tcPr>
            <w:tcW w:type="dxa" w:w="3360"/>
            <w:vAlign w:val="top"/>
          </w:tcPr>
          <w:p>
            <w:r>
              <w:t>Workflow defines quality and Docker-build jobs.</w:t>
            </w:r>
          </w:p>
        </w:tc>
        <w:tc>
          <w:tcPr>
            <w:tcW w:type="dxa" w:w="3360"/>
            <w:vAlign w:val="top"/>
          </w:tcPr>
          <w:p>
            <w:r>
              <w:t>DEFINED; REMOTE RUN NOT OBSERVED</w:t>
            </w:r>
          </w:p>
        </w:tc>
      </w:tr>
    </w:tbl>
    <w:p>
      <w:pPr>
        <w:pStyle w:val="Heading1"/>
      </w:pPr>
      <w:r>
        <w:t>3. Test coverage areas</w:t>
      </w:r>
    </w:p>
    <w:p>
      <w:pPr>
        <w:pStyle w:val="ListBullet"/>
      </w:pPr>
      <w:r>
        <w:t>API behavior</w:t>
      </w:r>
    </w:p>
    <w:p>
      <w:pPr>
        <w:pStyle w:val="ListBullet"/>
      </w:pPr>
      <w:r>
        <w:t>Embedding determinism</w:t>
      </w:r>
    </w:p>
    <w:p>
      <w:pPr>
        <w:pStyle w:val="ListBullet"/>
      </w:pPr>
      <w:r>
        <w:t>Document ingestion</w:t>
      </w:r>
    </w:p>
    <w:p>
      <w:pPr>
        <w:pStyle w:val="ListBullet"/>
      </w:pPr>
      <w:r>
        <w:t>Index integration</w:t>
      </w:r>
    </w:p>
    <w:p>
      <w:pPr>
        <w:pStyle w:val="ListBullet"/>
      </w:pPr>
      <w:r>
        <w:t>Evaluation metrics</w:t>
      </w:r>
    </w:p>
    <w:p>
      <w:pPr>
        <w:pStyle w:val="ListBullet"/>
      </w:pPr>
      <w:r>
        <w:t>Router/security behavior</w:t>
      </w:r>
    </w:p>
    <w:p>
      <w:pPr>
        <w:pStyle w:val="ListBullet"/>
      </w:pPr>
      <w:r>
        <w:t>SQL tool behavior</w:t>
      </w:r>
    </w:p>
    <w:p>
      <w:pPr>
        <w:pStyle w:val="Heading1"/>
      </w:pPr>
      <w:r>
        <w:t>4. Required local completion commands</w:t>
      </w:r>
    </w:p>
    <w:p>
      <w:pPr>
        <w:pStyle w:val="ListBullet"/>
      </w:pPr>
      <w:r>
        <w:rPr>
          <w:rFonts w:ascii="Courier New" w:hAnsi="Courier New"/>
          <w:sz w:val="18"/>
        </w:rPr>
        <w:t>python3.11 -m venv .venv</w:t>
      </w:r>
    </w:p>
    <w:p>
      <w:pPr>
        <w:pStyle w:val="ListBullet"/>
      </w:pPr>
      <w:r>
        <w:rPr>
          <w:rFonts w:ascii="Courier New" w:hAnsi="Courier New"/>
          <w:sz w:val="18"/>
        </w:rPr>
        <w:t>source .venv/bin/activate</w:t>
      </w:r>
    </w:p>
    <w:p>
      <w:pPr>
        <w:pStyle w:val="ListBullet"/>
      </w:pPr>
      <w:r>
        <w:rPr>
          <w:rFonts w:ascii="Courier New" w:hAnsi="Courier New"/>
          <w:sz w:val="18"/>
        </w:rPr>
        <w:t>python -m pip install --upgrade pip</w:t>
      </w:r>
    </w:p>
    <w:p>
      <w:pPr>
        <w:pStyle w:val="ListBullet"/>
      </w:pPr>
      <w:r>
        <w:rPr>
          <w:rFonts w:ascii="Courier New" w:hAnsi="Courier New"/>
          <w:sz w:val="18"/>
        </w:rPr>
        <w:t>pip install -r requirements.txt -r requirements-api.txt -r requirements-dev.txt -e .</w:t>
      </w:r>
    </w:p>
    <w:p>
      <w:pPr>
        <w:pStyle w:val="ListBullet"/>
      </w:pPr>
      <w:r>
        <w:rPr>
          <w:rFonts w:ascii="Courier New" w:hAnsi="Courier New"/>
          <w:sz w:val="18"/>
        </w:rPr>
        <w:t>python -m scripts.initialize_demo</w:t>
      </w:r>
    </w:p>
    <w:p>
      <w:pPr>
        <w:pStyle w:val="ListBullet"/>
      </w:pPr>
      <w:r>
        <w:rPr>
          <w:rFonts w:ascii="Courier New" w:hAnsi="Courier New"/>
          <w:sz w:val="18"/>
        </w:rPr>
        <w:t>python -m scripts.build_index</w:t>
      </w:r>
    </w:p>
    <w:p>
      <w:pPr>
        <w:pStyle w:val="ListBullet"/>
      </w:pPr>
      <w:r>
        <w:rPr>
          <w:rFonts w:ascii="Courier New" w:hAnsi="Courier New"/>
          <w:sz w:val="18"/>
        </w:rPr>
        <w:t>EAK_API_KEY=test-secret python -m pytest -q</w:t>
      </w:r>
    </w:p>
    <w:p>
      <w:pPr>
        <w:pStyle w:val="ListBullet"/>
      </w:pPr>
      <w:r>
        <w:rPr>
          <w:rFonts w:ascii="Courier New" w:hAnsi="Courier New"/>
          <w:sz w:val="18"/>
        </w:rPr>
        <w:t>python -m compileall src scripts tests</w:t>
      </w:r>
    </w:p>
    <w:p>
      <w:pPr>
        <w:pStyle w:val="Heading1"/>
      </w:pPr>
      <w:r>
        <w:t>5. External merge gates</w:t>
      </w:r>
    </w:p>
    <w:p>
      <w:pPr>
        <w:pStyle w:val="ListBullet"/>
      </w:pPr>
      <w:r>
        <w:t>Docker image builds and the running container reaches healthy state.</w:t>
      </w:r>
    </w:p>
    <w:p>
      <w:pPr>
        <w:pStyle w:val="ListBullet"/>
      </w:pPr>
      <w:r>
        <w:t>GET /health and GET /ready return expected results in the containerized environment.</w:t>
      </w:r>
    </w:p>
    <w:p>
      <w:pPr>
        <w:pStyle w:val="ListBullet"/>
      </w:pPr>
      <w:r>
        <w:t>An authenticated POST /v1/query succeeds against initialized demo data/index.</w:t>
      </w:r>
    </w:p>
    <w:p>
      <w:pPr>
        <w:pStyle w:val="ListBullet"/>
      </w:pPr>
      <w:r>
        <w:t>Kubernetes manifest passes the selected validation tool and, if deployed, readiness/liveness probes succeed.</w:t>
      </w:r>
    </w:p>
    <w:p>
      <w:pPr>
        <w:pStyle w:val="ListBullet"/>
      </w:pPr>
      <w:r>
        <w:t>GitHub Actions completes successfully.</w:t>
      </w:r>
    </w:p>
    <w:p>
      <w:pPr>
        <w:pStyle w:val="ListBullet"/>
      </w:pPr>
      <w:r>
        <w:t>git status confirms that secrets, runtime databases, indexes, caches, outputs, and virtual environments are not tracked.</w:t>
      </w:r>
    </w:p>
    <w:p>
      <w:pPr>
        <w:pStyle w:val="Heading1"/>
      </w:pPr>
      <w:r>
        <w:t>6. Validation conclusion</w:t>
      </w:r>
    </w:p>
    <w:p>
      <w:r>
        <w:t>The source package and automated test suite are locally validated at the level stated above. The project should not be described as fully production-validated until the external Docker, Kubernetes, GitHub Actions, security/privacy, load, and operational gates are completed.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