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Scientific ML Drug Discovery Platform V4.1</w:t>
      </w:r>
    </w:p>
    <w:p>
      <w:pPr>
        <w:jc w:val="center"/>
      </w:pPr>
      <w:r>
        <w:t>Final Interview Narrative and Executive Portfolio Report</w:t>
      </w:r>
    </w:p>
    <w:p>
      <w:pPr>
        <w:jc w:val="center"/>
      </w:pPr>
      <w:r>
        <w:t>Scaffold-aware ADMET benchmarking · calibration · applicability domain · multi-task learning · molecular GNNs</w:t>
      </w:r>
    </w:p>
    <w:p>
      <w:r>
        <w:rPr>
          <w:b/>
        </w:rPr>
        <w:t xml:space="preserve">Scientific disclaimer: </w:t>
      </w:r>
      <w:r>
        <w:t>Portfolio and decision-support research prototype only. Not validated for medicinal-chemistry, clinical, regulatory, or production use.</w:t>
      </w:r>
    </w:p>
    <w:p>
      <w:pPr>
        <w:pStyle w:val="Heading1"/>
      </w:pPr>
      <w:r>
        <w:t>1. Executive summary</w:t>
      </w:r>
    </w:p>
    <w:p>
      <w:r>
        <w:t>I evolved a pharmaceutical AI demonstration into a reproducible scientific ML benchmark for early-stage ADMET and toxicity decision support. V4.1 evaluates hERG, BBBP, ClinTox, and Tox21 using Bemis–Murcko scaffold-aware splits, classical descriptor/fingerprint baselines, calibration and confidence intervals, applicability-domain analysis, a shared multi-task neural model, and a molecular GraphConv baseline.</w:t>
      </w:r>
    </w:p>
    <w:p>
      <w:r>
        <w:t>The central design principle is that model complexity must earn its value under held-out evidence rather than being assumed to improve performance.</w:t>
      </w:r>
    </w:p>
    <w:p>
      <w:pPr>
        <w:pStyle w:val="Heading1"/>
      </w:pPr>
      <w:r>
        <w:t>2. Scientific question</w:t>
      </w:r>
    </w:p>
    <w:p>
      <w:r>
        <w:t>Can uncertainty-aware and representation-rich molecular machine learning improve scaffold-held-out ADMET/toxicity prediction and candidate prioritization compared with simpler endpoint-specific classical baselines?</w:t>
      </w:r>
    </w:p>
    <w:p>
      <w:r>
        <w:t>I designed the project so that a negative result is still scientifically useful. The goal is reproducible comparison, not proving that a neural network must win.</w:t>
      </w:r>
    </w:p>
    <w:p>
      <w:pPr>
        <w:pStyle w:val="Heading1"/>
      </w:pPr>
      <w:r>
        <w:t>3. Experimental design</w:t>
      </w:r>
    </w:p>
    <w:p>
      <w:r>
        <w:t>The benchmark uses four binary endpoints: hERG, BBBP, ClinTox, and one Tox21 toxicity task. Each endpoint is split with Bemis–Murcko scaffolds into train, validation, and test partitions, and scaffold overlap is checked explicitly.</w:t>
      </w:r>
    </w:p>
    <w:p>
      <w:r>
        <w:t>The classical baselines are logistic regression on RDKit descriptors and random forest on Morgan fingerprints. I then added a shared multi-task Morgan MLP with masked loss for missing labels and endpoint-specific class weighting, followed by a two-layer GraphConv molecular GNN. The experiment reports ROC-AUC, average precision, balanced accuracy, F1, accuracy, and Brier score; the classical benchmark also includes ECE, bootstrap confidence intervals, and applicability-domain analysis.</w:t>
      </w:r>
    </w:p>
    <w:p>
      <w:pPr>
        <w:pStyle w:val="Heading1"/>
      </w:pPr>
      <w:r>
        <w:t>4. Label prevalence and why it matters</w:t>
      </w:r>
    </w:p>
    <w:p>
      <w:r>
        <w:t>Before interpreting the model comparison, I audited class prevalence within every scaffold partition. hERG and BBBP were moderately imbalanced, while ClinTox and Tox21 were extreme. The ClinTox test set contains 144 positives and 4 negatives. The Tox21 test set contains 10 positives and 716 negatives.</w:t>
      </w:r>
    </w:p>
    <w:p>
      <w:r>
        <w:t>This explains why raw accuracy can look excellent while minority-class behavior is weak. For these endpoints, balanced accuracy, average precision, calibration/error metrics, and prevalence context are more informative than accuracy alone.</w:t>
      </w:r>
    </w:p>
    <w:p>
      <w:pPr>
        <w:pStyle w:val="Heading1"/>
      </w:pPr>
      <w:r>
        <w:t>5. Final benchmark findings</w:t>
      </w:r>
    </w:p>
    <w:p>
      <w:r>
        <w:t>Across 24 endpoint × metric winner comparisons, classical models won 23. Random forest won 13 metrics, logistic regression won 10, the multi-task MLP won one, and the GraphConv GNN won none.</w:t>
      </w:r>
    </w:p>
    <w:p>
      <w:r>
        <w:t>The one multi-task win is scientifically interesting: on Tox21, average precision improved to 0.3153 compared with 0.2602 for the strongest classical average-precision baseline. That suggests possible positive transfer for a rare-positive toxicity task, even though the benefit did not generalize across endpoints.</w:t>
      </w:r>
    </w:p>
    <w:p>
      <w:r>
        <w:t>The simple GraphConv baseline did not outperform the strongest alternatives. I froze that result instead of repeatedly tuning against the test set.</w:t>
      </w:r>
    </w:p>
    <w:p>
      <w:pPr>
        <w:pStyle w:val="Heading1"/>
      </w:pPr>
      <w:r>
        <w:t>6. Endpoint interpretation</w:t>
      </w:r>
    </w:p>
    <w:p>
      <w:r>
        <w:t>hERG: Random forest produced the strongest ROC-AUC and average precision, while logistic regression had stronger balanced accuracy and Brier score.</w:t>
      </w:r>
    </w:p>
    <w:p>
      <w:r>
        <w:t>BBBP: Logistic regression was strongest for ROC-AUC, average precision, and balanced accuracy; random forest had the best Brier score.</w:t>
      </w:r>
    </w:p>
    <w:p>
      <w:r>
        <w:t>ClinTox: Random forest won most metrics, but the 144-to-4 test imbalance means AP, accuracy, and F1 must be interpreted with caution. Logistic regression produced the strongest balanced accuracy.</w:t>
      </w:r>
    </w:p>
    <w:p>
      <w:r>
        <w:t>Tox21: Logistic regression had the strongest ROC-AUC, random forest had the strongest balanced accuracy and Brier score, and the multi-task MLP produced the strongest average precision.</w:t>
      </w:r>
    </w:p>
    <w:p>
      <w:pPr>
        <w:pStyle w:val="Heading1"/>
      </w:pPr>
      <w:r>
        <w:t>7. Applicability domain and reliability</w:t>
      </w:r>
    </w:p>
    <w:p>
      <w:r>
        <w:t>The classical workflow computes nearest-training Morgan/Tanimoto similarity and assigns in-domain, borderline, or out-of-domain categories. Reliability analysis combines domain similarity and predictive uncertainty so that structurally unfamiliar or uncertain molecules can be routed to review rather than automatically advanced.</w:t>
      </w:r>
    </w:p>
    <w:p>
      <w:r>
        <w:t>This reflects the intended use of the platform: decision support with explicit uncertainty, not autonomous scientific decisions.</w:t>
      </w:r>
    </w:p>
    <w:p>
      <w:pPr>
        <w:pStyle w:val="Heading1"/>
      </w:pPr>
      <w:r>
        <w:t>8. What the negative GNN result taught me</w:t>
      </w:r>
    </w:p>
    <w:p>
      <w:r>
        <w:t>The GNN result strengthened the project because it tested an assumption that is common in applied ML: that a more sophisticated architecture should outperform classical methods. Under this scaffold-held-out benchmark, it did not.</w:t>
      </w:r>
    </w:p>
    <w:p>
      <w:r>
        <w:t>My conclusion is not that GNNs are ineffective. The tested GraphConv is a controlled baseline, not an exhaustive search. The conclusion is that architecture novelty alone is not evidence of better molecular generalization.</w:t>
      </w:r>
    </w:p>
    <w:p>
      <w:pPr>
        <w:pStyle w:val="Heading1"/>
      </w:pPr>
      <w:r>
        <w:t>9. Interview talk track</w:t>
      </w:r>
    </w:p>
    <w:p>
      <w:r>
        <w:t>“I built a scientific ML drug-discovery platform and used it to test whether more complex molecular models actually improved scaffold-held-out ADMET performance. I compared descriptor logistic regression, Morgan random forest, a masked multi-task neural network, and a GraphConv GNN across four endpoints. Classical models won 23 of 24 metric comparisons, while multi-task learning improved average precision on the rare-positive Tox21 endpoint. The key lesson was that model selection depends on endpoint prevalence, calibration, chemical domain, and the scientific cost of errors—not architecture novelty.”</w:t>
      </w:r>
    </w:p>
    <w:p>
      <w:pPr>
        <w:pStyle w:val="Heading1"/>
      </w:pPr>
      <w:r>
        <w:t>10. Validation and reproducibility</w:t>
      </w:r>
    </w:p>
    <w:p>
      <w:r>
        <w:t>I separate software validation from scientific validation. Software checks include imports, unit tests, application/API smoke tests, and reproducible experiment scripts. Scientific validation includes scaffold-held-out evaluation, prevalence audit, calibration, bootstrap confidence intervals, applicability-domain analysis, and frozen cross-model comparisons.</w:t>
      </w:r>
    </w:p>
    <w:p>
      <w:r>
        <w:t>Only metrics produced by versioned datasets and reproducible scripts should be promoted into the README or portfolio materials.</w:t>
      </w:r>
    </w:p>
    <w:p>
      <w:pPr>
        <w:pStyle w:val="Heading1"/>
      </w:pPr>
      <w:r>
        <w:t>11. Limitations</w:t>
      </w:r>
    </w:p>
    <w:p>
      <w:r>
        <w:t>The current work has no external or temporal validation and no prospective experimental confirmation. Public assay data can contain label noise and assay heterogeneity. The hERG test set is small. ClinTox and Tox21 are extremely imbalanced. The applicability domain is based on nearest-neighbor Tanimoto similarity, and the GNN is a simple baseline rather than a comprehensive architecture search.</w:t>
      </w:r>
    </w:p>
    <w:p>
      <w:r>
        <w:t>The platform is therefore a research and portfolio prototype, not a validated medicinal-chemistry, clinical, or regulatory system.</w:t>
      </w:r>
    </w:p>
    <w:p>
      <w:pPr>
        <w:pStyle w:val="Heading1"/>
      </w:pPr>
      <w:r>
        <w:t>12. Next steps</w:t>
      </w:r>
    </w:p>
    <w:p>
      <w:r>
        <w:t>The next defensible scientific milestones are external or temporal validation, endpoint-specific error and chemotype analysis, improved probability calibration, and preregistered evaluation of stronger graph or pretrained molecular representations. Explainability and literature evidence should continue to support scientist review rather than be presented as validation.</w:t>
      </w:r>
    </w:p>
    <w:p>
      <w:pPr>
        <w:pStyle w:val="Heading1"/>
      </w:pPr>
      <w:r>
        <w:t>Appendix A. Benchmark snapshot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Endpoint</w:t>
            </w:r>
          </w:p>
        </w:tc>
        <w:tc>
          <w:tcPr>
            <w:tcW w:type="dxa" w:w="1987"/>
            <w:vAlign w:val="center"/>
          </w:tcPr>
          <w:p>
            <w:r>
              <w:rPr>
                <w:b/>
              </w:rPr>
              <w:t>Best ROC-AUC</w:t>
            </w:r>
          </w:p>
        </w:tc>
        <w:tc>
          <w:tcPr>
            <w:tcW w:type="dxa" w:w="1987"/>
            <w:vAlign w:val="center"/>
          </w:tcPr>
          <w:p>
            <w:r>
              <w:rPr>
                <w:b/>
              </w:rPr>
              <w:t>Best AP</w:t>
            </w:r>
          </w:p>
        </w:tc>
        <w:tc>
          <w:tcPr>
            <w:tcW w:type="dxa" w:w="1987"/>
            <w:vAlign w:val="center"/>
          </w:tcPr>
          <w:p>
            <w:r>
              <w:rPr>
                <w:b/>
              </w:rPr>
              <w:t>Best balanced accuracy</w:t>
            </w:r>
          </w:p>
        </w:tc>
        <w:tc>
          <w:tcPr>
            <w:tcW w:type="dxa" w:w="1987"/>
            <w:vAlign w:val="center"/>
          </w:tcPr>
          <w:p>
            <w:r>
              <w:rPr>
                <w:b/>
              </w:rPr>
              <w:t>Best Brier</w:t>
            </w:r>
          </w:p>
        </w:tc>
      </w:tr>
      <w:tr>
        <w:tc>
          <w:tcPr>
            <w:tcW w:type="dxa" w:w="1987"/>
          </w:tcPr>
          <w:p>
            <w:r>
              <w:t>hERG</w:t>
            </w:r>
          </w:p>
        </w:tc>
        <w:tc>
          <w:tcPr>
            <w:tcW w:type="dxa" w:w="1987"/>
          </w:tcPr>
          <w:p>
            <w:r>
              <w:t>RF 0.8856</w:t>
            </w:r>
          </w:p>
        </w:tc>
        <w:tc>
          <w:tcPr>
            <w:tcW w:type="dxa" w:w="1987"/>
          </w:tcPr>
          <w:p>
            <w:r>
              <w:t>RF 0.9183</w:t>
            </w:r>
          </w:p>
        </w:tc>
        <w:tc>
          <w:tcPr>
            <w:tcW w:type="dxa" w:w="1987"/>
          </w:tcPr>
          <w:p>
            <w:r>
              <w:t>Logistic 0.7949</w:t>
            </w:r>
          </w:p>
        </w:tc>
        <w:tc>
          <w:tcPr>
            <w:tcW w:type="dxa" w:w="1987"/>
          </w:tcPr>
          <w:p>
            <w:r>
              <w:t>Logistic 0.1509</w:t>
            </w:r>
          </w:p>
        </w:tc>
      </w:tr>
      <w:tr>
        <w:tc>
          <w:tcPr>
            <w:tcW w:type="dxa" w:w="1987"/>
          </w:tcPr>
          <w:p>
            <w:r>
              <w:t>BBBP</w:t>
            </w:r>
          </w:p>
        </w:tc>
        <w:tc>
          <w:tcPr>
            <w:tcW w:type="dxa" w:w="1987"/>
          </w:tcPr>
          <w:p>
            <w:r>
              <w:t>Logistic 0.8731</w:t>
            </w:r>
          </w:p>
        </w:tc>
        <w:tc>
          <w:tcPr>
            <w:tcW w:type="dxa" w:w="1987"/>
          </w:tcPr>
          <w:p>
            <w:r>
              <w:t>Logistic 0.9387</w:t>
            </w:r>
          </w:p>
        </w:tc>
        <w:tc>
          <w:tcPr>
            <w:tcW w:type="dxa" w:w="1987"/>
          </w:tcPr>
          <w:p>
            <w:r>
              <w:t>Logistic 0.8367</w:t>
            </w:r>
          </w:p>
        </w:tc>
        <w:tc>
          <w:tcPr>
            <w:tcW w:type="dxa" w:w="1987"/>
          </w:tcPr>
          <w:p>
            <w:r>
              <w:t>RF 0.1290</w:t>
            </w:r>
          </w:p>
        </w:tc>
      </w:tr>
      <w:tr>
        <w:tc>
          <w:tcPr>
            <w:tcW w:type="dxa" w:w="1987"/>
          </w:tcPr>
          <w:p>
            <w:r>
              <w:t>ClinTox</w:t>
            </w:r>
          </w:p>
        </w:tc>
        <w:tc>
          <w:tcPr>
            <w:tcW w:type="dxa" w:w="1987"/>
          </w:tcPr>
          <w:p>
            <w:r>
              <w:t>RF 0.9375</w:t>
            </w:r>
          </w:p>
        </w:tc>
        <w:tc>
          <w:tcPr>
            <w:tcW w:type="dxa" w:w="1987"/>
          </w:tcPr>
          <w:p>
            <w:r>
              <w:t>RF 0.9982*</w:t>
            </w:r>
          </w:p>
        </w:tc>
        <w:tc>
          <w:tcPr>
            <w:tcW w:type="dxa" w:w="1987"/>
          </w:tcPr>
          <w:p>
            <w:r>
              <w:t>Logistic 0.8715</w:t>
            </w:r>
          </w:p>
        </w:tc>
        <w:tc>
          <w:tcPr>
            <w:tcW w:type="dxa" w:w="1987"/>
          </w:tcPr>
          <w:p>
            <w:r>
              <w:t>RF 0.0263</w:t>
            </w:r>
          </w:p>
        </w:tc>
      </w:tr>
      <w:tr>
        <w:tc>
          <w:tcPr>
            <w:tcW w:type="dxa" w:w="1987"/>
          </w:tcPr>
          <w:p>
            <w:r>
              <w:t>Tox21</w:t>
            </w:r>
          </w:p>
        </w:tc>
        <w:tc>
          <w:tcPr>
            <w:tcW w:type="dxa" w:w="1987"/>
          </w:tcPr>
          <w:p>
            <w:r>
              <w:t>Logistic 0.7124</w:t>
            </w:r>
          </w:p>
        </w:tc>
        <w:tc>
          <w:tcPr>
            <w:tcW w:type="dxa" w:w="1987"/>
          </w:tcPr>
          <w:p>
            <w:r>
              <w:t>Multi-task 0.3153</w:t>
            </w:r>
          </w:p>
        </w:tc>
        <w:tc>
          <w:tcPr>
            <w:tcW w:type="dxa" w:w="1987"/>
          </w:tcPr>
          <w:p>
            <w:r>
              <w:t>RF 0.6472</w:t>
            </w:r>
          </w:p>
        </w:tc>
        <w:tc>
          <w:tcPr>
            <w:tcW w:type="dxa" w:w="1987"/>
          </w:tcPr>
          <w:p>
            <w:r>
              <w:t>RF 0.0143</w:t>
            </w:r>
          </w:p>
        </w:tc>
      </w:tr>
    </w:tbl>
    <w:p>
      <w:r>
        <w:t>* ClinTox AP must be interpreted with its extreme test prevalence (144 positive, 4 negative).</w:t>
      </w:r>
    </w:p>
    <w:p>
      <w:pPr>
        <w:pStyle w:val="Heading1"/>
      </w:pPr>
      <w:r>
        <w:t>13. Portfolio positioning</w:t>
      </w:r>
    </w:p>
    <w:p>
      <w:r>
        <w:t>The final V4.1 portfolio is strongest when presented as a scientific model-selection and validation project, not as a claim that deep learning must outperform classical chemistry baselines. Classical models won 23 of 24 endpoint × metric comparisons, while multi-task learning delivered one targeted improvement for rare-positive Tox21 retrieval. The GraphConv result is retained as an informative negative benchmark rather than repeatedly tuned against the held-out test set.</w:t>
      </w:r>
    </w:p>
    <w:p>
      <w:r>
        <w:t>For interviews, the differentiator is the combination of molecular ML, leakage-aware evaluation, class-prevalence auditing, calibration, uncertainty/reliability, applicability-domain analysis, reproducible experiment orchestration, and deployable Streamlit/FastAPI/MLOps patterns.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