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416E"/>
          <w:sz w:val="44"/>
        </w:rPr>
        <w:t>Scientific ML Drug Discovery Platform V4.1</w:t>
      </w:r>
    </w:p>
    <w:p>
      <w:pPr>
        <w:jc w:val="center"/>
      </w:pPr>
      <w:r>
        <w:rPr>
          <w:b/>
          <w:sz w:val="28"/>
        </w:rPr>
        <w:t>Publication-Quality Interview Narrative and Executive Project Report</w:t>
      </w:r>
    </w:p>
    <w:p>
      <w:pPr>
        <w:jc w:val="center"/>
      </w:pPr>
      <w:r>
        <w:rPr>
          <w:i/>
          <w:sz w:val="21"/>
        </w:rPr>
        <w:t>Scaffold-aware ADMET benchmarking · uncertainty-aware ranking · explainability · evidence retrieval · deployable MLOps</w:t>
      </w:r>
    </w:p>
    <w:p>
      <w:r>
        <w:t>Scientific disclaimer: This is a portfolio and decision-support research prototype. It is not a validated medicinal-chemistry, clinical, regulatory, or production system. Example outputs must not be interpreted as experimental evidence.</w:t>
      </w:r>
    </w:p>
    <w:p>
      <w:pPr>
        <w:pStyle w:val="Heading1"/>
      </w:pPr>
      <w:r>
        <w:t>1. Executive summary</w:t>
      </w:r>
    </w:p>
    <w:p>
      <w:r>
        <w:t>Scientific ML Drug Discovery Platform V4.1 is an enterprise-style pharmaceutical AI project designed to support early-stage candidate prioritization. It connects molecular input processing, cheminformatics, machine learning baselines, ADMET decision support, uncertainty estimation, explainability, evidence retrieval, and deployable app/API interfaces into one reproducible workflow. The strongest improvement in V4.1 is the shift from architecture demonstration toward scientific benchmarking.</w:t>
      </w:r>
    </w:p>
    <w:p>
      <w:pPr>
        <w:pStyle w:val="Heading1"/>
      </w:pPr>
      <w:r>
        <w:t>2. Scientific question</w:t>
      </w:r>
    </w:p>
    <w:p>
      <w:r>
        <w:t>Can uncertainty-aware molecular machine learning improve the reliability of early-stage ADMET candidate prioritization compared with classical single-task baselines? The project does not assume the answer. It creates the software and evaluation structure necessary to test the question with reproducible experiments.</w:t>
      </w:r>
    </w:p>
    <w:p>
      <w:pPr>
        <w:pStyle w:val="Heading1"/>
      </w:pPr>
      <w:r>
        <w:t>3. Business and scientific problem</w:t>
      </w:r>
    </w:p>
    <w:p>
      <w:r>
        <w:t>Drug discovery is a multi-objective decision problem. A molecule can have promising target activity yet fail because of poor absorption, high toxicity, low solubility, CYP liability, insufficient exposure, or because the model is operating outside its applicability domain. A practical system must therefore communicate prediction, confidence, uncertainty, feature drivers, and evidence together.</w:t>
      </w:r>
    </w:p>
    <w:p>
      <w:pPr>
        <w:pStyle w:val="Heading1"/>
      </w:pPr>
      <w:r>
        <w:t>4. V4.1 capabilities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408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Chemistry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RDKit-first validation, canonicalization, QED, descriptors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Implemented when RDKit is available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Benchmarking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Bemis-Murcko scaffold split and no-overlap assertion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Implemented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Baselines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Descriptor logistic regression and Morgan random forest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Implemented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Metrics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ROC-AUC, PR-AUC, F1, balanced accuracy, Brier score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Implemented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Reliability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Confidence, uncertainty, reliability label, review routing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Implemented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Explainability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Feature attribution and SHAP-ready design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Implemented fallback; optional SHAP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Evidence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PubMed-style retrieval pattern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Interface/demo ready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Deployment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Streamlit, FastAPI-ready, Docker/MLflow/CI patterns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Architecture ready</w:t>
            </w:r>
          </w:p>
        </w:tc>
      </w:tr>
    </w:tbl>
    <w:p>
      <w:pPr>
        <w:pStyle w:val="Heading1"/>
      </w:pPr>
      <w:r>
        <w:t>5. Scientific workflow</w:t>
      </w:r>
    </w:p>
    <w:p>
      <w:pPr>
        <w:ind w:left="360"/>
      </w:pPr>
      <w:r>
        <w:rPr>
          <w:rFonts w:ascii="Consolas" w:hAnsi="Consolas"/>
          <w:sz w:val="17"/>
        </w:rPr>
        <w:t>Public molecular data</w:t>
        <w:br/>
      </w:r>
      <w:r>
        <w:rPr>
          <w:rFonts w:ascii="Consolas" w:hAnsi="Consolas"/>
          <w:sz w:val="17"/>
        </w:rPr>
        <w:t xml:space="preserve">  -&gt; SMILES validation and canonicalization</w:t>
        <w:br/>
      </w:r>
      <w:r>
        <w:rPr>
          <w:rFonts w:ascii="Consolas" w:hAnsi="Consolas"/>
          <w:sz w:val="17"/>
        </w:rPr>
        <w:t xml:space="preserve">  -&gt; RDKit descriptors / Morgan fingerprints / molecular graphs</w:t>
        <w:br/>
      </w:r>
      <w:r>
        <w:rPr>
          <w:rFonts w:ascii="Consolas" w:hAnsi="Consolas"/>
          <w:sz w:val="17"/>
        </w:rPr>
        <w:t xml:space="preserve">  -&gt; Bemis-Murcko scaffold-aware splitting</w:t>
        <w:br/>
      </w:r>
      <w:r>
        <w:rPr>
          <w:rFonts w:ascii="Consolas" w:hAnsi="Consolas"/>
          <w:sz w:val="17"/>
        </w:rPr>
        <w:t xml:space="preserve">  -&gt; Classical baselines and model comparisons</w:t>
        <w:br/>
      </w:r>
      <w:r>
        <w:rPr>
          <w:rFonts w:ascii="Consolas" w:hAnsi="Consolas"/>
          <w:sz w:val="17"/>
        </w:rPr>
        <w:t xml:space="preserve">  -&gt; ROC-AUC / PR-AUC / F1 / Brier score / calibration</w:t>
        <w:br/>
      </w:r>
      <w:r>
        <w:rPr>
          <w:rFonts w:ascii="Consolas" w:hAnsi="Consolas"/>
          <w:sz w:val="17"/>
        </w:rPr>
        <w:t xml:space="preserve">  -&gt; Uncertainty and applicability-domain analysis</w:t>
        <w:br/>
      </w:r>
      <w:r>
        <w:rPr>
          <w:rFonts w:ascii="Consolas" w:hAnsi="Consolas"/>
          <w:sz w:val="17"/>
        </w:rPr>
        <w:t xml:space="preserve">  -&gt; Explainability and literature evidence</w:t>
        <w:br/>
      </w:r>
      <w:r>
        <w:rPr>
          <w:rFonts w:ascii="Consolas" w:hAnsi="Consolas"/>
          <w:sz w:val="17"/>
        </w:rPr>
        <w:t xml:space="preserve">  -&gt; Scientist review</w:t>
        <w:br/>
      </w:r>
    </w:p>
    <w:p>
      <w:pPr>
        <w:pStyle w:val="Heading1"/>
      </w:pPr>
      <w:r>
        <w:t>6. Dataset strategy</w:t>
      </w:r>
    </w:p>
    <w:p>
      <w:r>
        <w:t>The project keeps demonstration data separate from benchmark data. data/demo_smiles.csv should remain unlabeled and should not be overwritten. Scientific benchmarks require labeled datasets with columns such as smiles,target.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Dataset</w:t>
            </w:r>
          </w:p>
        </w:tc>
        <w:tc>
          <w:tcPr>
            <w:tcW w:type="dxa" w:w="2556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556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556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BBBP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Blood-brain barrier penetration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DeepChem MoleculeNet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Use first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ClinTox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Clinical toxicity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DeepChem MoleculeNet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Add next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Tox21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Toxicity endpoint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DeepChem MoleculeNet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Select one task and document it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hERG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Cardiotoxicity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TDC or curated ChEMBL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Add later with assay curation</w:t>
            </w:r>
          </w:p>
        </w:tc>
      </w:tr>
    </w:tbl>
    <w:p>
      <w:pPr>
        <w:pStyle w:val="Heading1"/>
      </w:pPr>
      <w:r>
        <w:t>7. Benchmark command</w:t>
      </w:r>
    </w:p>
    <w:p>
      <w:pPr>
        <w:ind w:left="360"/>
      </w:pPr>
      <w:r>
        <w:rPr>
          <w:rFonts w:ascii="Consolas" w:hAnsi="Consolas"/>
          <w:sz w:val="17"/>
        </w:rPr>
        <w:t>PYTHONPATH=. python -u experiments/run_scientific_benchmark.py \</w:t>
        <w:br/>
      </w:r>
      <w:r>
        <w:rPr>
          <w:rFonts w:ascii="Consolas" w:hAnsi="Consolas"/>
          <w:sz w:val="17"/>
        </w:rPr>
        <w:t xml:space="preserve">  --input data/bbbp.csv \</w:t>
        <w:br/>
      </w:r>
      <w:r>
        <w:rPr>
          <w:rFonts w:ascii="Consolas" w:hAnsi="Consolas"/>
          <w:sz w:val="17"/>
        </w:rPr>
        <w:t xml:space="preserve">  --target target \</w:t>
        <w:br/>
      </w:r>
      <w:r>
        <w:rPr>
          <w:rFonts w:ascii="Consolas" w:hAnsi="Consolas"/>
          <w:sz w:val="17"/>
        </w:rPr>
        <w:t xml:space="preserve">  --output reports/bbbp_benchmark_table.csv \</w:t>
        <w:br/>
      </w:r>
      <w:r>
        <w:rPr>
          <w:rFonts w:ascii="Consolas" w:hAnsi="Consolas"/>
          <w:sz w:val="17"/>
        </w:rPr>
        <w:t xml:space="preserve">  2&gt;&amp;1 | tee reports/bbbp_benchmark.log</w:t>
        <w:br/>
      </w:r>
    </w:p>
    <w:p>
      <w:pPr>
        <w:pStyle w:val="Heading1"/>
      </w:pPr>
      <w:r>
        <w:t>8. Candidate prioritization</w:t>
      </w:r>
    </w:p>
    <w:p>
      <w:r>
        <w:t>The platform separates prediction from prioritization. A high model score is not treated as a validated candidate. The ranking layer penalizes high uncertainty, out-of-domain chemistry, and toxicity risk. Out-of-domain candidates should be routed to REVIEW rather than automatically advanced.</w:t>
      </w:r>
    </w:p>
    <w:p>
      <w:pPr>
        <w:pStyle w:val="Heading1"/>
      </w:pPr>
      <w:r>
        <w:t>9. Interview talk track</w:t>
      </w:r>
    </w:p>
    <w:p>
      <w:r>
        <w:t>I evolved a Streamlit ADMET demo into a scientific ML drug discovery platform. The V4.1 system supports molecular feature engineering, scaffold-aware benchmarking, uncertainty-aware prioritization, explainability, literature evidence, and deployable MLOps. I intentionally separate software validation from scientific validation, so any performance claim must be tied to a versioned dataset and reproducible experiment.</w:t>
      </w:r>
    </w:p>
    <w:p>
      <w:pPr>
        <w:pStyle w:val="Heading1"/>
      </w:pPr>
      <w:r>
        <w:t>10. Validation strategy</w:t>
      </w:r>
    </w:p>
    <w:p>
      <w:pPr>
        <w:pStyle w:val="ListBullet"/>
      </w:pPr>
      <w:r>
        <w:t>Unit tests and import checks</w:t>
      </w:r>
    </w:p>
    <w:p>
      <w:pPr>
        <w:pStyle w:val="ListBullet"/>
      </w:pPr>
      <w:r>
        <w:t>Dataset schema validation</w:t>
      </w:r>
    </w:p>
    <w:p>
      <w:pPr>
        <w:pStyle w:val="ListBullet"/>
      </w:pPr>
      <w:r>
        <w:t>No-overlap scaffold split verification</w:t>
      </w:r>
    </w:p>
    <w:p>
      <w:pPr>
        <w:pStyle w:val="ListBullet"/>
      </w:pPr>
      <w:r>
        <w:t>Baseline benchmark metrics</w:t>
      </w:r>
    </w:p>
    <w:p>
      <w:pPr>
        <w:pStyle w:val="ListBullet"/>
      </w:pPr>
      <w:r>
        <w:t>Streamlit smoke testing</w:t>
      </w:r>
    </w:p>
    <w:p>
      <w:pPr>
        <w:pStyle w:val="ListBullet"/>
      </w:pPr>
      <w:r>
        <w:t>API smoke testing where available</w:t>
      </w:r>
    </w:p>
    <w:p>
      <w:pPr>
        <w:pStyle w:val="ListBullet"/>
      </w:pPr>
      <w:r>
        <w:t>External scientific validation as a future milestone</w:t>
      </w:r>
    </w:p>
    <w:p>
      <w:pPr>
        <w:pStyle w:val="Heading1"/>
      </w:pPr>
      <w:r>
        <w:t>11. Roadmap</w:t>
      </w:r>
    </w:p>
    <w:p>
      <w:pPr>
        <w:pStyle w:val="ListBullet"/>
      </w:pPr>
      <w:r>
        <w:t>Complete ClinTox benchmark</w:t>
      </w:r>
    </w:p>
    <w:p>
      <w:pPr>
        <w:pStyle w:val="ListBullet"/>
      </w:pPr>
      <w:r>
        <w:t>Add one documented Tox21 endpoint</w:t>
      </w:r>
    </w:p>
    <w:p>
      <w:pPr>
        <w:pStyle w:val="ListBullet"/>
      </w:pPr>
      <w:r>
        <w:t>Generate ROC/PR curves and calibration plots</w:t>
      </w:r>
    </w:p>
    <w:p>
      <w:pPr>
        <w:pStyle w:val="ListBullet"/>
      </w:pPr>
      <w:r>
        <w:t>Add hERG from TDC or curated ChEMBL</w:t>
      </w:r>
    </w:p>
    <w:p>
      <w:pPr>
        <w:pStyle w:val="ListBullet"/>
      </w:pPr>
      <w:r>
        <w:t>Train calibrated multi-task ADMET model</w:t>
      </w:r>
    </w:p>
    <w:p>
      <w:pPr>
        <w:pStyle w:val="ListBullet"/>
      </w:pPr>
      <w:r>
        <w:t>Train GNN model with PyTorch Geometric</w:t>
      </w:r>
    </w:p>
    <w:p>
      <w:pPr>
        <w:pStyle w:val="ListBullet"/>
      </w:pPr>
      <w:r>
        <w:t>Connect SHAP explanations to trained models</w:t>
      </w:r>
    </w:p>
    <w:p>
      <w:pPr>
        <w:pStyle w:val="ListBullet"/>
      </w:pPr>
      <w:r>
        <w:t>Add MLflow model registry and monitoring</w:t>
      </w:r>
    </w:p>
    <w:p>
      <w:pPr>
        <w:pStyle w:val="Heading1"/>
      </w:pPr>
      <w:r>
        <w:t>12. Limitations</w:t>
      </w:r>
    </w:p>
    <w:p>
      <w:pPr>
        <w:pStyle w:val="ListBullet"/>
      </w:pPr>
      <w:r>
        <w:t>Proxy scores are not experimental evidence.</w:t>
      </w:r>
    </w:p>
    <w:p>
      <w:pPr>
        <w:pStyle w:val="ListBullet"/>
      </w:pPr>
      <w:r>
        <w:t>Scientific benchmark claims require labeled public datasets and reproducible outputs.</w:t>
      </w:r>
    </w:p>
    <w:p>
      <w:pPr>
        <w:pStyle w:val="ListBullet"/>
      </w:pPr>
      <w:r>
        <w:t>hERG requires careful assay curation.</w:t>
      </w:r>
    </w:p>
    <w:p>
      <w:pPr>
        <w:pStyle w:val="ListBullet"/>
      </w:pPr>
      <w:r>
        <w:t>Scaffold splits improve realism but do not replace prospective validation.</w:t>
      </w:r>
    </w:p>
    <w:p>
      <w:pPr>
        <w:pStyle w:val="ListBullet"/>
      </w:pPr>
      <w:r>
        <w:t>Literature retrieval supports review but does not validate predictions.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Scientific ML Drug Discovery Platform V4.1 | Portfolio research prototype | Not for clinical/regulatory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46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85A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