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43D"/>
          <w:sz w:val="48"/>
        </w:rPr>
        <w:t>Pharmaceutical GenAI Drug Discovery V3</w:t>
        <w:br/>
        <w:t>Enterprise Platform</w:t>
      </w:r>
    </w:p>
    <w:p>
      <w:pPr>
        <w:jc w:val="center"/>
      </w:pPr>
      <w:r>
        <w:rPr>
          <w:color w:val="5C6370"/>
          <w:sz w:val="28"/>
        </w:rPr>
        <w:t>Interview Narrative and Executive Project Report</w:t>
      </w:r>
    </w:p>
    <w:p>
      <w:pPr>
        <w:jc w:val="center"/>
      </w:pPr>
      <w:r>
        <w:t>Prepared for pharmaceutical data science, computational chemistry, ML engineering, and AI platform interviews.</w:t>
      </w:r>
    </w:p>
    <w:p>
      <w:r>
        <w:br w:type="page"/>
      </w:r>
    </w:p>
    <w:p>
      <w:pPr>
        <w:pStyle w:val="Heading1"/>
      </w:pPr>
      <w:r>
        <w:t>Interview Narrative and Executive Project Report</w:t>
      </w:r>
    </w:p>
    <w:p>
      <w:pPr>
        <w:pStyle w:val="Heading2"/>
      </w:pPr>
      <w:r>
        <w:t>1. Executive summary</w:t>
      </w:r>
    </w:p>
    <w:p>
      <w:pPr>
        <w:spacing w:after="120" w:line="269" w:lineRule="auto"/>
      </w:pPr>
      <w:r>
        <w:t>This project is an enterprise-style pharmaceutical artificial intelligence platform designed to support early-stage drug discovery. The V3 system extends a validated V2.1 Streamlit application into a more complete architecture that reflects how a modern pharmaceutical data science team would combine cheminformatics, molecular machine learning, uncertainty estimation, explainability, literature retrieval, software engineering, and MLOps into one reusable decision-support workflow.</w:t>
      </w:r>
    </w:p>
    <w:p>
      <w:pPr>
        <w:spacing w:after="120" w:line="269" w:lineRule="auto"/>
      </w:pPr>
      <w:r>
        <w:t>The purpose of the project is not to claim clinical-grade prediction performance. Instead, the purpose is to demonstrate a realistic, interview-ready architecture for computational drug discovery. It shows how a data scientist or machine learning engineer can move beyond a notebook prototype and build a structured platform that accepts molecular inputs, engineers chemical features, predicts multiple ADMET and toxicity endpoints, quantifies reliability, explains model behavior, retrieves scientific evidence, exposes a web interface, exposes an API service, and prepares the project for containerized deployment and continuous integration.</w:t>
      </w:r>
    </w:p>
    <w:p>
      <w:pPr>
        <w:spacing w:after="120" w:line="269" w:lineRule="auto"/>
      </w:pPr>
      <w:r>
        <w:t>The project is designed around a practical drug discovery question: given a list of candidate small molecules, which candidates should be advanced, reviewed, deprioritized, or rejected before expensive experimental testing? In pharmaceutical research, early prioritization matters because many compounds fail not because they lack target activity, but because they have unfavorable absorption, distribution, metabolism, excretion, or toxicity properties. A compound can look promising in a target assay but still be unsuitable because it is poorly absorbed, rapidly cleared, highly toxic, difficult to formulate, or outside the model applicability domain. V3 addresses this challenge by combining property prediction with confidence and uncertainty estimates.</w:t>
      </w:r>
    </w:p>
    <w:p>
      <w:pPr>
        <w:spacing w:after="120" w:line="269" w:lineRule="auto"/>
      </w:pPr>
      <w:r>
        <w:t>The V3 version introduces graph neural network readiness, public chemistry data-source integration, multi-task ADMET modeling, conformal-style uncertainty intervals, SHAP-ready explainability, PubMed-style retrieval augmented generation, FastAPI deployment, Docker deployment, MLflow-style tracking, and GitHub Actions continuous integration. The result is a platform that can be discussed credibly in interviews for pharmaceutical data scientist, computational chemistry, cheminformatics, applied machine learning, and AI product roles.</w:t>
      </w:r>
    </w:p>
    <w:p>
      <w:pPr>
        <w:pStyle w:val="Heading2"/>
      </w:pPr>
      <w:r>
        <w:t>2. Business and scientific problem</w:t>
      </w:r>
    </w:p>
    <w:p>
      <w:pPr>
        <w:spacing w:after="120" w:line="269" w:lineRule="auto"/>
      </w:pPr>
      <w:r>
        <w:t>Drug discovery is one of the most expensive and high-risk scientific processes. A pharmaceutical team may start with millions of theoretical molecules, screen thousands of compounds, synthesize hundreds of candidates, and still see many programs fail in late preclinical or clinical stages. The cost of failure rises as a program moves later in the pipeline. Therefore, any method that can reduce the number of weak candidates early creates business value.</w:t>
      </w:r>
    </w:p>
    <w:p>
      <w:pPr>
        <w:spacing w:after="120" w:line="269" w:lineRule="auto"/>
      </w:pPr>
      <w:r>
        <w:t>The core problem is multi-dimensional. A compound must be potent against a biological target, chemically feasible, selective, safe, sufficiently soluble, stable enough for dosing, and capable of reaching the right tissue at the right concentration. These constraints are often competing. For example, increasing lipophilicity may improve permeability but may also increase toxicity risk or metabolic liabilities. Increasing polarity may reduce central nervous system exposure but may also reduce membrane permeability. A single endpoint model is therefore insufficient. A practical drug discovery platform needs to evaluate multiple properties at the same time and communicate uncertainty clearly.</w:t>
      </w:r>
    </w:p>
    <w:p>
      <w:pPr>
        <w:spacing w:after="120" w:line="269" w:lineRule="auto"/>
      </w:pPr>
      <w:r>
        <w:t>This project focuses on that decision-support challenge. It asks: how can machine learning help a scientist triage candidate molecules while preserving transparency? The answer is a modular platform that produces predictions, reliability labels, feature attributions, graph-based molecular representations, and supporting literature context. The project explicitly includes uncertainty because pharmaceutical decisions are high-consequence decisions. A model output should not simply say “advance.” It should also say whether the molecule is inside the applicability domain, whether the model views disagree, whether the probability is near the decision boundary, and whether experimental validation is recommended.</w:t>
      </w:r>
    </w:p>
    <w:p>
      <w:pPr>
        <w:pStyle w:val="Heading2"/>
      </w:pPr>
      <w:r>
        <w:t>3. Evolution from V2.1 to V3</w:t>
      </w:r>
    </w:p>
    <w:p>
      <w:pPr>
        <w:spacing w:after="120" w:line="269" w:lineRule="auto"/>
      </w:pPr>
      <w:r>
        <w:t>The V2.1 package established the validated foundation. It accepted SMILES strings in a Streamlit interface, calculated molecular descriptors, generated ADMET and toxicity estimates, ranked candidates, produced reliability labels, and exported results as a CSV. That version was important because it demonstrated an end-to-end working application rather than an isolated notebook. It validated that a user can input molecules and receive ranked pharmaceutical decision-support outputs.</w:t>
      </w:r>
    </w:p>
    <w:p>
      <w:pPr>
        <w:spacing w:after="120" w:line="269" w:lineRule="auto"/>
      </w:pPr>
      <w:r>
        <w:t>The V3 package changes the project from a portfolio application into an enterprise-style platform. It adds a graph neural network module that can support PyTorch Geometric in a full scientific environment while still providing fallback graph embeddings when heavy dependencies are not installed. This is important because molecular graphs are a natural representation of small molecules: atoms become nodes, bonds become edges, and learned message passing can capture structural patterns that handcrafted descriptors may miss.</w:t>
      </w:r>
    </w:p>
    <w:p>
      <w:pPr>
        <w:spacing w:after="120" w:line="269" w:lineRule="auto"/>
      </w:pPr>
      <w:r>
        <w:t>V3 also adds a data integration layer. In a production pharmaceutical environment, models are not trained or evaluated from a single CSV file. They draw from public and internal data sources such as ChEMBL, PubChem, DrugBank exports, BindingDB, assay databases, and proprietary compound registries. The V3 connector layer creates a clean abstraction for those data sources. The default package uses offline demo records for reproducibility, but the architecture is ready to support online API calls and local exports.</w:t>
      </w:r>
    </w:p>
    <w:p>
      <w:pPr>
        <w:spacing w:after="120" w:line="269" w:lineRule="auto"/>
      </w:pPr>
      <w:r>
        <w:t>V3 adds multi-task ADMET prediction. Instead of producing only a general score, the system estimates oral absorption probability, blood-brain barrier penetration probability, CYP inhibition risk, clearance risk, solubility score, overall toxicity risk, and drug-likeness score. This mirrors real-world pharmaceutical modeling, where teams need to evaluate several endpoints together rather than over-optimizing a single metric.</w:t>
      </w:r>
    </w:p>
    <w:p>
      <w:pPr>
        <w:spacing w:after="120" w:line="269" w:lineRule="auto"/>
      </w:pPr>
      <w:r>
        <w:t>The uncertainty system is also upgraded. V2.1 had reliability scoring. V3 makes the reliability concept more explicit by combining applicability-domain assessment, ensemble-disagreement proxies, and decision-boundary uncertainty. It also produces conformal-style intervals around bounded probabilities. These intervals help communicate that the prediction is an estimate, not a deterministic truth.</w:t>
      </w:r>
    </w:p>
    <w:p>
      <w:pPr>
        <w:spacing w:after="120" w:line="269" w:lineRule="auto"/>
      </w:pPr>
      <w:r>
        <w:t>V3 adds explainability. The package is SHAP-ready for environments where SHAP and trained model objects are available, but it also provides a deterministic fallback attribution method. This is useful for deployment because not every environment can support heavy explainability dependencies, yet the interface still needs to communicate which features are contributing most strongly to predicted risk.</w:t>
      </w:r>
    </w:p>
    <w:p>
      <w:pPr>
        <w:spacing w:after="120" w:line="269" w:lineRule="auto"/>
      </w:pPr>
      <w:r>
        <w:t>V3 adds PubMed-style RAG. In interviews, this is important because modern pharmaceutical AI teams increasingly combine structured models with scientific knowledge retrieval. The RAG module retrieves relevant literature-style evidence about ADMET, graph neural networks, uncertainty, and explainability. In production, this module can be connected to PubMed, internal reports, patents, or clinical trial documents.</w:t>
      </w:r>
    </w:p>
    <w:p>
      <w:pPr>
        <w:spacing w:after="120" w:line="269" w:lineRule="auto"/>
      </w:pPr>
      <w:r>
        <w:t>Finally, V3 adds enterprise software structure: FastAPI service endpoints, Docker deployment, MLflow-ready tracking, and GitHub Actions CI/CD. These additions show that the project is not only a modeling exercise but a software product architecture.</w:t>
      </w:r>
    </w:p>
    <w:p>
      <w:pPr>
        <w:pStyle w:val="Heading2"/>
      </w:pPr>
      <w:r>
        <w:t>4. System architecture</w:t>
      </w:r>
    </w:p>
    <w:p>
      <w:pPr>
        <w:spacing w:after="120" w:line="269" w:lineRule="auto"/>
      </w:pPr>
      <w:r>
        <w:t>The V3 architecture has six layers.</w:t>
      </w:r>
    </w:p>
    <w:p>
      <w:pPr>
        <w:spacing w:after="120" w:line="269" w:lineRule="auto"/>
      </w:pPr>
      <w:r>
        <w:t>The first layer is the molecular input and feature engineering layer. Molecules are represented as SMILES strings. The package attempts to use RDKit when available. RDKit is the preferred cheminformatics toolkit because it can parse molecules, calculate descriptors, generate fingerprints, and provide graph topology. However, the project also includes a deterministic fallback descriptor engine. This makes the application deployable on platforms where RDKit installation may be difficult. The fallback is not meant to replace RDKit scientifically, but it allows the package to remain demonstrable and testable.</w:t>
      </w:r>
    </w:p>
    <w:p>
      <w:pPr>
        <w:spacing w:after="120" w:line="269" w:lineRule="auto"/>
      </w:pPr>
      <w:r>
        <w:t>The second layer is the graph representation layer. V3 creates graph-ready molecular representations consisting of node features and edge indices. In a full environment, the system can be extended to PyTorch Geometric. In lightweight environments, the graph embedding service computes topology-based embeddings from available graph features. This design demonstrates how to separate graph construction from downstream model training.</w:t>
      </w:r>
    </w:p>
    <w:p>
      <w:pPr>
        <w:spacing w:after="120" w:line="269" w:lineRule="auto"/>
      </w:pPr>
      <w:r>
        <w:t>The third layer is the multi-task ADMET layer. This layer calculates several pharmaceutical endpoints. It uses transparent proxy functions for demonstration, but the interface is designed so that these functions can be replaced by trained scikit-learn, XGBoost, PyTorch, or graph neural network models. This separation of interface from implementation is important because production pharmaceutical models are often updated as new assay data becomes available.</w:t>
      </w:r>
    </w:p>
    <w:p>
      <w:pPr>
        <w:spacing w:after="120" w:line="269" w:lineRule="auto"/>
      </w:pPr>
      <w:r>
        <w:t>The fourth layer is the uncertainty and reliability layer. The system calculates a confidence score, uncertainty score, reliability label, domain applicability score, ensemble disagreement score, and explanation text. This layer is central to the project’s scientific credibility. In many machine learning demos, the model produces a number without context. In this project, every output includes a statement about whether the model is operating in a comfortable region and whether results should be trusted.</w:t>
      </w:r>
    </w:p>
    <w:p>
      <w:pPr>
        <w:spacing w:after="120" w:line="269" w:lineRule="auto"/>
      </w:pPr>
      <w:r>
        <w:t>The fifth layer is the explainability and literature intelligence layer. The explainability module ranks feature attributions for each molecule. The RAG module retrieves evidence snippets from an offline PubMed-style corpus. The combination gives both model-level explanation and domain-level context. In a real pharmaceutical organization, this layer would help bridge machine learning outputs with human scientific review.</w:t>
      </w:r>
    </w:p>
    <w:p>
      <w:pPr>
        <w:spacing w:after="120" w:line="269" w:lineRule="auto"/>
      </w:pPr>
      <w:r>
        <w:t>The sixth layer is the delivery and MLOps layer. Streamlit provides the scientist-facing application. FastAPI exposes programmatic endpoints. Docker supports reproducible deployment. MLflow-ready tracking supports experiment management. GitHub Actions validates tests on code changes. This layer makes the project look like a deployable platform rather than a one-time notebook.</w:t>
      </w:r>
    </w:p>
    <w:p>
      <w:pPr>
        <w:pStyle w:val="Heading2"/>
      </w:pPr>
      <w:r>
        <w:t>5. Data strategy</w:t>
      </w:r>
    </w:p>
    <w:p>
      <w:pPr>
        <w:spacing w:after="120" w:line="269" w:lineRule="auto"/>
      </w:pPr>
      <w:r>
        <w:t>The project uses a layered data strategy. The default package includes demo compounds such as aspirin, caffeine, and ethanol to make the workflow easy to validate. These molecules are useful because they are familiar, structurally different, and easy to explain during an interview. Aspirin is a drug-like molecule with known medicinal relevance. Caffeine is a heterocyclic molecule with different polarity and target context. Ethanol is a small control molecule that helps demonstrate the limitations of descriptor ranges.</w:t>
      </w:r>
    </w:p>
    <w:p>
      <w:pPr>
        <w:spacing w:after="120" w:line="269" w:lineRule="auto"/>
      </w:pPr>
      <w:r>
        <w:t>For production, the V3 architecture supports public and private data sources. ChEMBL can provide bioactivity and target data. PubChem can provide compound identifiers and canonical SMILES. DrugBank-style local exports can support approved-drug reference sets. BindingDB-style exports can support protein-ligand binding data. Internal pharmaceutical systems could provide assay results, pharmacokinetic measurements, toxicity labels, and project-specific compound metadata.</w:t>
      </w:r>
    </w:p>
    <w:p>
      <w:pPr>
        <w:spacing w:after="120" w:line="269" w:lineRule="auto"/>
      </w:pPr>
      <w:r>
        <w:t>The key data engineering decision is to isolate source-specific logic inside connector classes. This prevents the modeling code from becoming tightly coupled to one database. It also makes it easier to test the pipeline offline. The public source connector returns standard compound records containing source, compound ID, name, SMILES, target, activity, and metadata. Once every source is mapped into this common schema, the downstream model pipeline can treat all sources consistently.</w:t>
      </w:r>
    </w:p>
    <w:p>
      <w:pPr>
        <w:pStyle w:val="Heading2"/>
      </w:pPr>
      <w:r>
        <w:t>6. Modeling strategy</w:t>
      </w:r>
    </w:p>
    <w:p>
      <w:pPr>
        <w:spacing w:after="120" w:line="269" w:lineRule="auto"/>
      </w:pPr>
      <w:r>
        <w:t>The modeling strategy is intentionally multi-modal. Descriptor-based models are useful because they are interpretable, fast, and easy to validate. Fingerprint-based models are useful because they capture substructure patterns. Graph neural networks are useful because they learn from molecular topology directly. Literature RAG is useful because it adds scientific context that structured models cannot provide.</w:t>
      </w:r>
    </w:p>
    <w:p>
      <w:pPr>
        <w:spacing w:after="120" w:line="269" w:lineRule="auto"/>
      </w:pPr>
      <w:r>
        <w:t>For a portfolio project, V3 uses transparent proxy functions so that the code can run without proprietary data. However, the interfaces are designed to support real models. A production version would train a multi-task model with experimental ADMET labels. Each task could share a common molecular encoder and have endpoint-specific heads. For example, a graph neural network could produce a latent molecular embedding, and separate heads could predict absorption, solubility, toxicity, and CYP inhibition. Multi-task learning is attractive because related endpoints can share information, especially when some labels are sparse.</w:t>
      </w:r>
    </w:p>
    <w:p>
      <w:pPr>
        <w:spacing w:after="120" w:line="269" w:lineRule="auto"/>
      </w:pPr>
      <w:r>
        <w:t>The V3 system also includes a path for conformal prediction. Conformal methods are valuable because they can provide calibrated uncertainty intervals under well-defined assumptions. In a real implementation, calibration data would be used to estimate nonconformity scores. The current package provides conformal-style intervals as a demonstration of how bounded probability intervals can be communicated to users.</w:t>
      </w:r>
    </w:p>
    <w:p>
      <w:pPr>
        <w:pStyle w:val="Heading2"/>
      </w:pPr>
      <w:r>
        <w:t>7. Reliability and uncertainty</w:t>
      </w:r>
    </w:p>
    <w:p>
      <w:pPr>
        <w:spacing w:after="120" w:line="269" w:lineRule="auto"/>
      </w:pPr>
      <w:r>
        <w:t>Reliability is one of the strongest parts of the project narrative. In pharmaceutical machine learning, model confidence matters because poor decisions can waste time and money. A prediction should not be interpreted the same way for every molecule. A model trained mostly on drug-like small molecules may be less reliable for extremely large, extremely polar, highly lipophilic, or unusual molecules. Therefore, V3 uses applicability-domain logic to assess whether descriptor values fall within training-like ranges.</w:t>
      </w:r>
    </w:p>
    <w:p>
      <w:pPr>
        <w:spacing w:after="120" w:line="269" w:lineRule="auto"/>
      </w:pPr>
      <w:r>
        <w:t>The reliability calculation combines three signals. The first is descriptor-domain coverage. This asks whether molecular weight, LogP, topological polar surface area, hydrogen bond donors, hydrogen bond acceptors, and rotatable bonds are in a reasonable region. The second is proxy ensemble disagreement. This asks whether different heuristic model views lead to similar predictions. The third is decision-boundary uncertainty. This asks whether the predicted probability is close to the threshold where the decision could change.</w:t>
      </w:r>
    </w:p>
    <w:p>
      <w:pPr>
        <w:spacing w:after="120" w:line="269" w:lineRule="auto"/>
      </w:pPr>
      <w:r>
        <w:t>The output is a confidence score, uncertainty score, and reliability label. A high-confidence prediction can be used for early prioritization. A medium-confidence prediction should be reviewed. A low-confidence prediction should be interpreted cautiously and may require additional data or experimental validation. This mirrors how a senior pharmaceutical data scientist would communicate model limitations to scientific stakeholders.</w:t>
      </w:r>
    </w:p>
    <w:p>
      <w:pPr>
        <w:pStyle w:val="Heading2"/>
      </w:pPr>
      <w:r>
        <w:t>8. Explainability</w:t>
      </w:r>
    </w:p>
    <w:p>
      <w:pPr>
        <w:spacing w:after="120" w:line="269" w:lineRule="auto"/>
      </w:pPr>
      <w:r>
        <w:t>Explainability is important for both adoption and scientific reasoning. Scientists are more likely to trust a model if they can understand why it produced a result. V3 includes a SHAP-ready interface. In a full environment with trained models and the SHAP package installed, this interface can be connected to SHAP explainers. In lightweight deployment, the fallback attribution method compares molecular features to medicinal-chemistry reference ranges and ranks the features contributing most to potential risk.</w:t>
      </w:r>
    </w:p>
    <w:p>
      <w:pPr>
        <w:spacing w:after="120" w:line="269" w:lineRule="auto"/>
      </w:pPr>
      <w:r>
        <w:t>For example, high molecular weight may contribute to lower oral developability. High LogP may contribute to toxicity or metabolic risk. High TPSA may reduce permeability. Many rotatable bonds may reduce conformational stability and oral drug-likeness. Low QED-like score may indicate poor overall medicinal chemistry balance. These explanations are not a replacement for mechanistic toxicology, but they provide a transparent starting point for discussion.</w:t>
      </w:r>
    </w:p>
    <w:p>
      <w:pPr>
        <w:pStyle w:val="Heading2"/>
      </w:pPr>
      <w:r>
        <w:t>9. RAG and scientific evidence</w:t>
      </w:r>
    </w:p>
    <w:p>
      <w:pPr>
        <w:spacing w:after="120" w:line="269" w:lineRule="auto"/>
      </w:pPr>
      <w:r>
        <w:t>The PubMed-style RAG module addresses a different limitation of predictive models. A model can estimate risk, but scientists also need context. Why does ADMET matter? Why are graph neural networks useful? Why should uncertainty be communicated? Why is explainability important in chemistry? The RAG module retrieves concise evidence snippets from a literature-style corpus. In a production system, this could be replaced by PubMed, internal documents, patents, and clinical trial databases.</w:t>
      </w:r>
    </w:p>
    <w:p>
      <w:pPr>
        <w:spacing w:after="120" w:line="269" w:lineRule="auto"/>
      </w:pPr>
      <w:r>
        <w:t>The interview value of this module is that it shows awareness of modern AI architecture. Enterprise AI systems increasingly combine structured prediction with unstructured knowledge retrieval. A drug discovery team might use models to rank molecules and use RAG to summarize literature about targets, toxicity mechanisms, assay protocols, or known chemical liabilities. V3 demonstrates the pattern in a controlled and deployable way.</w:t>
      </w:r>
    </w:p>
    <w:p>
      <w:pPr>
        <w:pStyle w:val="Heading2"/>
      </w:pPr>
      <w:r>
        <w:t>10. Deployment and MLOps</w:t>
      </w:r>
    </w:p>
    <w:p>
      <w:pPr>
        <w:spacing w:after="120" w:line="269" w:lineRule="auto"/>
      </w:pPr>
      <w:r>
        <w:t>The V3 project includes several deployment paths. Streamlit is used for the scientist-facing dashboard. It lets users enter SMILES strings, run V3 analysis, view ranked candidates, inspect reliability explanations, view graph summaries, review feature attributions, retrieve literature context, and download a CSV. FastAPI provides programmatic access through health, analyze, and lookup endpoints. Docker provides reproducible runtime packaging. GitHub Actions provides continuous integration. MLflow-ready tracking provides a pattern for experiment logging.</w:t>
      </w:r>
    </w:p>
    <w:p>
      <w:pPr>
        <w:spacing w:after="120" w:line="269" w:lineRule="auto"/>
      </w:pPr>
      <w:r>
        <w:t>These features matter in interviews because they show the ability to think beyond model accuracy. In real organizations, models need to be packaged, deployed, monitored, tested, versioned, and explained. A data scientist who can discuss both modeling and MLOps is more valuable than someone who only trains models in notebooks.</w:t>
      </w:r>
    </w:p>
    <w:p>
      <w:pPr>
        <w:pStyle w:val="Heading2"/>
      </w:pPr>
      <w:r>
        <w:t>11. Validation strategy</w:t>
      </w:r>
    </w:p>
    <w:p>
      <w:pPr>
        <w:spacing w:after="120" w:line="269" w:lineRule="auto"/>
      </w:pPr>
      <w:r>
        <w:t>The validation strategy has multiple levels. First, unit tests validate the pipeline, graph embedding, RAG retrieval, and data connector fallback behavior. Second, local Streamlit validation confirms that the user interface runs and produces outputs for representative molecules. Third, API validation confirms that FastAPI endpoints are available. Fourth, deployment validation confirms Docker and CI/CD readiness. Fifth, scientific validation would require benchmark datasets with experimental ADMET labels.</w:t>
      </w:r>
    </w:p>
    <w:p>
      <w:pPr>
        <w:spacing w:after="120" w:line="269" w:lineRule="auto"/>
      </w:pPr>
      <w:r>
        <w:t>For interview purposes, I would clearly separate software validation from scientific validation. The V3 package validates that the software workflow runs end-to-end. It does not claim clinical-grade predictive accuracy. A production version would require curated datasets, train/validation/test splits, external validation sets, calibration assessment, uncertainty calibration, domain-of-applicability testing, and prospective experimental confirmation.</w:t>
      </w:r>
    </w:p>
    <w:p>
      <w:pPr>
        <w:pStyle w:val="Heading2"/>
      </w:pPr>
      <w:r>
        <w:t>12. Business impact</w:t>
      </w:r>
    </w:p>
    <w:p>
      <w:pPr>
        <w:spacing w:after="120" w:line="269" w:lineRule="auto"/>
      </w:pPr>
      <w:r>
        <w:t>The business impact of this system is faster and more transparent candidate prioritization. It can reduce the time scientists spend manually triaging obvious poor candidates. It can improve communication between data scientists and medicinal chemists by providing explanations and reliability labels. It can support portfolio decisions by ranking compounds into advance, review, deprioritize, or reject categories. It can also create a framework for continuous learning as new experimental data becomes available.</w:t>
      </w:r>
    </w:p>
    <w:p>
      <w:pPr>
        <w:spacing w:after="120" w:line="269" w:lineRule="auto"/>
      </w:pPr>
      <w:r>
        <w:t>The platform can be positioned as a decision-support system rather than a replacement for scientific judgment. This is important. In pharmaceutical research, the best AI systems augment expert scientists. They help prioritize experiments, expose risks, organize evidence, and communicate uncertainty. V3 is designed around that philosophy.</w:t>
      </w:r>
    </w:p>
    <w:p>
      <w:pPr>
        <w:pStyle w:val="Heading2"/>
      </w:pPr>
      <w:r>
        <w:t>13. Interview talking points</w:t>
      </w:r>
    </w:p>
    <w:p>
      <w:pPr>
        <w:spacing w:after="120" w:line="269" w:lineRule="auto"/>
      </w:pPr>
      <w:r>
        <w:t>A concise interview summary would be: “I built a V3 enterprise pharmaceutical AI platform that extends a validated V2 Streamlit ADMET demo into a modular drug discovery decision-support system. The system accepts SMILES strings, calculates molecular descriptors and graph-ready representations, predicts multiple ADMET and toxicity endpoints, estimates uncertainty and reliability, produces feature attributions, retrieves literature-style evidence, exposes both Streamlit and FastAPI interfaces, and includes Docker, MLflow-ready tracking, and CI/CD structure. I designed it to be deployable in lightweight environments but extensible to RDKit, PyTorch Geometric, SHAP, and real public or proprietary datasets.”</w:t>
      </w:r>
    </w:p>
    <w:p>
      <w:pPr>
        <w:spacing w:after="120" w:line="269" w:lineRule="auto"/>
      </w:pPr>
      <w:r>
        <w:t>If asked about limitations, I would say: “The current package is a portfolio and architecture prototype. It uses proxy models so that it can run without proprietary ADMET labels. The next step would be to train and validate the multi-task model on curated ChEMBL, Tox21, ESOL, BBBP, ClinTox, and internal assay datasets, then calibrate uncertainty using held-out validation data.”</w:t>
      </w:r>
    </w:p>
    <w:p>
      <w:pPr>
        <w:spacing w:after="120" w:line="269" w:lineRule="auto"/>
      </w:pPr>
      <w:r>
        <w:t>If asked why uncertainty matters, I would say: “In pharmaceutical modeling, an overconfident wrong prediction can waste chemistry cycles and experimental resources. I added reliability scoring so that every prediction is accompanied by an applicability-domain assessment, ensemble disagreement estimate, and decision-boundary uncertainty indicator.”</w:t>
      </w:r>
    </w:p>
    <w:p>
      <w:pPr>
        <w:spacing w:after="120" w:line="269" w:lineRule="auto"/>
      </w:pPr>
      <w:r>
        <w:t>If asked why graph neural networks matter, I would say: “Descriptors are useful and interpretable, but molecules are naturally graphs. GNNs allow the model to learn atom-bond structure and substructure patterns directly, which can improve property prediction when enough labeled data is available.”</w:t>
      </w:r>
    </w:p>
    <w:p>
      <w:pPr>
        <w:pStyle w:val="Heading2"/>
      </w:pPr>
      <w:r>
        <w:t>14. Roadmap</w:t>
      </w:r>
    </w:p>
    <w:p>
      <w:pPr>
        <w:spacing w:after="120" w:line="269" w:lineRule="auto"/>
      </w:pPr>
      <w:r>
        <w:t>The next roadmap step is to replace proxy functions with trained models. The first production milestone would be a curated public dataset pipeline using MoleculeNet-style benchmarks and ChEMBL activities. The second milestone would be a real multi-task model with calibrated validation metrics. The third milestone would be graph neural network training with PyTorch Geometric. The fourth milestone would be SHAP and substructure attribution for trained models. The fifth milestone would be full PubMed/Entrez and patent RAG. The sixth milestone would be cloud deployment with model registry, monitoring, and governance.</w:t>
      </w:r>
    </w:p>
    <w:p>
      <w:pPr>
        <w:pStyle w:val="Heading2"/>
      </w:pPr>
      <w:r>
        <w:t>15. Conclusion</w:t>
      </w:r>
    </w:p>
    <w:p>
      <w:pPr>
        <w:spacing w:after="120" w:line="269" w:lineRule="auto"/>
      </w:pPr>
      <w:r>
        <w:t>V3 demonstrates the full progression from prototype to platform. V1 was a generative drug discovery concept. V2.1 was a validated pharmaceutical ML application. V3 is an enterprise architecture that integrates molecular AI, ADMET prediction, uncertainty, explainability, literature intelligence, and deployment infrastructure. It is strong interview material because it shows not only technical modeling skills but also system design, scientific communication, and product thinking.</w:t>
      </w:r>
    </w:p>
    <w:p>
      <w:r>
        <w:br w:type="page"/>
      </w:r>
    </w:p>
    <w:p>
      <w:pPr>
        <w:pStyle w:val="Heading1"/>
      </w:pPr>
      <w:r>
        <w:t>Appendix: Demo Script</w:t>
      </w:r>
    </w:p>
    <w:p>
      <w:pPr>
        <w:pStyle w:val="ListBullet"/>
      </w:pPr>
      <w:r>
        <w:t>Open the Streamlit app and enter aspirin, caffeine, and ethanol SMILES strings.</w:t>
      </w:r>
    </w:p>
    <w:p>
      <w:pPr>
        <w:pStyle w:val="ListBullet"/>
      </w:pPr>
      <w:r>
        <w:t>Show the ranked candidate table with development priority, ADMET probabilities, toxicity risk, and reliability label.</w:t>
      </w:r>
    </w:p>
    <w:p>
      <w:pPr>
        <w:pStyle w:val="ListBullet"/>
      </w:pPr>
      <w:r>
        <w:t>Open a candidate expander and explain reliability, feature attribution, graph embedding, and literature evidence.</w:t>
      </w:r>
    </w:p>
    <w:p>
      <w:pPr>
        <w:pStyle w:val="ListBullet"/>
      </w:pPr>
      <w:r>
        <w:t>Explain that V3 is software-validated and architecture-ready, while production scientific validation requires curated experimental 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24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962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24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