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2D79B3" w14:textId="77777777" w:rsidR="00876855" w:rsidRDefault="00876855" w:rsidP="00876855">
      <w:pPr>
        <w:jc w:val="center"/>
      </w:pPr>
      <w:r>
        <w:rPr>
          <w:b/>
          <w:color w:val="14416E"/>
          <w:sz w:val="44"/>
        </w:rPr>
        <w:t>Scientific ML Drug Discovery Platform V4.1</w:t>
      </w:r>
    </w:p>
    <w:p w14:paraId="30A28372" w14:textId="77777777" w:rsidR="00876855" w:rsidRDefault="00876855" w:rsidP="00876855">
      <w:pPr>
        <w:jc w:val="center"/>
      </w:pPr>
      <w:r>
        <w:rPr>
          <w:b/>
          <w:sz w:val="28"/>
        </w:rPr>
        <w:t>Publication-Quality Interview Narrative and Executive Project Report</w:t>
      </w:r>
    </w:p>
    <w:p w14:paraId="659987D3" w14:textId="77777777" w:rsidR="00876855" w:rsidRDefault="00876855" w:rsidP="00876855">
      <w:pPr>
        <w:jc w:val="center"/>
      </w:pPr>
      <w:r>
        <w:rPr>
          <w:i/>
        </w:rPr>
        <w:t xml:space="preserve">Scaffold-aware ADMET benchmarking · uncertainty-aware ranking · explainability · evidence retrieval · deployable </w:t>
      </w:r>
      <w:proofErr w:type="spellStart"/>
      <w:r>
        <w:rPr>
          <w:i/>
        </w:rPr>
        <w:t>MLOps</w:t>
      </w:r>
      <w:proofErr w:type="spellEnd"/>
    </w:p>
    <w:p w14:paraId="4DFC9A92" w14:textId="77777777" w:rsidR="00876855" w:rsidRDefault="00876855" w:rsidP="00876855">
      <w:r>
        <w:t>Scientific disclaimer: This is a portfolio and decision-support research prototype. It is not a validated medicinal-chemistry, clinical, regulatory, or production system. Example outputs must not be interpreted as experimental evidence.</w:t>
      </w:r>
    </w:p>
    <w:p w14:paraId="6EC2A29C" w14:textId="77777777" w:rsidR="00876855" w:rsidRDefault="00876855" w:rsidP="00876855">
      <w:pPr>
        <w:pStyle w:val="Heading1"/>
      </w:pPr>
      <w:r>
        <w:t>1. Executive summary</w:t>
      </w:r>
    </w:p>
    <w:p w14:paraId="3BE53721" w14:textId="77777777" w:rsidR="00876855" w:rsidRDefault="00876855" w:rsidP="00876855">
      <w:r>
        <w:t>Scientific ML Drug Discovery Platform V4.1 is an enterprise-style pharmaceutical AI project designed to support early-stage candidate prioritization. It connects molecular input processing, cheminformatics, machine learning baselines, ADMET decision support, uncertainty estimation, explainability, evidence retrieval, and deployable app/API interfaces into one reproducible workflow. The strongest improvement in V4.1 is the shift from architecture demonstration toward scientific benchmarking.</w:t>
      </w:r>
    </w:p>
    <w:p w14:paraId="6380BB96" w14:textId="77777777" w:rsidR="00876855" w:rsidRDefault="00876855" w:rsidP="00876855">
      <w:pPr>
        <w:pStyle w:val="Heading1"/>
      </w:pPr>
      <w:r>
        <w:t>2. Scientific question</w:t>
      </w:r>
    </w:p>
    <w:p w14:paraId="5CA95816" w14:textId="77777777" w:rsidR="00876855" w:rsidRDefault="00876855" w:rsidP="00876855">
      <w:r>
        <w:t>Can uncertainty-aware molecular machine learning improve the reliability of early-stage ADMET candidate prioritization compared with classical single-task baselines? The project does not assume the answer. It creates the software and evaluation structure necessary to test the question with reproducible experiments.</w:t>
      </w:r>
    </w:p>
    <w:p w14:paraId="67A521BA" w14:textId="77777777" w:rsidR="00876855" w:rsidRDefault="00876855" w:rsidP="00876855">
      <w:pPr>
        <w:pStyle w:val="Heading1"/>
      </w:pPr>
      <w:r>
        <w:t>3. Business and scientific problem</w:t>
      </w:r>
    </w:p>
    <w:p w14:paraId="450BBF53" w14:textId="77777777" w:rsidR="00876855" w:rsidRDefault="00876855" w:rsidP="00876855">
      <w:r>
        <w:t>Drug discovery is a multi-objective decision problem. A molecule can have promising target activity yet fail because of poor absorption, high toxicity, low solubility, CYP liability, insufficient exposure, or because the model is operating outside its applicability domain. A practical system must therefore communicate prediction, confidence, uncertainty, feature drivers, and evidence together.</w:t>
      </w:r>
    </w:p>
    <w:p w14:paraId="6EB7BC6D" w14:textId="77777777" w:rsidR="00876855" w:rsidRDefault="00876855" w:rsidP="00876855">
      <w:pPr>
        <w:pStyle w:val="Heading1"/>
      </w:pPr>
      <w:r>
        <w:t>4. V4.1 capabilities</w:t>
      </w:r>
    </w:p>
    <w:tbl>
      <w:tblPr>
        <w:tblStyle w:val="TableGrid"/>
        <w:tblW w:w="0" w:type="auto"/>
        <w:jc w:val="center"/>
        <w:tblLook w:val="04A0" w:firstRow="1" w:lastRow="0" w:firstColumn="1" w:lastColumn="0" w:noHBand="0" w:noVBand="1"/>
      </w:tblPr>
      <w:tblGrid>
        <w:gridCol w:w="3408"/>
        <w:gridCol w:w="3408"/>
        <w:gridCol w:w="3408"/>
      </w:tblGrid>
      <w:tr w:rsidR="00876855" w14:paraId="2F100A14" w14:textId="77777777" w:rsidTr="00FA533D">
        <w:trPr>
          <w:jc w:val="center"/>
        </w:trPr>
        <w:tc>
          <w:tcPr>
            <w:tcW w:w="3408" w:type="dxa"/>
            <w:shd w:val="clear" w:color="auto" w:fill="1F4E79"/>
            <w:vAlign w:val="center"/>
          </w:tcPr>
          <w:p w14:paraId="19C4834F" w14:textId="77777777" w:rsidR="00876855" w:rsidRDefault="00876855" w:rsidP="00FA533D">
            <w:r>
              <w:rPr>
                <w:b/>
                <w:color w:val="FFFFFF"/>
                <w:sz w:val="18"/>
              </w:rPr>
              <w:t>Area</w:t>
            </w:r>
          </w:p>
        </w:tc>
        <w:tc>
          <w:tcPr>
            <w:tcW w:w="3408" w:type="dxa"/>
            <w:shd w:val="clear" w:color="auto" w:fill="1F4E79"/>
            <w:vAlign w:val="center"/>
          </w:tcPr>
          <w:p w14:paraId="22EE1BC8" w14:textId="77777777" w:rsidR="00876855" w:rsidRDefault="00876855" w:rsidP="00FA533D">
            <w:r>
              <w:rPr>
                <w:b/>
                <w:color w:val="FFFFFF"/>
                <w:sz w:val="18"/>
              </w:rPr>
              <w:t>Capability</w:t>
            </w:r>
          </w:p>
        </w:tc>
        <w:tc>
          <w:tcPr>
            <w:tcW w:w="3408" w:type="dxa"/>
            <w:shd w:val="clear" w:color="auto" w:fill="1F4E79"/>
            <w:vAlign w:val="center"/>
          </w:tcPr>
          <w:p w14:paraId="23AC9655" w14:textId="77777777" w:rsidR="00876855" w:rsidRDefault="00876855" w:rsidP="00FA533D">
            <w:r>
              <w:rPr>
                <w:b/>
                <w:color w:val="FFFFFF"/>
                <w:sz w:val="18"/>
              </w:rPr>
              <w:t>Status</w:t>
            </w:r>
          </w:p>
        </w:tc>
      </w:tr>
      <w:tr w:rsidR="00876855" w14:paraId="0A93CA86" w14:textId="77777777" w:rsidTr="00FA533D">
        <w:trPr>
          <w:jc w:val="center"/>
        </w:trPr>
        <w:tc>
          <w:tcPr>
            <w:tcW w:w="3408" w:type="dxa"/>
            <w:vAlign w:val="center"/>
          </w:tcPr>
          <w:p w14:paraId="155F7AE2" w14:textId="77777777" w:rsidR="00876855" w:rsidRDefault="00876855" w:rsidP="00FA533D">
            <w:r>
              <w:rPr>
                <w:sz w:val="18"/>
              </w:rPr>
              <w:t>Chemistry</w:t>
            </w:r>
          </w:p>
        </w:tc>
        <w:tc>
          <w:tcPr>
            <w:tcW w:w="3408" w:type="dxa"/>
            <w:vAlign w:val="center"/>
          </w:tcPr>
          <w:p w14:paraId="0AF9ECDF" w14:textId="77777777" w:rsidR="00876855" w:rsidRDefault="00876855" w:rsidP="00FA533D">
            <w:proofErr w:type="spellStart"/>
            <w:r>
              <w:rPr>
                <w:sz w:val="18"/>
              </w:rPr>
              <w:t>RDKit</w:t>
            </w:r>
            <w:proofErr w:type="spellEnd"/>
            <w:r>
              <w:rPr>
                <w:sz w:val="18"/>
              </w:rPr>
              <w:t>-first validation, canonicalization, QED, descriptors</w:t>
            </w:r>
          </w:p>
        </w:tc>
        <w:tc>
          <w:tcPr>
            <w:tcW w:w="3408" w:type="dxa"/>
            <w:vAlign w:val="center"/>
          </w:tcPr>
          <w:p w14:paraId="3100E667" w14:textId="77777777" w:rsidR="00876855" w:rsidRDefault="00876855" w:rsidP="00FA533D">
            <w:r>
              <w:rPr>
                <w:sz w:val="18"/>
              </w:rPr>
              <w:t xml:space="preserve">Implemented when </w:t>
            </w:r>
            <w:proofErr w:type="spellStart"/>
            <w:r>
              <w:rPr>
                <w:sz w:val="18"/>
              </w:rPr>
              <w:t>RDKit</w:t>
            </w:r>
            <w:proofErr w:type="spellEnd"/>
            <w:r>
              <w:rPr>
                <w:sz w:val="18"/>
              </w:rPr>
              <w:t xml:space="preserve"> is available</w:t>
            </w:r>
          </w:p>
        </w:tc>
      </w:tr>
      <w:tr w:rsidR="00876855" w14:paraId="111394DB" w14:textId="77777777" w:rsidTr="00FA533D">
        <w:trPr>
          <w:jc w:val="center"/>
        </w:trPr>
        <w:tc>
          <w:tcPr>
            <w:tcW w:w="3408" w:type="dxa"/>
            <w:vAlign w:val="center"/>
          </w:tcPr>
          <w:p w14:paraId="62CD26A2" w14:textId="77777777" w:rsidR="00876855" w:rsidRDefault="00876855" w:rsidP="00FA533D">
            <w:r>
              <w:rPr>
                <w:sz w:val="18"/>
              </w:rPr>
              <w:t>Benchmarking</w:t>
            </w:r>
          </w:p>
        </w:tc>
        <w:tc>
          <w:tcPr>
            <w:tcW w:w="3408" w:type="dxa"/>
            <w:vAlign w:val="center"/>
          </w:tcPr>
          <w:p w14:paraId="734FF847" w14:textId="77777777" w:rsidR="00876855" w:rsidRDefault="00876855" w:rsidP="00FA533D">
            <w:r>
              <w:rPr>
                <w:sz w:val="18"/>
              </w:rPr>
              <w:t>Bemis-Murcko scaffold split and no-overlap assertion</w:t>
            </w:r>
          </w:p>
        </w:tc>
        <w:tc>
          <w:tcPr>
            <w:tcW w:w="3408" w:type="dxa"/>
            <w:vAlign w:val="center"/>
          </w:tcPr>
          <w:p w14:paraId="5DF4BD6B" w14:textId="77777777" w:rsidR="00876855" w:rsidRDefault="00876855" w:rsidP="00FA533D">
            <w:r>
              <w:rPr>
                <w:sz w:val="18"/>
              </w:rPr>
              <w:t>Implemented</w:t>
            </w:r>
          </w:p>
        </w:tc>
      </w:tr>
      <w:tr w:rsidR="00876855" w14:paraId="78E63B4C" w14:textId="77777777" w:rsidTr="00FA533D">
        <w:trPr>
          <w:jc w:val="center"/>
        </w:trPr>
        <w:tc>
          <w:tcPr>
            <w:tcW w:w="3408" w:type="dxa"/>
            <w:vAlign w:val="center"/>
          </w:tcPr>
          <w:p w14:paraId="37424703" w14:textId="77777777" w:rsidR="00876855" w:rsidRDefault="00876855" w:rsidP="00FA533D">
            <w:r>
              <w:rPr>
                <w:sz w:val="18"/>
              </w:rPr>
              <w:t>Baselines</w:t>
            </w:r>
          </w:p>
        </w:tc>
        <w:tc>
          <w:tcPr>
            <w:tcW w:w="3408" w:type="dxa"/>
            <w:vAlign w:val="center"/>
          </w:tcPr>
          <w:p w14:paraId="04AB1370" w14:textId="77777777" w:rsidR="00876855" w:rsidRDefault="00876855" w:rsidP="00FA533D">
            <w:r>
              <w:rPr>
                <w:sz w:val="18"/>
              </w:rPr>
              <w:t>Descriptor logistic regression and Morgan random forest</w:t>
            </w:r>
          </w:p>
        </w:tc>
        <w:tc>
          <w:tcPr>
            <w:tcW w:w="3408" w:type="dxa"/>
            <w:vAlign w:val="center"/>
          </w:tcPr>
          <w:p w14:paraId="32155EE5" w14:textId="77777777" w:rsidR="00876855" w:rsidRDefault="00876855" w:rsidP="00FA533D">
            <w:r>
              <w:rPr>
                <w:sz w:val="18"/>
              </w:rPr>
              <w:t>Implemented</w:t>
            </w:r>
          </w:p>
        </w:tc>
      </w:tr>
      <w:tr w:rsidR="00876855" w14:paraId="61C2B538" w14:textId="77777777" w:rsidTr="00FA533D">
        <w:trPr>
          <w:jc w:val="center"/>
        </w:trPr>
        <w:tc>
          <w:tcPr>
            <w:tcW w:w="3408" w:type="dxa"/>
            <w:vAlign w:val="center"/>
          </w:tcPr>
          <w:p w14:paraId="337DD715" w14:textId="77777777" w:rsidR="00876855" w:rsidRDefault="00876855" w:rsidP="00FA533D">
            <w:r>
              <w:rPr>
                <w:sz w:val="18"/>
              </w:rPr>
              <w:t>Metrics</w:t>
            </w:r>
          </w:p>
        </w:tc>
        <w:tc>
          <w:tcPr>
            <w:tcW w:w="3408" w:type="dxa"/>
            <w:vAlign w:val="center"/>
          </w:tcPr>
          <w:p w14:paraId="7DB11FDC" w14:textId="77777777" w:rsidR="00876855" w:rsidRDefault="00876855" w:rsidP="00FA533D">
            <w:r>
              <w:rPr>
                <w:sz w:val="18"/>
              </w:rPr>
              <w:t>ROC-AUC, PR-AUC, F1, balanced accuracy, Brier score</w:t>
            </w:r>
          </w:p>
        </w:tc>
        <w:tc>
          <w:tcPr>
            <w:tcW w:w="3408" w:type="dxa"/>
            <w:vAlign w:val="center"/>
          </w:tcPr>
          <w:p w14:paraId="0F2035F5" w14:textId="77777777" w:rsidR="00876855" w:rsidRDefault="00876855" w:rsidP="00FA533D">
            <w:r>
              <w:rPr>
                <w:sz w:val="18"/>
              </w:rPr>
              <w:t>Implemented</w:t>
            </w:r>
          </w:p>
        </w:tc>
      </w:tr>
      <w:tr w:rsidR="00876855" w14:paraId="55CE2916" w14:textId="77777777" w:rsidTr="00FA533D">
        <w:trPr>
          <w:jc w:val="center"/>
        </w:trPr>
        <w:tc>
          <w:tcPr>
            <w:tcW w:w="3408" w:type="dxa"/>
            <w:vAlign w:val="center"/>
          </w:tcPr>
          <w:p w14:paraId="05AF0E8C" w14:textId="77777777" w:rsidR="00876855" w:rsidRDefault="00876855" w:rsidP="00FA533D">
            <w:r>
              <w:rPr>
                <w:sz w:val="18"/>
              </w:rPr>
              <w:t>Reliability</w:t>
            </w:r>
          </w:p>
        </w:tc>
        <w:tc>
          <w:tcPr>
            <w:tcW w:w="3408" w:type="dxa"/>
            <w:vAlign w:val="center"/>
          </w:tcPr>
          <w:p w14:paraId="27CDC53C" w14:textId="77777777" w:rsidR="00876855" w:rsidRDefault="00876855" w:rsidP="00FA533D">
            <w:r>
              <w:rPr>
                <w:sz w:val="18"/>
              </w:rPr>
              <w:t>Confidence, uncertainty, reliability label, review routing</w:t>
            </w:r>
          </w:p>
        </w:tc>
        <w:tc>
          <w:tcPr>
            <w:tcW w:w="3408" w:type="dxa"/>
            <w:vAlign w:val="center"/>
          </w:tcPr>
          <w:p w14:paraId="1C14675D" w14:textId="77777777" w:rsidR="00876855" w:rsidRDefault="00876855" w:rsidP="00FA533D">
            <w:r>
              <w:rPr>
                <w:sz w:val="18"/>
              </w:rPr>
              <w:t>Implemented</w:t>
            </w:r>
          </w:p>
        </w:tc>
      </w:tr>
      <w:tr w:rsidR="00876855" w14:paraId="0C181680" w14:textId="77777777" w:rsidTr="00FA533D">
        <w:trPr>
          <w:jc w:val="center"/>
        </w:trPr>
        <w:tc>
          <w:tcPr>
            <w:tcW w:w="3408" w:type="dxa"/>
            <w:vAlign w:val="center"/>
          </w:tcPr>
          <w:p w14:paraId="610B03B6" w14:textId="77777777" w:rsidR="00876855" w:rsidRDefault="00876855" w:rsidP="00FA533D">
            <w:r>
              <w:rPr>
                <w:sz w:val="18"/>
              </w:rPr>
              <w:t>Explainability</w:t>
            </w:r>
          </w:p>
        </w:tc>
        <w:tc>
          <w:tcPr>
            <w:tcW w:w="3408" w:type="dxa"/>
            <w:vAlign w:val="center"/>
          </w:tcPr>
          <w:p w14:paraId="7E9A4B55" w14:textId="77777777" w:rsidR="00876855" w:rsidRDefault="00876855" w:rsidP="00FA533D">
            <w:r>
              <w:rPr>
                <w:sz w:val="18"/>
              </w:rPr>
              <w:t>Feature attribution and SHAP-ready design</w:t>
            </w:r>
          </w:p>
        </w:tc>
        <w:tc>
          <w:tcPr>
            <w:tcW w:w="3408" w:type="dxa"/>
            <w:vAlign w:val="center"/>
          </w:tcPr>
          <w:p w14:paraId="00490381" w14:textId="77777777" w:rsidR="00876855" w:rsidRDefault="00876855" w:rsidP="00FA533D">
            <w:r>
              <w:rPr>
                <w:sz w:val="18"/>
              </w:rPr>
              <w:t>Implemented fallback; optional SHAP</w:t>
            </w:r>
          </w:p>
        </w:tc>
      </w:tr>
      <w:tr w:rsidR="00876855" w14:paraId="0BE599FB" w14:textId="77777777" w:rsidTr="00FA533D">
        <w:trPr>
          <w:jc w:val="center"/>
        </w:trPr>
        <w:tc>
          <w:tcPr>
            <w:tcW w:w="3408" w:type="dxa"/>
            <w:vAlign w:val="center"/>
          </w:tcPr>
          <w:p w14:paraId="1323ED8B" w14:textId="77777777" w:rsidR="00876855" w:rsidRDefault="00876855" w:rsidP="00FA533D">
            <w:r>
              <w:rPr>
                <w:sz w:val="18"/>
              </w:rPr>
              <w:t>Evidence</w:t>
            </w:r>
          </w:p>
        </w:tc>
        <w:tc>
          <w:tcPr>
            <w:tcW w:w="3408" w:type="dxa"/>
            <w:vAlign w:val="center"/>
          </w:tcPr>
          <w:p w14:paraId="645CA276" w14:textId="77777777" w:rsidR="00876855" w:rsidRDefault="00876855" w:rsidP="00FA533D">
            <w:r>
              <w:rPr>
                <w:sz w:val="18"/>
              </w:rPr>
              <w:t>PubMed-style retrieval pattern</w:t>
            </w:r>
          </w:p>
        </w:tc>
        <w:tc>
          <w:tcPr>
            <w:tcW w:w="3408" w:type="dxa"/>
            <w:vAlign w:val="center"/>
          </w:tcPr>
          <w:p w14:paraId="50D16391" w14:textId="77777777" w:rsidR="00876855" w:rsidRDefault="00876855" w:rsidP="00FA533D">
            <w:r>
              <w:rPr>
                <w:sz w:val="18"/>
              </w:rPr>
              <w:t>Interface/demo ready</w:t>
            </w:r>
          </w:p>
        </w:tc>
      </w:tr>
      <w:tr w:rsidR="00876855" w14:paraId="439FC6AF" w14:textId="77777777" w:rsidTr="00FA533D">
        <w:trPr>
          <w:jc w:val="center"/>
        </w:trPr>
        <w:tc>
          <w:tcPr>
            <w:tcW w:w="3408" w:type="dxa"/>
            <w:vAlign w:val="center"/>
          </w:tcPr>
          <w:p w14:paraId="0250DFAB" w14:textId="77777777" w:rsidR="00876855" w:rsidRDefault="00876855" w:rsidP="00FA533D">
            <w:r>
              <w:rPr>
                <w:sz w:val="18"/>
              </w:rPr>
              <w:t>Deployment</w:t>
            </w:r>
          </w:p>
        </w:tc>
        <w:tc>
          <w:tcPr>
            <w:tcW w:w="3408" w:type="dxa"/>
            <w:vAlign w:val="center"/>
          </w:tcPr>
          <w:p w14:paraId="73A16069" w14:textId="77777777" w:rsidR="00876855" w:rsidRDefault="00876855" w:rsidP="00FA533D">
            <w:proofErr w:type="spellStart"/>
            <w:r>
              <w:rPr>
                <w:sz w:val="18"/>
              </w:rPr>
              <w:t>Streamlit</w:t>
            </w:r>
            <w:proofErr w:type="spellEnd"/>
            <w:r>
              <w:rPr>
                <w:sz w:val="18"/>
              </w:rPr>
              <w:t xml:space="preserve">, </w:t>
            </w:r>
            <w:proofErr w:type="spellStart"/>
            <w:r>
              <w:rPr>
                <w:sz w:val="18"/>
              </w:rPr>
              <w:t>FastAPI</w:t>
            </w:r>
            <w:proofErr w:type="spellEnd"/>
            <w:r>
              <w:rPr>
                <w:sz w:val="18"/>
              </w:rPr>
              <w:t>-ready, Docker/</w:t>
            </w:r>
            <w:proofErr w:type="spellStart"/>
            <w:r>
              <w:rPr>
                <w:sz w:val="18"/>
              </w:rPr>
              <w:t>MLflow</w:t>
            </w:r>
            <w:proofErr w:type="spellEnd"/>
            <w:r>
              <w:rPr>
                <w:sz w:val="18"/>
              </w:rPr>
              <w:t>/CI patterns</w:t>
            </w:r>
          </w:p>
        </w:tc>
        <w:tc>
          <w:tcPr>
            <w:tcW w:w="3408" w:type="dxa"/>
            <w:vAlign w:val="center"/>
          </w:tcPr>
          <w:p w14:paraId="10FC8C51" w14:textId="77777777" w:rsidR="00876855" w:rsidRDefault="00876855" w:rsidP="00FA533D">
            <w:r>
              <w:rPr>
                <w:sz w:val="18"/>
              </w:rPr>
              <w:t>Architecture ready</w:t>
            </w:r>
          </w:p>
        </w:tc>
      </w:tr>
    </w:tbl>
    <w:p w14:paraId="6395F772" w14:textId="77777777" w:rsidR="00876855" w:rsidRDefault="00876855" w:rsidP="00876855">
      <w:pPr>
        <w:pStyle w:val="Heading1"/>
      </w:pPr>
      <w:r>
        <w:lastRenderedPageBreak/>
        <w:t>5. Scientific workflow</w:t>
      </w:r>
    </w:p>
    <w:p w14:paraId="0B42C262" w14:textId="77777777" w:rsidR="00876855" w:rsidRDefault="00876855" w:rsidP="00876855">
      <w:pPr>
        <w:ind w:left="360"/>
      </w:pPr>
      <w:r>
        <w:rPr>
          <w:rFonts w:ascii="Consolas" w:hAnsi="Consolas"/>
          <w:sz w:val="17"/>
        </w:rPr>
        <w:t>Public molecular data</w:t>
      </w:r>
      <w:r>
        <w:rPr>
          <w:rFonts w:ascii="Consolas" w:hAnsi="Consolas"/>
          <w:sz w:val="17"/>
        </w:rPr>
        <w:br/>
        <w:t xml:space="preserve">  -&gt; SMILES validation and canonicalization</w:t>
      </w:r>
      <w:r>
        <w:rPr>
          <w:rFonts w:ascii="Consolas" w:hAnsi="Consolas"/>
          <w:sz w:val="17"/>
        </w:rPr>
        <w:br/>
        <w:t xml:space="preserve">  -&gt; </w:t>
      </w:r>
      <w:proofErr w:type="spellStart"/>
      <w:r>
        <w:rPr>
          <w:rFonts w:ascii="Consolas" w:hAnsi="Consolas"/>
          <w:sz w:val="17"/>
        </w:rPr>
        <w:t>RDKit</w:t>
      </w:r>
      <w:proofErr w:type="spellEnd"/>
      <w:r>
        <w:rPr>
          <w:rFonts w:ascii="Consolas" w:hAnsi="Consolas"/>
          <w:sz w:val="17"/>
        </w:rPr>
        <w:t xml:space="preserve"> descriptors / Morgan fingerprints / molecular graphs</w:t>
      </w:r>
      <w:r>
        <w:rPr>
          <w:rFonts w:ascii="Consolas" w:hAnsi="Consolas"/>
          <w:sz w:val="17"/>
        </w:rPr>
        <w:br/>
        <w:t xml:space="preserve">  -&gt; Bemis-Murcko scaffold-aware splitting</w:t>
      </w:r>
      <w:r>
        <w:rPr>
          <w:rFonts w:ascii="Consolas" w:hAnsi="Consolas"/>
          <w:sz w:val="17"/>
        </w:rPr>
        <w:br/>
        <w:t xml:space="preserve">  -&gt; Classical baselines and model comparisons</w:t>
      </w:r>
      <w:r>
        <w:rPr>
          <w:rFonts w:ascii="Consolas" w:hAnsi="Consolas"/>
          <w:sz w:val="17"/>
        </w:rPr>
        <w:br/>
        <w:t xml:space="preserve">  -&gt; ROC-AUC / PR-AUC / F1 / Brier score / calibration</w:t>
      </w:r>
      <w:r>
        <w:rPr>
          <w:rFonts w:ascii="Consolas" w:hAnsi="Consolas"/>
          <w:sz w:val="17"/>
        </w:rPr>
        <w:br/>
        <w:t xml:space="preserve">  -&gt; Uncertainty and applicability-domain analysis</w:t>
      </w:r>
      <w:r>
        <w:rPr>
          <w:rFonts w:ascii="Consolas" w:hAnsi="Consolas"/>
          <w:sz w:val="17"/>
        </w:rPr>
        <w:br/>
        <w:t xml:space="preserve">  -&gt; Explainability and literature evidence</w:t>
      </w:r>
      <w:r>
        <w:rPr>
          <w:rFonts w:ascii="Consolas" w:hAnsi="Consolas"/>
          <w:sz w:val="17"/>
        </w:rPr>
        <w:br/>
        <w:t xml:space="preserve">  -&gt; Scientist review</w:t>
      </w:r>
      <w:r>
        <w:rPr>
          <w:rFonts w:ascii="Consolas" w:hAnsi="Consolas"/>
          <w:sz w:val="17"/>
        </w:rPr>
        <w:br/>
      </w:r>
    </w:p>
    <w:p w14:paraId="1B27E7A5" w14:textId="77777777" w:rsidR="00876855" w:rsidRDefault="00876855" w:rsidP="00876855">
      <w:pPr>
        <w:pStyle w:val="Heading1"/>
      </w:pPr>
      <w:r>
        <w:t>6. Dataset strategy</w:t>
      </w:r>
    </w:p>
    <w:p w14:paraId="64EE67B3" w14:textId="77777777" w:rsidR="00876855" w:rsidRDefault="00876855" w:rsidP="00876855">
      <w:r>
        <w:t xml:space="preserve">The project keeps demonstration data separate from benchmark data. data/demo_smiles.csv should remain unlabeled and should not be overwritten. Scientific benchmarks require labeled datasets with columns such as </w:t>
      </w:r>
      <w:proofErr w:type="spellStart"/>
      <w:proofErr w:type="gramStart"/>
      <w:r>
        <w:t>smiles,target</w:t>
      </w:r>
      <w:proofErr w:type="spellEnd"/>
      <w:proofErr w:type="gramEnd"/>
      <w:r>
        <w:t>.</w:t>
      </w:r>
    </w:p>
    <w:tbl>
      <w:tblPr>
        <w:tblStyle w:val="TableGrid"/>
        <w:tblW w:w="0" w:type="auto"/>
        <w:jc w:val="center"/>
        <w:tblLook w:val="04A0" w:firstRow="1" w:lastRow="0" w:firstColumn="1" w:lastColumn="0" w:noHBand="0" w:noVBand="1"/>
      </w:tblPr>
      <w:tblGrid>
        <w:gridCol w:w="2556"/>
        <w:gridCol w:w="2556"/>
        <w:gridCol w:w="2556"/>
        <w:gridCol w:w="2556"/>
      </w:tblGrid>
      <w:tr w:rsidR="00876855" w14:paraId="4C29B4FA" w14:textId="77777777" w:rsidTr="00FA533D">
        <w:trPr>
          <w:jc w:val="center"/>
        </w:trPr>
        <w:tc>
          <w:tcPr>
            <w:tcW w:w="2556" w:type="dxa"/>
            <w:shd w:val="clear" w:color="auto" w:fill="1F4E79"/>
            <w:vAlign w:val="center"/>
          </w:tcPr>
          <w:p w14:paraId="290D382A" w14:textId="77777777" w:rsidR="00876855" w:rsidRDefault="00876855" w:rsidP="00FA533D">
            <w:r>
              <w:rPr>
                <w:b/>
                <w:color w:val="FFFFFF"/>
                <w:sz w:val="18"/>
              </w:rPr>
              <w:t>Dataset</w:t>
            </w:r>
          </w:p>
        </w:tc>
        <w:tc>
          <w:tcPr>
            <w:tcW w:w="2556" w:type="dxa"/>
            <w:shd w:val="clear" w:color="auto" w:fill="1F4E79"/>
            <w:vAlign w:val="center"/>
          </w:tcPr>
          <w:p w14:paraId="7B305994" w14:textId="77777777" w:rsidR="00876855" w:rsidRDefault="00876855" w:rsidP="00FA533D">
            <w:r>
              <w:rPr>
                <w:b/>
                <w:color w:val="FFFFFF"/>
                <w:sz w:val="18"/>
              </w:rPr>
              <w:t>Endpoint</w:t>
            </w:r>
          </w:p>
        </w:tc>
        <w:tc>
          <w:tcPr>
            <w:tcW w:w="2556" w:type="dxa"/>
            <w:shd w:val="clear" w:color="auto" w:fill="1F4E79"/>
            <w:vAlign w:val="center"/>
          </w:tcPr>
          <w:p w14:paraId="08E9770F" w14:textId="77777777" w:rsidR="00876855" w:rsidRDefault="00876855" w:rsidP="00FA533D">
            <w:r>
              <w:rPr>
                <w:b/>
                <w:color w:val="FFFFFF"/>
                <w:sz w:val="18"/>
              </w:rPr>
              <w:t>Source</w:t>
            </w:r>
          </w:p>
        </w:tc>
        <w:tc>
          <w:tcPr>
            <w:tcW w:w="2556" w:type="dxa"/>
            <w:shd w:val="clear" w:color="auto" w:fill="1F4E79"/>
            <w:vAlign w:val="center"/>
          </w:tcPr>
          <w:p w14:paraId="7F892A53" w14:textId="77777777" w:rsidR="00876855" w:rsidRDefault="00876855" w:rsidP="00FA533D">
            <w:r>
              <w:rPr>
                <w:b/>
                <w:color w:val="FFFFFF"/>
                <w:sz w:val="18"/>
              </w:rPr>
              <w:t>Recommendation</w:t>
            </w:r>
          </w:p>
        </w:tc>
      </w:tr>
      <w:tr w:rsidR="00876855" w14:paraId="39C60CFA" w14:textId="77777777" w:rsidTr="00FA533D">
        <w:trPr>
          <w:jc w:val="center"/>
        </w:trPr>
        <w:tc>
          <w:tcPr>
            <w:tcW w:w="2556" w:type="dxa"/>
            <w:vAlign w:val="center"/>
          </w:tcPr>
          <w:p w14:paraId="7710BA33" w14:textId="77777777" w:rsidR="00876855" w:rsidRDefault="00876855" w:rsidP="00FA533D">
            <w:r>
              <w:rPr>
                <w:sz w:val="18"/>
              </w:rPr>
              <w:t>BBBP</w:t>
            </w:r>
          </w:p>
        </w:tc>
        <w:tc>
          <w:tcPr>
            <w:tcW w:w="2556" w:type="dxa"/>
            <w:vAlign w:val="center"/>
          </w:tcPr>
          <w:p w14:paraId="57C43F7F" w14:textId="77777777" w:rsidR="00876855" w:rsidRDefault="00876855" w:rsidP="00FA533D">
            <w:r>
              <w:rPr>
                <w:sz w:val="18"/>
              </w:rPr>
              <w:t>Blood-brain barrier penetration</w:t>
            </w:r>
          </w:p>
        </w:tc>
        <w:tc>
          <w:tcPr>
            <w:tcW w:w="2556" w:type="dxa"/>
            <w:vAlign w:val="center"/>
          </w:tcPr>
          <w:p w14:paraId="1EC4C67A" w14:textId="77777777" w:rsidR="00876855" w:rsidRDefault="00876855" w:rsidP="00FA533D">
            <w:proofErr w:type="spellStart"/>
            <w:r>
              <w:rPr>
                <w:sz w:val="18"/>
              </w:rPr>
              <w:t>DeepChem</w:t>
            </w:r>
            <w:proofErr w:type="spellEnd"/>
            <w:r>
              <w:rPr>
                <w:sz w:val="18"/>
              </w:rPr>
              <w:t xml:space="preserve"> </w:t>
            </w:r>
            <w:proofErr w:type="spellStart"/>
            <w:r>
              <w:rPr>
                <w:sz w:val="18"/>
              </w:rPr>
              <w:t>MoleculeNet</w:t>
            </w:r>
            <w:proofErr w:type="spellEnd"/>
          </w:p>
        </w:tc>
        <w:tc>
          <w:tcPr>
            <w:tcW w:w="2556" w:type="dxa"/>
            <w:vAlign w:val="center"/>
          </w:tcPr>
          <w:p w14:paraId="7DFEF9E7" w14:textId="77777777" w:rsidR="00876855" w:rsidRDefault="00876855" w:rsidP="00FA533D">
            <w:r>
              <w:rPr>
                <w:sz w:val="18"/>
              </w:rPr>
              <w:t>Use first</w:t>
            </w:r>
          </w:p>
        </w:tc>
      </w:tr>
      <w:tr w:rsidR="00876855" w14:paraId="03BAB59F" w14:textId="77777777" w:rsidTr="00FA533D">
        <w:trPr>
          <w:jc w:val="center"/>
        </w:trPr>
        <w:tc>
          <w:tcPr>
            <w:tcW w:w="2556" w:type="dxa"/>
            <w:vAlign w:val="center"/>
          </w:tcPr>
          <w:p w14:paraId="7DECA89C" w14:textId="77777777" w:rsidR="00876855" w:rsidRDefault="00876855" w:rsidP="00FA533D">
            <w:proofErr w:type="spellStart"/>
            <w:r>
              <w:rPr>
                <w:sz w:val="18"/>
              </w:rPr>
              <w:t>ClinTox</w:t>
            </w:r>
            <w:proofErr w:type="spellEnd"/>
          </w:p>
        </w:tc>
        <w:tc>
          <w:tcPr>
            <w:tcW w:w="2556" w:type="dxa"/>
            <w:vAlign w:val="center"/>
          </w:tcPr>
          <w:p w14:paraId="7B0D680C" w14:textId="77777777" w:rsidR="00876855" w:rsidRDefault="00876855" w:rsidP="00FA533D">
            <w:r>
              <w:rPr>
                <w:sz w:val="18"/>
              </w:rPr>
              <w:t>Clinical toxicity</w:t>
            </w:r>
          </w:p>
        </w:tc>
        <w:tc>
          <w:tcPr>
            <w:tcW w:w="2556" w:type="dxa"/>
            <w:vAlign w:val="center"/>
          </w:tcPr>
          <w:p w14:paraId="4C5D8C78" w14:textId="77777777" w:rsidR="00876855" w:rsidRDefault="00876855" w:rsidP="00FA533D">
            <w:proofErr w:type="spellStart"/>
            <w:r>
              <w:rPr>
                <w:sz w:val="18"/>
              </w:rPr>
              <w:t>DeepChem</w:t>
            </w:r>
            <w:proofErr w:type="spellEnd"/>
            <w:r>
              <w:rPr>
                <w:sz w:val="18"/>
              </w:rPr>
              <w:t xml:space="preserve"> </w:t>
            </w:r>
            <w:proofErr w:type="spellStart"/>
            <w:r>
              <w:rPr>
                <w:sz w:val="18"/>
              </w:rPr>
              <w:t>MoleculeNet</w:t>
            </w:r>
            <w:proofErr w:type="spellEnd"/>
          </w:p>
        </w:tc>
        <w:tc>
          <w:tcPr>
            <w:tcW w:w="2556" w:type="dxa"/>
            <w:vAlign w:val="center"/>
          </w:tcPr>
          <w:p w14:paraId="3BE2B807" w14:textId="77777777" w:rsidR="00876855" w:rsidRDefault="00876855" w:rsidP="00FA533D">
            <w:r>
              <w:rPr>
                <w:sz w:val="18"/>
              </w:rPr>
              <w:t>Add next</w:t>
            </w:r>
          </w:p>
        </w:tc>
      </w:tr>
      <w:tr w:rsidR="00876855" w14:paraId="26ED99AE" w14:textId="77777777" w:rsidTr="00FA533D">
        <w:trPr>
          <w:jc w:val="center"/>
        </w:trPr>
        <w:tc>
          <w:tcPr>
            <w:tcW w:w="2556" w:type="dxa"/>
            <w:vAlign w:val="center"/>
          </w:tcPr>
          <w:p w14:paraId="2CD63668" w14:textId="77777777" w:rsidR="00876855" w:rsidRDefault="00876855" w:rsidP="00FA533D">
            <w:r>
              <w:rPr>
                <w:sz w:val="18"/>
              </w:rPr>
              <w:t>Tox21</w:t>
            </w:r>
          </w:p>
        </w:tc>
        <w:tc>
          <w:tcPr>
            <w:tcW w:w="2556" w:type="dxa"/>
            <w:vAlign w:val="center"/>
          </w:tcPr>
          <w:p w14:paraId="30F1FC9D" w14:textId="77777777" w:rsidR="00876855" w:rsidRDefault="00876855" w:rsidP="00FA533D">
            <w:r>
              <w:rPr>
                <w:sz w:val="18"/>
              </w:rPr>
              <w:t>Toxicity endpoint</w:t>
            </w:r>
          </w:p>
        </w:tc>
        <w:tc>
          <w:tcPr>
            <w:tcW w:w="2556" w:type="dxa"/>
            <w:vAlign w:val="center"/>
          </w:tcPr>
          <w:p w14:paraId="4E74DBCA" w14:textId="77777777" w:rsidR="00876855" w:rsidRDefault="00876855" w:rsidP="00FA533D">
            <w:proofErr w:type="spellStart"/>
            <w:r>
              <w:rPr>
                <w:sz w:val="18"/>
              </w:rPr>
              <w:t>DeepChem</w:t>
            </w:r>
            <w:proofErr w:type="spellEnd"/>
            <w:r>
              <w:rPr>
                <w:sz w:val="18"/>
              </w:rPr>
              <w:t xml:space="preserve"> </w:t>
            </w:r>
            <w:proofErr w:type="spellStart"/>
            <w:r>
              <w:rPr>
                <w:sz w:val="18"/>
              </w:rPr>
              <w:t>MoleculeNet</w:t>
            </w:r>
            <w:proofErr w:type="spellEnd"/>
          </w:p>
        </w:tc>
        <w:tc>
          <w:tcPr>
            <w:tcW w:w="2556" w:type="dxa"/>
            <w:vAlign w:val="center"/>
          </w:tcPr>
          <w:p w14:paraId="7420BC88" w14:textId="77777777" w:rsidR="00876855" w:rsidRDefault="00876855" w:rsidP="00FA533D">
            <w:r>
              <w:rPr>
                <w:sz w:val="18"/>
              </w:rPr>
              <w:t>Select one task and document it</w:t>
            </w:r>
          </w:p>
        </w:tc>
      </w:tr>
      <w:tr w:rsidR="00876855" w14:paraId="5B4B90AE" w14:textId="77777777" w:rsidTr="00FA533D">
        <w:trPr>
          <w:jc w:val="center"/>
        </w:trPr>
        <w:tc>
          <w:tcPr>
            <w:tcW w:w="2556" w:type="dxa"/>
            <w:vAlign w:val="center"/>
          </w:tcPr>
          <w:p w14:paraId="042D6DD3" w14:textId="77777777" w:rsidR="00876855" w:rsidRDefault="00876855" w:rsidP="00FA533D">
            <w:proofErr w:type="spellStart"/>
            <w:r>
              <w:rPr>
                <w:sz w:val="18"/>
              </w:rPr>
              <w:t>hERG</w:t>
            </w:r>
            <w:proofErr w:type="spellEnd"/>
          </w:p>
        </w:tc>
        <w:tc>
          <w:tcPr>
            <w:tcW w:w="2556" w:type="dxa"/>
            <w:vAlign w:val="center"/>
          </w:tcPr>
          <w:p w14:paraId="5DDAE150" w14:textId="77777777" w:rsidR="00876855" w:rsidRDefault="00876855" w:rsidP="00FA533D">
            <w:r>
              <w:rPr>
                <w:sz w:val="18"/>
              </w:rPr>
              <w:t>Cardiotoxicity</w:t>
            </w:r>
          </w:p>
        </w:tc>
        <w:tc>
          <w:tcPr>
            <w:tcW w:w="2556" w:type="dxa"/>
            <w:vAlign w:val="center"/>
          </w:tcPr>
          <w:p w14:paraId="3102939A" w14:textId="77777777" w:rsidR="00876855" w:rsidRDefault="00876855" w:rsidP="00FA533D">
            <w:r>
              <w:rPr>
                <w:sz w:val="18"/>
              </w:rPr>
              <w:t xml:space="preserve">TDC or curated </w:t>
            </w:r>
            <w:proofErr w:type="spellStart"/>
            <w:r>
              <w:rPr>
                <w:sz w:val="18"/>
              </w:rPr>
              <w:t>ChEMBL</w:t>
            </w:r>
            <w:proofErr w:type="spellEnd"/>
          </w:p>
        </w:tc>
        <w:tc>
          <w:tcPr>
            <w:tcW w:w="2556" w:type="dxa"/>
            <w:vAlign w:val="center"/>
          </w:tcPr>
          <w:p w14:paraId="4AE5571B" w14:textId="77777777" w:rsidR="00876855" w:rsidRDefault="00876855" w:rsidP="00FA533D">
            <w:r>
              <w:rPr>
                <w:sz w:val="18"/>
              </w:rPr>
              <w:t>Add later with assay curation</w:t>
            </w:r>
          </w:p>
        </w:tc>
      </w:tr>
    </w:tbl>
    <w:p w14:paraId="7CFA564C" w14:textId="77777777" w:rsidR="00876855" w:rsidRDefault="00876855" w:rsidP="00876855">
      <w:pPr>
        <w:pStyle w:val="Heading1"/>
      </w:pPr>
      <w:r>
        <w:t>7. Benchmark command</w:t>
      </w:r>
    </w:p>
    <w:p w14:paraId="2ACDA1D0" w14:textId="77777777" w:rsidR="00876855" w:rsidRDefault="00876855" w:rsidP="00876855">
      <w:pPr>
        <w:ind w:left="360"/>
      </w:pPr>
      <w:r>
        <w:rPr>
          <w:rFonts w:ascii="Consolas" w:hAnsi="Consolas"/>
          <w:sz w:val="17"/>
        </w:rPr>
        <w:t>PYTHONPATH=. python -u experiments/run_scientific_benchmark.py \</w:t>
      </w:r>
      <w:r>
        <w:rPr>
          <w:rFonts w:ascii="Consolas" w:hAnsi="Consolas"/>
          <w:sz w:val="17"/>
        </w:rPr>
        <w:br/>
        <w:t xml:space="preserve">  --input data/bbbp.csv \</w:t>
      </w:r>
      <w:r>
        <w:rPr>
          <w:rFonts w:ascii="Consolas" w:hAnsi="Consolas"/>
          <w:sz w:val="17"/>
        </w:rPr>
        <w:br/>
        <w:t xml:space="preserve">  --target </w:t>
      </w:r>
      <w:proofErr w:type="spellStart"/>
      <w:r>
        <w:rPr>
          <w:rFonts w:ascii="Consolas" w:hAnsi="Consolas"/>
          <w:sz w:val="17"/>
        </w:rPr>
        <w:t>target</w:t>
      </w:r>
      <w:proofErr w:type="spellEnd"/>
      <w:r>
        <w:rPr>
          <w:rFonts w:ascii="Consolas" w:hAnsi="Consolas"/>
          <w:sz w:val="17"/>
        </w:rPr>
        <w:t xml:space="preserve"> \</w:t>
      </w:r>
      <w:r>
        <w:rPr>
          <w:rFonts w:ascii="Consolas" w:hAnsi="Consolas"/>
          <w:sz w:val="17"/>
        </w:rPr>
        <w:br/>
        <w:t xml:space="preserve">  --output reports/bbbp_benchmark_table.csv \</w:t>
      </w:r>
      <w:r>
        <w:rPr>
          <w:rFonts w:ascii="Consolas" w:hAnsi="Consolas"/>
          <w:sz w:val="17"/>
        </w:rPr>
        <w:br/>
        <w:t xml:space="preserve">  2&gt;&amp;1 | tee reports/bbbp_benchmark.log</w:t>
      </w:r>
      <w:r>
        <w:rPr>
          <w:rFonts w:ascii="Consolas" w:hAnsi="Consolas"/>
          <w:sz w:val="17"/>
        </w:rPr>
        <w:br/>
      </w:r>
    </w:p>
    <w:p w14:paraId="2DC57A50" w14:textId="77777777" w:rsidR="00876855" w:rsidRDefault="00876855" w:rsidP="00876855">
      <w:pPr>
        <w:pStyle w:val="Heading1"/>
      </w:pPr>
      <w:r>
        <w:t>8. Candidate prioritization</w:t>
      </w:r>
    </w:p>
    <w:p w14:paraId="0BF2090F" w14:textId="77777777" w:rsidR="00876855" w:rsidRDefault="00876855" w:rsidP="00876855">
      <w:r>
        <w:t>The platform separates prediction from prioritization. A high model score is not treated as a validated candidate. The ranking layer penalizes high uncertainty, out-of-domain chemistry, and toxicity risk. Out-of-domain candidates should be routed to REVIEW rather than automatically advanced.</w:t>
      </w:r>
    </w:p>
    <w:p w14:paraId="5F524E8D" w14:textId="77777777" w:rsidR="00876855" w:rsidRDefault="00876855" w:rsidP="00876855">
      <w:pPr>
        <w:pStyle w:val="Heading1"/>
      </w:pPr>
      <w:r>
        <w:t>9. Interview talk track</w:t>
      </w:r>
    </w:p>
    <w:p w14:paraId="739C69B6" w14:textId="77777777" w:rsidR="00876855" w:rsidRDefault="00876855" w:rsidP="00876855">
      <w:r>
        <w:t xml:space="preserve">I evolved a </w:t>
      </w:r>
      <w:proofErr w:type="spellStart"/>
      <w:r>
        <w:t>Streamlit</w:t>
      </w:r>
      <w:proofErr w:type="spellEnd"/>
      <w:r>
        <w:t xml:space="preserve"> ADMET demo into a scientific ML drug discovery platform. The V4.1 system supports molecular feature engineering, scaffold-aware benchmarking, uncertainty-aware prioritization, explainability, literature evidence, and deployable </w:t>
      </w:r>
      <w:proofErr w:type="spellStart"/>
      <w:r>
        <w:t>MLOps</w:t>
      </w:r>
      <w:proofErr w:type="spellEnd"/>
      <w:r>
        <w:t>. I intentionally separate software validation from scientific validation, so any performance claim must be tied to a versioned dataset and reproducible experiment.</w:t>
      </w:r>
    </w:p>
    <w:p w14:paraId="529059EF" w14:textId="77777777" w:rsidR="00876855" w:rsidRDefault="00876855" w:rsidP="00876855">
      <w:pPr>
        <w:pStyle w:val="Heading1"/>
      </w:pPr>
      <w:r>
        <w:t>10. Validation strategy</w:t>
      </w:r>
    </w:p>
    <w:p w14:paraId="06D7188B" w14:textId="77777777" w:rsidR="00876855" w:rsidRDefault="00876855" w:rsidP="00876855">
      <w:pPr>
        <w:pStyle w:val="ListBullet"/>
      </w:pPr>
      <w:r>
        <w:t>Unit tests and import checks</w:t>
      </w:r>
    </w:p>
    <w:p w14:paraId="04D5437F" w14:textId="77777777" w:rsidR="00876855" w:rsidRDefault="00876855" w:rsidP="00876855">
      <w:pPr>
        <w:pStyle w:val="ListBullet"/>
      </w:pPr>
      <w:r>
        <w:lastRenderedPageBreak/>
        <w:t>Dataset schema validation</w:t>
      </w:r>
    </w:p>
    <w:p w14:paraId="048B1F0E" w14:textId="77777777" w:rsidR="00876855" w:rsidRDefault="00876855" w:rsidP="00876855">
      <w:pPr>
        <w:pStyle w:val="ListBullet"/>
      </w:pPr>
      <w:r>
        <w:t>No-overlap scaffold split verification</w:t>
      </w:r>
    </w:p>
    <w:p w14:paraId="68330D3D" w14:textId="77777777" w:rsidR="00876855" w:rsidRDefault="00876855" w:rsidP="00876855">
      <w:pPr>
        <w:pStyle w:val="ListBullet"/>
      </w:pPr>
      <w:r>
        <w:t>Baseline benchmark metrics</w:t>
      </w:r>
    </w:p>
    <w:p w14:paraId="098FBCFF" w14:textId="77777777" w:rsidR="00876855" w:rsidRDefault="00876855" w:rsidP="00876855">
      <w:pPr>
        <w:pStyle w:val="ListBullet"/>
      </w:pPr>
      <w:proofErr w:type="spellStart"/>
      <w:r>
        <w:t>Streamlit</w:t>
      </w:r>
      <w:proofErr w:type="spellEnd"/>
      <w:r>
        <w:t xml:space="preserve"> smoke testing</w:t>
      </w:r>
    </w:p>
    <w:p w14:paraId="6A524253" w14:textId="77777777" w:rsidR="00876855" w:rsidRDefault="00876855" w:rsidP="00876855">
      <w:pPr>
        <w:pStyle w:val="ListBullet"/>
      </w:pPr>
      <w:r>
        <w:t>API smoke testing where available</w:t>
      </w:r>
    </w:p>
    <w:p w14:paraId="70C75320" w14:textId="77777777" w:rsidR="00876855" w:rsidRDefault="00876855" w:rsidP="00876855">
      <w:pPr>
        <w:pStyle w:val="ListBullet"/>
      </w:pPr>
      <w:r>
        <w:t>External scientific validation as a future milestone</w:t>
      </w:r>
    </w:p>
    <w:p w14:paraId="29CCDED3" w14:textId="77777777" w:rsidR="00876855" w:rsidRDefault="00876855" w:rsidP="00876855">
      <w:pPr>
        <w:pStyle w:val="Heading1"/>
      </w:pPr>
      <w:r>
        <w:t>11. Roadmap</w:t>
      </w:r>
    </w:p>
    <w:p w14:paraId="338D0338" w14:textId="77777777" w:rsidR="00876855" w:rsidRDefault="00876855" w:rsidP="00876855">
      <w:pPr>
        <w:pStyle w:val="ListBullet"/>
      </w:pPr>
      <w:r>
        <w:t xml:space="preserve">Complete </w:t>
      </w:r>
      <w:proofErr w:type="spellStart"/>
      <w:r>
        <w:t>ClinTox</w:t>
      </w:r>
      <w:proofErr w:type="spellEnd"/>
      <w:r>
        <w:t xml:space="preserve"> benchmark</w:t>
      </w:r>
    </w:p>
    <w:p w14:paraId="43C14885" w14:textId="77777777" w:rsidR="00876855" w:rsidRDefault="00876855" w:rsidP="00876855">
      <w:pPr>
        <w:pStyle w:val="ListBullet"/>
      </w:pPr>
      <w:r>
        <w:t>Add one documented Tox21 endpoint</w:t>
      </w:r>
    </w:p>
    <w:p w14:paraId="6907F39A" w14:textId="77777777" w:rsidR="00876855" w:rsidRDefault="00876855" w:rsidP="00876855">
      <w:pPr>
        <w:pStyle w:val="ListBullet"/>
      </w:pPr>
      <w:r>
        <w:t>Generate ROC/PR curves and calibration plots</w:t>
      </w:r>
    </w:p>
    <w:p w14:paraId="71193A40" w14:textId="77777777" w:rsidR="00876855" w:rsidRDefault="00876855" w:rsidP="00876855">
      <w:pPr>
        <w:pStyle w:val="ListBullet"/>
      </w:pPr>
      <w:r>
        <w:t xml:space="preserve">Add </w:t>
      </w:r>
      <w:proofErr w:type="spellStart"/>
      <w:r>
        <w:t>hERG</w:t>
      </w:r>
      <w:proofErr w:type="spellEnd"/>
      <w:r>
        <w:t xml:space="preserve"> from TDC or curated </w:t>
      </w:r>
      <w:proofErr w:type="spellStart"/>
      <w:r>
        <w:t>ChEMBL</w:t>
      </w:r>
      <w:proofErr w:type="spellEnd"/>
    </w:p>
    <w:p w14:paraId="6FDCAB3F" w14:textId="77777777" w:rsidR="00876855" w:rsidRDefault="00876855" w:rsidP="00876855">
      <w:pPr>
        <w:pStyle w:val="ListBullet"/>
      </w:pPr>
      <w:r>
        <w:t>Train calibrated multi-task ADMET model</w:t>
      </w:r>
    </w:p>
    <w:p w14:paraId="7FA295C8" w14:textId="77777777" w:rsidR="00876855" w:rsidRDefault="00876855" w:rsidP="00876855">
      <w:pPr>
        <w:pStyle w:val="ListBullet"/>
      </w:pPr>
      <w:r>
        <w:t xml:space="preserve">Train GNN model with </w:t>
      </w:r>
      <w:proofErr w:type="spellStart"/>
      <w:r>
        <w:t>PyTorch</w:t>
      </w:r>
      <w:proofErr w:type="spellEnd"/>
      <w:r>
        <w:t xml:space="preserve"> Geometric</w:t>
      </w:r>
    </w:p>
    <w:p w14:paraId="1B590A47" w14:textId="77777777" w:rsidR="00876855" w:rsidRDefault="00876855" w:rsidP="00876855">
      <w:pPr>
        <w:pStyle w:val="ListBullet"/>
      </w:pPr>
      <w:r>
        <w:t>Connect SHAP explanations to trained models</w:t>
      </w:r>
    </w:p>
    <w:p w14:paraId="41EBF992" w14:textId="77777777" w:rsidR="00876855" w:rsidRDefault="00876855" w:rsidP="00876855">
      <w:pPr>
        <w:pStyle w:val="ListBullet"/>
      </w:pPr>
      <w:r>
        <w:t xml:space="preserve">Add </w:t>
      </w:r>
      <w:proofErr w:type="spellStart"/>
      <w:r>
        <w:t>MLflow</w:t>
      </w:r>
      <w:proofErr w:type="spellEnd"/>
      <w:r>
        <w:t xml:space="preserve"> model registry and monitoring</w:t>
      </w:r>
    </w:p>
    <w:p w14:paraId="14D21D39" w14:textId="77777777" w:rsidR="00876855" w:rsidRDefault="00876855" w:rsidP="00876855">
      <w:pPr>
        <w:pStyle w:val="Heading1"/>
      </w:pPr>
      <w:r>
        <w:t>12. Limitations</w:t>
      </w:r>
    </w:p>
    <w:p w14:paraId="5BB7DC9C" w14:textId="77777777" w:rsidR="00876855" w:rsidRDefault="00876855" w:rsidP="00876855">
      <w:pPr>
        <w:pStyle w:val="ListBullet"/>
      </w:pPr>
      <w:r>
        <w:t>Proxy scores are not experimental evidence.</w:t>
      </w:r>
    </w:p>
    <w:p w14:paraId="379742C2" w14:textId="77777777" w:rsidR="00876855" w:rsidRDefault="00876855" w:rsidP="00876855">
      <w:pPr>
        <w:pStyle w:val="ListBullet"/>
      </w:pPr>
      <w:r>
        <w:t>Scientific benchmark claims require labeled public datasets and reproducible outputs.</w:t>
      </w:r>
    </w:p>
    <w:p w14:paraId="40E8F082" w14:textId="77777777" w:rsidR="00876855" w:rsidRDefault="00876855" w:rsidP="00876855">
      <w:pPr>
        <w:pStyle w:val="ListBullet"/>
      </w:pPr>
      <w:proofErr w:type="spellStart"/>
      <w:r>
        <w:t>hERG</w:t>
      </w:r>
      <w:proofErr w:type="spellEnd"/>
      <w:r>
        <w:t xml:space="preserve"> requires careful assay curation.</w:t>
      </w:r>
    </w:p>
    <w:p w14:paraId="435F7182" w14:textId="77777777" w:rsidR="00876855" w:rsidRDefault="00876855" w:rsidP="00876855">
      <w:pPr>
        <w:pStyle w:val="ListBullet"/>
      </w:pPr>
      <w:r>
        <w:t>Scaffold splits improve realism but do not replace prospective validation.</w:t>
      </w:r>
    </w:p>
    <w:p w14:paraId="3F92709A" w14:textId="77777777" w:rsidR="00876855" w:rsidRDefault="00876855" w:rsidP="00876855">
      <w:pPr>
        <w:pStyle w:val="ListBullet"/>
      </w:pPr>
      <w:r>
        <w:t>Literature retrieval supports review but does not validate predictions.</w:t>
      </w:r>
    </w:p>
    <w:p w14:paraId="3DE48CC3" w14:textId="77777777" w:rsidR="005F10ED" w:rsidRDefault="00000000">
      <w:pPr>
        <w:jc w:val="center"/>
      </w:pPr>
      <w:r>
        <w:rPr>
          <w:b/>
          <w:color w:val="11243D"/>
          <w:sz w:val="48"/>
        </w:rPr>
        <w:t>Pharmaceutical GenAI Drug Discovery V3</w:t>
      </w:r>
      <w:r>
        <w:rPr>
          <w:b/>
          <w:color w:val="11243D"/>
          <w:sz w:val="48"/>
        </w:rPr>
        <w:br/>
        <w:t>Enterprise Platform</w:t>
      </w:r>
    </w:p>
    <w:p w14:paraId="03F8E085" w14:textId="77777777" w:rsidR="005F10ED" w:rsidRDefault="00000000">
      <w:pPr>
        <w:jc w:val="center"/>
      </w:pPr>
      <w:r>
        <w:rPr>
          <w:color w:val="5C6370"/>
          <w:sz w:val="28"/>
        </w:rPr>
        <w:t>Interview Narrative and Executive Project Report</w:t>
      </w:r>
    </w:p>
    <w:p w14:paraId="7DCA1352" w14:textId="77777777" w:rsidR="005F10ED" w:rsidRDefault="00000000">
      <w:pPr>
        <w:jc w:val="center"/>
      </w:pPr>
      <w:r>
        <w:t>Prepared for pharmaceutical data science, computational chemistry, ML engineering, and AI platform interviews.</w:t>
      </w:r>
    </w:p>
    <w:p w14:paraId="4C543C28" w14:textId="77777777" w:rsidR="005F10ED" w:rsidRDefault="00000000">
      <w:r>
        <w:br w:type="page"/>
      </w:r>
    </w:p>
    <w:p w14:paraId="56949EAD" w14:textId="77777777" w:rsidR="005F10ED" w:rsidRDefault="00000000">
      <w:pPr>
        <w:pStyle w:val="Heading1"/>
      </w:pPr>
      <w:r>
        <w:lastRenderedPageBreak/>
        <w:t>Interview Narrative and Executive Project Report</w:t>
      </w:r>
    </w:p>
    <w:p w14:paraId="1E982C04" w14:textId="77777777" w:rsidR="005F10ED" w:rsidRDefault="00000000">
      <w:pPr>
        <w:pStyle w:val="Heading2"/>
      </w:pPr>
      <w:r>
        <w:t>1. Executive summary</w:t>
      </w:r>
    </w:p>
    <w:p w14:paraId="4EDD4EC6" w14:textId="77777777" w:rsidR="005F10ED" w:rsidRDefault="00000000">
      <w:pPr>
        <w:spacing w:after="120" w:line="269" w:lineRule="auto"/>
      </w:pPr>
      <w:r>
        <w:t>This project is an enterprise-style pharmaceutical artificial intelligence platform designed to support early-stage drug discovery. The V3 system extends a validated V2.1 Streamlit application into a more complete architecture that reflects how a modern pharmaceutical data science team would combine cheminformatics, molecular machine learning, uncertainty estimation, explainability, literature retrieval, software engineering, and MLOps into one reusable decision-support workflow.</w:t>
      </w:r>
    </w:p>
    <w:p w14:paraId="1B23DA0C" w14:textId="77777777" w:rsidR="005F10ED" w:rsidRDefault="00000000">
      <w:pPr>
        <w:spacing w:after="120" w:line="269" w:lineRule="auto"/>
      </w:pPr>
      <w:r>
        <w:t>The purpose of the project is not to claim clinical-grade prediction performance. Instead, the purpose is to demonstrate a realistic, interview-ready architecture for computational drug discovery. It shows how a data scientist or machine learning engineer can move beyond a notebook prototype and build a structured platform that accepts molecular inputs, engineers chemical features, predicts multiple ADMET and toxicity endpoints, quantifies reliability, explains model behavior, retrieves scientific evidence, exposes a web interface, exposes an API service, and prepares the project for containerized deployment and continuous integration.</w:t>
      </w:r>
    </w:p>
    <w:p w14:paraId="4970C936" w14:textId="77777777" w:rsidR="005F10ED" w:rsidRDefault="00000000">
      <w:pPr>
        <w:spacing w:after="120" w:line="269" w:lineRule="auto"/>
      </w:pPr>
      <w:r>
        <w:t>The project is designed around a practical drug discovery question: given a list of candidate small molecules, which candidates should be advanced, reviewed, deprioritized, or rejected before expensive experimental testing? In pharmaceutical research, early prioritization matters because many compounds fail not because they lack target activity, but because they have unfavorable absorption, distribution, metabolism, excretion, or toxicity properties. A compound can look promising in a target assay but still be unsuitable because it is poorly absorbed, rapidly cleared, highly toxic, difficult to formulate, or outside the model applicability domain. V3 addresses this challenge by combining property prediction with confidence and uncertainty estimates.</w:t>
      </w:r>
    </w:p>
    <w:p w14:paraId="06E40811" w14:textId="77777777" w:rsidR="005F10ED" w:rsidRDefault="00000000">
      <w:pPr>
        <w:spacing w:after="120" w:line="269" w:lineRule="auto"/>
      </w:pPr>
      <w:r>
        <w:t>The V3 version introduces graph neural network readiness, public chemistry data-source integration, multi-task ADMET modeling, conformal-style uncertainty intervals, SHAP-ready explainability, PubMed-style retrieval augmented generation, FastAPI deployment, Docker deployment, MLflow-style tracking, and GitHub Actions continuous integration. The result is a platform that can be discussed credibly in interviews for pharmaceutical data scientist, computational chemistry, cheminformatics, applied machine learning, and AI product roles.</w:t>
      </w:r>
    </w:p>
    <w:p w14:paraId="751639C8" w14:textId="77777777" w:rsidR="005F10ED" w:rsidRDefault="00000000">
      <w:pPr>
        <w:pStyle w:val="Heading2"/>
      </w:pPr>
      <w:r>
        <w:t>2. Business and scientific problem</w:t>
      </w:r>
    </w:p>
    <w:p w14:paraId="70B3A40A" w14:textId="77777777" w:rsidR="005F10ED" w:rsidRDefault="00000000">
      <w:pPr>
        <w:spacing w:after="120" w:line="269" w:lineRule="auto"/>
      </w:pPr>
      <w:r>
        <w:t>Drug discovery is one of the most expensive and high-risk scientific processes. A pharmaceutical team may start with millions of theoretical molecules, screen thousands of compounds, synthesize hundreds of candidates, and still see many programs fail in late preclinical or clinical stages. The cost of failure rises as a program moves later in the pipeline. Therefore, any method that can reduce the number of weak candidates early creates business value.</w:t>
      </w:r>
    </w:p>
    <w:p w14:paraId="36A91389" w14:textId="77777777" w:rsidR="005F10ED" w:rsidRDefault="00000000">
      <w:pPr>
        <w:spacing w:after="120" w:line="269" w:lineRule="auto"/>
      </w:pPr>
      <w:r>
        <w:t>The core problem is multi-dimensional. A compound must be potent against a biological target, chemically feasible, selective, safe, sufficiently soluble, stable enough for dosing, and capable of reaching the right tissue at the right concentration. These constraints are often competing. For example, increasing lipophilicity may improve permeability but may also increase toxicity risk or metabolic liabilities. Increasing polarity may reduce central nervous system exposure but may also reduce membrane permeability. A single endpoint model is therefore insufficient. A practical drug discovery platform needs to evaluate multiple properties at the same time and communicate uncertainty clearly.</w:t>
      </w:r>
    </w:p>
    <w:p w14:paraId="0F5F4B02" w14:textId="77777777" w:rsidR="005F10ED" w:rsidRDefault="00000000">
      <w:pPr>
        <w:spacing w:after="120" w:line="269" w:lineRule="auto"/>
      </w:pPr>
      <w:r>
        <w:t xml:space="preserve">This project focuses on that decision-support challenge. It asks: how can machine learning help a scientist triage candidate molecules while preserving transparency? The answer is a modular platform that produces predictions, reliability labels, feature attributions, graph-based molecular representations, and supporting literature context. The project explicitly includes uncertainty because pharmaceutical decisions are high-consequence decisions. A model output should not simply say “advance.” It should also say whether the </w:t>
      </w:r>
      <w:r>
        <w:lastRenderedPageBreak/>
        <w:t>molecule is inside the applicability domain, whether the model views disagree, whether the probability is near the decision boundary, and whether experimental validation is recommended.</w:t>
      </w:r>
    </w:p>
    <w:p w14:paraId="55CD5634" w14:textId="77777777" w:rsidR="005F10ED" w:rsidRDefault="00000000">
      <w:pPr>
        <w:pStyle w:val="Heading2"/>
      </w:pPr>
      <w:r>
        <w:t>3. Evolution from V2.1 to V3</w:t>
      </w:r>
    </w:p>
    <w:p w14:paraId="4170F7DC" w14:textId="77777777" w:rsidR="005F10ED" w:rsidRDefault="00000000">
      <w:pPr>
        <w:spacing w:after="120" w:line="269" w:lineRule="auto"/>
      </w:pPr>
      <w:r>
        <w:t>The V2.1 package established the validated foundation. It accepted SMILES strings in a Streamlit interface, calculated molecular descriptors, generated ADMET and toxicity estimates, ranked candidates, produced reliability labels, and exported results as a CSV. That version was important because it demonstrated an end-to-end working application rather than an isolated notebook. It validated that a user can input molecules and receive ranked pharmaceutical decision-support outputs.</w:t>
      </w:r>
    </w:p>
    <w:p w14:paraId="25E18D23" w14:textId="77777777" w:rsidR="005F10ED" w:rsidRDefault="00000000">
      <w:pPr>
        <w:spacing w:after="120" w:line="269" w:lineRule="auto"/>
      </w:pPr>
      <w:r>
        <w:t>The V3 package changes the project from a portfolio application into an enterprise-style platform. It adds a graph neural network module that can support PyTorch Geometric in a full scientific environment while still providing fallback graph embeddings when heavy dependencies are not installed. This is important because molecular graphs are a natural representation of small molecules: atoms become nodes, bonds become edges, and learned message passing can capture structural patterns that handcrafted descriptors may miss.</w:t>
      </w:r>
    </w:p>
    <w:p w14:paraId="58F045DD" w14:textId="77777777" w:rsidR="005F10ED" w:rsidRDefault="00000000">
      <w:pPr>
        <w:spacing w:after="120" w:line="269" w:lineRule="auto"/>
      </w:pPr>
      <w:r>
        <w:t>V3 also adds a data integration layer. In a production pharmaceutical environment, models are not trained or evaluated from a single CSV file. They draw from public and internal data sources such as ChEMBL, PubChem, DrugBank exports, BindingDB, assay databases, and proprietary compound registries. The V3 connector layer creates a clean abstraction for those data sources. The default package uses offline demo records for reproducibility, but the architecture is ready to support online API calls and local exports.</w:t>
      </w:r>
    </w:p>
    <w:p w14:paraId="14B51A70" w14:textId="77777777" w:rsidR="005F10ED" w:rsidRDefault="00000000">
      <w:pPr>
        <w:spacing w:after="120" w:line="269" w:lineRule="auto"/>
      </w:pPr>
      <w:r>
        <w:t>V3 adds multi-task ADMET prediction. Instead of producing only a general score, the system estimates oral absorption probability, blood-brain barrier penetration probability, CYP inhibition risk, clearance risk, solubility score, overall toxicity risk, and drug-likeness score. This mirrors real-world pharmaceutical modeling, where teams need to evaluate several endpoints together rather than over-optimizing a single metric.</w:t>
      </w:r>
    </w:p>
    <w:p w14:paraId="02C3E46D" w14:textId="77777777" w:rsidR="005F10ED" w:rsidRDefault="00000000">
      <w:pPr>
        <w:spacing w:after="120" w:line="269" w:lineRule="auto"/>
      </w:pPr>
      <w:r>
        <w:t>The uncertainty system is also upgraded. V2.1 had reliability scoring. V3 makes the reliability concept more explicit by combining applicability-domain assessment, ensemble-disagreement proxies, and decision-boundary uncertainty. It also produces conformal-style intervals around bounded probabilities. These intervals help communicate that the prediction is an estimate, not a deterministic truth.</w:t>
      </w:r>
    </w:p>
    <w:p w14:paraId="301EE3BE" w14:textId="77777777" w:rsidR="005F10ED" w:rsidRDefault="00000000">
      <w:pPr>
        <w:spacing w:after="120" w:line="269" w:lineRule="auto"/>
      </w:pPr>
      <w:r>
        <w:t>V3 adds explainability. The package is SHAP-ready for environments where SHAP and trained model objects are available, but it also provides a deterministic fallback attribution method. This is useful for deployment because not every environment can support heavy explainability dependencies, yet the interface still needs to communicate which features are contributing most strongly to predicted risk.</w:t>
      </w:r>
    </w:p>
    <w:p w14:paraId="2C13C811" w14:textId="77777777" w:rsidR="005F10ED" w:rsidRDefault="00000000">
      <w:pPr>
        <w:spacing w:after="120" w:line="269" w:lineRule="auto"/>
      </w:pPr>
      <w:r>
        <w:t>V3 adds PubMed-style RAG. In interviews, this is important because modern pharmaceutical AI teams increasingly combine structured models with scientific knowledge retrieval. The RAG module retrieves relevant literature-style evidence about ADMET, graph neural networks, uncertainty, and explainability. In production, this module can be connected to PubMed, internal reports, patents, or clinical trial documents.</w:t>
      </w:r>
    </w:p>
    <w:p w14:paraId="0DEF0F11" w14:textId="77777777" w:rsidR="005F10ED" w:rsidRDefault="00000000">
      <w:pPr>
        <w:spacing w:after="120" w:line="269" w:lineRule="auto"/>
      </w:pPr>
      <w:r>
        <w:t>Finally, V3 adds enterprise software structure: FastAPI service endpoints, Docker deployment, MLflow-ready tracking, and GitHub Actions CI/CD. These additions show that the project is not only a modeling exercise but a software product architecture.</w:t>
      </w:r>
    </w:p>
    <w:p w14:paraId="2721BF51" w14:textId="77777777" w:rsidR="005F10ED" w:rsidRDefault="00000000">
      <w:pPr>
        <w:pStyle w:val="Heading2"/>
      </w:pPr>
      <w:r>
        <w:t>4. System architecture</w:t>
      </w:r>
    </w:p>
    <w:p w14:paraId="54B54C7C" w14:textId="77777777" w:rsidR="005F10ED" w:rsidRDefault="00000000">
      <w:pPr>
        <w:spacing w:after="120" w:line="269" w:lineRule="auto"/>
      </w:pPr>
      <w:r>
        <w:t>The V3 architecture has six layers.</w:t>
      </w:r>
    </w:p>
    <w:p w14:paraId="4A440484" w14:textId="77777777" w:rsidR="005F10ED" w:rsidRDefault="00000000">
      <w:pPr>
        <w:spacing w:after="120" w:line="269" w:lineRule="auto"/>
      </w:pPr>
      <w:r>
        <w:t xml:space="preserve">The first layer is the molecular input and feature engineering layer. Molecules are represented as SMILES strings. The package attempts to use RDKit when available. RDKit is the preferred cheminformatics toolkit because it can parse molecules, calculate descriptors, generate fingerprints, and provide graph topology. However, the project also includes a deterministic fallback descriptor engine. This makes the application </w:t>
      </w:r>
      <w:r>
        <w:lastRenderedPageBreak/>
        <w:t>deployable on platforms where RDKit installation may be difficult. The fallback is not meant to replace RDKit scientifically, but it allows the package to remain demonstrable and testable.</w:t>
      </w:r>
    </w:p>
    <w:p w14:paraId="2E6E2321" w14:textId="77777777" w:rsidR="005F10ED" w:rsidRDefault="00000000">
      <w:pPr>
        <w:spacing w:after="120" w:line="269" w:lineRule="auto"/>
      </w:pPr>
      <w:r>
        <w:t>The second layer is the graph representation layer. V3 creates graph-ready molecular representations consisting of node features and edge indices. In a full environment, the system can be extended to PyTorch Geometric. In lightweight environments, the graph embedding service computes topology-based embeddings from available graph features. This design demonstrates how to separate graph construction from downstream model training.</w:t>
      </w:r>
    </w:p>
    <w:p w14:paraId="52468766" w14:textId="77777777" w:rsidR="005F10ED" w:rsidRDefault="00000000">
      <w:pPr>
        <w:spacing w:after="120" w:line="269" w:lineRule="auto"/>
      </w:pPr>
      <w:r>
        <w:t>The third layer is the multi-task ADMET layer. This layer calculates several pharmaceutical endpoints. It uses transparent proxy functions for demonstration, but the interface is designed so that these functions can be replaced by trained scikit-learn, XGBoost, PyTorch, or graph neural network models. This separation of interface from implementation is important because production pharmaceutical models are often updated as new assay data becomes available.</w:t>
      </w:r>
    </w:p>
    <w:p w14:paraId="76C528CC" w14:textId="77777777" w:rsidR="005F10ED" w:rsidRDefault="00000000">
      <w:pPr>
        <w:spacing w:after="120" w:line="269" w:lineRule="auto"/>
      </w:pPr>
      <w:r>
        <w:t>The fourth layer is the uncertainty and reliability layer. The system calculates a confidence score, uncertainty score, reliability label, domain applicability score, ensemble disagreement score, and explanation text. This layer is central to the project’s scientific credibility. In many machine learning demos, the model produces a number without context. In this project, every output includes a statement about whether the model is operating in a comfortable region and whether results should be trusted.</w:t>
      </w:r>
    </w:p>
    <w:p w14:paraId="04BB04A9" w14:textId="77777777" w:rsidR="005F10ED" w:rsidRDefault="00000000">
      <w:pPr>
        <w:spacing w:after="120" w:line="269" w:lineRule="auto"/>
      </w:pPr>
      <w:r>
        <w:t>The fifth layer is the explainability and literature intelligence layer. The explainability module ranks feature attributions for each molecule. The RAG module retrieves evidence snippets from an offline PubMed-style corpus. The combination gives both model-level explanation and domain-level context. In a real pharmaceutical organization, this layer would help bridge machine learning outputs with human scientific review.</w:t>
      </w:r>
    </w:p>
    <w:p w14:paraId="15AE861D" w14:textId="77777777" w:rsidR="005F10ED" w:rsidRDefault="00000000">
      <w:pPr>
        <w:spacing w:after="120" w:line="269" w:lineRule="auto"/>
      </w:pPr>
      <w:r>
        <w:t>The sixth layer is the delivery and MLOps layer. Streamlit provides the scientist-facing application. FastAPI exposes programmatic endpoints. Docker supports reproducible deployment. MLflow-ready tracking supports experiment management. GitHub Actions validates tests on code changes. This layer makes the project look like a deployable platform rather than a one-time notebook.</w:t>
      </w:r>
    </w:p>
    <w:p w14:paraId="635BBB48" w14:textId="77777777" w:rsidR="005F10ED" w:rsidRDefault="00000000">
      <w:pPr>
        <w:pStyle w:val="Heading2"/>
      </w:pPr>
      <w:r>
        <w:t>5. Data strategy</w:t>
      </w:r>
    </w:p>
    <w:p w14:paraId="512CB490" w14:textId="77777777" w:rsidR="005F10ED" w:rsidRDefault="00000000">
      <w:pPr>
        <w:spacing w:after="120" w:line="269" w:lineRule="auto"/>
      </w:pPr>
      <w:r>
        <w:t>The project uses a layered data strategy. The default package includes demo compounds such as aspirin, caffeine, and ethanol to make the workflow easy to validate. These molecules are useful because they are familiar, structurally different, and easy to explain during an interview. Aspirin is a drug-like molecule with known medicinal relevance. Caffeine is a heterocyclic molecule with different polarity and target context. Ethanol is a small control molecule that helps demonstrate the limitations of descriptor ranges.</w:t>
      </w:r>
    </w:p>
    <w:p w14:paraId="3B17D85F" w14:textId="77777777" w:rsidR="005F10ED" w:rsidRDefault="00000000">
      <w:pPr>
        <w:spacing w:after="120" w:line="269" w:lineRule="auto"/>
      </w:pPr>
      <w:r>
        <w:t>For production, the V3 architecture supports public and private data sources. ChEMBL can provide bioactivity and target data. PubChem can provide compound identifiers and canonical SMILES. DrugBank-style local exports can support approved-drug reference sets. BindingDB-style exports can support protein-ligand binding data. Internal pharmaceutical systems could provide assay results, pharmacokinetic measurements, toxicity labels, and project-specific compound metadata.</w:t>
      </w:r>
    </w:p>
    <w:p w14:paraId="1CD4891C" w14:textId="77777777" w:rsidR="005F10ED" w:rsidRDefault="00000000">
      <w:pPr>
        <w:spacing w:after="120" w:line="269" w:lineRule="auto"/>
      </w:pPr>
      <w:r>
        <w:t>The key data engineering decision is to isolate source-specific logic inside connector classes. This prevents the modeling code from becoming tightly coupled to one database. It also makes it easier to test the pipeline offline. The public source connector returns standard compound records containing source, compound ID, name, SMILES, target, activity, and metadata. Once every source is mapped into this common schema, the downstream model pipeline can treat all sources consistently.</w:t>
      </w:r>
    </w:p>
    <w:p w14:paraId="209CAD6C" w14:textId="77777777" w:rsidR="005F10ED" w:rsidRDefault="00000000">
      <w:pPr>
        <w:pStyle w:val="Heading2"/>
      </w:pPr>
      <w:r>
        <w:lastRenderedPageBreak/>
        <w:t>6. Modeling strategy</w:t>
      </w:r>
    </w:p>
    <w:p w14:paraId="35B5CF31" w14:textId="77777777" w:rsidR="005F10ED" w:rsidRDefault="00000000">
      <w:pPr>
        <w:spacing w:after="120" w:line="269" w:lineRule="auto"/>
      </w:pPr>
      <w:r>
        <w:t>The modeling strategy is intentionally multi-modal. Descriptor-based models are useful because they are interpretable, fast, and easy to validate. Fingerprint-based models are useful because they capture substructure patterns. Graph neural networks are useful because they learn from molecular topology directly. Literature RAG is useful because it adds scientific context that structured models cannot provide.</w:t>
      </w:r>
    </w:p>
    <w:p w14:paraId="1ADA652B" w14:textId="77777777" w:rsidR="005F10ED" w:rsidRDefault="00000000">
      <w:pPr>
        <w:spacing w:after="120" w:line="269" w:lineRule="auto"/>
      </w:pPr>
      <w:r>
        <w:t>For a portfolio project, V3 uses transparent proxy functions so that the code can run without proprietary data. However, the interfaces are designed to support real models. A production version would train a multi-task model with experimental ADMET labels. Each task could share a common molecular encoder and have endpoint-specific heads. For example, a graph neural network could produce a latent molecular embedding, and separate heads could predict absorption, solubility, toxicity, and CYP inhibition. Multi-task learning is attractive because related endpoints can share information, especially when some labels are sparse.</w:t>
      </w:r>
    </w:p>
    <w:p w14:paraId="4767D858" w14:textId="77777777" w:rsidR="005F10ED" w:rsidRDefault="00000000">
      <w:pPr>
        <w:spacing w:after="120" w:line="269" w:lineRule="auto"/>
      </w:pPr>
      <w:r>
        <w:t>The V3 system also includes a path for conformal prediction. Conformal methods are valuable because they can provide calibrated uncertainty intervals under well-defined assumptions. In a real implementation, calibration data would be used to estimate nonconformity scores. The current package provides conformal-style intervals as a demonstration of how bounded probability intervals can be communicated to users.</w:t>
      </w:r>
    </w:p>
    <w:p w14:paraId="75E38ADF" w14:textId="77777777" w:rsidR="005F10ED" w:rsidRDefault="00000000">
      <w:pPr>
        <w:pStyle w:val="Heading2"/>
      </w:pPr>
      <w:r>
        <w:t>7. Reliability and uncertainty</w:t>
      </w:r>
    </w:p>
    <w:p w14:paraId="35538439" w14:textId="77777777" w:rsidR="005F10ED" w:rsidRDefault="00000000">
      <w:pPr>
        <w:spacing w:after="120" w:line="269" w:lineRule="auto"/>
      </w:pPr>
      <w:r>
        <w:t>Reliability is one of the strongest parts of the project narrative. In pharmaceutical machine learning, model confidence matters because poor decisions can waste time and money. A prediction should not be interpreted the same way for every molecule. A model trained mostly on drug-like small molecules may be less reliable for extremely large, extremely polar, highly lipophilic, or unusual molecules. Therefore, V3 uses applicability-domain logic to assess whether descriptor values fall within training-like ranges.</w:t>
      </w:r>
    </w:p>
    <w:p w14:paraId="6004583F" w14:textId="77777777" w:rsidR="005F10ED" w:rsidRDefault="00000000">
      <w:pPr>
        <w:spacing w:after="120" w:line="269" w:lineRule="auto"/>
      </w:pPr>
      <w:r>
        <w:t>The reliability calculation combines three signals. The first is descriptor-domain coverage. This asks whether molecular weight, LogP, topological polar surface area, hydrogen bond donors, hydrogen bond acceptors, and rotatable bonds are in a reasonable region. The second is proxy ensemble disagreement. This asks whether different heuristic model views lead to similar predictions. The third is decision-boundary uncertainty. This asks whether the predicted probability is close to the threshold where the decision could change.</w:t>
      </w:r>
    </w:p>
    <w:p w14:paraId="21BA450D" w14:textId="77777777" w:rsidR="005F10ED" w:rsidRDefault="00000000">
      <w:pPr>
        <w:spacing w:after="120" w:line="269" w:lineRule="auto"/>
      </w:pPr>
      <w:r>
        <w:t>The output is a confidence score, uncertainty score, and reliability label. A high-confidence prediction can be used for early prioritization. A medium-confidence prediction should be reviewed. A low-confidence prediction should be interpreted cautiously and may require additional data or experimental validation. This mirrors how a senior pharmaceutical data scientist would communicate model limitations to scientific stakeholders.</w:t>
      </w:r>
    </w:p>
    <w:p w14:paraId="01F7C73D" w14:textId="77777777" w:rsidR="005F10ED" w:rsidRDefault="00000000">
      <w:pPr>
        <w:pStyle w:val="Heading2"/>
      </w:pPr>
      <w:r>
        <w:t>8. Explainability</w:t>
      </w:r>
    </w:p>
    <w:p w14:paraId="19A31587" w14:textId="77777777" w:rsidR="005F10ED" w:rsidRDefault="00000000">
      <w:pPr>
        <w:spacing w:after="120" w:line="269" w:lineRule="auto"/>
      </w:pPr>
      <w:r>
        <w:t>Explainability is important for both adoption and scientific reasoning. Scientists are more likely to trust a model if they can understand why it produced a result. V3 includes a SHAP-ready interface. In a full environment with trained models and the SHAP package installed, this interface can be connected to SHAP explainers. In lightweight deployment, the fallback attribution method compares molecular features to medicinal-chemistry reference ranges and ranks the features contributing most to potential risk.</w:t>
      </w:r>
    </w:p>
    <w:p w14:paraId="207D8F86" w14:textId="77777777" w:rsidR="005F10ED" w:rsidRDefault="00000000">
      <w:pPr>
        <w:spacing w:after="120" w:line="269" w:lineRule="auto"/>
      </w:pPr>
      <w:r>
        <w:t>For example, high molecular weight may contribute to lower oral developability. High LogP may contribute to toxicity or metabolic risk. High TPSA may reduce permeability. Many rotatable bonds may reduce conformational stability and oral drug-likeness. Low QED-like score may indicate poor overall medicinal chemistry balance. These explanations are not a replacement for mechanistic toxicology, but they provide a transparent starting point for discussion.</w:t>
      </w:r>
    </w:p>
    <w:p w14:paraId="0BF7C9FF" w14:textId="77777777" w:rsidR="005F10ED" w:rsidRDefault="00000000">
      <w:pPr>
        <w:pStyle w:val="Heading2"/>
      </w:pPr>
      <w:r>
        <w:lastRenderedPageBreak/>
        <w:t>9. RAG and scientific evidence</w:t>
      </w:r>
    </w:p>
    <w:p w14:paraId="3C0CE599" w14:textId="77777777" w:rsidR="005F10ED" w:rsidRDefault="00000000">
      <w:pPr>
        <w:spacing w:after="120" w:line="269" w:lineRule="auto"/>
      </w:pPr>
      <w:r>
        <w:t>The PubMed-style RAG module addresses a different limitation of predictive models. A model can estimate risk, but scientists also need context. Why does ADMET matter? Why are graph neural networks useful? Why should uncertainty be communicated? Why is explainability important in chemistry? The RAG module retrieves concise evidence snippets from a literature-style corpus. In a production system, this could be replaced by PubMed, internal documents, patents, and clinical trial databases.</w:t>
      </w:r>
    </w:p>
    <w:p w14:paraId="55D0EDA1" w14:textId="77777777" w:rsidR="005F10ED" w:rsidRDefault="00000000">
      <w:pPr>
        <w:spacing w:after="120" w:line="269" w:lineRule="auto"/>
      </w:pPr>
      <w:r>
        <w:t>The interview value of this module is that it shows awareness of modern AI architecture. Enterprise AI systems increasingly combine structured prediction with unstructured knowledge retrieval. A drug discovery team might use models to rank molecules and use RAG to summarize literature about targets, toxicity mechanisms, assay protocols, or known chemical liabilities. V3 demonstrates the pattern in a controlled and deployable way.</w:t>
      </w:r>
    </w:p>
    <w:p w14:paraId="4B392B87" w14:textId="77777777" w:rsidR="005F10ED" w:rsidRDefault="00000000">
      <w:pPr>
        <w:pStyle w:val="Heading2"/>
      </w:pPr>
      <w:r>
        <w:t>10. Deployment and MLOps</w:t>
      </w:r>
    </w:p>
    <w:p w14:paraId="6B47C56A" w14:textId="77777777" w:rsidR="005F10ED" w:rsidRDefault="00000000">
      <w:pPr>
        <w:spacing w:after="120" w:line="269" w:lineRule="auto"/>
      </w:pPr>
      <w:r>
        <w:t>The V3 project includes several deployment paths. Streamlit is used for the scientist-facing dashboard. It lets users enter SMILES strings, run V3 analysis, view ranked candidates, inspect reliability explanations, view graph summaries, review feature attributions, retrieve literature context, and download a CSV. FastAPI provides programmatic access through health, analyze, and lookup endpoints. Docker provides reproducible runtime packaging. GitHub Actions provides continuous integration. MLflow-ready tracking provides a pattern for experiment logging.</w:t>
      </w:r>
    </w:p>
    <w:p w14:paraId="3B6D5883" w14:textId="77777777" w:rsidR="005F10ED" w:rsidRDefault="00000000">
      <w:pPr>
        <w:spacing w:after="120" w:line="269" w:lineRule="auto"/>
      </w:pPr>
      <w:r>
        <w:t>These features matter in interviews because they show the ability to think beyond model accuracy. In real organizations, models need to be packaged, deployed, monitored, tested, versioned, and explained. A data scientist who can discuss both modeling and MLOps is more valuable than someone who only trains models in notebooks.</w:t>
      </w:r>
    </w:p>
    <w:p w14:paraId="6CE96DBB" w14:textId="77777777" w:rsidR="005F10ED" w:rsidRDefault="00000000">
      <w:pPr>
        <w:pStyle w:val="Heading2"/>
      </w:pPr>
      <w:r>
        <w:t>11. Validation strategy</w:t>
      </w:r>
    </w:p>
    <w:p w14:paraId="52239E76" w14:textId="77777777" w:rsidR="005F10ED" w:rsidRDefault="00000000">
      <w:pPr>
        <w:spacing w:after="120" w:line="269" w:lineRule="auto"/>
      </w:pPr>
      <w:r>
        <w:t>The validation strategy has multiple levels. First, unit tests validate the pipeline, graph embedding, RAG retrieval, and data connector fallback behavior. Second, local Streamlit validation confirms that the user interface runs and produces outputs for representative molecules. Third, API validation confirms that FastAPI endpoints are available. Fourth, deployment validation confirms Docker and CI/CD readiness. Fifth, scientific validation would require benchmark datasets with experimental ADMET labels.</w:t>
      </w:r>
    </w:p>
    <w:p w14:paraId="3B82F48D" w14:textId="77777777" w:rsidR="005F10ED" w:rsidRDefault="00000000">
      <w:pPr>
        <w:spacing w:after="120" w:line="269" w:lineRule="auto"/>
      </w:pPr>
      <w:r>
        <w:t>For interview purposes, I would clearly separate software validation from scientific validation. The V3 package validates that the software workflow runs end-to-end. It does not claim clinical-grade predictive accuracy. A production version would require curated datasets, train/validation/test splits, external validation sets, calibration assessment, uncertainty calibration, domain-of-applicability testing, and prospective experimental confirmation.</w:t>
      </w:r>
    </w:p>
    <w:p w14:paraId="29EC9D57" w14:textId="77777777" w:rsidR="005F10ED" w:rsidRDefault="00000000">
      <w:pPr>
        <w:pStyle w:val="Heading2"/>
      </w:pPr>
      <w:r>
        <w:t>12. Business impact</w:t>
      </w:r>
    </w:p>
    <w:p w14:paraId="755CDD75" w14:textId="77777777" w:rsidR="005F10ED" w:rsidRDefault="00000000">
      <w:pPr>
        <w:spacing w:after="120" w:line="269" w:lineRule="auto"/>
      </w:pPr>
      <w:r>
        <w:t>The business impact of this system is faster and more transparent candidate prioritization. It can reduce the time scientists spend manually triaging obvious poor candidates. It can improve communication between data scientists and medicinal chemists by providing explanations and reliability labels. It can support portfolio decisions by ranking compounds into advance, review, deprioritize, or reject categories. It can also create a framework for continuous learning as new experimental data becomes available.</w:t>
      </w:r>
    </w:p>
    <w:p w14:paraId="06A8BCF4" w14:textId="77777777" w:rsidR="005F10ED" w:rsidRDefault="00000000">
      <w:pPr>
        <w:spacing w:after="120" w:line="269" w:lineRule="auto"/>
      </w:pPr>
      <w:r>
        <w:t>The platform can be positioned as a decision-support system rather than a replacement for scientific judgment. This is important. In pharmaceutical research, the best AI systems augment expert scientists. They help prioritize experiments, expose risks, organize evidence, and communicate uncertainty. V3 is designed around that philosophy.</w:t>
      </w:r>
    </w:p>
    <w:p w14:paraId="1265A241" w14:textId="77777777" w:rsidR="005F10ED" w:rsidRDefault="00000000">
      <w:pPr>
        <w:pStyle w:val="Heading2"/>
      </w:pPr>
      <w:r>
        <w:lastRenderedPageBreak/>
        <w:t>13. Interview talking points</w:t>
      </w:r>
    </w:p>
    <w:p w14:paraId="600E4146" w14:textId="77777777" w:rsidR="005F10ED" w:rsidRDefault="00000000">
      <w:pPr>
        <w:spacing w:after="120" w:line="269" w:lineRule="auto"/>
      </w:pPr>
      <w:r>
        <w:t>A concise interview summary would be: “I built a V3 enterprise pharmaceutical AI platform that extends a validated V2 Streamlit ADMET demo into a modular drug discovery decision-support system. The system accepts SMILES strings, calculates molecular descriptors and graph-ready representations, predicts multiple ADMET and toxicity endpoints, estimates uncertainty and reliability, produces feature attributions, retrieves literature-style evidence, exposes both Streamlit and FastAPI interfaces, and includes Docker, MLflow-ready tracking, and CI/CD structure. I designed it to be deployable in lightweight environments but extensible to RDKit, PyTorch Geometric, SHAP, and real public or proprietary datasets.”</w:t>
      </w:r>
    </w:p>
    <w:p w14:paraId="1DEAF3F9" w14:textId="77777777" w:rsidR="005F10ED" w:rsidRDefault="00000000">
      <w:pPr>
        <w:spacing w:after="120" w:line="269" w:lineRule="auto"/>
      </w:pPr>
      <w:r>
        <w:t>If asked about limitations, I would say: “The current package is a portfolio and architecture prototype. It uses proxy models so that it can run without proprietary ADMET labels. The next step would be to train and validate the multi-task model on curated ChEMBL, Tox21, ESOL, BBBP, ClinTox, and internal assay datasets, then calibrate uncertainty using held-out validation data.”</w:t>
      </w:r>
    </w:p>
    <w:p w14:paraId="599E4D41" w14:textId="77777777" w:rsidR="005F10ED" w:rsidRDefault="00000000">
      <w:pPr>
        <w:spacing w:after="120" w:line="269" w:lineRule="auto"/>
      </w:pPr>
      <w:r>
        <w:t>If asked why uncertainty matters, I would say: “In pharmaceutical modeling, an overconfident wrong prediction can waste chemistry cycles and experimental resources. I added reliability scoring so that every prediction is accompanied by an applicability-domain assessment, ensemble disagreement estimate, and decision-boundary uncertainty indicator.”</w:t>
      </w:r>
    </w:p>
    <w:p w14:paraId="2906A07D" w14:textId="77777777" w:rsidR="005F10ED" w:rsidRDefault="00000000">
      <w:pPr>
        <w:spacing w:after="120" w:line="269" w:lineRule="auto"/>
      </w:pPr>
      <w:r>
        <w:t>If asked why graph neural networks matter, I would say: “Descriptors are useful and interpretable, but molecules are naturally graphs. GNNs allow the model to learn atom-bond structure and substructure patterns directly, which can improve property prediction when enough labeled data is available.”</w:t>
      </w:r>
    </w:p>
    <w:p w14:paraId="7E47A822" w14:textId="77777777" w:rsidR="005F10ED" w:rsidRDefault="00000000">
      <w:pPr>
        <w:pStyle w:val="Heading2"/>
      </w:pPr>
      <w:r>
        <w:t>14. Roadmap</w:t>
      </w:r>
    </w:p>
    <w:p w14:paraId="1E0A208E" w14:textId="77777777" w:rsidR="005F10ED" w:rsidRDefault="00000000">
      <w:pPr>
        <w:spacing w:after="120" w:line="269" w:lineRule="auto"/>
      </w:pPr>
      <w:r>
        <w:t>The next roadmap step is to replace proxy functions with trained models. The first production milestone would be a curated public dataset pipeline using MoleculeNet-style benchmarks and ChEMBL activities. The second milestone would be a real multi-task model with calibrated validation metrics. The third milestone would be graph neural network training with PyTorch Geometric. The fourth milestone would be SHAP and substructure attribution for trained models. The fifth milestone would be full PubMed/Entrez and patent RAG. The sixth milestone would be cloud deployment with model registry, monitoring, and governance.</w:t>
      </w:r>
    </w:p>
    <w:p w14:paraId="058FB956" w14:textId="77777777" w:rsidR="005F10ED" w:rsidRDefault="00000000">
      <w:pPr>
        <w:pStyle w:val="Heading2"/>
      </w:pPr>
      <w:r>
        <w:t>15. Conclusion</w:t>
      </w:r>
    </w:p>
    <w:p w14:paraId="75C5D23C" w14:textId="77777777" w:rsidR="005F10ED" w:rsidRDefault="00000000">
      <w:pPr>
        <w:spacing w:after="120" w:line="269" w:lineRule="auto"/>
      </w:pPr>
      <w:r>
        <w:t>V3 demonstrates the full progression from prototype to platform. V1 was a generative drug discovery concept. V2.1 was a validated pharmaceutical ML application. V3 is an enterprise architecture that integrates molecular AI, ADMET prediction, uncertainty, explainability, literature intelligence, and deployment infrastructure. It is strong interview material because it shows not only technical modeling skills but also system design, scientific communication, and product thinking.</w:t>
      </w:r>
    </w:p>
    <w:p w14:paraId="411F3844" w14:textId="77777777" w:rsidR="005F10ED" w:rsidRDefault="00000000">
      <w:r>
        <w:br w:type="page"/>
      </w:r>
    </w:p>
    <w:p w14:paraId="65BE54E7" w14:textId="77777777" w:rsidR="005F10ED" w:rsidRDefault="00000000">
      <w:pPr>
        <w:pStyle w:val="Heading1"/>
      </w:pPr>
      <w:r>
        <w:lastRenderedPageBreak/>
        <w:t>Appendix: Demo Script</w:t>
      </w:r>
    </w:p>
    <w:p w14:paraId="51CC17B4" w14:textId="77777777" w:rsidR="005F10ED" w:rsidRDefault="00000000">
      <w:pPr>
        <w:pStyle w:val="ListBullet"/>
      </w:pPr>
      <w:r>
        <w:t>Open the Streamlit app and enter aspirin, caffeine, and ethanol SMILES strings.</w:t>
      </w:r>
    </w:p>
    <w:p w14:paraId="1DB642EA" w14:textId="77777777" w:rsidR="005F10ED" w:rsidRDefault="00000000">
      <w:pPr>
        <w:pStyle w:val="ListBullet"/>
      </w:pPr>
      <w:r>
        <w:t>Show the ranked candidate table with development priority, ADMET probabilities, toxicity risk, and reliability label.</w:t>
      </w:r>
    </w:p>
    <w:p w14:paraId="7431BB69" w14:textId="77777777" w:rsidR="005F10ED" w:rsidRDefault="00000000">
      <w:pPr>
        <w:pStyle w:val="ListBullet"/>
      </w:pPr>
      <w:r>
        <w:t>Open a candidate expander and explain reliability, feature attribution, graph embedding, and literature evidence.</w:t>
      </w:r>
    </w:p>
    <w:p w14:paraId="32EF9206" w14:textId="77777777" w:rsidR="005F10ED" w:rsidRDefault="00000000">
      <w:pPr>
        <w:pStyle w:val="ListBullet"/>
      </w:pPr>
      <w:r>
        <w:t>Explain that V3 is software-validated and architecture-ready, while production scientific validation requires curated experimental data.</w:t>
      </w:r>
    </w:p>
    <w:sectPr w:rsidR="005F10E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387613">
    <w:abstractNumId w:val="8"/>
  </w:num>
  <w:num w:numId="2" w16cid:durableId="443231205">
    <w:abstractNumId w:val="6"/>
  </w:num>
  <w:num w:numId="3" w16cid:durableId="215439361">
    <w:abstractNumId w:val="5"/>
  </w:num>
  <w:num w:numId="4" w16cid:durableId="351348806">
    <w:abstractNumId w:val="4"/>
  </w:num>
  <w:num w:numId="5" w16cid:durableId="435442607">
    <w:abstractNumId w:val="7"/>
  </w:num>
  <w:num w:numId="6" w16cid:durableId="1302534593">
    <w:abstractNumId w:val="3"/>
  </w:num>
  <w:num w:numId="7" w16cid:durableId="314992395">
    <w:abstractNumId w:val="2"/>
  </w:num>
  <w:num w:numId="8" w16cid:durableId="2094431438">
    <w:abstractNumId w:val="1"/>
  </w:num>
  <w:num w:numId="9" w16cid:durableId="5501926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0ED"/>
    <w:rsid w:val="00617EDA"/>
    <w:rsid w:val="008768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FF6D7"/>
  <w14:defaultImageDpi w14:val="300"/>
  <w15:docId w15:val="{ADD50A88-F47C-7548-9826-C89C7D94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24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962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24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4309</Words>
  <Characters>24567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2026-08-06T14:26:00Z</dcterms:modified>
  <cp:category/>
</cp:coreProperties>
</file>