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Deployment Guide</w:t>
      </w:r>
    </w:p>
    <w:p>
      <w:pPr>
        <w:jc w:val="center"/>
      </w:pPr>
      <w:r>
        <w:rPr>
          <w:i/>
          <w:sz w:val="24"/>
        </w:rPr>
        <w:t>Clinical Decision Intelligence Platform</w:t>
      </w:r>
    </w:p>
    <w:p>
      <w:r>
        <w:t>Synthetic-data portfolio reference implementation • Version 3.1.0</w:t>
      </w:r>
    </w:p>
    <w:p>
      <w:pPr>
        <w:pStyle w:val="Heading1"/>
      </w:pPr>
      <w:r>
        <w:t>1. Local Python</w:t>
      </w:r>
    </w:p>
    <w:p>
      <w:r>
        <w:t>Create Python 3.11 virtual environment, install requirements-all.txt, set CDI_API_KEY, and run uvicorn clinical_decision_intelligence.api.app:app.</w:t>
      </w:r>
    </w:p>
    <w:p>
      <w:pPr>
        <w:pStyle w:val="Heading1"/>
      </w:pPr>
      <w:r>
        <w:t>2. Docker Compose</w:t>
      </w:r>
    </w:p>
    <w:p>
      <w:pPr>
        <w:pStyle w:val="ListBullet"/>
      </w:pPr>
      <w:r>
        <w:t>Copy .env.example to .env and replace the secret.</w:t>
      </w:r>
    </w:p>
    <w:p>
      <w:pPr>
        <w:pStyle w:val="ListBullet"/>
      </w:pPr>
      <w:r>
        <w:t>Run docker compose build --no-cache.</w:t>
      </w:r>
    </w:p>
    <w:p>
      <w:pPr>
        <w:pStyle w:val="ListBullet"/>
      </w:pPr>
      <w:r>
        <w:t>Run docker compose up -d and inspect docker compose ps.</w:t>
      </w:r>
    </w:p>
    <w:p>
      <w:pPr>
        <w:pStyle w:val="ListBullet"/>
      </w:pPr>
      <w:r>
        <w:t>Validate /health, /ready, /docs, and protected endpoints.</w:t>
      </w:r>
    </w:p>
    <w:p>
      <w:pPr>
        <w:pStyle w:val="ListBullet"/>
      </w:pPr>
      <w:r>
        <w:t>MLflow, Prometheus, and Grafana are exposed on ports 5000, 9090, and 3000.</w:t>
      </w:r>
    </w:p>
    <w:p>
      <w:pPr>
        <w:pStyle w:val="Heading1"/>
      </w:pPr>
      <w:r>
        <w:t>3. Kubernetes</w:t>
      </w:r>
    </w:p>
    <w:p>
      <w:pPr>
        <w:pStyle w:val="ListBullet"/>
      </w:pPr>
      <w:r>
        <w:t>Create cdi-secrets outside source control.</w:t>
      </w:r>
    </w:p>
    <w:p>
      <w:pPr>
        <w:pStyle w:val="ListBullet"/>
      </w:pPr>
      <w:r>
        <w:t>Replace the placeholder image with a pinned release tag or digest.</w:t>
      </w:r>
    </w:p>
    <w:p>
      <w:pPr>
        <w:pStyle w:val="ListBullet"/>
      </w:pPr>
      <w:r>
        <w:t>Validate deployment.yaml and hpa.yaml with kubectl apply --dry-run=client.</w:t>
      </w:r>
    </w:p>
    <w:p>
      <w:pPr>
        <w:pStyle w:val="ListBullet"/>
      </w:pPr>
      <w:r>
        <w:t>Confirm startup, readiness, and liveness probes.</w:t>
      </w:r>
    </w:p>
    <w:p>
      <w:pPr>
        <w:pStyle w:val="ListBullet"/>
      </w:pPr>
      <w:r>
        <w:t>Review namespace, network policy, ingress/TLS, storage, and cluster-specific policy before deployment.</w:t>
      </w:r>
    </w:p>
    <w:p>
      <w:pPr>
        <w:pStyle w:val="Heading1"/>
      </w:pPr>
      <w:r>
        <w:t>4. Operational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Expected evidence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Health</w:t>
            </w:r>
          </w:p>
        </w:tc>
        <w:tc>
          <w:tcPr>
            <w:tcW w:type="dxa" w:w="5040"/>
            <w:vAlign w:val="center"/>
          </w:tcPr>
          <w:p>
            <w:r>
              <w:t>HTTP 200 with service version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Readiness</w:t>
            </w:r>
          </w:p>
        </w:tc>
        <w:tc>
          <w:tcPr>
            <w:tcW w:type="dxa" w:w="5040"/>
            <w:vAlign w:val="center"/>
          </w:tcPr>
          <w:p>
            <w:r>
              <w:t>Model loaded and ready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Prediction</w:t>
            </w:r>
          </w:p>
        </w:tc>
        <w:tc>
          <w:tcPr>
            <w:tcW w:type="dxa" w:w="5040"/>
            <w:vAlign w:val="center"/>
          </w:tcPr>
          <w:p>
            <w:r>
              <w:t>Bounded risk and review flag</w:t>
            </w:r>
          </w:p>
        </w:tc>
      </w:tr>
      <w:tr>
        <w:tc>
          <w:tcPr>
            <w:tcW w:type="dxa" w:w="5040"/>
            <w:vAlign w:val="center"/>
          </w:tcPr>
          <w:p>
            <w:r>
              <w:t>FHIR</w:t>
            </w:r>
          </w:p>
        </w:tc>
        <w:tc>
          <w:tcPr>
            <w:tcW w:type="dxa" w:w="5040"/>
            <w:vAlign w:val="center"/>
          </w:tcPr>
          <w:p>
            <w:r>
              <w:t>RiskAssessment resource</w:t>
            </w:r>
          </w:p>
        </w:tc>
      </w:tr>
      <w:tr>
        <w:tc>
          <w:tcPr>
            <w:tcW w:type="dxa" w:w="5040"/>
            <w:vAlign w:val="center"/>
          </w:tcPr>
          <w:p>
            <w:r>
              <w:t>Feedback</w:t>
            </w:r>
          </w:p>
        </w:tc>
        <w:tc>
          <w:tcPr>
            <w:tcW w:type="dxa" w:w="5040"/>
            <w:vAlign w:val="center"/>
          </w:tcPr>
          <w:p>
            <w:r>
              <w:t>Timestamped accepted/rejected record</w:t>
            </w:r>
          </w:p>
        </w:tc>
      </w:tr>
      <w:tr>
        <w:tc>
          <w:tcPr>
            <w:tcW w:type="dxa" w:w="5040"/>
            <w:vAlign w:val="center"/>
          </w:tcPr>
          <w:p>
            <w:r>
              <w:t>Metrics</w:t>
            </w:r>
          </w:p>
        </w:tc>
        <w:tc>
          <w:tcPr>
            <w:tcW w:type="dxa" w:w="5040"/>
            <w:vAlign w:val="center"/>
          </w:tcPr>
          <w:p>
            <w:r>
              <w:t>Prometheus text response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Logs</w:t>
            </w:r>
          </w:p>
        </w:tc>
        <w:tc>
          <w:tcPr>
            <w:tcW w:type="dxa" w:w="5040"/>
            <w:vAlign w:val="center"/>
          </w:tcPr>
          <w:p>
            <w:r>
              <w:t>No secrets or raw payloads emitted</w:t>
            </w:r>
          </w:p>
        </w:tc>
      </w:tr>
    </w:tbl>
    <w:p>
      <w:pPr>
        <w:pStyle w:val="Heading1"/>
      </w:pPr>
      <w:r>
        <w:t>5. Rollback and governance</w:t>
      </w:r>
    </w:p>
    <w:p>
      <w:r>
        <w:t>Promote immutable images and registered model versions. Preserve the previous approved image/model combination and document rollback criteria. Do not treat this demonstration guide as a hospital production runbook.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